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A4ABC" w14:textId="6B24A083" w:rsidR="001D6793" w:rsidRPr="00740234" w:rsidRDefault="001809B3" w:rsidP="001D6793">
      <w:pPr>
        <w:rPr>
          <w:b/>
          <w:bCs/>
          <w:sz w:val="32"/>
          <w:szCs w:val="32"/>
        </w:rPr>
      </w:pPr>
      <w:r>
        <w:rPr>
          <w:b/>
          <w:sz w:val="32"/>
        </w:rPr>
        <w:t>CHARTS OF THE WEEK</w:t>
      </w:r>
    </w:p>
    <w:p w14:paraId="1571BE1B" w14:textId="651D0D9E" w:rsidR="001D6793" w:rsidRPr="00740234" w:rsidRDefault="00FA45E3" w:rsidP="001D6793">
      <w:pPr>
        <w:rPr>
          <w:sz w:val="32"/>
          <w:szCs w:val="32"/>
        </w:rPr>
      </w:pPr>
      <w:r>
        <w:rPr>
          <w:sz w:val="32"/>
        </w:rPr>
        <w:t>29 January–2 February 2024</w:t>
      </w:r>
    </w:p>
    <w:p w14:paraId="4796C0F0" w14:textId="77777777" w:rsidR="00DF4F0B" w:rsidRDefault="00DF4F0B"/>
    <w:p w14:paraId="7D749AB0" w14:textId="4A7EA10E" w:rsidR="007D0791" w:rsidRPr="0026694E" w:rsidRDefault="00DC6DA0" w:rsidP="007D0791">
      <w:pPr>
        <w:tabs>
          <w:tab w:val="left" w:pos="580"/>
        </w:tabs>
      </w:pPr>
      <w:bookmarkStart w:id="0" w:name="_Hlk54096721"/>
      <w:r>
        <w:t>After several quarters of decline, trade in goods increased in the fourth quarter of last year but was still lower than a year ago. In November 2023, turnover rose in most trade sectors and service activities. Of all trade sectors, only turnover in the sale of motor vehicles was lower year-on-year in the first eleven months of the year, while among service activities, only turnover in transport and storage was down. More detailed data on goods transport, which are available up to the third quarter of 2023, show a sharp decline in the last two years, particularly in cross-trade transport of goods, which still only accounts for around 43% of total road goods transport (more than half in 2019).</w:t>
      </w:r>
    </w:p>
    <w:bookmarkEnd w:id="0"/>
    <w:p w14:paraId="7D5F5A87" w14:textId="77777777" w:rsidR="00FA45E3" w:rsidRDefault="00FA45E3" w:rsidP="001F51CD">
      <w:pPr>
        <w:tabs>
          <w:tab w:val="left" w:pos="580"/>
        </w:tabs>
      </w:pPr>
    </w:p>
    <w:p w14:paraId="2C8D7BFF" w14:textId="77777777" w:rsidR="00862459" w:rsidRDefault="00862459" w:rsidP="001F51CD">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363E63" w14:paraId="048E56C7" w14:textId="77777777">
        <w:trPr>
          <w:trHeight w:val="207"/>
        </w:trPr>
        <w:tc>
          <w:tcPr>
            <w:tcW w:w="4819" w:type="dxa"/>
            <w:tcBorders>
              <w:bottom w:val="single" w:sz="4" w:space="0" w:color="auto"/>
            </w:tcBorders>
            <w:tcMar>
              <w:left w:w="0" w:type="dxa"/>
            </w:tcMar>
          </w:tcPr>
          <w:p w14:paraId="4E20F257" w14:textId="52B34A77" w:rsidR="00363E63" w:rsidRPr="007A0B59" w:rsidRDefault="002E46A9" w:rsidP="00731B6F">
            <w:pPr>
              <w:pStyle w:val="Naslov31"/>
              <w:jc w:val="left"/>
            </w:pPr>
            <w:r>
              <w:t>Trade in goods – in real terms, December 2023</w:t>
            </w:r>
          </w:p>
        </w:tc>
        <w:tc>
          <w:tcPr>
            <w:tcW w:w="4820" w:type="dxa"/>
            <w:gridSpan w:val="2"/>
            <w:tcBorders>
              <w:bottom w:val="single" w:sz="4" w:space="0" w:color="auto"/>
            </w:tcBorders>
          </w:tcPr>
          <w:p w14:paraId="60FDD2D6" w14:textId="77777777" w:rsidR="00363E63" w:rsidRPr="007A0B59" w:rsidRDefault="00363E63" w:rsidP="006C2117">
            <w:pPr>
              <w:pStyle w:val="Naslov31"/>
            </w:pPr>
          </w:p>
        </w:tc>
      </w:tr>
      <w:tr w:rsidR="00FA45E3" w14:paraId="61AE7956" w14:textId="77777777" w:rsidTr="00946C4C">
        <w:trPr>
          <w:trHeight w:val="1134"/>
        </w:trPr>
        <w:tc>
          <w:tcPr>
            <w:tcW w:w="4982" w:type="dxa"/>
            <w:gridSpan w:val="2"/>
            <w:tcBorders>
              <w:top w:val="single" w:sz="4" w:space="0" w:color="auto"/>
            </w:tcBorders>
            <w:tcMar>
              <w:left w:w="0" w:type="dxa"/>
            </w:tcMar>
          </w:tcPr>
          <w:p w14:paraId="63A3CD82" w14:textId="053D5D4E" w:rsidR="00FA45E3" w:rsidRDefault="00675047">
            <w:pPr>
              <w:pStyle w:val="Odstavekseznama"/>
              <w:ind w:left="0"/>
            </w:pPr>
            <w:r>
              <w:rPr>
                <w:noProof/>
              </w:rPr>
              <w:drawing>
                <wp:inline distT="0" distB="0" distL="0" distR="0" wp14:anchorId="088B27C0" wp14:editId="1E311A3B">
                  <wp:extent cx="3092400" cy="253080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tcBorders>
              <w:top w:val="single" w:sz="4" w:space="0" w:color="auto"/>
            </w:tcBorders>
            <w:tcMar>
              <w:left w:w="284" w:type="dxa"/>
            </w:tcMar>
          </w:tcPr>
          <w:p w14:paraId="1E0FDD6E" w14:textId="4679F7C4" w:rsidR="00FA45E3" w:rsidRPr="00DF4F0B" w:rsidRDefault="00DC6DA0" w:rsidP="00946C4C">
            <w:r>
              <w:rPr>
                <w:b/>
              </w:rPr>
              <w:t>Trade in goods</w:t>
            </w:r>
            <w:r w:rsidRPr="0080512E">
              <w:rPr>
                <w:rFonts w:eastAsia="Times New Roman" w:cs="Times New Roman"/>
                <w:b/>
                <w:bCs/>
                <w:vertAlign w:val="superscript"/>
              </w:rPr>
              <w:footnoteReference w:id="2"/>
            </w:r>
            <w:r>
              <w:rPr>
                <w:b/>
              </w:rPr>
              <w:t xml:space="preserve"> increased in the fourth quarter of last </w:t>
            </w:r>
            <w:proofErr w:type="gramStart"/>
            <w:r>
              <w:rPr>
                <w:b/>
              </w:rPr>
              <w:t>year, but</w:t>
            </w:r>
            <w:proofErr w:type="gramEnd"/>
            <w:r>
              <w:rPr>
                <w:b/>
              </w:rPr>
              <w:t xml:space="preserve"> remained significantly lower year-on-year. </w:t>
            </w:r>
            <w:r>
              <w:t xml:space="preserve">After several quarters of decline, both real exports and imports of goods increased compared to the previous quarter (by 3.9% and 1.8% respectively, seasonally adjusted). The increase was mainly due to stronger trade with Slovenia’s main EU partners. Exports of most main product groups (mainly metals and metal products, and chemical products) increased, </w:t>
            </w:r>
            <w:proofErr w:type="gramStart"/>
            <w:r>
              <w:t>with the exception of</w:t>
            </w:r>
            <w:proofErr w:type="gramEnd"/>
            <w:r>
              <w:t xml:space="preserve"> motor vehicles. The quarter-on-quarter increase in imports of goods was mainly due to imports of intermediate goods, while imports of capital and consumer goods fell. On a year-on-year basis, both exports and imports were significantly lower in the fourth quarter of last year and in </w:t>
            </w:r>
            <w:proofErr w:type="gramStart"/>
            <w:r>
              <w:t>2023 as a whole, with</w:t>
            </w:r>
            <w:proofErr w:type="gramEnd"/>
            <w:r>
              <w:t xml:space="preserve"> the decline in trade with non-EU countries being more pronounced than with the EU countries. Sentiment in export-oriented industries began to gradually improve towards the end of last </w:t>
            </w:r>
            <w:proofErr w:type="gramStart"/>
            <w:r>
              <w:t>year, but</w:t>
            </w:r>
            <w:proofErr w:type="gramEnd"/>
            <w:r>
              <w:t xml:space="preserve"> was still much lower than a year ago at the beginning of this year.</w:t>
            </w:r>
          </w:p>
        </w:tc>
      </w:tr>
    </w:tbl>
    <w:p w14:paraId="7D71B0CE" w14:textId="77777777" w:rsidR="00EE7E6E" w:rsidRDefault="00EE7E6E" w:rsidP="001F51CD">
      <w:pPr>
        <w:tabs>
          <w:tab w:val="left" w:pos="580"/>
        </w:tabs>
      </w:pPr>
    </w:p>
    <w:p w14:paraId="23C654BC" w14:textId="77777777" w:rsidR="009172A4" w:rsidRDefault="009172A4">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363E63" w14:paraId="27C6AA70" w14:textId="77777777">
        <w:trPr>
          <w:trHeight w:val="207"/>
        </w:trPr>
        <w:tc>
          <w:tcPr>
            <w:tcW w:w="4819" w:type="dxa"/>
            <w:tcBorders>
              <w:bottom w:val="single" w:sz="4" w:space="0" w:color="auto"/>
            </w:tcBorders>
            <w:tcMar>
              <w:left w:w="0" w:type="dxa"/>
            </w:tcMar>
          </w:tcPr>
          <w:p w14:paraId="0D98C381" w14:textId="59F84044" w:rsidR="00363E63" w:rsidRPr="006C2117" w:rsidRDefault="002E46A9" w:rsidP="00731B6F">
            <w:pPr>
              <w:pStyle w:val="Naslov31"/>
              <w:jc w:val="left"/>
            </w:pPr>
            <w:r>
              <w:lastRenderedPageBreak/>
              <w:t>Turnover in trade, November–December 2023</w:t>
            </w:r>
          </w:p>
        </w:tc>
        <w:tc>
          <w:tcPr>
            <w:tcW w:w="4820" w:type="dxa"/>
            <w:gridSpan w:val="2"/>
            <w:tcBorders>
              <w:bottom w:val="single" w:sz="4" w:space="0" w:color="auto"/>
            </w:tcBorders>
          </w:tcPr>
          <w:p w14:paraId="3890D84C" w14:textId="77777777" w:rsidR="00363E63" w:rsidRPr="006C2117" w:rsidRDefault="00363E63">
            <w:pPr>
              <w:pStyle w:val="Naslov31"/>
            </w:pPr>
          </w:p>
        </w:tc>
      </w:tr>
      <w:tr w:rsidR="00652795" w14:paraId="67C7910A" w14:textId="77777777">
        <w:trPr>
          <w:trHeight w:val="1134"/>
        </w:trPr>
        <w:tc>
          <w:tcPr>
            <w:tcW w:w="4982" w:type="dxa"/>
            <w:gridSpan w:val="2"/>
            <w:tcBorders>
              <w:top w:val="single" w:sz="4" w:space="0" w:color="auto"/>
            </w:tcBorders>
            <w:tcMar>
              <w:left w:w="0" w:type="dxa"/>
            </w:tcMar>
          </w:tcPr>
          <w:p w14:paraId="0B854177" w14:textId="1721422D" w:rsidR="00652795" w:rsidRDefault="00675047">
            <w:pPr>
              <w:pStyle w:val="Odstavekseznama"/>
              <w:ind w:left="0"/>
            </w:pPr>
            <w:r>
              <w:rPr>
                <w:noProof/>
              </w:rPr>
              <w:drawing>
                <wp:inline distT="0" distB="0" distL="0" distR="0" wp14:anchorId="2BB00BE8" wp14:editId="47BF9BFF">
                  <wp:extent cx="3096000" cy="2491200"/>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000" cy="2491200"/>
                          </a:xfrm>
                          <a:prstGeom prst="rect">
                            <a:avLst/>
                          </a:prstGeom>
                          <a:noFill/>
                        </pic:spPr>
                      </pic:pic>
                    </a:graphicData>
                  </a:graphic>
                </wp:inline>
              </w:drawing>
            </w:r>
          </w:p>
        </w:tc>
        <w:tc>
          <w:tcPr>
            <w:tcW w:w="4657" w:type="dxa"/>
            <w:tcBorders>
              <w:top w:val="single" w:sz="4" w:space="0" w:color="auto"/>
            </w:tcBorders>
            <w:tcMar>
              <w:left w:w="284" w:type="dxa"/>
            </w:tcMar>
          </w:tcPr>
          <w:p w14:paraId="1F569F4F" w14:textId="77777777" w:rsidR="00652795" w:rsidRDefault="00BD1B48">
            <w:pPr>
              <w:rPr>
                <w:shd w:val="clear" w:color="auto" w:fill="FFFFFF"/>
              </w:rPr>
            </w:pPr>
            <w:r>
              <w:rPr>
                <w:b/>
                <w:shd w:val="clear" w:color="auto" w:fill="FFFFFF"/>
              </w:rPr>
              <w:t xml:space="preserve">Real turnover in most trade sectors rose for the second month in a row in November and, according to preliminary data, was higher in the fourth quarter than in the third. </w:t>
            </w:r>
            <w:r>
              <w:rPr>
                <w:shd w:val="clear" w:color="auto" w:fill="FFFFFF"/>
              </w:rPr>
              <w:t>Turnover in the sale of motor vehicles further increased in November and this was the only main trade segment to exceed 2022 turnover in the first eleven months of the year. Turnover in retail sale of food also increased, while turnover in retail sale of non-food products and wholesale trade stagnated after growing in the previous month. According to preliminary SURS data, turnover in the sale of motor vehicles strengthened further in December; turnover in retail trade (without automotive fuel) was also higher in the fourth quarter of 2023 than in the third despite a decline in December.</w:t>
            </w:r>
          </w:p>
          <w:p w14:paraId="122D1D3E" w14:textId="144EF4E9" w:rsidR="009448B0" w:rsidRPr="00DF4F0B" w:rsidRDefault="009448B0"/>
        </w:tc>
      </w:tr>
      <w:tr w:rsidR="00363E63" w14:paraId="3D7CD9D9" w14:textId="77777777">
        <w:trPr>
          <w:trHeight w:val="207"/>
        </w:trPr>
        <w:tc>
          <w:tcPr>
            <w:tcW w:w="4819" w:type="dxa"/>
            <w:tcBorders>
              <w:bottom w:val="single" w:sz="4" w:space="0" w:color="auto"/>
            </w:tcBorders>
            <w:tcMar>
              <w:left w:w="0" w:type="dxa"/>
            </w:tcMar>
          </w:tcPr>
          <w:p w14:paraId="6E140B57" w14:textId="4C6516D1" w:rsidR="00363E63" w:rsidRPr="007A0B59" w:rsidRDefault="002E46A9" w:rsidP="00731B6F">
            <w:pPr>
              <w:pStyle w:val="Naslov31"/>
              <w:jc w:val="left"/>
            </w:pPr>
            <w:r>
              <w:t>Turnover in market services, November 2023</w:t>
            </w:r>
          </w:p>
        </w:tc>
        <w:tc>
          <w:tcPr>
            <w:tcW w:w="4820" w:type="dxa"/>
            <w:gridSpan w:val="2"/>
            <w:tcBorders>
              <w:bottom w:val="single" w:sz="4" w:space="0" w:color="auto"/>
            </w:tcBorders>
          </w:tcPr>
          <w:p w14:paraId="1203F93A" w14:textId="77777777" w:rsidR="00363E63" w:rsidRPr="007A0B59" w:rsidRDefault="00363E63">
            <w:pPr>
              <w:pStyle w:val="Naslov31"/>
            </w:pPr>
          </w:p>
        </w:tc>
      </w:tr>
      <w:tr w:rsidR="00363E63" w14:paraId="7F281C38" w14:textId="77777777">
        <w:trPr>
          <w:trHeight w:val="1134"/>
        </w:trPr>
        <w:tc>
          <w:tcPr>
            <w:tcW w:w="4982" w:type="dxa"/>
            <w:gridSpan w:val="2"/>
            <w:tcBorders>
              <w:top w:val="single" w:sz="4" w:space="0" w:color="auto"/>
            </w:tcBorders>
            <w:tcMar>
              <w:left w:w="0" w:type="dxa"/>
            </w:tcMar>
          </w:tcPr>
          <w:p w14:paraId="79BE2103" w14:textId="5A3A1863" w:rsidR="00363E63" w:rsidRDefault="00C60812">
            <w:pPr>
              <w:pStyle w:val="Odstavekseznama"/>
              <w:ind w:left="0"/>
            </w:pPr>
            <w:r>
              <w:rPr>
                <w:noProof/>
              </w:rPr>
              <w:drawing>
                <wp:inline distT="0" distB="0" distL="0" distR="0" wp14:anchorId="10ECC42C" wp14:editId="68A7C489">
                  <wp:extent cx="3152775" cy="2605488"/>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1338" cy="2612564"/>
                          </a:xfrm>
                          <a:prstGeom prst="rect">
                            <a:avLst/>
                          </a:prstGeom>
                          <a:noFill/>
                        </pic:spPr>
                      </pic:pic>
                    </a:graphicData>
                  </a:graphic>
                </wp:inline>
              </w:drawing>
            </w:r>
          </w:p>
        </w:tc>
        <w:tc>
          <w:tcPr>
            <w:tcW w:w="4657" w:type="dxa"/>
            <w:tcBorders>
              <w:top w:val="single" w:sz="4" w:space="0" w:color="auto"/>
            </w:tcBorders>
            <w:tcMar>
              <w:left w:w="284" w:type="dxa"/>
            </w:tcMar>
          </w:tcPr>
          <w:p w14:paraId="00F7E9B5" w14:textId="0DC248A1" w:rsidR="00BE143B" w:rsidRDefault="00DC6DA0" w:rsidP="00BE143B">
            <w:pPr>
              <w:autoSpaceDE w:val="0"/>
              <w:autoSpaceDN w:val="0"/>
              <w:adjustRightInd w:val="0"/>
              <w:spacing w:line="240" w:lineRule="auto"/>
            </w:pPr>
            <w:r>
              <w:rPr>
                <w:b/>
              </w:rPr>
              <w:t>Real turnover in market services rose again in November (by 1%) after declining in October.</w:t>
            </w:r>
            <w:r>
              <w:t xml:space="preserve"> Growth was strongest in information and communication activities, where the trend has been positive since the summer. It stemmed from both main sectors – telecommunications and computer services. Turnover in the latter has increased significantly in the last two months. Accommodation and food service activities and administrative and support service activities again contributed to the overall growth in turnover. After a few months of growth, turnover in transportation and storage declined again, especially in land transport. Turnover in professional and technical activities also declined. Total turnover in market services rose by 2% year-on-year in real terms in November. In the first eleven months of 2023, it was higher year-on-year in all activities with the exception of transportation, by 1.6% on average. In employment services, it remained below pre-epidemic (November 2019) levels (by 24%).</w:t>
            </w:r>
          </w:p>
          <w:p w14:paraId="0E055F5D" w14:textId="5ED7818D" w:rsidR="00363E63" w:rsidRPr="00DF4F0B" w:rsidRDefault="00363E63"/>
        </w:tc>
      </w:tr>
    </w:tbl>
    <w:p w14:paraId="40CF7B57" w14:textId="77777777" w:rsidR="00363E63" w:rsidRDefault="00363E63" w:rsidP="00363E63">
      <w:pPr>
        <w:tabs>
          <w:tab w:val="left" w:pos="580"/>
        </w:tabs>
      </w:pPr>
    </w:p>
    <w:p w14:paraId="3BAAF424" w14:textId="77777777" w:rsidR="009172A4" w:rsidRDefault="009172A4">
      <w:r>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4657"/>
      </w:tblGrid>
      <w:tr w:rsidR="002E46A9" w14:paraId="512FC51A" w14:textId="77777777" w:rsidTr="3192397B">
        <w:trPr>
          <w:trHeight w:val="207"/>
        </w:trPr>
        <w:tc>
          <w:tcPr>
            <w:tcW w:w="9639" w:type="dxa"/>
            <w:gridSpan w:val="2"/>
            <w:tcBorders>
              <w:bottom w:val="single" w:sz="4" w:space="0" w:color="auto"/>
            </w:tcBorders>
            <w:tcMar>
              <w:left w:w="0" w:type="dxa"/>
            </w:tcMar>
          </w:tcPr>
          <w:p w14:paraId="232157BD" w14:textId="0AAD7695" w:rsidR="002E46A9" w:rsidRPr="006C2117" w:rsidRDefault="002E46A9">
            <w:pPr>
              <w:pStyle w:val="Naslov31"/>
            </w:pPr>
            <w:r>
              <w:lastRenderedPageBreak/>
              <w:t>Road and rail freight transport – Q3 2023</w:t>
            </w:r>
          </w:p>
        </w:tc>
      </w:tr>
      <w:tr w:rsidR="00363E63" w14:paraId="44EE1A9D" w14:textId="77777777" w:rsidTr="00F11515">
        <w:trPr>
          <w:trHeight w:val="1134"/>
        </w:trPr>
        <w:tc>
          <w:tcPr>
            <w:tcW w:w="4982" w:type="dxa"/>
            <w:tcMar>
              <w:left w:w="0" w:type="dxa"/>
            </w:tcMar>
          </w:tcPr>
          <w:p w14:paraId="30A94F50" w14:textId="4DBA82DA" w:rsidR="00363E63" w:rsidRDefault="00675047">
            <w:pPr>
              <w:pStyle w:val="Odstavekseznama"/>
              <w:ind w:left="0"/>
            </w:pPr>
            <w:r>
              <w:rPr>
                <w:noProof/>
              </w:rPr>
              <w:drawing>
                <wp:inline distT="0" distB="0" distL="0" distR="0" wp14:anchorId="7A73B97D" wp14:editId="073ACE40">
                  <wp:extent cx="3139200" cy="2530800"/>
                  <wp:effectExtent l="0" t="0" r="444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9200" cy="2530800"/>
                          </a:xfrm>
                          <a:prstGeom prst="rect">
                            <a:avLst/>
                          </a:prstGeom>
                          <a:noFill/>
                        </pic:spPr>
                      </pic:pic>
                    </a:graphicData>
                  </a:graphic>
                </wp:inline>
              </w:drawing>
            </w:r>
          </w:p>
        </w:tc>
        <w:tc>
          <w:tcPr>
            <w:tcW w:w="4657" w:type="dxa"/>
            <w:tcMar>
              <w:left w:w="284" w:type="dxa"/>
            </w:tcMar>
          </w:tcPr>
          <w:p w14:paraId="6A5473DF" w14:textId="1E7B7C09" w:rsidR="00363E63" w:rsidRPr="00DF4F0B" w:rsidRDefault="00DC6DA0">
            <w:pPr>
              <w:rPr>
                <w:rFonts w:eastAsia="Myriad Pro" w:cs="Myriad Pro"/>
                <w:color w:val="000000" w:themeColor="text1"/>
              </w:rPr>
            </w:pPr>
            <w:r w:rsidRPr="5719505A">
              <w:rPr>
                <w:b/>
                <w:bCs/>
                <w:color w:val="000000" w:themeColor="text1"/>
              </w:rPr>
              <w:t>The volume of road and rail freight transport further decreased in the third quarter of 2023.</w:t>
            </w:r>
            <w:r w:rsidRPr="5719505A">
              <w:rPr>
                <w:color w:val="000000" w:themeColor="text1"/>
              </w:rPr>
              <w:t xml:space="preserve"> The negative trend intensified in road transport performed by Slovenian vehicles, which fell by 8% quarter-on-quarter, due to a sharp decline (by 12%) in international transport (exports, </w:t>
            </w:r>
            <w:proofErr w:type="gramStart"/>
            <w:r w:rsidRPr="5719505A">
              <w:rPr>
                <w:color w:val="000000" w:themeColor="text1"/>
              </w:rPr>
              <w:t>imports</w:t>
            </w:r>
            <w:proofErr w:type="gramEnd"/>
            <w:r w:rsidRPr="5719505A">
              <w:rPr>
                <w:color w:val="000000" w:themeColor="text1"/>
              </w:rPr>
              <w:t xml:space="preserve"> and cross-trade). The share of cross-trade thus fell below 43%, the lowest level since 2019. National road transport increased by one-fifth. The volume of road goods transport fell by more than one-tenth year-on-year in the third quarter, and even slightly more than this compared to the third quarter of 2019. Rail freight transport, already declining before the epidemic, was also one-tenth lower year-on-year in the third quarter and the lowest in 7 years.</w:t>
            </w:r>
          </w:p>
        </w:tc>
      </w:tr>
      <w:tr w:rsidR="5719505A" w14:paraId="0AECA97C" w14:textId="77777777" w:rsidTr="00F11515">
        <w:trPr>
          <w:trHeight w:val="1134"/>
        </w:trPr>
        <w:tc>
          <w:tcPr>
            <w:tcW w:w="4982" w:type="dxa"/>
            <w:tcMar>
              <w:left w:w="0" w:type="dxa"/>
            </w:tcMar>
          </w:tcPr>
          <w:p w14:paraId="70E35CD9" w14:textId="0538B9FF" w:rsidR="5719505A" w:rsidRDefault="5719505A" w:rsidP="5719505A">
            <w:pPr>
              <w:pStyle w:val="Odstavekseznama"/>
            </w:pPr>
          </w:p>
        </w:tc>
        <w:tc>
          <w:tcPr>
            <w:tcW w:w="4657" w:type="dxa"/>
            <w:tcMar>
              <w:left w:w="284" w:type="dxa"/>
            </w:tcMar>
          </w:tcPr>
          <w:p w14:paraId="30B77080" w14:textId="0F57D46B" w:rsidR="5719505A" w:rsidRDefault="5719505A" w:rsidP="5719505A">
            <w:pPr>
              <w:rPr>
                <w:b/>
                <w:bCs/>
                <w:color w:val="000000" w:themeColor="text1"/>
              </w:rPr>
            </w:pPr>
          </w:p>
        </w:tc>
      </w:tr>
    </w:tbl>
    <w:p w14:paraId="7D7FC263" w14:textId="77777777" w:rsidR="00363E63" w:rsidRDefault="00363E63" w:rsidP="001F51CD">
      <w:pPr>
        <w:tabs>
          <w:tab w:val="left" w:pos="580"/>
        </w:tabs>
      </w:pPr>
    </w:p>
    <w:p w14:paraId="29514980" w14:textId="77777777" w:rsidR="00363E63" w:rsidRDefault="00363E63" w:rsidP="001F51CD">
      <w:pPr>
        <w:tabs>
          <w:tab w:val="left" w:pos="580"/>
        </w:tabs>
      </w:pPr>
    </w:p>
    <w:p w14:paraId="2E7D7EF4" w14:textId="77777777" w:rsidR="00363E63" w:rsidRDefault="00363E63" w:rsidP="001F51CD">
      <w:pPr>
        <w:tabs>
          <w:tab w:val="left" w:pos="580"/>
        </w:tabs>
      </w:pPr>
    </w:p>
    <w:p w14:paraId="1F7C2D1C" w14:textId="77777777" w:rsidR="00FE7254" w:rsidRDefault="00FE7254" w:rsidP="00FE7254"/>
    <w:p w14:paraId="79DB562C" w14:textId="77777777" w:rsidR="00FE7254" w:rsidRPr="00FE7254" w:rsidRDefault="00FE7254" w:rsidP="00FE7254">
      <w:pPr>
        <w:sectPr w:rsidR="00FE7254" w:rsidRPr="00FE7254"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6E85CF5E" w14:textId="6A5C23E8" w:rsidR="002E69B6" w:rsidRPr="00887D7E" w:rsidRDefault="0057008A" w:rsidP="00C26C8D">
      <w:pPr>
        <w:tabs>
          <w:tab w:val="left" w:pos="580"/>
        </w:tabs>
      </w:pPr>
      <w:r w:rsidRPr="0057008A">
        <w:rPr>
          <w:noProof/>
        </w:rPr>
        <w:lastRenderedPageBreak/>
        <w:drawing>
          <wp:inline distT="0" distB="0" distL="0" distR="0" wp14:anchorId="624EC371" wp14:editId="0BFE2F72">
            <wp:extent cx="6514596" cy="84105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6432" cy="8412945"/>
                    </a:xfrm>
                    <a:prstGeom prst="rect">
                      <a:avLst/>
                    </a:prstGeom>
                    <a:noFill/>
                    <a:ln>
                      <a:noFill/>
                    </a:ln>
                  </pic:spPr>
                </pic:pic>
              </a:graphicData>
            </a:graphic>
          </wp:inline>
        </w:drawing>
      </w:r>
    </w:p>
    <w:sectPr w:rsidR="002E69B6" w:rsidRPr="00887D7E"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D71D7" w14:textId="77777777" w:rsidR="003B4BDC" w:rsidRDefault="003B4BDC" w:rsidP="0063497B">
      <w:pPr>
        <w:spacing w:line="240" w:lineRule="auto"/>
      </w:pPr>
      <w:r>
        <w:separator/>
      </w:r>
    </w:p>
  </w:endnote>
  <w:endnote w:type="continuationSeparator" w:id="0">
    <w:p w14:paraId="3687D985" w14:textId="77777777" w:rsidR="003B4BDC" w:rsidRDefault="003B4BDC" w:rsidP="0063497B">
      <w:pPr>
        <w:spacing w:line="240" w:lineRule="auto"/>
      </w:pPr>
      <w:r>
        <w:continuationSeparator/>
      </w:r>
    </w:p>
  </w:endnote>
  <w:endnote w:type="continuationNotice" w:id="1">
    <w:p w14:paraId="557305BF" w14:textId="77777777" w:rsidR="003B4BDC" w:rsidRDefault="003B4B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78C9" w14:textId="77777777" w:rsidR="0029405F" w:rsidRPr="00363E63" w:rsidRDefault="00120162" w:rsidP="00363E63">
    <w:pPr>
      <w:pStyle w:val="Naslov31"/>
      <w:tabs>
        <w:tab w:val="right" w:pos="9638"/>
      </w:tabs>
      <w:jc w:val="left"/>
      <w:rPr>
        <w:b w:val="0"/>
        <w:sz w:val="18"/>
        <w:szCs w:val="18"/>
      </w:rPr>
    </w:pPr>
    <w:r>
      <w:rPr>
        <w:sz w:val="18"/>
      </w:rPr>
      <w:t>More information:</w:t>
    </w:r>
    <w:r>
      <w:rPr>
        <w:bCs/>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00363E63" w:rsidRPr="00363E63">
          <w:rPr>
            <w:sz w:val="18"/>
          </w:rPr>
          <w:fldChar w:fldCharType="begin"/>
        </w:r>
        <w:r w:rsidR="00363E63" w:rsidRPr="00363E63">
          <w:rPr>
            <w:sz w:val="18"/>
          </w:rPr>
          <w:instrText>PAGE   \* MERGEFORMAT</w:instrText>
        </w:r>
        <w:r w:rsidR="00363E63" w:rsidRPr="00363E63">
          <w:rPr>
            <w:sz w:val="18"/>
          </w:rPr>
          <w:fldChar w:fldCharType="separate"/>
        </w:r>
        <w:r w:rsidR="00363E63">
          <w:rPr>
            <w:sz w:val="18"/>
          </w:rPr>
          <w:t>1</w:t>
        </w:r>
        <w:r w:rsidR="00363E63"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58CB" w14:textId="77777777" w:rsidR="0029405F" w:rsidRPr="00363E63" w:rsidRDefault="00120162" w:rsidP="00363E63">
    <w:pPr>
      <w:pStyle w:val="Naslov31"/>
      <w:tabs>
        <w:tab w:val="right" w:pos="9638"/>
      </w:tabs>
      <w:jc w:val="left"/>
      <w:rPr>
        <w:b w:val="0"/>
        <w:sz w:val="18"/>
        <w:szCs w:val="18"/>
      </w:rPr>
    </w:pPr>
    <w:r>
      <w:rPr>
        <w:sz w:val="18"/>
      </w:rPr>
      <w:t>More information:</w:t>
    </w:r>
    <w:r>
      <w:rPr>
        <w:bCs/>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00363E63" w:rsidRPr="00363E63">
          <w:rPr>
            <w:sz w:val="18"/>
          </w:rPr>
          <w:fldChar w:fldCharType="begin"/>
        </w:r>
        <w:r w:rsidR="00363E63" w:rsidRPr="00363E63">
          <w:rPr>
            <w:sz w:val="18"/>
          </w:rPr>
          <w:instrText>PAGE   \* MERGEFORMAT</w:instrText>
        </w:r>
        <w:r w:rsidR="00363E63" w:rsidRPr="00363E63">
          <w:rPr>
            <w:sz w:val="18"/>
          </w:rPr>
          <w:fldChar w:fldCharType="separate"/>
        </w:r>
        <w:r w:rsidR="00363E63" w:rsidRPr="00363E63">
          <w:rPr>
            <w:sz w:val="18"/>
          </w:rPr>
          <w:t>1</w:t>
        </w:r>
        <w:r w:rsidR="00363E63"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04E7" w14:textId="77777777" w:rsidR="00C26C8D" w:rsidRPr="00C26C8D" w:rsidRDefault="00C26C8D"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charts of the week (Selected macroeconomic indicators for Slovenia).</w:t>
    </w:r>
  </w:p>
  <w:p w14:paraId="217C00BD" w14:textId="77777777" w:rsidR="00C26C8D" w:rsidRPr="00C26C8D" w:rsidRDefault="00C26C8D" w:rsidP="00C26C8D">
    <w:pPr>
      <w:pStyle w:val="Naslov31"/>
      <w:tabs>
        <w:tab w:val="right" w:pos="9638"/>
      </w:tabs>
      <w:jc w:val="left"/>
      <w:rPr>
        <w:b w:val="0"/>
        <w:sz w:val="18"/>
        <w:szCs w:val="18"/>
      </w:rPr>
    </w:pPr>
  </w:p>
  <w:p w14:paraId="2D351F03" w14:textId="77777777" w:rsidR="00363E63" w:rsidRPr="00363E63" w:rsidRDefault="00C26C8D"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EE81" w14:textId="77777777" w:rsidR="003B4BDC" w:rsidRDefault="003B4BDC" w:rsidP="0063497B">
      <w:pPr>
        <w:spacing w:line="240" w:lineRule="auto"/>
      </w:pPr>
      <w:r>
        <w:separator/>
      </w:r>
    </w:p>
  </w:footnote>
  <w:footnote w:type="continuationSeparator" w:id="0">
    <w:p w14:paraId="0EDC8347" w14:textId="77777777" w:rsidR="003B4BDC" w:rsidRDefault="003B4BDC" w:rsidP="0063497B">
      <w:pPr>
        <w:spacing w:line="240" w:lineRule="auto"/>
      </w:pPr>
      <w:r>
        <w:continuationSeparator/>
      </w:r>
    </w:p>
  </w:footnote>
  <w:footnote w:type="continuationNotice" w:id="1">
    <w:p w14:paraId="1EB75A58" w14:textId="77777777" w:rsidR="003B4BDC" w:rsidRDefault="003B4BDC">
      <w:pPr>
        <w:spacing w:line="240" w:lineRule="auto"/>
      </w:pPr>
    </w:p>
  </w:footnote>
  <w:footnote w:id="2">
    <w:p w14:paraId="5022E19C" w14:textId="77777777" w:rsidR="00DC6DA0" w:rsidRDefault="00DC6DA0" w:rsidP="00DC6DA0">
      <w:pPr>
        <w:pStyle w:val="Sprotnaopomba-besedilo"/>
      </w:pPr>
      <w:r>
        <w:rPr>
          <w:rStyle w:val="Sprotnaopomba-sklic"/>
        </w:rPr>
        <w:footnoteRef/>
      </w:r>
      <w:r>
        <w:t xml:space="preserve"> According to the external trade statistics by SURS. Deflation and seasonal adjustment by IMAD. Total exports and imports adjusted for the estimate of goods processing in connection with the trade in pharmaceutical products with Switzerland.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780C" w14:textId="0BABE2CC" w:rsidR="0029405F" w:rsidRDefault="00652795" w:rsidP="00652795">
    <w:pPr>
      <w:jc w:val="right"/>
    </w:pPr>
    <w:r>
      <w:rPr>
        <w:noProof/>
      </w:rPr>
      <w:drawing>
        <wp:anchor distT="0" distB="0" distL="114300" distR="114300" simplePos="0" relativeHeight="251658240" behindDoc="0" locked="0" layoutInCell="1" allowOverlap="1" wp14:anchorId="1ED2B59B" wp14:editId="420EBD9E">
          <wp:simplePos x="0" y="0"/>
          <wp:positionH relativeFrom="column">
            <wp:posOffset>-306705</wp:posOffset>
          </wp:positionH>
          <wp:positionV relativeFrom="paragraph">
            <wp:posOffset>64135</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5 February 2024</w:t>
    </w:r>
  </w:p>
  <w:p w14:paraId="3A67210D" w14:textId="77777777" w:rsidR="00652795" w:rsidRDefault="00652795" w:rsidP="00FE7254">
    <w:pPr>
      <w:jc w:val="right"/>
    </w:pPr>
  </w:p>
  <w:p w14:paraId="216BCE82" w14:textId="77777777" w:rsidR="00FE7254" w:rsidRDefault="00FE7254" w:rsidP="00FE7254">
    <w:pPr>
      <w:jc w:val="right"/>
    </w:pPr>
  </w:p>
  <w:p w14:paraId="3FDE2273" w14:textId="77777777" w:rsidR="00FE7254" w:rsidRDefault="00FE7254"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8F38" w14:textId="77777777" w:rsidR="00363E63" w:rsidRPr="00C26C8D" w:rsidRDefault="00C26C8D"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1157306714">
    <w:abstractNumId w:val="0"/>
  </w:num>
  <w:num w:numId="2" w16cid:durableId="1503398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C14"/>
    <w:rsid w:val="00001002"/>
    <w:rsid w:val="00005B0E"/>
    <w:rsid w:val="00014392"/>
    <w:rsid w:val="0002163F"/>
    <w:rsid w:val="0003054F"/>
    <w:rsid w:val="0005423B"/>
    <w:rsid w:val="00060270"/>
    <w:rsid w:val="000703C7"/>
    <w:rsid w:val="00070B6E"/>
    <w:rsid w:val="00075E90"/>
    <w:rsid w:val="00077F13"/>
    <w:rsid w:val="000849CF"/>
    <w:rsid w:val="000A3FB3"/>
    <w:rsid w:val="000A5A42"/>
    <w:rsid w:val="000A5AE7"/>
    <w:rsid w:val="000A7BDC"/>
    <w:rsid w:val="000B3BB6"/>
    <w:rsid w:val="000C6229"/>
    <w:rsid w:val="000C7C9B"/>
    <w:rsid w:val="000D6D54"/>
    <w:rsid w:val="00110952"/>
    <w:rsid w:val="00115E8D"/>
    <w:rsid w:val="00120162"/>
    <w:rsid w:val="00123D52"/>
    <w:rsid w:val="00125584"/>
    <w:rsid w:val="0013095E"/>
    <w:rsid w:val="00133E20"/>
    <w:rsid w:val="0014500E"/>
    <w:rsid w:val="00152746"/>
    <w:rsid w:val="0015318F"/>
    <w:rsid w:val="00162952"/>
    <w:rsid w:val="00164339"/>
    <w:rsid w:val="00165E1B"/>
    <w:rsid w:val="001661DE"/>
    <w:rsid w:val="00170C37"/>
    <w:rsid w:val="001746E2"/>
    <w:rsid w:val="001809B3"/>
    <w:rsid w:val="0019138D"/>
    <w:rsid w:val="001A0C98"/>
    <w:rsid w:val="001A28BD"/>
    <w:rsid w:val="001A3F0B"/>
    <w:rsid w:val="001A6010"/>
    <w:rsid w:val="001A602D"/>
    <w:rsid w:val="001B0993"/>
    <w:rsid w:val="001B4EF3"/>
    <w:rsid w:val="001B6AE7"/>
    <w:rsid w:val="001B6C1F"/>
    <w:rsid w:val="001B6F15"/>
    <w:rsid w:val="001D6793"/>
    <w:rsid w:val="001E3441"/>
    <w:rsid w:val="001E3956"/>
    <w:rsid w:val="001E79DD"/>
    <w:rsid w:val="001F3068"/>
    <w:rsid w:val="001F47B5"/>
    <w:rsid w:val="001F51CD"/>
    <w:rsid w:val="00207B9E"/>
    <w:rsid w:val="00243593"/>
    <w:rsid w:val="00244380"/>
    <w:rsid w:val="00257697"/>
    <w:rsid w:val="0026356B"/>
    <w:rsid w:val="002644C5"/>
    <w:rsid w:val="0026509A"/>
    <w:rsid w:val="00267F68"/>
    <w:rsid w:val="0029405F"/>
    <w:rsid w:val="002A3560"/>
    <w:rsid w:val="002A3EDF"/>
    <w:rsid w:val="002A7F5D"/>
    <w:rsid w:val="002B0904"/>
    <w:rsid w:val="002B4319"/>
    <w:rsid w:val="002B4C3A"/>
    <w:rsid w:val="002B5361"/>
    <w:rsid w:val="002C39AF"/>
    <w:rsid w:val="002D1496"/>
    <w:rsid w:val="002D46EF"/>
    <w:rsid w:val="002E2DDB"/>
    <w:rsid w:val="002E46A9"/>
    <w:rsid w:val="002E69B6"/>
    <w:rsid w:val="002E6FAD"/>
    <w:rsid w:val="002F459E"/>
    <w:rsid w:val="002F6F90"/>
    <w:rsid w:val="003016D2"/>
    <w:rsid w:val="003038CD"/>
    <w:rsid w:val="00306767"/>
    <w:rsid w:val="00312D09"/>
    <w:rsid w:val="003215EF"/>
    <w:rsid w:val="00323BEA"/>
    <w:rsid w:val="00325B3B"/>
    <w:rsid w:val="003271E1"/>
    <w:rsid w:val="0033032B"/>
    <w:rsid w:val="00334FD9"/>
    <w:rsid w:val="00346C1B"/>
    <w:rsid w:val="00363E63"/>
    <w:rsid w:val="00365852"/>
    <w:rsid w:val="0037180F"/>
    <w:rsid w:val="00375D29"/>
    <w:rsid w:val="003765F8"/>
    <w:rsid w:val="003877B0"/>
    <w:rsid w:val="00392584"/>
    <w:rsid w:val="003A49D8"/>
    <w:rsid w:val="003B013F"/>
    <w:rsid w:val="003B1401"/>
    <w:rsid w:val="003B34E7"/>
    <w:rsid w:val="003B4BDC"/>
    <w:rsid w:val="003C58DD"/>
    <w:rsid w:val="003C614E"/>
    <w:rsid w:val="003F5E00"/>
    <w:rsid w:val="003F7308"/>
    <w:rsid w:val="0040719E"/>
    <w:rsid w:val="00410B4F"/>
    <w:rsid w:val="00416A1B"/>
    <w:rsid w:val="00424208"/>
    <w:rsid w:val="00424985"/>
    <w:rsid w:val="004252DE"/>
    <w:rsid w:val="00426379"/>
    <w:rsid w:val="00431EDD"/>
    <w:rsid w:val="0043489B"/>
    <w:rsid w:val="004368FB"/>
    <w:rsid w:val="00437040"/>
    <w:rsid w:val="004451EA"/>
    <w:rsid w:val="004478D1"/>
    <w:rsid w:val="00452589"/>
    <w:rsid w:val="00452804"/>
    <w:rsid w:val="00452BE6"/>
    <w:rsid w:val="0045389A"/>
    <w:rsid w:val="00454C08"/>
    <w:rsid w:val="00464D01"/>
    <w:rsid w:val="004665F0"/>
    <w:rsid w:val="0046798C"/>
    <w:rsid w:val="00472C24"/>
    <w:rsid w:val="00475BF9"/>
    <w:rsid w:val="00477274"/>
    <w:rsid w:val="0047733B"/>
    <w:rsid w:val="00481A37"/>
    <w:rsid w:val="0048776B"/>
    <w:rsid w:val="00495C39"/>
    <w:rsid w:val="004970E5"/>
    <w:rsid w:val="004C4437"/>
    <w:rsid w:val="004D4C38"/>
    <w:rsid w:val="004D63EF"/>
    <w:rsid w:val="004E0EE3"/>
    <w:rsid w:val="004E35A7"/>
    <w:rsid w:val="004E6FF0"/>
    <w:rsid w:val="004E753C"/>
    <w:rsid w:val="005243D2"/>
    <w:rsid w:val="005304BB"/>
    <w:rsid w:val="005309D8"/>
    <w:rsid w:val="00534457"/>
    <w:rsid w:val="00536EE9"/>
    <w:rsid w:val="00541037"/>
    <w:rsid w:val="00546DBF"/>
    <w:rsid w:val="00554F92"/>
    <w:rsid w:val="00561C9A"/>
    <w:rsid w:val="0057008A"/>
    <w:rsid w:val="00572581"/>
    <w:rsid w:val="00572EC7"/>
    <w:rsid w:val="005812A6"/>
    <w:rsid w:val="005939EB"/>
    <w:rsid w:val="005B1E8A"/>
    <w:rsid w:val="005B4E67"/>
    <w:rsid w:val="005D24F1"/>
    <w:rsid w:val="005D2D21"/>
    <w:rsid w:val="005D324C"/>
    <w:rsid w:val="005E6719"/>
    <w:rsid w:val="005E6BBB"/>
    <w:rsid w:val="005F2B72"/>
    <w:rsid w:val="005F4198"/>
    <w:rsid w:val="00607F72"/>
    <w:rsid w:val="00621343"/>
    <w:rsid w:val="0062491C"/>
    <w:rsid w:val="006269CE"/>
    <w:rsid w:val="0063497B"/>
    <w:rsid w:val="00643787"/>
    <w:rsid w:val="00650921"/>
    <w:rsid w:val="00652795"/>
    <w:rsid w:val="0065608E"/>
    <w:rsid w:val="00662B77"/>
    <w:rsid w:val="00665324"/>
    <w:rsid w:val="00671853"/>
    <w:rsid w:val="00675047"/>
    <w:rsid w:val="00675C28"/>
    <w:rsid w:val="00675F27"/>
    <w:rsid w:val="006769A2"/>
    <w:rsid w:val="00677C75"/>
    <w:rsid w:val="0068390E"/>
    <w:rsid w:val="006875F1"/>
    <w:rsid w:val="00692467"/>
    <w:rsid w:val="006965FC"/>
    <w:rsid w:val="006A6820"/>
    <w:rsid w:val="006B07FD"/>
    <w:rsid w:val="006B5F41"/>
    <w:rsid w:val="006C0FD9"/>
    <w:rsid w:val="006C19B1"/>
    <w:rsid w:val="006C2117"/>
    <w:rsid w:val="006D45CD"/>
    <w:rsid w:val="006E1C81"/>
    <w:rsid w:val="006F645D"/>
    <w:rsid w:val="007016EF"/>
    <w:rsid w:val="007115A6"/>
    <w:rsid w:val="00724D7B"/>
    <w:rsid w:val="00727E62"/>
    <w:rsid w:val="00731B6F"/>
    <w:rsid w:val="007377AB"/>
    <w:rsid w:val="00740234"/>
    <w:rsid w:val="0074452D"/>
    <w:rsid w:val="0074466E"/>
    <w:rsid w:val="00746765"/>
    <w:rsid w:val="0075672C"/>
    <w:rsid w:val="00770873"/>
    <w:rsid w:val="007810A8"/>
    <w:rsid w:val="0078495E"/>
    <w:rsid w:val="00790EF3"/>
    <w:rsid w:val="007917B7"/>
    <w:rsid w:val="00792386"/>
    <w:rsid w:val="0079410F"/>
    <w:rsid w:val="007A0134"/>
    <w:rsid w:val="007A0B59"/>
    <w:rsid w:val="007A23FF"/>
    <w:rsid w:val="007B7110"/>
    <w:rsid w:val="007C02E7"/>
    <w:rsid w:val="007C228C"/>
    <w:rsid w:val="007C2B89"/>
    <w:rsid w:val="007C40E0"/>
    <w:rsid w:val="007C4517"/>
    <w:rsid w:val="007D0791"/>
    <w:rsid w:val="007D285B"/>
    <w:rsid w:val="007D4701"/>
    <w:rsid w:val="007D563F"/>
    <w:rsid w:val="007F1307"/>
    <w:rsid w:val="007F5E7D"/>
    <w:rsid w:val="007F6B67"/>
    <w:rsid w:val="0080427E"/>
    <w:rsid w:val="0080512E"/>
    <w:rsid w:val="00812D81"/>
    <w:rsid w:val="008212C3"/>
    <w:rsid w:val="0082388E"/>
    <w:rsid w:val="008371E4"/>
    <w:rsid w:val="00847EC6"/>
    <w:rsid w:val="00851EAC"/>
    <w:rsid w:val="008601F4"/>
    <w:rsid w:val="00860582"/>
    <w:rsid w:val="00862459"/>
    <w:rsid w:val="008673C3"/>
    <w:rsid w:val="00887D7E"/>
    <w:rsid w:val="00891322"/>
    <w:rsid w:val="0089259B"/>
    <w:rsid w:val="008B5FE1"/>
    <w:rsid w:val="008B7C74"/>
    <w:rsid w:val="008E7060"/>
    <w:rsid w:val="008E7FD5"/>
    <w:rsid w:val="00904930"/>
    <w:rsid w:val="00910265"/>
    <w:rsid w:val="009102A8"/>
    <w:rsid w:val="00913017"/>
    <w:rsid w:val="009172A4"/>
    <w:rsid w:val="00931100"/>
    <w:rsid w:val="0093604B"/>
    <w:rsid w:val="009361E9"/>
    <w:rsid w:val="00937023"/>
    <w:rsid w:val="00941BDD"/>
    <w:rsid w:val="009448B0"/>
    <w:rsid w:val="00946C4C"/>
    <w:rsid w:val="00964D5A"/>
    <w:rsid w:val="00987462"/>
    <w:rsid w:val="009918B9"/>
    <w:rsid w:val="0099332D"/>
    <w:rsid w:val="00997FF7"/>
    <w:rsid w:val="009A1E12"/>
    <w:rsid w:val="009A3280"/>
    <w:rsid w:val="009A4550"/>
    <w:rsid w:val="009B18B3"/>
    <w:rsid w:val="009C1528"/>
    <w:rsid w:val="009C2146"/>
    <w:rsid w:val="009C4364"/>
    <w:rsid w:val="009D311B"/>
    <w:rsid w:val="009E05E3"/>
    <w:rsid w:val="00A072AA"/>
    <w:rsid w:val="00A107AD"/>
    <w:rsid w:val="00A11E37"/>
    <w:rsid w:val="00A26B26"/>
    <w:rsid w:val="00A27E13"/>
    <w:rsid w:val="00A329BA"/>
    <w:rsid w:val="00A35FCE"/>
    <w:rsid w:val="00A42839"/>
    <w:rsid w:val="00A55FFE"/>
    <w:rsid w:val="00A56C1D"/>
    <w:rsid w:val="00A62C03"/>
    <w:rsid w:val="00A634C5"/>
    <w:rsid w:val="00A65543"/>
    <w:rsid w:val="00A669DB"/>
    <w:rsid w:val="00A66D2F"/>
    <w:rsid w:val="00A7050D"/>
    <w:rsid w:val="00A7785D"/>
    <w:rsid w:val="00A80908"/>
    <w:rsid w:val="00A8329F"/>
    <w:rsid w:val="00A87CF0"/>
    <w:rsid w:val="00A923DC"/>
    <w:rsid w:val="00A95854"/>
    <w:rsid w:val="00A95EDA"/>
    <w:rsid w:val="00AA1F25"/>
    <w:rsid w:val="00AA7E9A"/>
    <w:rsid w:val="00AB0C65"/>
    <w:rsid w:val="00AC1DE4"/>
    <w:rsid w:val="00AC328B"/>
    <w:rsid w:val="00AD2C31"/>
    <w:rsid w:val="00AD3B6A"/>
    <w:rsid w:val="00AE76BF"/>
    <w:rsid w:val="00AF3058"/>
    <w:rsid w:val="00B00189"/>
    <w:rsid w:val="00B00E5E"/>
    <w:rsid w:val="00B0101A"/>
    <w:rsid w:val="00B057F3"/>
    <w:rsid w:val="00B11ABE"/>
    <w:rsid w:val="00B16DD7"/>
    <w:rsid w:val="00B220A3"/>
    <w:rsid w:val="00B23CC3"/>
    <w:rsid w:val="00B277BE"/>
    <w:rsid w:val="00B343F1"/>
    <w:rsid w:val="00B351C1"/>
    <w:rsid w:val="00B451B6"/>
    <w:rsid w:val="00B455FB"/>
    <w:rsid w:val="00B463F2"/>
    <w:rsid w:val="00B47039"/>
    <w:rsid w:val="00B50DB9"/>
    <w:rsid w:val="00B52F7E"/>
    <w:rsid w:val="00B540AB"/>
    <w:rsid w:val="00B577E2"/>
    <w:rsid w:val="00B6540A"/>
    <w:rsid w:val="00B66304"/>
    <w:rsid w:val="00B709D8"/>
    <w:rsid w:val="00B738F6"/>
    <w:rsid w:val="00B74F3F"/>
    <w:rsid w:val="00B759DE"/>
    <w:rsid w:val="00B8300F"/>
    <w:rsid w:val="00B83CE2"/>
    <w:rsid w:val="00BA4657"/>
    <w:rsid w:val="00BB6DF6"/>
    <w:rsid w:val="00BC139B"/>
    <w:rsid w:val="00BC2885"/>
    <w:rsid w:val="00BC3F51"/>
    <w:rsid w:val="00BD1B48"/>
    <w:rsid w:val="00BD2AAF"/>
    <w:rsid w:val="00BD4745"/>
    <w:rsid w:val="00BD7209"/>
    <w:rsid w:val="00BE143B"/>
    <w:rsid w:val="00BE1E73"/>
    <w:rsid w:val="00BE7077"/>
    <w:rsid w:val="00BF2574"/>
    <w:rsid w:val="00C050E2"/>
    <w:rsid w:val="00C101DD"/>
    <w:rsid w:val="00C26C8D"/>
    <w:rsid w:val="00C30897"/>
    <w:rsid w:val="00C41B19"/>
    <w:rsid w:val="00C46826"/>
    <w:rsid w:val="00C51F5C"/>
    <w:rsid w:val="00C60812"/>
    <w:rsid w:val="00C700CE"/>
    <w:rsid w:val="00C70579"/>
    <w:rsid w:val="00C719FE"/>
    <w:rsid w:val="00C74043"/>
    <w:rsid w:val="00C80811"/>
    <w:rsid w:val="00C9026D"/>
    <w:rsid w:val="00CA5A74"/>
    <w:rsid w:val="00CB3343"/>
    <w:rsid w:val="00CB52DB"/>
    <w:rsid w:val="00CB610A"/>
    <w:rsid w:val="00CB68F9"/>
    <w:rsid w:val="00CC4464"/>
    <w:rsid w:val="00CC6E85"/>
    <w:rsid w:val="00CD64C1"/>
    <w:rsid w:val="00CF6407"/>
    <w:rsid w:val="00D05BC8"/>
    <w:rsid w:val="00D0688E"/>
    <w:rsid w:val="00D312B6"/>
    <w:rsid w:val="00D3557B"/>
    <w:rsid w:val="00D50DA1"/>
    <w:rsid w:val="00D53BDA"/>
    <w:rsid w:val="00D560FF"/>
    <w:rsid w:val="00D752A4"/>
    <w:rsid w:val="00D86665"/>
    <w:rsid w:val="00D92BA1"/>
    <w:rsid w:val="00D96431"/>
    <w:rsid w:val="00DA0A5E"/>
    <w:rsid w:val="00DA7415"/>
    <w:rsid w:val="00DB1C32"/>
    <w:rsid w:val="00DB2599"/>
    <w:rsid w:val="00DB60FD"/>
    <w:rsid w:val="00DB6A58"/>
    <w:rsid w:val="00DC05D5"/>
    <w:rsid w:val="00DC60F6"/>
    <w:rsid w:val="00DC6DA0"/>
    <w:rsid w:val="00DD1E00"/>
    <w:rsid w:val="00DD2F0A"/>
    <w:rsid w:val="00DE2EA9"/>
    <w:rsid w:val="00DE3BDD"/>
    <w:rsid w:val="00DE4ACB"/>
    <w:rsid w:val="00DE728B"/>
    <w:rsid w:val="00DE72F6"/>
    <w:rsid w:val="00DF0F22"/>
    <w:rsid w:val="00DF3707"/>
    <w:rsid w:val="00DF4F0B"/>
    <w:rsid w:val="00E02749"/>
    <w:rsid w:val="00E04B59"/>
    <w:rsid w:val="00E3002A"/>
    <w:rsid w:val="00E30EE8"/>
    <w:rsid w:val="00E365D4"/>
    <w:rsid w:val="00E37347"/>
    <w:rsid w:val="00E377C7"/>
    <w:rsid w:val="00E40005"/>
    <w:rsid w:val="00E61723"/>
    <w:rsid w:val="00E64A8B"/>
    <w:rsid w:val="00E76147"/>
    <w:rsid w:val="00E7791D"/>
    <w:rsid w:val="00E80F15"/>
    <w:rsid w:val="00E8236C"/>
    <w:rsid w:val="00E9073B"/>
    <w:rsid w:val="00E97FCB"/>
    <w:rsid w:val="00EB1A6D"/>
    <w:rsid w:val="00EC032B"/>
    <w:rsid w:val="00EC2875"/>
    <w:rsid w:val="00ED2124"/>
    <w:rsid w:val="00EE0DDF"/>
    <w:rsid w:val="00EE7E6E"/>
    <w:rsid w:val="00EF5837"/>
    <w:rsid w:val="00F104B8"/>
    <w:rsid w:val="00F11515"/>
    <w:rsid w:val="00F12310"/>
    <w:rsid w:val="00F137A7"/>
    <w:rsid w:val="00F23046"/>
    <w:rsid w:val="00F24208"/>
    <w:rsid w:val="00F3366E"/>
    <w:rsid w:val="00F35DC7"/>
    <w:rsid w:val="00F37B2E"/>
    <w:rsid w:val="00F409C1"/>
    <w:rsid w:val="00F41E1A"/>
    <w:rsid w:val="00F43F6C"/>
    <w:rsid w:val="00F45681"/>
    <w:rsid w:val="00F47B15"/>
    <w:rsid w:val="00F47DFC"/>
    <w:rsid w:val="00F545EF"/>
    <w:rsid w:val="00F552D1"/>
    <w:rsid w:val="00F61C07"/>
    <w:rsid w:val="00F625E5"/>
    <w:rsid w:val="00F6272A"/>
    <w:rsid w:val="00F63BB3"/>
    <w:rsid w:val="00F64ED7"/>
    <w:rsid w:val="00F65156"/>
    <w:rsid w:val="00F66E1B"/>
    <w:rsid w:val="00F76FE4"/>
    <w:rsid w:val="00F84405"/>
    <w:rsid w:val="00F86E6E"/>
    <w:rsid w:val="00F87E2D"/>
    <w:rsid w:val="00F930F6"/>
    <w:rsid w:val="00FA1162"/>
    <w:rsid w:val="00FA45E3"/>
    <w:rsid w:val="00FB2D92"/>
    <w:rsid w:val="00FB5533"/>
    <w:rsid w:val="00FC0CD1"/>
    <w:rsid w:val="00FC159A"/>
    <w:rsid w:val="00FC6846"/>
    <w:rsid w:val="00FE019D"/>
    <w:rsid w:val="00FE0C14"/>
    <w:rsid w:val="00FE12B1"/>
    <w:rsid w:val="00FE7254"/>
    <w:rsid w:val="00FF721B"/>
    <w:rsid w:val="01201AF6"/>
    <w:rsid w:val="03AA0605"/>
    <w:rsid w:val="08EF6B99"/>
    <w:rsid w:val="0B8090AB"/>
    <w:rsid w:val="0C4221D7"/>
    <w:rsid w:val="0DEBDCA1"/>
    <w:rsid w:val="0E63FE7E"/>
    <w:rsid w:val="0F61E008"/>
    <w:rsid w:val="11C42D63"/>
    <w:rsid w:val="13028B96"/>
    <w:rsid w:val="13DCE899"/>
    <w:rsid w:val="199BCA82"/>
    <w:rsid w:val="1B1B0EEA"/>
    <w:rsid w:val="1C9C3F27"/>
    <w:rsid w:val="1CCDA9C8"/>
    <w:rsid w:val="232758B3"/>
    <w:rsid w:val="240A18DD"/>
    <w:rsid w:val="26B06782"/>
    <w:rsid w:val="274112FB"/>
    <w:rsid w:val="277C2426"/>
    <w:rsid w:val="2895DDBE"/>
    <w:rsid w:val="2AB32D70"/>
    <w:rsid w:val="2D98B1B7"/>
    <w:rsid w:val="3192397B"/>
    <w:rsid w:val="367DA40B"/>
    <w:rsid w:val="37315B76"/>
    <w:rsid w:val="37A68FDC"/>
    <w:rsid w:val="37DE70C1"/>
    <w:rsid w:val="3E2B2E1C"/>
    <w:rsid w:val="3EDA01CC"/>
    <w:rsid w:val="45178E03"/>
    <w:rsid w:val="4BAFC476"/>
    <w:rsid w:val="529C0FD8"/>
    <w:rsid w:val="5719505A"/>
    <w:rsid w:val="5E4B6C14"/>
    <w:rsid w:val="5E8B31C8"/>
    <w:rsid w:val="6083AA7D"/>
    <w:rsid w:val="60E99890"/>
    <w:rsid w:val="6152D62D"/>
    <w:rsid w:val="664595D0"/>
    <w:rsid w:val="69B4C3A6"/>
    <w:rsid w:val="6A068CF8"/>
    <w:rsid w:val="6BA99E86"/>
    <w:rsid w:val="6D51B4E5"/>
    <w:rsid w:val="6E4CEB11"/>
    <w:rsid w:val="74C30ABD"/>
    <w:rsid w:val="75653420"/>
    <w:rsid w:val="7649B47A"/>
    <w:rsid w:val="78A3F81F"/>
    <w:rsid w:val="7EEC306E"/>
    <w:rsid w:val="7F8D0DA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2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Dodatneinformacije">
    <w:name w:val="Dodatne informacije"/>
    <w:basedOn w:val="Navaden"/>
    <w:link w:val="DodatneinformacijeChar"/>
    <w:qFormat/>
    <w:rsid w:val="00F41E1A"/>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vaden"/>
    <w:link w:val="UvodChar"/>
    <w:qFormat/>
    <w:rsid w:val="00E02749"/>
    <w:pPr>
      <w:spacing w:after="160"/>
    </w:pPr>
    <w:rPr>
      <w:b/>
    </w:rPr>
  </w:style>
  <w:style w:type="character" w:customStyle="1" w:styleId="UvodChar">
    <w:name w:val="Uvod Char"/>
    <w:basedOn w:val="Privzetapisavaodstavka"/>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Char Char Znak,Sprotna opomba-besedilo Znak,Char Char Char Char Znak,Sprotna opomba - besedilo Znak1 Znak,Sprotna opomba - besedilo Znak Znak2 Znak,Sprotna opomba - besedilo Znak1 Znak Znak1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
    <w:name w:val="Naslov 31"/>
    <w:basedOn w:val="Navaden"/>
    <w:qFormat/>
    <w:rsid w:val="00120162"/>
    <w:rPr>
      <w:b/>
    </w:rPr>
  </w:style>
  <w:style w:type="paragraph" w:styleId="Revizija">
    <w:name w:val="Revision"/>
    <w:hidden/>
    <w:uiPriority w:val="99"/>
    <w:semiHidden/>
    <w:rsid w:val="005939EB"/>
    <w:pPr>
      <w:spacing w:after="0" w:line="240" w:lineRule="auto"/>
    </w:pPr>
    <w:rPr>
      <w:rFonts w:ascii="Myriad Pro" w:hAnsi="Myriad Pro"/>
      <w:sz w:val="20"/>
    </w:rPr>
  </w:style>
  <w:style w:type="character" w:styleId="Pripombasklic">
    <w:name w:val="annotation reference"/>
    <w:basedOn w:val="Privzetapisavaodstavka"/>
    <w:uiPriority w:val="99"/>
    <w:semiHidden/>
    <w:unhideWhenUsed/>
    <w:rsid w:val="00BA4657"/>
    <w:rPr>
      <w:sz w:val="16"/>
      <w:szCs w:val="16"/>
    </w:rPr>
  </w:style>
  <w:style w:type="paragraph" w:styleId="Pripombabesedilo">
    <w:name w:val="annotation text"/>
    <w:basedOn w:val="Navaden"/>
    <w:link w:val="PripombabesediloZnak"/>
    <w:uiPriority w:val="99"/>
    <w:unhideWhenUsed/>
    <w:rsid w:val="00BA4657"/>
    <w:pPr>
      <w:spacing w:line="240" w:lineRule="auto"/>
    </w:pPr>
    <w:rPr>
      <w:szCs w:val="20"/>
    </w:rPr>
  </w:style>
  <w:style w:type="character" w:customStyle="1" w:styleId="PripombabesediloZnak">
    <w:name w:val="Pripomba – besedilo Znak"/>
    <w:basedOn w:val="Privzetapisavaodstavka"/>
    <w:link w:val="Pripombabesedilo"/>
    <w:uiPriority w:val="99"/>
    <w:rsid w:val="00BA4657"/>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BA4657"/>
    <w:rPr>
      <w:b/>
      <w:bCs/>
    </w:rPr>
  </w:style>
  <w:style w:type="character" w:customStyle="1" w:styleId="ZadevapripombeZnak">
    <w:name w:val="Zadeva pripombe Znak"/>
    <w:basedOn w:val="PripombabesediloZnak"/>
    <w:link w:val="Zadevapripombe"/>
    <w:uiPriority w:val="99"/>
    <w:semiHidden/>
    <w:rsid w:val="00BA4657"/>
    <w:rPr>
      <w:rFonts w:ascii="Myriad Pro" w:hAnsi="Myriad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37ECB-4933-4AFD-BE4F-D1D47314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3855</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2024-02-06T12:23:00Z</dcterms:created>
  <dcterms:modified xsi:type="dcterms:W3CDTF">2024-02-06T13:11:00Z</dcterms:modified>
</cp:coreProperties>
</file>