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056DA1" w14:textId="77777777" w:rsidR="001D6793" w:rsidRPr="00DE72F6" w:rsidRDefault="007B248F" w:rsidP="001D6793">
      <w:pPr>
        <w:pStyle w:val="Naslov11"/>
      </w:pPr>
      <w:r>
        <w:t>GRAFI TEDNA</w:t>
      </w:r>
    </w:p>
    <w:p w14:paraId="01631276" w14:textId="77777777" w:rsidR="00DD3E0E" w:rsidRDefault="00DD3E0E" w:rsidP="00DD3E0E">
      <w:pPr>
        <w:pStyle w:val="Naslov21"/>
      </w:pPr>
      <w:r>
        <w:t>od 18. do 22. septembra 2023</w:t>
      </w:r>
    </w:p>
    <w:p w14:paraId="50C7D929" w14:textId="77777777" w:rsidR="00DD3E0E" w:rsidRDefault="00DD3E0E" w:rsidP="00DD3E0E"/>
    <w:p w14:paraId="1DE2DEC0" w14:textId="77777777" w:rsidR="00DD3E0E" w:rsidRDefault="00DD3E0E" w:rsidP="00DD3E0E"/>
    <w:p w14:paraId="23883D6D" w14:textId="77777777" w:rsidR="00DD3E0E" w:rsidRDefault="00DD3E0E" w:rsidP="00DD3E0E">
      <w:pPr>
        <w:tabs>
          <w:tab w:val="left" w:pos="580"/>
        </w:tabs>
      </w:pPr>
      <w:r>
        <w:t xml:space="preserve">Vrednost kazalnika gospodarske klime se je septembra nekoliko povečala, vendar ostaja precej nižja od dolgoletnega povprečja. </w:t>
      </w:r>
      <w:r w:rsidRPr="5D91204F">
        <w:rPr>
          <w:rStyle w:val="ui-provider"/>
        </w:rPr>
        <w:t xml:space="preserve">Medletna nominalna rast vrednosti davčno potrjenih računov se je v prvi polovici septembra okrepila, in sicer v vseh dejavnostih, najbolj v gostinstvu </w:t>
      </w:r>
      <w:r>
        <w:rPr>
          <w:rStyle w:val="ui-provider"/>
        </w:rPr>
        <w:t>ter</w:t>
      </w:r>
      <w:r w:rsidRPr="5D91204F">
        <w:rPr>
          <w:rStyle w:val="ui-provider"/>
        </w:rPr>
        <w:t xml:space="preserve"> ostalih storitvenih dejavnostih.</w:t>
      </w:r>
      <w:r>
        <w:t xml:space="preserve"> Avgusta se je nadaljevalo mesečno zniževanje cen industrijskih proizvodov slovenskih proizvajalcev</w:t>
      </w:r>
      <w:r w:rsidRPr="5D91204F">
        <w:rPr>
          <w:rStyle w:val="markedcontent"/>
          <w:rFonts w:cs="Arial"/>
        </w:rPr>
        <w:t xml:space="preserve">, še naprej se upočasnjuje tudi medletna stopnja rasti. Rast zaposlenosti </w:t>
      </w:r>
      <w:r>
        <w:t xml:space="preserve">je bila julija nekoliko nižja kot v prejšnjih mesecih, na kar je vplivalo predvsem </w:t>
      </w:r>
      <w:r w:rsidRPr="001F6CB8">
        <w:t>umirjanje medletne rasti v gradbeništvu in tudi predelovalnih dejavnostih</w:t>
      </w:r>
      <w:r>
        <w:t xml:space="preserve">; prispevek zaposlovanja tujih državljanov k </w:t>
      </w:r>
      <w:r w:rsidRPr="5D91204F">
        <w:rPr>
          <w:rStyle w:val="markedcontent"/>
          <w:rFonts w:cs="Arial"/>
          <w:color w:val="000000" w:themeColor="text1"/>
        </w:rPr>
        <w:t xml:space="preserve">rasti sicer že dlje časa presega </w:t>
      </w:r>
      <w:r>
        <w:rPr>
          <w:rStyle w:val="markedcontent"/>
          <w:rFonts w:cs="Arial"/>
          <w:color w:val="000000" w:themeColor="text1"/>
        </w:rPr>
        <w:t>8</w:t>
      </w:r>
      <w:r w:rsidRPr="5D91204F">
        <w:rPr>
          <w:rStyle w:val="markedcontent"/>
          <w:rFonts w:cs="Arial"/>
          <w:color w:val="000000" w:themeColor="text1"/>
        </w:rPr>
        <w:t>0</w:t>
      </w:r>
      <w:r>
        <w:rPr>
          <w:rStyle w:val="markedcontent"/>
          <w:rFonts w:cs="Arial"/>
          <w:color w:val="000000" w:themeColor="text1"/>
        </w:rPr>
        <w:t> </w:t>
      </w:r>
      <w:r w:rsidRPr="5D91204F">
        <w:rPr>
          <w:rStyle w:val="markedcontent"/>
          <w:rFonts w:cs="Arial"/>
          <w:color w:val="000000" w:themeColor="text1"/>
        </w:rPr>
        <w:t xml:space="preserve">%. </w:t>
      </w:r>
      <w:r>
        <w:t>Povprečna plača je bila v prvih sedmih mesecih, vključno z julijem, medletno realno višja, v javnem sektorju za več kot v zasebnem, kar je povezano predvsem z lanskim dogovorom o dvigu plač. V drugem četrtletju se je ob nadaljnjem upadu prometa nadaljevala umirjena rast cen stanovanjskih nepremičnin.</w:t>
      </w:r>
    </w:p>
    <w:p w14:paraId="1423FDC4" w14:textId="77777777" w:rsidR="00FA45E3" w:rsidRDefault="00FA45E3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7EC5C97B" w14:textId="77777777" w:rsidTr="00AE3498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3CB0E30" w14:textId="7726EB8F" w:rsidR="00363E63" w:rsidRPr="007A0B59" w:rsidRDefault="00DD3E0E" w:rsidP="00731B6F">
            <w:pPr>
              <w:pStyle w:val="Naslov31"/>
              <w:jc w:val="left"/>
            </w:pPr>
            <w:r w:rsidRPr="00ED4373">
              <w:rPr>
                <w:bCs/>
              </w:rPr>
              <w:t>Gospodarska klima, september 2023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FEC13F0" w14:textId="77777777" w:rsidR="00363E63" w:rsidRPr="007A0B59" w:rsidRDefault="00363E63" w:rsidP="006C2117">
            <w:pPr>
              <w:pStyle w:val="Naslov31"/>
            </w:pPr>
          </w:p>
        </w:tc>
      </w:tr>
      <w:tr w:rsidR="00DD3E0E" w14:paraId="4A0C2ADA" w14:textId="77777777" w:rsidTr="00946C4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4CF7816" w14:textId="62327059" w:rsidR="00DD3E0E" w:rsidRDefault="00DD3E0E" w:rsidP="00DD3E0E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40CFEBE" wp14:editId="419594E4">
                  <wp:extent cx="3091180" cy="2529840"/>
                  <wp:effectExtent l="0" t="0" r="0" b="3810"/>
                  <wp:docPr id="1711643189" name="Picture 1711643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180" cy="252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F73CF30" w14:textId="77777777" w:rsidR="00DD3E0E" w:rsidRDefault="00DD3E0E" w:rsidP="00DD3E0E">
            <w:pPr>
              <w:rPr>
                <w:rFonts w:eastAsia="Myriad Pro" w:cs="Myriad Pro"/>
              </w:rPr>
            </w:pP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Septembra</w:t>
            </w:r>
            <w:r w:rsidRPr="008566A4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se je vrednost kazalnika gospodarske klime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nekoliko </w:t>
            </w:r>
            <w:r w:rsidRPr="008566A4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povečal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a, vendar je ostala razmeroma nizka</w:t>
            </w:r>
            <w:r w:rsidRPr="008566A4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.</w:t>
            </w:r>
            <w:r>
              <w:t xml:space="preserve"> V primerjavi z mesecem prej je bilo višje zaupanje v storitvenih dejavnostih, gradbeništvu in pri potrošnikih, nižje pa v trgovini na drobno. Zaupanje v predelovalnih dejavnostih je ostalo na ravni predhodnega meseca in je opazno nižje kot lanskega septembra. To je povezano zlasti z negotovimi gospodarskimi razmerami ter šibkim domačim in tujim povpraševanjem. Zaupanje v večini dejavnosti je sicer ostalo nižje kot pred letom in v obdobju pred epidemijo. Izjema je zaupanje potrošnikov, a je vrednost kazalnika še vedno precej pod dolgoletnim povprečjem</w:t>
            </w:r>
            <w:r w:rsidRPr="003347E0">
              <w:t>.</w:t>
            </w:r>
          </w:p>
          <w:p w14:paraId="263E95F9" w14:textId="227DCED0" w:rsidR="00DD3E0E" w:rsidRPr="00DF4F0B" w:rsidRDefault="00DD3E0E" w:rsidP="00DD3E0E"/>
        </w:tc>
      </w:tr>
    </w:tbl>
    <w:p w14:paraId="4FD4CC47" w14:textId="3ED2F659" w:rsidR="00DD3E0E" w:rsidRDefault="00DD3E0E" w:rsidP="001F51CD">
      <w:pPr>
        <w:tabs>
          <w:tab w:val="left" w:pos="580"/>
        </w:tabs>
      </w:pPr>
    </w:p>
    <w:p w14:paraId="3E419211" w14:textId="77777777" w:rsidR="00DD3E0E" w:rsidRDefault="00DD3E0E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539"/>
        <w:gridCol w:w="3118"/>
      </w:tblGrid>
      <w:tr w:rsidR="00DD3E0E" w14:paraId="001D14F9" w14:textId="77777777" w:rsidTr="00DD3E0E">
        <w:trPr>
          <w:trHeight w:val="207"/>
        </w:trPr>
        <w:tc>
          <w:tcPr>
            <w:tcW w:w="6521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1ADACE4" w14:textId="69FCD3A0" w:rsidR="00DD3E0E" w:rsidRPr="006C2117" w:rsidRDefault="00DD3E0E" w:rsidP="00DD3E0E">
            <w:pPr>
              <w:pStyle w:val="Naslov31"/>
              <w:jc w:val="left"/>
            </w:pPr>
            <w:r w:rsidRPr="003A7B3D">
              <w:lastRenderedPageBreak/>
              <w:t>Vrednost davčno potrjenih računov – nominalno,</w:t>
            </w:r>
            <w:r>
              <w:t xml:space="preserve"> 3</w:t>
            </w:r>
            <w:r w:rsidRPr="003A7B3D">
              <w:t>.</w:t>
            </w:r>
            <w:r>
              <w:t xml:space="preserve">–16. </w:t>
            </w:r>
            <w:r w:rsidRPr="003A7B3D">
              <w:t>september 2023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6ECE6C49" w14:textId="77777777" w:rsidR="00DD3E0E" w:rsidRPr="006C2117" w:rsidRDefault="00DD3E0E" w:rsidP="00DD3E0E">
            <w:pPr>
              <w:pStyle w:val="Naslov31"/>
            </w:pPr>
          </w:p>
        </w:tc>
      </w:tr>
      <w:tr w:rsidR="00DD3E0E" w14:paraId="7138351A" w14:textId="77777777" w:rsidTr="00EB0D39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54D4DD0" w14:textId="77777777" w:rsidR="00DD3E0E" w:rsidRPr="009A2425" w:rsidRDefault="00DD3E0E" w:rsidP="00DD3E0E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51AEE1EE" wp14:editId="3D1E383C">
                  <wp:extent cx="3088800" cy="2523600"/>
                  <wp:effectExtent l="0" t="0" r="0" b="0"/>
                  <wp:docPr id="226666349" name="Picture 226666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52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BA5006" w14:textId="133FE553" w:rsidR="00DD3E0E" w:rsidRDefault="00DD3E0E" w:rsidP="00DD3E0E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49CDF87" w14:textId="64013F97" w:rsidR="00DD3E0E" w:rsidRPr="00DF4F0B" w:rsidRDefault="00DD3E0E" w:rsidP="00DD3E0E">
            <w:r w:rsidRPr="5D91204F">
              <w:rPr>
                <w:b/>
                <w:bCs/>
                <w:color w:val="000000"/>
                <w:shd w:val="clear" w:color="auto" w:fill="FFFFFF"/>
              </w:rPr>
              <w:t xml:space="preserve">Nominalna vrednost davčno potrjenih računov je bila med 3. in 16. septembrom 2023 medletno višja za </w:t>
            </w:r>
            <w:r w:rsidRPr="00B54B15">
              <w:rPr>
                <w:b/>
                <w:bCs/>
                <w:color w:val="000000"/>
                <w:shd w:val="clear" w:color="auto" w:fill="FFFFFF"/>
              </w:rPr>
              <w:t>8 %.</w:t>
            </w:r>
            <w:r w:rsidRPr="00B54B15">
              <w:rPr>
                <w:color w:val="000000"/>
                <w:shd w:val="clear" w:color="auto" w:fill="FFFFFF"/>
              </w:rPr>
              <w:t xml:space="preserve"> Rast prodaje, ki se </w:t>
            </w:r>
            <w:r w:rsidRPr="00B54B15">
              <w:t>je po slabšem rezultatu v začetku avgusta</w:t>
            </w:r>
            <w:r w:rsidRPr="00B54B15">
              <w:rPr>
                <w:vertAlign w:val="superscript"/>
              </w:rPr>
              <w:footnoteReference w:id="1"/>
            </w:r>
            <w:r w:rsidRPr="00B54B15">
              <w:t xml:space="preserve"> okrepila že</w:t>
            </w:r>
            <w:r w:rsidRPr="00B54B15">
              <w:rPr>
                <w:color w:val="000000"/>
                <w:shd w:val="clear" w:color="auto" w:fill="FFFFFF"/>
              </w:rPr>
              <w:t xml:space="preserve"> v </w:t>
            </w:r>
            <w:r w:rsidRPr="00B54B15">
              <w:t>predhodnem 14-dnevnem obdobju</w:t>
            </w:r>
            <w:r>
              <w:t>,</w:t>
            </w:r>
            <w:r w:rsidRPr="00B54B15">
              <w:t xml:space="preserve"> je bila v začetku septembra najvišja v zadnjih petih mesecih. </w:t>
            </w:r>
            <w:r w:rsidRPr="00B54B15">
              <w:rPr>
                <w:color w:val="000000"/>
                <w:shd w:val="clear" w:color="auto" w:fill="FFFFFF"/>
              </w:rPr>
              <w:t>V trgovini je bila prodaja, po 4-odstotni rasti v preteklem 14-dnevnem obdobju, medletno večja za 5 %. Pri tem je bila v trgovini na drobno, kjer je bilo izdanih za</w:t>
            </w:r>
            <w:r w:rsidRPr="5D91204F">
              <w:rPr>
                <w:color w:val="000000"/>
                <w:shd w:val="clear" w:color="auto" w:fill="FFFFFF"/>
              </w:rPr>
              <w:t xml:space="preserve"> več kot polovico skupne vrednosti davčno potrjenih računov, medletno večja za 5</w:t>
            </w:r>
            <w:r w:rsidRPr="5D91204F">
              <w:rPr>
                <w:color w:val="000000" w:themeColor="text1"/>
              </w:rPr>
              <w:t> </w:t>
            </w:r>
            <w:r w:rsidRPr="5D91204F">
              <w:rPr>
                <w:color w:val="000000"/>
                <w:shd w:val="clear" w:color="auto" w:fill="FFFFFF"/>
              </w:rPr>
              <w:t>%, v trgovini z motornimi vozili za 14</w:t>
            </w:r>
            <w:r w:rsidRPr="5D91204F">
              <w:rPr>
                <w:color w:val="000000" w:themeColor="text1"/>
              </w:rPr>
              <w:t> </w:t>
            </w:r>
            <w:r w:rsidRPr="5D91204F">
              <w:rPr>
                <w:color w:val="000000"/>
                <w:shd w:val="clear" w:color="auto" w:fill="FFFFFF"/>
              </w:rPr>
              <w:t>%, v trgovini na debelo pa za 1 %. Izraziteje se je</w:t>
            </w:r>
            <w:r w:rsidRPr="5D91204F">
              <w:rPr>
                <w:rFonts w:cs="Myriad Pro"/>
                <w:color w:val="000000"/>
                <w:shd w:val="clear" w:color="auto" w:fill="FFFFFF"/>
              </w:rPr>
              <w:t xml:space="preserve"> okrepila</w:t>
            </w:r>
            <w:r w:rsidRPr="5D91204F">
              <w:rPr>
                <w:color w:val="000000"/>
                <w:shd w:val="clear" w:color="auto" w:fill="FFFFFF"/>
              </w:rPr>
              <w:t xml:space="preserve"> tudi rast prodaje v gostinstvu (z 9 % na 15</w:t>
            </w:r>
            <w:r w:rsidRPr="5D91204F">
              <w:rPr>
                <w:rFonts w:ascii="Arial" w:hAnsi="Arial" w:cs="Arial"/>
                <w:color w:val="000000" w:themeColor="text1"/>
              </w:rPr>
              <w:t> </w:t>
            </w:r>
            <w:r w:rsidRPr="5D91204F">
              <w:rPr>
                <w:color w:val="000000"/>
                <w:shd w:val="clear" w:color="auto" w:fill="FFFFFF"/>
              </w:rPr>
              <w:t>%) in v nekaterih kulturnih, razvedrilnih in športnih storitvah ter igrah na srečo (skupaj je bila rast v drugih storitvenih dejavnostih</w:t>
            </w:r>
            <w:r w:rsidRPr="5D91204F">
              <w:rPr>
                <w:color w:val="000000"/>
                <w:shd w:val="clear" w:color="auto" w:fill="FFFFFF"/>
                <w:vertAlign w:val="superscript"/>
              </w:rPr>
              <w:footnoteReference w:id="2"/>
            </w:r>
            <w:r w:rsidRPr="5D91204F">
              <w:rPr>
                <w:color w:val="000000"/>
                <w:shd w:val="clear" w:color="auto" w:fill="FFFFFF"/>
              </w:rPr>
              <w:t xml:space="preserve"> 27-odstotna, v preteklem obdobju 17-odstotna). </w:t>
            </w:r>
          </w:p>
        </w:tc>
      </w:tr>
    </w:tbl>
    <w:p w14:paraId="6FCA50F4" w14:textId="77777777" w:rsidR="00363E63" w:rsidRDefault="00363E63" w:rsidP="00363E63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55"/>
        <w:gridCol w:w="3402"/>
      </w:tblGrid>
      <w:tr w:rsidR="00363E63" w14:paraId="7FBD14CB" w14:textId="77777777" w:rsidTr="00DD3E0E">
        <w:trPr>
          <w:trHeight w:val="207"/>
        </w:trPr>
        <w:tc>
          <w:tcPr>
            <w:tcW w:w="6237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F908EB6" w14:textId="2DF4F709" w:rsidR="00363E63" w:rsidRPr="006C2117" w:rsidRDefault="00DD3E0E" w:rsidP="00731B6F">
            <w:pPr>
              <w:pStyle w:val="Naslov31"/>
              <w:jc w:val="left"/>
            </w:pPr>
            <w:r w:rsidRPr="00937D1A">
              <w:t xml:space="preserve">Cene industrijskih proizvodov slovenskih proizvajalcev, </w:t>
            </w:r>
            <w:r>
              <w:t>avgust</w:t>
            </w:r>
            <w:r w:rsidRPr="00937D1A">
              <w:t xml:space="preserve"> 2023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27BFAF84" w14:textId="77777777" w:rsidR="00363E63" w:rsidRPr="006C2117" w:rsidRDefault="00363E63" w:rsidP="0058360C">
            <w:pPr>
              <w:pStyle w:val="Naslov31"/>
            </w:pPr>
          </w:p>
        </w:tc>
      </w:tr>
      <w:tr w:rsidR="00DD3E0E" w14:paraId="2D27F4DB" w14:textId="77777777" w:rsidTr="0058360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3D3B8A5" w14:textId="1F2F5C69" w:rsidR="00DD3E0E" w:rsidRDefault="00DD3E0E" w:rsidP="00DD3E0E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6F8E881" wp14:editId="45FC9E31">
                  <wp:extent cx="3092400" cy="2530800"/>
                  <wp:effectExtent l="0" t="0" r="0" b="3175"/>
                  <wp:docPr id="418965932" name="Picture 418965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3C5F4006" w14:textId="5DDA1BC1" w:rsidR="00DD3E0E" w:rsidRPr="00DF4F0B" w:rsidRDefault="00DD3E0E" w:rsidP="00DD3E0E">
            <w:r w:rsidRPr="5D91204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Cene industrijskih proizvodov slovenskih proizvajalcev so se avgusta na mesečni ravni znižale peti mesec zapored. </w:t>
            </w:r>
            <w:r w:rsidRPr="5D91204F">
              <w:rPr>
                <w:rFonts w:eastAsia="Myriad Pro" w:cs="Myriad Pro"/>
                <w:color w:val="000000" w:themeColor="text1"/>
                <w:lang w:val="sl"/>
              </w:rPr>
              <w:t>V primerjavi z julijem so bile nižje za 0,5 %, znižale so se na domačem (0,7 %) in tudi tujih trgih (0,2 %). Medletna stopnja rasti se je tako upočasnila na 2,1 %, potem ko je bila še konec preteklega leta skoraj 20-odstotna. K umirjanju rasti so največ prispevala cenovna gibanja v skupini surovin, kjer so bile cene avgusta letos prvič po januarju 2021 medletno nižje, in sicer za 3,9 % (konec leta je bila rast 19,4-odstotna). Rast cen pa se umirja tudi v drugih namenskih skupinah. Najhitreje v skupini energentov, kjer so bile cene še konec preteklega leta medletno višje za skoraj 80 %, avgusta pa je bila rast 7,4-odstotna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. </w:t>
            </w:r>
            <w:r w:rsidRPr="5D91204F">
              <w:rPr>
                <w:rFonts w:eastAsia="Myriad Pro" w:cs="Myriad Pro"/>
                <w:color w:val="000000" w:themeColor="text1"/>
                <w:lang w:val="sl"/>
              </w:rPr>
              <w:t xml:space="preserve">Ocenjujemo pa, da je njihov prispevek k umirjanju skupne rasti, zaradi razmeroma majhnega </w:t>
            </w:r>
            <w:r>
              <w:rPr>
                <w:rFonts w:eastAsia="Myriad Pro" w:cs="Myriad Pro"/>
                <w:color w:val="000000" w:themeColor="text1"/>
                <w:lang w:val="sl"/>
              </w:rPr>
              <w:t>deleža v strukturi cen industrijskih proizvodov</w:t>
            </w:r>
            <w:r w:rsidRPr="5D91204F">
              <w:rPr>
                <w:rFonts w:eastAsia="Myriad Pro" w:cs="Myriad Pro"/>
                <w:color w:val="000000" w:themeColor="text1"/>
                <w:lang w:val="sl"/>
              </w:rPr>
              <w:t xml:space="preserve">, nižji kot pri surovinah. Podobno (6,8 %) so se podražili tudi proizvodi za široko porabo, medletna rast cen proizvodov za investicije pa se je ohranila okoli doseženih ravni (4,4 %). </w:t>
            </w:r>
          </w:p>
        </w:tc>
      </w:tr>
    </w:tbl>
    <w:p w14:paraId="70E944C1" w14:textId="3AF4FC60" w:rsidR="00DD3E0E" w:rsidRDefault="00DD3E0E" w:rsidP="001F51CD">
      <w:pPr>
        <w:tabs>
          <w:tab w:val="left" w:pos="580"/>
        </w:tabs>
      </w:pPr>
    </w:p>
    <w:p w14:paraId="6382C9E9" w14:textId="77777777" w:rsidR="00DD3E0E" w:rsidRDefault="00DD3E0E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162"/>
        <w:gridCol w:w="4657"/>
      </w:tblGrid>
      <w:tr w:rsidR="00DD3E0E" w14:paraId="64719ACF" w14:textId="77777777" w:rsidTr="00DD3E0E">
        <w:trPr>
          <w:trHeight w:val="207"/>
        </w:trPr>
        <w:tc>
          <w:tcPr>
            <w:tcW w:w="4820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3BC8EC2" w14:textId="2EC34A8D" w:rsidR="00DD3E0E" w:rsidRPr="006C2117" w:rsidRDefault="00DD3E0E" w:rsidP="008E2C79">
            <w:pPr>
              <w:pStyle w:val="Naslov31"/>
              <w:jc w:val="left"/>
            </w:pPr>
            <w:r w:rsidRPr="00AB68AF">
              <w:lastRenderedPageBreak/>
              <w:t xml:space="preserve">Število delovno aktivnih oseb, </w:t>
            </w:r>
            <w:r>
              <w:t>julij</w:t>
            </w:r>
            <w:r w:rsidRPr="00AB68AF">
              <w:t xml:space="preserve"> 2023</w:t>
            </w:r>
          </w:p>
        </w:tc>
        <w:tc>
          <w:tcPr>
            <w:tcW w:w="4819" w:type="dxa"/>
            <w:gridSpan w:val="2"/>
            <w:tcBorders>
              <w:bottom w:val="single" w:sz="4" w:space="0" w:color="auto"/>
            </w:tcBorders>
          </w:tcPr>
          <w:p w14:paraId="13BD68FE" w14:textId="77777777" w:rsidR="00DD3E0E" w:rsidRPr="006C2117" w:rsidRDefault="00DD3E0E" w:rsidP="008E2C79">
            <w:pPr>
              <w:pStyle w:val="Naslov31"/>
            </w:pPr>
          </w:p>
        </w:tc>
      </w:tr>
      <w:tr w:rsidR="00DD3E0E" w14:paraId="5C907F5B" w14:textId="77777777" w:rsidTr="008E2C7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0B12AA6" w14:textId="7B89C4B8" w:rsidR="00DD3E0E" w:rsidRDefault="00DD3E0E" w:rsidP="00DD3E0E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F4CAE18" wp14:editId="6BBFB43F">
                  <wp:extent cx="3092400" cy="2530800"/>
                  <wp:effectExtent l="0" t="0" r="0" b="3175"/>
                  <wp:docPr id="444050642" name="Picture 444050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7BDEF42" w14:textId="2F5DDF0B" w:rsidR="00DD3E0E" w:rsidRPr="00DF4F0B" w:rsidRDefault="00DD3E0E" w:rsidP="00DD3E0E">
            <w:r w:rsidRPr="5D91204F">
              <w:rPr>
                <w:b/>
                <w:bCs/>
              </w:rPr>
              <w:t>Medletna rast števila delovno aktivnih je bila julija nižja kot v prejšnjih mesecih (1,2 %). </w:t>
            </w:r>
            <w:r w:rsidRPr="00003EFA">
              <w:t>Na to je vplivalo predvsem umirjanje medletne rasti v gradbeništvu in tudi predelovalnih dejavnostih. Najvišja rast je bila v informacijskih in komunikacijskih dejavnostih</w:t>
            </w:r>
            <w:r>
              <w:t>. K skupni rasti števila delovno aktivnih že dlje časa skoraj izključno prispeva zaposlovanje tujih državljanov – na medletni ravni je bil prispevek julija 96 %, kar je še nekoliko več kot v prejšnjih mesecih. Delež tujcev med vsemi delovno aktivnimi je bil julija 14,6 %, medletno je bil večji za 1 o. t. Po deležu tujcev izstopajo gradbeništvo (48 %), promet in skladiščenje (33 %) ter druge raznovrstne poslovne dejavnosti (27 %).</w:t>
            </w:r>
            <w:r w:rsidRPr="5D91204F">
              <w:rPr>
                <w:b/>
                <w:bCs/>
              </w:rPr>
              <w:t xml:space="preserve"> </w:t>
            </w:r>
          </w:p>
        </w:tc>
      </w:tr>
    </w:tbl>
    <w:p w14:paraId="2E72B1BB" w14:textId="77777777" w:rsidR="00DD3E0E" w:rsidRDefault="00DD3E0E" w:rsidP="00DD3E0E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162"/>
        <w:gridCol w:w="4657"/>
      </w:tblGrid>
      <w:tr w:rsidR="00DD3E0E" w14:paraId="6EDA9B59" w14:textId="77777777" w:rsidTr="00DD3E0E">
        <w:trPr>
          <w:trHeight w:val="207"/>
        </w:trPr>
        <w:tc>
          <w:tcPr>
            <w:tcW w:w="4820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1192D73" w14:textId="29D139D0" w:rsidR="00DD3E0E" w:rsidRPr="006C2117" w:rsidRDefault="00DD3E0E" w:rsidP="008E2C79">
            <w:pPr>
              <w:pStyle w:val="Naslov31"/>
              <w:jc w:val="left"/>
            </w:pPr>
            <w:r w:rsidRPr="00AB68AF">
              <w:t xml:space="preserve">Povprečna bruto plača na zaposlenega, </w:t>
            </w:r>
            <w:r>
              <w:t>julij</w:t>
            </w:r>
            <w:r w:rsidRPr="00AB68AF">
              <w:t xml:space="preserve"> 2023</w:t>
            </w:r>
          </w:p>
        </w:tc>
        <w:tc>
          <w:tcPr>
            <w:tcW w:w="4819" w:type="dxa"/>
            <w:gridSpan w:val="2"/>
            <w:tcBorders>
              <w:bottom w:val="single" w:sz="4" w:space="0" w:color="auto"/>
            </w:tcBorders>
          </w:tcPr>
          <w:p w14:paraId="3DF15870" w14:textId="77777777" w:rsidR="00DD3E0E" w:rsidRPr="006C2117" w:rsidRDefault="00DD3E0E" w:rsidP="008E2C79">
            <w:pPr>
              <w:pStyle w:val="Naslov31"/>
            </w:pPr>
          </w:p>
        </w:tc>
      </w:tr>
      <w:tr w:rsidR="00DD3E0E" w14:paraId="06D3337C" w14:textId="77777777" w:rsidTr="008E2C7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386A8C1" w14:textId="3BCA9DA5" w:rsidR="00DD3E0E" w:rsidRDefault="00DD3E0E" w:rsidP="00DD3E0E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70E8E3E" wp14:editId="3473CF6B">
                  <wp:extent cx="3092400" cy="2484000"/>
                  <wp:effectExtent l="0" t="0" r="0" b="0"/>
                  <wp:docPr id="1154937515" name="Picture 1154937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48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004E507" w14:textId="5CF5C42B" w:rsidR="00DD3E0E" w:rsidRPr="00DF4F0B" w:rsidRDefault="00DD3E0E" w:rsidP="00DD3E0E">
            <w:r w:rsidRPr="008348FA">
              <w:rPr>
                <w:b/>
                <w:bCs/>
              </w:rPr>
              <w:t>Povprečna bruto plača je bila julija medletno realno višja za 3,7</w:t>
            </w:r>
            <w:r>
              <w:rPr>
                <w:b/>
                <w:bCs/>
              </w:rPr>
              <w:t> </w:t>
            </w:r>
            <w:r w:rsidRPr="008348FA">
              <w:rPr>
                <w:b/>
                <w:bCs/>
              </w:rPr>
              <w:t>%. </w:t>
            </w:r>
            <w:r w:rsidRPr="008348FA">
              <w:rPr>
                <w:bCs/>
              </w:rPr>
              <w:t>V zasebnem sektorju je bila povprečna bruto plača medletno realno višja za 2,8</w:t>
            </w:r>
            <w:r>
              <w:rPr>
                <w:bCs/>
              </w:rPr>
              <w:t> </w:t>
            </w:r>
            <w:r w:rsidRPr="008348FA">
              <w:rPr>
                <w:bCs/>
              </w:rPr>
              <w:t>%. Najvišja rast je bila v drugih poslovnih dejavnostih in gostinstvu, ki sta dejavnosti z velikim pomanjkanjem delovne sile. V javnem sektorju je bila povprečna bruto plača medletno realno višja za 5,2</w:t>
            </w:r>
            <w:r>
              <w:rPr>
                <w:bCs/>
              </w:rPr>
              <w:t> </w:t>
            </w:r>
            <w:r w:rsidRPr="008348FA">
              <w:rPr>
                <w:bCs/>
              </w:rPr>
              <w:t>%, kar je povezano predvsem z lanskim dogovorom o dvigu plač. Nominalno je bila povprečna bruto plača julija medletno višja za 10</w:t>
            </w:r>
            <w:r>
              <w:rPr>
                <w:bCs/>
              </w:rPr>
              <w:t> </w:t>
            </w:r>
            <w:r w:rsidRPr="008348FA">
              <w:rPr>
                <w:bCs/>
              </w:rPr>
              <w:t>%, v javnem sektorju za 11,6 %, v zasebnem za 9</w:t>
            </w:r>
            <w:r>
              <w:rPr>
                <w:bCs/>
              </w:rPr>
              <w:t> </w:t>
            </w:r>
            <w:r w:rsidRPr="008348FA">
              <w:rPr>
                <w:bCs/>
              </w:rPr>
              <w:t>%. V prvih sedmih mesecih je bila povprečna medletna realna rast bruto plač 1,4-odstotna (v zasebnem 1,2</w:t>
            </w:r>
            <w:r>
              <w:rPr>
                <w:bCs/>
              </w:rPr>
              <w:t> </w:t>
            </w:r>
            <w:r w:rsidRPr="008348FA">
              <w:rPr>
                <w:bCs/>
              </w:rPr>
              <w:t>%, v javnem sektorju 1,9</w:t>
            </w:r>
            <w:r>
              <w:rPr>
                <w:bCs/>
              </w:rPr>
              <w:t> </w:t>
            </w:r>
            <w:r w:rsidRPr="008348FA">
              <w:rPr>
                <w:bCs/>
              </w:rPr>
              <w:t>%).</w:t>
            </w:r>
          </w:p>
        </w:tc>
      </w:tr>
    </w:tbl>
    <w:p w14:paraId="5FDCF6CD" w14:textId="77777777" w:rsidR="00363E63" w:rsidRDefault="00363E63" w:rsidP="001F51CD">
      <w:pPr>
        <w:tabs>
          <w:tab w:val="left" w:pos="580"/>
        </w:tabs>
      </w:pPr>
    </w:p>
    <w:p w14:paraId="3FFFA017" w14:textId="6FEAB917" w:rsidR="00DD3E0E" w:rsidRDefault="00DD3E0E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DD3E0E" w:rsidRPr="007A0B59" w14:paraId="3203D4EA" w14:textId="77777777" w:rsidTr="008E2C7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27752B1" w14:textId="7C186EDE" w:rsidR="00DD3E0E" w:rsidRPr="007A0B59" w:rsidRDefault="00DD3E0E" w:rsidP="008E2C79">
            <w:pPr>
              <w:pStyle w:val="Naslov31"/>
              <w:jc w:val="left"/>
            </w:pPr>
            <w:r w:rsidRPr="00AB68AF">
              <w:lastRenderedPageBreak/>
              <w:t>Stanovanjske nepremičnine, 2. četrtletje 2023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6AC108E" w14:textId="77777777" w:rsidR="00DD3E0E" w:rsidRPr="007A0B59" w:rsidRDefault="00DD3E0E" w:rsidP="008E2C79">
            <w:pPr>
              <w:pStyle w:val="Naslov31"/>
            </w:pPr>
          </w:p>
        </w:tc>
      </w:tr>
      <w:tr w:rsidR="00DD3E0E" w:rsidRPr="00DF4F0B" w14:paraId="4DC097B8" w14:textId="77777777" w:rsidTr="008E2C7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80BF57A" w14:textId="3C179EF8" w:rsidR="00DD3E0E" w:rsidRDefault="00DD3E0E" w:rsidP="00DD3E0E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13A5A1F" wp14:editId="66A042C8">
                  <wp:extent cx="3096000" cy="2530800"/>
                  <wp:effectExtent l="0" t="0" r="0" b="3175"/>
                  <wp:docPr id="1756432388" name="Picture 1756432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3504DD2" w14:textId="77777777" w:rsidR="00DD3E0E" w:rsidRPr="003C21D3" w:rsidRDefault="00DD3E0E" w:rsidP="00DD3E0E">
            <w:r w:rsidRPr="009A67BF">
              <w:rPr>
                <w:rFonts w:eastAsia="Myriad Pro" w:cs="Myriad Pro"/>
                <w:b/>
                <w:bCs/>
                <w:lang w:val="sl"/>
              </w:rPr>
              <w:t>V drugem četrtletju se je ob nadaljnjem upadu prometa nadaljevala umirjena rast cen stanovanjskih nepremičnin.</w:t>
            </w:r>
            <w:r w:rsidRPr="009A67BF">
              <w:rPr>
                <w:rFonts w:eastAsia="Myriad Pro" w:cs="Myriad Pro"/>
                <w:lang w:val="sl"/>
              </w:rPr>
              <w:t xml:space="preserve"> V primerjavi s prvim četrtletjem so bile cene višje za 1,9 %</w:t>
            </w:r>
            <w:r w:rsidRPr="009A67BF">
              <w:rPr>
                <w:rFonts w:eastAsia="Myriad Pro" w:cs="Myriad Pro"/>
                <w:vertAlign w:val="superscript"/>
                <w:lang w:val="sl"/>
              </w:rPr>
              <w:footnoteReference w:id="3"/>
            </w:r>
            <w:r w:rsidRPr="009A67BF">
              <w:rPr>
                <w:rFonts w:eastAsia="Myriad Pro" w:cs="Myriad Pro"/>
                <w:lang w:val="sl"/>
              </w:rPr>
              <w:t>, v primerjavi z drugim četrtletjem 2022 pa za 7,4 %. Medletna rast, ki se je sicer glede na rasti v predhodnih letih precej umirila</w:t>
            </w:r>
            <w:r w:rsidRPr="009A67BF">
              <w:rPr>
                <w:rFonts w:eastAsia="Myriad Pro" w:cs="Myriad Pro"/>
                <w:vertAlign w:val="superscript"/>
                <w:lang w:val="sl"/>
              </w:rPr>
              <w:footnoteReference w:id="4"/>
            </w:r>
            <w:r w:rsidRPr="009A67BF">
              <w:rPr>
                <w:rFonts w:eastAsia="Myriad Pro" w:cs="Myriad Pro"/>
                <w:lang w:val="sl"/>
              </w:rPr>
              <w:t xml:space="preserve">, je izhajala iz višjih cen rabljenih stanovanjskih nepremičnin (za 7,9 %). Medletno so bile nekoliko </w:t>
            </w:r>
            <w:r w:rsidRPr="5D91204F">
              <w:rPr>
                <w:rFonts w:eastAsia="Myriad Pro" w:cs="Myriad Pro"/>
                <w:lang w:val="sl"/>
              </w:rPr>
              <w:t>višje tudi cene novih stanovanjskih nepremičnin (0,7 %), s katerimi pa je ob pomanjkanju ponudbe</w:t>
            </w:r>
            <w:r>
              <w:rPr>
                <w:rFonts w:eastAsia="Myriad Pro" w:cs="Myriad Pro"/>
                <w:lang w:val="sl"/>
              </w:rPr>
              <w:t xml:space="preserve"> bilo opravljenih </w:t>
            </w:r>
            <w:r w:rsidRPr="5D91204F">
              <w:rPr>
                <w:rFonts w:eastAsia="Myriad Pro" w:cs="Myriad Pro"/>
                <w:lang w:val="sl"/>
              </w:rPr>
              <w:t>za nekaj več kot 1 % transakcij. Skupno je bilo prodanih 2421 stanovanjskih nepremičnin, kar je bilo za skoraj tretjino manj kot v drugem četrtletju lani in najmanj po</w:t>
            </w:r>
            <w:r w:rsidRPr="009A67BF">
              <w:rPr>
                <w:rFonts w:eastAsia="Myriad Pro" w:cs="Myriad Pro"/>
                <w:lang w:val="sl"/>
              </w:rPr>
              <w:t xml:space="preserve"> drugem četrtletju leta 2020, ko so na število transakcij močno vplivale omejitve pri poslovanju zaradi epidemije.</w:t>
            </w:r>
          </w:p>
          <w:p w14:paraId="56C7E59D" w14:textId="77777777" w:rsidR="00DD3E0E" w:rsidRPr="00DF4F0B" w:rsidRDefault="00DD3E0E" w:rsidP="00DD3E0E"/>
        </w:tc>
      </w:tr>
    </w:tbl>
    <w:p w14:paraId="1ACB8E3C" w14:textId="77777777" w:rsidR="00363E63" w:rsidRDefault="00363E63" w:rsidP="001F51CD">
      <w:pPr>
        <w:tabs>
          <w:tab w:val="left" w:pos="580"/>
        </w:tabs>
      </w:pPr>
    </w:p>
    <w:p w14:paraId="4CAD757C" w14:textId="77777777" w:rsidR="00363E63" w:rsidRDefault="00363E63" w:rsidP="001F51CD">
      <w:pPr>
        <w:tabs>
          <w:tab w:val="left" w:pos="580"/>
        </w:tabs>
      </w:pPr>
    </w:p>
    <w:p w14:paraId="3580FBCD" w14:textId="77777777" w:rsidR="00FE7254" w:rsidRDefault="00FE7254" w:rsidP="00FE7254"/>
    <w:p w14:paraId="3048B493" w14:textId="77777777" w:rsidR="00FE7254" w:rsidRPr="00FE7254" w:rsidRDefault="00FE7254" w:rsidP="00FE7254">
      <w:pPr>
        <w:sectPr w:rsidR="00FE7254" w:rsidRPr="00FE7254" w:rsidSect="00363E63"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704441B8" w14:textId="4C7B0D62" w:rsidR="002E69B6" w:rsidRPr="00887D7E" w:rsidRDefault="00DD3E0E" w:rsidP="00C26C8D">
      <w:pPr>
        <w:tabs>
          <w:tab w:val="left" w:pos="580"/>
        </w:tabs>
      </w:pPr>
      <w:bookmarkStart w:id="0" w:name="_GoBack"/>
      <w:r w:rsidRPr="00F8400B">
        <w:rPr>
          <w:noProof/>
        </w:rPr>
        <w:lastRenderedPageBreak/>
        <w:drawing>
          <wp:inline distT="0" distB="0" distL="0" distR="0" wp14:anchorId="27BD3EB2" wp14:editId="621F0B1A">
            <wp:extent cx="5868436" cy="8943975"/>
            <wp:effectExtent l="0" t="0" r="0" b="0"/>
            <wp:docPr id="1818647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10" cy="895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69B6" w:rsidRPr="00887D7E" w:rsidSect="00363E63">
      <w:headerReference w:type="default" r:id="rId18"/>
      <w:footerReference w:type="default" r:id="rId19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F2692F" w14:textId="77777777" w:rsidR="00DD3E0E" w:rsidRDefault="00DD3E0E" w:rsidP="0063497B">
      <w:pPr>
        <w:spacing w:line="240" w:lineRule="auto"/>
      </w:pPr>
      <w:r>
        <w:separator/>
      </w:r>
    </w:p>
  </w:endnote>
  <w:endnote w:type="continuationSeparator" w:id="0">
    <w:p w14:paraId="56691B35" w14:textId="77777777" w:rsidR="00DD3E0E" w:rsidRDefault="00DD3E0E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8EE8E" w14:textId="77777777" w:rsidR="0029405F" w:rsidRPr="00363E63" w:rsidRDefault="0012016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0F9E3" w14:textId="77777777" w:rsidR="0029405F" w:rsidRPr="00363E63" w:rsidRDefault="0012016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 w:rsidRP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6D0F4" w14:textId="77777777" w:rsidR="00C26C8D" w:rsidRPr="00C26C8D" w:rsidRDefault="00C26C8D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95AF814" w14:textId="77777777" w:rsidR="00C26C8D" w:rsidRPr="00C26C8D" w:rsidRDefault="00C26C8D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1EC167E" w14:textId="77777777" w:rsidR="00363E63" w:rsidRPr="00363E63" w:rsidRDefault="00C26C8D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98621" w14:textId="77777777" w:rsidR="00DD3E0E" w:rsidRDefault="00DD3E0E" w:rsidP="0063497B">
      <w:pPr>
        <w:spacing w:line="240" w:lineRule="auto"/>
      </w:pPr>
      <w:r>
        <w:separator/>
      </w:r>
    </w:p>
  </w:footnote>
  <w:footnote w:type="continuationSeparator" w:id="0">
    <w:p w14:paraId="18CA2B30" w14:textId="77777777" w:rsidR="00DD3E0E" w:rsidRDefault="00DD3E0E" w:rsidP="0063497B">
      <w:pPr>
        <w:spacing w:line="240" w:lineRule="auto"/>
      </w:pPr>
      <w:r>
        <w:continuationSeparator/>
      </w:r>
    </w:p>
  </w:footnote>
  <w:footnote w:id="1">
    <w:p w14:paraId="1EF16D35" w14:textId="77777777" w:rsidR="00DD3E0E" w:rsidRPr="00F922F9" w:rsidRDefault="00DD3E0E" w:rsidP="00B40051">
      <w:pPr>
        <w:pStyle w:val="FootnoteText"/>
        <w:rPr>
          <w:sz w:val="18"/>
        </w:rPr>
      </w:pPr>
      <w:r>
        <w:rPr>
          <w:rStyle w:val="FootnoteReference"/>
        </w:rPr>
        <w:footnoteRef/>
      </w:r>
      <w:r>
        <w:t xml:space="preserve"> </w:t>
      </w:r>
      <w:r w:rsidRPr="001333C4">
        <w:rPr>
          <w:sz w:val="18"/>
        </w:rPr>
        <w:t xml:space="preserve">Slabša prodaja </w:t>
      </w:r>
      <w:r w:rsidRPr="00F922F9">
        <w:rPr>
          <w:sz w:val="18"/>
        </w:rPr>
        <w:t>je bil</w:t>
      </w:r>
      <w:r>
        <w:rPr>
          <w:sz w:val="18"/>
        </w:rPr>
        <w:t>a</w:t>
      </w:r>
      <w:r w:rsidRPr="00F922F9">
        <w:rPr>
          <w:sz w:val="18"/>
        </w:rPr>
        <w:t xml:space="preserve"> verjetno povezan</w:t>
      </w:r>
      <w:r>
        <w:rPr>
          <w:sz w:val="18"/>
        </w:rPr>
        <w:t>a</w:t>
      </w:r>
      <w:r w:rsidRPr="00F922F9">
        <w:rPr>
          <w:sz w:val="18"/>
        </w:rPr>
        <w:t xml:space="preserve"> tudi z manjšo prodajo po poplavah, ki so </w:t>
      </w:r>
      <w:r>
        <w:rPr>
          <w:sz w:val="18"/>
        </w:rPr>
        <w:t xml:space="preserve">v začetku avgusta </w:t>
      </w:r>
      <w:r w:rsidRPr="00F922F9">
        <w:rPr>
          <w:sz w:val="18"/>
        </w:rPr>
        <w:t>prizadele Slovenijo.</w:t>
      </w:r>
    </w:p>
  </w:footnote>
  <w:footnote w:id="2">
    <w:p w14:paraId="2EF74C91" w14:textId="77777777" w:rsidR="00DD3E0E" w:rsidRPr="001B7923" w:rsidRDefault="00DD3E0E" w:rsidP="00B40051">
      <w:pPr>
        <w:pStyle w:val="FootnoteText"/>
        <w:rPr>
          <w:rFonts w:eastAsia="Myriad Pro" w:cs="Myriad Pro"/>
          <w:color w:val="000000" w:themeColor="text1"/>
          <w:sz w:val="14"/>
        </w:rPr>
      </w:pPr>
      <w:r>
        <w:rPr>
          <w:rStyle w:val="FootnoteReference"/>
        </w:rPr>
        <w:footnoteRef/>
      </w:r>
      <w:r>
        <w:t xml:space="preserve"> </w:t>
      </w:r>
      <w:r w:rsidRPr="00E643EA">
        <w:rPr>
          <w:sz w:val="18"/>
        </w:rPr>
        <w:t xml:space="preserve">Dejavnosti standardne klasifikacije dejavnosti </w:t>
      </w:r>
      <w:r w:rsidRPr="00E643EA">
        <w:rPr>
          <w:rFonts w:eastAsia="Myriad Pro" w:cs="Myriad Pro"/>
          <w:color w:val="000000" w:themeColor="text1"/>
          <w:sz w:val="18"/>
        </w:rPr>
        <w:t xml:space="preserve">R, S in T. </w:t>
      </w:r>
    </w:p>
  </w:footnote>
  <w:footnote w:id="3">
    <w:p w14:paraId="6AC671F0" w14:textId="77777777" w:rsidR="00DD3E0E" w:rsidRPr="00457007" w:rsidRDefault="00DD3E0E" w:rsidP="009A67BF">
      <w:pPr>
        <w:pStyle w:val="FootnoteText"/>
        <w:rPr>
          <w:sz w:val="18"/>
        </w:rPr>
      </w:pPr>
      <w:r w:rsidRPr="00457007">
        <w:rPr>
          <w:rStyle w:val="FootnoteReference"/>
          <w:sz w:val="18"/>
        </w:rPr>
        <w:footnoteRef/>
      </w:r>
      <w:r w:rsidRPr="00457007">
        <w:rPr>
          <w:sz w:val="18"/>
        </w:rPr>
        <w:t xml:space="preserve"> Podobno kot v </w:t>
      </w:r>
      <w:r>
        <w:rPr>
          <w:sz w:val="18"/>
        </w:rPr>
        <w:t xml:space="preserve">prvem </w:t>
      </w:r>
      <w:r w:rsidRPr="00457007">
        <w:rPr>
          <w:sz w:val="18"/>
        </w:rPr>
        <w:t>četrtletju (1,</w:t>
      </w:r>
      <w:r>
        <w:rPr>
          <w:sz w:val="18"/>
        </w:rPr>
        <w:t>6</w:t>
      </w:r>
      <w:r w:rsidRPr="00457007">
        <w:rPr>
          <w:sz w:val="18"/>
        </w:rPr>
        <w:t> %) in precej nižje kot v povprečju četrtletij leta 2022 (2,8 %).</w:t>
      </w:r>
    </w:p>
  </w:footnote>
  <w:footnote w:id="4">
    <w:p w14:paraId="5A0DFFBE" w14:textId="77777777" w:rsidR="00DD3E0E" w:rsidRPr="00D448C8" w:rsidRDefault="00DD3E0E" w:rsidP="009A67BF">
      <w:pPr>
        <w:pStyle w:val="FootnoteText"/>
        <w:rPr>
          <w:sz w:val="18"/>
        </w:rPr>
      </w:pPr>
      <w:r w:rsidRPr="00D448C8">
        <w:rPr>
          <w:rStyle w:val="FootnoteReference"/>
          <w:sz w:val="18"/>
        </w:rPr>
        <w:footnoteRef/>
      </w:r>
      <w:r w:rsidRPr="00D448C8">
        <w:rPr>
          <w:sz w:val="18"/>
        </w:rPr>
        <w:t xml:space="preserve"> Po 11,5-odstotni rasti v </w:t>
      </w:r>
      <w:r>
        <w:rPr>
          <w:sz w:val="18"/>
        </w:rPr>
        <w:t xml:space="preserve">povprečju </w:t>
      </w:r>
      <w:r w:rsidRPr="00D448C8">
        <w:rPr>
          <w:sz w:val="18"/>
        </w:rPr>
        <w:t>let</w:t>
      </w:r>
      <w:r>
        <w:rPr>
          <w:sz w:val="18"/>
        </w:rPr>
        <w:t>a</w:t>
      </w:r>
      <w:r w:rsidRPr="00D448C8">
        <w:rPr>
          <w:sz w:val="18"/>
        </w:rPr>
        <w:t xml:space="preserve"> 2021 in 14,8-odstotni rasti v </w:t>
      </w:r>
      <w:r>
        <w:rPr>
          <w:sz w:val="18"/>
        </w:rPr>
        <w:t xml:space="preserve">povprečju </w:t>
      </w:r>
      <w:r w:rsidRPr="00D448C8">
        <w:rPr>
          <w:sz w:val="18"/>
        </w:rPr>
        <w:t>let</w:t>
      </w:r>
      <w:r>
        <w:rPr>
          <w:sz w:val="18"/>
        </w:rPr>
        <w:t>a</w:t>
      </w:r>
      <w:r w:rsidRPr="00D448C8">
        <w:rPr>
          <w:sz w:val="18"/>
        </w:rPr>
        <w:t xml:space="preserve"> 2022</w:t>
      </w:r>
      <w:r>
        <w:rPr>
          <w:sz w:val="18"/>
        </w:rPr>
        <w:t>.</w:t>
      </w:r>
      <w:r w:rsidRPr="00D448C8">
        <w:rPr>
          <w:sz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EF8EE" w14:textId="77777777" w:rsidR="00DD3E0E" w:rsidRDefault="00652795" w:rsidP="00DD3E0E">
    <w:pPr>
      <w:jc w:val="right"/>
    </w:pPr>
    <w:r w:rsidRPr="0029405F">
      <w:rPr>
        <w:noProof/>
      </w:rPr>
      <w:drawing>
        <wp:anchor distT="0" distB="0" distL="114300" distR="114300" simplePos="0" relativeHeight="251672576" behindDoc="0" locked="0" layoutInCell="1" allowOverlap="1" wp14:anchorId="7F275E4E" wp14:editId="2459CFDF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3E0E" w:rsidRPr="0029405F"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74624" behindDoc="0" locked="0" layoutInCell="1" allowOverlap="1" wp14:anchorId="5D419CDA" wp14:editId="392B4843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" name="Picture 1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3E0E">
      <w:t>25. september 2023</w:t>
    </w:r>
  </w:p>
  <w:p w14:paraId="1760C8C7" w14:textId="77777777" w:rsidR="00652795" w:rsidRDefault="00652795" w:rsidP="00FE7254">
    <w:pPr>
      <w:jc w:val="right"/>
    </w:pPr>
  </w:p>
  <w:p w14:paraId="77033436" w14:textId="77777777" w:rsidR="00FE7254" w:rsidRDefault="00FE7254" w:rsidP="00FE7254">
    <w:pPr>
      <w:jc w:val="right"/>
    </w:pPr>
  </w:p>
  <w:p w14:paraId="50F6E51E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A7A56" w14:textId="77777777" w:rsidR="00363E63" w:rsidRPr="00C26C8D" w:rsidRDefault="00C26C8D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E0E"/>
    <w:rsid w:val="00001002"/>
    <w:rsid w:val="000703C7"/>
    <w:rsid w:val="00070B6E"/>
    <w:rsid w:val="00077F13"/>
    <w:rsid w:val="000A5A42"/>
    <w:rsid w:val="000A7BDC"/>
    <w:rsid w:val="00115E8D"/>
    <w:rsid w:val="00120162"/>
    <w:rsid w:val="00123D52"/>
    <w:rsid w:val="00133E20"/>
    <w:rsid w:val="0019138D"/>
    <w:rsid w:val="001A0C98"/>
    <w:rsid w:val="001B6AE7"/>
    <w:rsid w:val="001D6793"/>
    <w:rsid w:val="001E3956"/>
    <w:rsid w:val="001F51CD"/>
    <w:rsid w:val="00235437"/>
    <w:rsid w:val="00243593"/>
    <w:rsid w:val="0026509A"/>
    <w:rsid w:val="0029405F"/>
    <w:rsid w:val="002B4319"/>
    <w:rsid w:val="002B4C3A"/>
    <w:rsid w:val="002B5361"/>
    <w:rsid w:val="002D46EF"/>
    <w:rsid w:val="002E69B6"/>
    <w:rsid w:val="002E6FAD"/>
    <w:rsid w:val="00306767"/>
    <w:rsid w:val="00312D09"/>
    <w:rsid w:val="00363E63"/>
    <w:rsid w:val="003A49D8"/>
    <w:rsid w:val="003C614E"/>
    <w:rsid w:val="0040719E"/>
    <w:rsid w:val="00431EDD"/>
    <w:rsid w:val="004368FB"/>
    <w:rsid w:val="00452589"/>
    <w:rsid w:val="00452804"/>
    <w:rsid w:val="00464D01"/>
    <w:rsid w:val="00477274"/>
    <w:rsid w:val="004970E5"/>
    <w:rsid w:val="004D63EF"/>
    <w:rsid w:val="00534457"/>
    <w:rsid w:val="00546DBF"/>
    <w:rsid w:val="00561C9A"/>
    <w:rsid w:val="00626853"/>
    <w:rsid w:val="006269CE"/>
    <w:rsid w:val="0063497B"/>
    <w:rsid w:val="00650921"/>
    <w:rsid w:val="00652795"/>
    <w:rsid w:val="00671853"/>
    <w:rsid w:val="006875F1"/>
    <w:rsid w:val="006965FC"/>
    <w:rsid w:val="006A6820"/>
    <w:rsid w:val="006C2117"/>
    <w:rsid w:val="006E1C81"/>
    <w:rsid w:val="007016EF"/>
    <w:rsid w:val="00731B6F"/>
    <w:rsid w:val="0074452D"/>
    <w:rsid w:val="0074466E"/>
    <w:rsid w:val="0079410F"/>
    <w:rsid w:val="007A0B59"/>
    <w:rsid w:val="007B248F"/>
    <w:rsid w:val="007B7110"/>
    <w:rsid w:val="007D0791"/>
    <w:rsid w:val="007D7450"/>
    <w:rsid w:val="007F1307"/>
    <w:rsid w:val="00812D81"/>
    <w:rsid w:val="00860582"/>
    <w:rsid w:val="00887D7E"/>
    <w:rsid w:val="0089259B"/>
    <w:rsid w:val="00910265"/>
    <w:rsid w:val="0093604B"/>
    <w:rsid w:val="00946C4C"/>
    <w:rsid w:val="009918B9"/>
    <w:rsid w:val="009A1E12"/>
    <w:rsid w:val="009D311B"/>
    <w:rsid w:val="00A072AA"/>
    <w:rsid w:val="00A107AD"/>
    <w:rsid w:val="00A34EDE"/>
    <w:rsid w:val="00A35FCE"/>
    <w:rsid w:val="00A42839"/>
    <w:rsid w:val="00A7050D"/>
    <w:rsid w:val="00A8329F"/>
    <w:rsid w:val="00AA1F25"/>
    <w:rsid w:val="00AB0C65"/>
    <w:rsid w:val="00AC328B"/>
    <w:rsid w:val="00AF3058"/>
    <w:rsid w:val="00B00E5E"/>
    <w:rsid w:val="00B220A3"/>
    <w:rsid w:val="00B451B6"/>
    <w:rsid w:val="00B52F7E"/>
    <w:rsid w:val="00B738F6"/>
    <w:rsid w:val="00B8300F"/>
    <w:rsid w:val="00BB6DF6"/>
    <w:rsid w:val="00BF2574"/>
    <w:rsid w:val="00C26C8D"/>
    <w:rsid w:val="00C80811"/>
    <w:rsid w:val="00CF6407"/>
    <w:rsid w:val="00D312B6"/>
    <w:rsid w:val="00DB1C32"/>
    <w:rsid w:val="00DD3E0E"/>
    <w:rsid w:val="00DE2EA9"/>
    <w:rsid w:val="00DE4ACB"/>
    <w:rsid w:val="00DE72F6"/>
    <w:rsid w:val="00DF3707"/>
    <w:rsid w:val="00DF4F0B"/>
    <w:rsid w:val="00E02749"/>
    <w:rsid w:val="00E7791D"/>
    <w:rsid w:val="00EE7E6E"/>
    <w:rsid w:val="00F409C1"/>
    <w:rsid w:val="00F41E1A"/>
    <w:rsid w:val="00F43F6C"/>
    <w:rsid w:val="00F47B15"/>
    <w:rsid w:val="00F545EF"/>
    <w:rsid w:val="00F65156"/>
    <w:rsid w:val="00F66E1B"/>
    <w:rsid w:val="00F930F6"/>
    <w:rsid w:val="00FA45E3"/>
    <w:rsid w:val="00FB5533"/>
    <w:rsid w:val="00FE12B1"/>
    <w:rsid w:val="00FE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31EBBBE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668AB6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"/>
    <w:basedOn w:val="Normal"/>
    <w:qFormat/>
    <w:rsid w:val="00120162"/>
    <w:rPr>
      <w:b/>
    </w:rPr>
  </w:style>
  <w:style w:type="character" w:customStyle="1" w:styleId="markedcontent">
    <w:name w:val="markedcontent"/>
    <w:basedOn w:val="DefaultParagraphFont"/>
    <w:rsid w:val="00DD3E0E"/>
  </w:style>
  <w:style w:type="character" w:customStyle="1" w:styleId="ui-provider">
    <w:name w:val="ui-provider"/>
    <w:basedOn w:val="DefaultParagraphFont"/>
    <w:rsid w:val="00DD3E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-tema-new">
  <a:themeElements>
    <a:clrScheme name="umar-tema1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A10305"/>
      </a:accent1>
      <a:accent2>
        <a:srgbClr val="D46565"/>
      </a:accent2>
      <a:accent3>
        <a:srgbClr val="A7AEB4"/>
      </a:accent3>
      <a:accent4>
        <a:srgbClr val="343D58"/>
      </a:accent4>
      <a:accent5>
        <a:srgbClr val="176F8B"/>
      </a:accent5>
      <a:accent6>
        <a:srgbClr val="98C576"/>
      </a:accent6>
      <a:hlink>
        <a:srgbClr val="668AB6"/>
      </a:hlink>
      <a:folHlink>
        <a:srgbClr val="321443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54458-5446-468F-95D2-0E4766737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2023-09-25T11:02:00Z</dcterms:created>
  <dcterms:modified xsi:type="dcterms:W3CDTF">2023-09-25T11:02:00Z</dcterms:modified>
</cp:coreProperties>
</file>