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5BEF377A" w:rsidR="001D6793" w:rsidRDefault="00FA45E3" w:rsidP="001D6793">
      <w:pPr>
        <w:pStyle w:val="Naslov21"/>
      </w:pPr>
      <w:r>
        <w:t xml:space="preserve">od </w:t>
      </w:r>
      <w:r w:rsidR="005D0551">
        <w:t>9</w:t>
      </w:r>
      <w:r w:rsidR="001D6793">
        <w:t>.</w:t>
      </w:r>
      <w:r w:rsidR="00520115">
        <w:t xml:space="preserve"> </w:t>
      </w:r>
      <w:r w:rsidR="001D6793">
        <w:t xml:space="preserve">do </w:t>
      </w:r>
      <w:r w:rsidR="005D0551">
        <w:t>13</w:t>
      </w:r>
      <w:r w:rsidR="001D6793">
        <w:t xml:space="preserve">. </w:t>
      </w:r>
      <w:r w:rsidR="008E7947">
        <w:t>januarja</w:t>
      </w:r>
      <w:r w:rsidR="001D6793">
        <w:t xml:space="preserve"> 20</w:t>
      </w:r>
      <w:r w:rsidR="005B4C57">
        <w:t>2</w:t>
      </w:r>
      <w:r w:rsidR="005D0551">
        <w:t>3</w:t>
      </w:r>
    </w:p>
    <w:p w14:paraId="0D813662" w14:textId="62600A0A" w:rsidR="00DF4F0B" w:rsidRDefault="00DF4F0B"/>
    <w:p w14:paraId="196DFF85" w14:textId="77777777" w:rsidR="00916FC4" w:rsidRDefault="00916FC4"/>
    <w:p w14:paraId="0F21DA7E" w14:textId="71040D36" w:rsidR="008A2E00" w:rsidRPr="00351781" w:rsidRDefault="00EE44DD" w:rsidP="00351781">
      <w:pPr>
        <w:spacing w:line="240" w:lineRule="atLeast"/>
        <w:rPr>
          <w:bCs/>
          <w:color w:val="A6A6A6" w:themeColor="accent3"/>
        </w:rPr>
      </w:pPr>
      <w:r>
        <w:t>Nominalna v</w:t>
      </w:r>
      <w:r w:rsidR="00082FF2">
        <w:t>rednost</w:t>
      </w:r>
      <w:r w:rsidR="00082FF2" w:rsidRPr="00B256C1">
        <w:rPr>
          <w:bCs/>
        </w:rPr>
        <w:t xml:space="preserve"> davčno potrjenih računov </w:t>
      </w:r>
      <w:r w:rsidR="0073387C">
        <w:rPr>
          <w:bCs/>
        </w:rPr>
        <w:t xml:space="preserve">se </w:t>
      </w:r>
      <w:r w:rsidR="00E9487C">
        <w:rPr>
          <w:bCs/>
        </w:rPr>
        <w:t xml:space="preserve">zadnjih nekaj tednov ohranja okoli </w:t>
      </w:r>
      <w:r w:rsidR="008F3E6B">
        <w:rPr>
          <w:bCs/>
        </w:rPr>
        <w:t>10 %</w:t>
      </w:r>
      <w:r w:rsidR="00E9487C">
        <w:rPr>
          <w:bCs/>
        </w:rPr>
        <w:t xml:space="preserve"> nad primerljivimi ravn</w:t>
      </w:r>
      <w:r w:rsidR="008F3E6B">
        <w:rPr>
          <w:bCs/>
        </w:rPr>
        <w:t>m</w:t>
      </w:r>
      <w:r w:rsidR="00E9487C">
        <w:rPr>
          <w:bCs/>
        </w:rPr>
        <w:t xml:space="preserve">i </w:t>
      </w:r>
      <w:r w:rsidR="0F73C0E0">
        <w:t>pred letom dni</w:t>
      </w:r>
      <w:r w:rsidR="00E9487C">
        <w:rPr>
          <w:bCs/>
        </w:rPr>
        <w:t xml:space="preserve">. </w:t>
      </w:r>
      <w:r w:rsidR="00BD445F" w:rsidRPr="00BD445F">
        <w:rPr>
          <w:bCs/>
        </w:rPr>
        <w:t xml:space="preserve">Decembra sta bili porabi elektrike industrijskih in gospodinjskih odjemalcev </w:t>
      </w:r>
      <w:r w:rsidR="004652F7">
        <w:rPr>
          <w:bCs/>
        </w:rPr>
        <w:t xml:space="preserve">zaradi prilagoditev porabe </w:t>
      </w:r>
      <w:r w:rsidR="008E752C">
        <w:rPr>
          <w:bCs/>
        </w:rPr>
        <w:t>visokim</w:t>
      </w:r>
      <w:r w:rsidR="0071753C">
        <w:rPr>
          <w:bCs/>
        </w:rPr>
        <w:t xml:space="preserve"> </w:t>
      </w:r>
      <w:r w:rsidR="008E752C" w:rsidRPr="0071753C">
        <w:rPr>
          <w:bCs/>
        </w:rPr>
        <w:t>cenam</w:t>
      </w:r>
      <w:r w:rsidR="0071753C">
        <w:rPr>
          <w:bCs/>
        </w:rPr>
        <w:t xml:space="preserve"> </w:t>
      </w:r>
      <w:r w:rsidR="00BD445F" w:rsidRPr="00BD445F">
        <w:rPr>
          <w:bCs/>
        </w:rPr>
        <w:t>medletno nižji, poraba malih poslovnih odjemalcev pa</w:t>
      </w:r>
      <w:r w:rsidR="004652F7">
        <w:rPr>
          <w:bCs/>
        </w:rPr>
        <w:t xml:space="preserve"> </w:t>
      </w:r>
      <w:r w:rsidR="00A355C7">
        <w:rPr>
          <w:bCs/>
        </w:rPr>
        <w:t xml:space="preserve">je bila </w:t>
      </w:r>
      <w:r w:rsidR="00BD445F" w:rsidRPr="00BD445F">
        <w:rPr>
          <w:bCs/>
        </w:rPr>
        <w:t>višja</w:t>
      </w:r>
      <w:r w:rsidR="00D523CB">
        <w:rPr>
          <w:bCs/>
        </w:rPr>
        <w:t xml:space="preserve"> kot </w:t>
      </w:r>
      <w:r w:rsidR="00E041E9">
        <w:rPr>
          <w:bCs/>
        </w:rPr>
        <w:t>leto prej</w:t>
      </w:r>
      <w:r w:rsidR="00D523CB">
        <w:rPr>
          <w:bCs/>
        </w:rPr>
        <w:t xml:space="preserve">, ko so v tem obdobju veljali </w:t>
      </w:r>
      <w:r w:rsidR="0059494D">
        <w:rPr>
          <w:bCs/>
        </w:rPr>
        <w:t xml:space="preserve">omejitveni </w:t>
      </w:r>
      <w:r w:rsidR="00D523CB">
        <w:rPr>
          <w:bCs/>
        </w:rPr>
        <w:t>epidemični ukrepi</w:t>
      </w:r>
      <w:r w:rsidR="004652F7">
        <w:rPr>
          <w:bCs/>
        </w:rPr>
        <w:t>.</w:t>
      </w:r>
      <w:r w:rsidR="00BD445F" w:rsidRPr="00BD445F">
        <w:rPr>
          <w:bCs/>
        </w:rPr>
        <w:t xml:space="preserve"> </w:t>
      </w:r>
      <w:r w:rsidR="00CB603C" w:rsidRPr="00CB603C">
        <w:rPr>
          <w:bCs/>
        </w:rPr>
        <w:t xml:space="preserve">Počasna krepitev aktivnosti predelovalnih dejavnosti se je proti koncu leta ustavila. </w:t>
      </w:r>
      <w:r w:rsidR="00CB603C" w:rsidRPr="00247321">
        <w:rPr>
          <w:bCs/>
        </w:rPr>
        <w:t xml:space="preserve">Proizvodnja </w:t>
      </w:r>
      <w:r w:rsidR="00CB603C" w:rsidRPr="00344240">
        <w:rPr>
          <w:bCs/>
        </w:rPr>
        <w:t>večine panog je bila</w:t>
      </w:r>
      <w:r w:rsidR="0074196B" w:rsidRPr="00344240">
        <w:rPr>
          <w:bCs/>
        </w:rPr>
        <w:t xml:space="preserve"> oktobra</w:t>
      </w:r>
      <w:r w:rsidR="00CB603C" w:rsidRPr="00344240">
        <w:rPr>
          <w:bCs/>
        </w:rPr>
        <w:t xml:space="preserve"> nižja tudi medletno. </w:t>
      </w:r>
      <w:r w:rsidR="009108E5">
        <w:rPr>
          <w:bCs/>
        </w:rPr>
        <w:t>Vrednost opravljenih gradbenih del</w:t>
      </w:r>
      <w:r w:rsidR="00E008B8">
        <w:rPr>
          <w:bCs/>
        </w:rPr>
        <w:t xml:space="preserve"> </w:t>
      </w:r>
      <w:r w:rsidR="000F75E7">
        <w:rPr>
          <w:bCs/>
        </w:rPr>
        <w:t>se</w:t>
      </w:r>
      <w:r w:rsidR="00170ADE">
        <w:rPr>
          <w:bCs/>
        </w:rPr>
        <w:t xml:space="preserve"> je</w:t>
      </w:r>
      <w:r w:rsidR="000F75E7">
        <w:rPr>
          <w:bCs/>
        </w:rPr>
        <w:t xml:space="preserve"> </w:t>
      </w:r>
      <w:r w:rsidR="003248C5">
        <w:rPr>
          <w:bCs/>
        </w:rPr>
        <w:t xml:space="preserve">v enajstih mesecih </w:t>
      </w:r>
      <w:r w:rsidR="003A6674" w:rsidRPr="003A6674">
        <w:rPr>
          <w:bCs/>
        </w:rPr>
        <w:t xml:space="preserve">leta 2022 </w:t>
      </w:r>
      <w:r w:rsidR="1F2B5C6C">
        <w:t xml:space="preserve">močno okrepila </w:t>
      </w:r>
      <w:r w:rsidR="4B7CDEC3">
        <w:t>in novembra za 44 %</w:t>
      </w:r>
      <w:r w:rsidR="217727C1">
        <w:t xml:space="preserve"> presegla raven iz prejšnjega leta. </w:t>
      </w:r>
      <w:r w:rsidR="006A798B" w:rsidRPr="00B256C1">
        <w:rPr>
          <w:bCs/>
        </w:rPr>
        <w:t>Obseg cestnega blagovnega prometa se je tudi v tretjem četrtletju 2022 precej znižal, obseg železniškega pa je stagniral</w:t>
      </w:r>
      <w:r w:rsidR="008E2871">
        <w:rPr>
          <w:bCs/>
        </w:rPr>
        <w:t>.</w:t>
      </w:r>
      <w:r w:rsidR="00186CE8">
        <w:t xml:space="preserve"> </w:t>
      </w:r>
      <w:r w:rsidR="00F87E43" w:rsidRPr="00F87E43">
        <w:t>K občutnemu zniževanju presežka tekočega računa</w:t>
      </w:r>
      <w:r w:rsidR="00B62D1D">
        <w:t xml:space="preserve"> v prvih enajstih mesecih leta 2022</w:t>
      </w:r>
      <w:r w:rsidR="008D0379">
        <w:rPr>
          <w:rStyle w:val="Pripombasklic"/>
        </w:rPr>
        <w:t xml:space="preserve"> </w:t>
      </w:r>
      <w:r w:rsidR="00F87E43" w:rsidRPr="00F87E43">
        <w:t>je ob hitrejši rasti uvoza od izvoza blaga naj</w:t>
      </w:r>
      <w:r w:rsidR="005E2A43">
        <w:t>več</w:t>
      </w:r>
      <w:r w:rsidR="00F87E43" w:rsidRPr="00F87E43">
        <w:t xml:space="preserve"> prispeval blagovni saldo.</w:t>
      </w:r>
    </w:p>
    <w:p w14:paraId="699C14D3" w14:textId="6719295C" w:rsidR="006A798B" w:rsidRDefault="006A798B" w:rsidP="001F51CD">
      <w:pPr>
        <w:tabs>
          <w:tab w:val="left" w:pos="580"/>
        </w:tabs>
      </w:pPr>
    </w:p>
    <w:p w14:paraId="5DD718CB" w14:textId="77777777" w:rsidR="00521709" w:rsidRDefault="00521709" w:rsidP="001F51CD">
      <w:pPr>
        <w:tabs>
          <w:tab w:val="left" w:pos="580"/>
        </w:tabs>
      </w:pP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3098"/>
        <w:gridCol w:w="1559"/>
      </w:tblGrid>
      <w:tr w:rsidR="006A798B" w:rsidRPr="003B5760" w14:paraId="16AD8FF1" w14:textId="77777777" w:rsidTr="001E1947">
        <w:trPr>
          <w:trHeight w:val="207"/>
        </w:trPr>
        <w:tc>
          <w:tcPr>
            <w:tcW w:w="8080" w:type="dxa"/>
            <w:gridSpan w:val="2"/>
            <w:tcBorders>
              <w:bottom w:val="single" w:sz="4" w:space="0" w:color="auto"/>
            </w:tcBorders>
            <w:tcMar>
              <w:left w:w="0" w:type="dxa"/>
            </w:tcMar>
          </w:tcPr>
          <w:p w14:paraId="6603F7C5" w14:textId="77777777" w:rsidR="006A798B" w:rsidRPr="003B5760" w:rsidRDefault="006A798B" w:rsidP="009C42CB">
            <w:pPr>
              <w:jc w:val="left"/>
              <w:rPr>
                <w:b/>
              </w:rPr>
            </w:pPr>
            <w:r w:rsidRPr="003B5760">
              <w:rPr>
                <w:b/>
              </w:rPr>
              <w:t xml:space="preserve">Vrednost davčno potrjenih računov, nominalno, od </w:t>
            </w:r>
            <w:r w:rsidRPr="008B57C2">
              <w:rPr>
                <w:b/>
              </w:rPr>
              <w:t>25. decembra 2022 do 7. januarja</w:t>
            </w:r>
            <w:r w:rsidRPr="003B5760">
              <w:rPr>
                <w:b/>
              </w:rPr>
              <w:t xml:space="preserve"> 202</w:t>
            </w:r>
            <w:r>
              <w:rPr>
                <w:b/>
              </w:rPr>
              <w:t>3</w:t>
            </w:r>
          </w:p>
        </w:tc>
        <w:tc>
          <w:tcPr>
            <w:tcW w:w="1559" w:type="dxa"/>
            <w:tcBorders>
              <w:bottom w:val="single" w:sz="4" w:space="0" w:color="auto"/>
            </w:tcBorders>
          </w:tcPr>
          <w:p w14:paraId="41453275" w14:textId="77777777" w:rsidR="006A798B" w:rsidRPr="003B5760" w:rsidRDefault="006A798B" w:rsidP="009C42CB">
            <w:pPr>
              <w:rPr>
                <w:b/>
              </w:rPr>
            </w:pPr>
          </w:p>
        </w:tc>
      </w:tr>
      <w:tr w:rsidR="006A798B" w:rsidRPr="003B5760" w14:paraId="02694442" w14:textId="77777777" w:rsidTr="001E1947">
        <w:trPr>
          <w:trHeight w:val="1134"/>
        </w:trPr>
        <w:tc>
          <w:tcPr>
            <w:tcW w:w="4982" w:type="dxa"/>
            <w:tcBorders>
              <w:top w:val="single" w:sz="4" w:space="0" w:color="auto"/>
            </w:tcBorders>
            <w:tcMar>
              <w:left w:w="0" w:type="dxa"/>
            </w:tcMar>
          </w:tcPr>
          <w:p w14:paraId="1B77D76F" w14:textId="77777777" w:rsidR="006A798B" w:rsidRPr="003B5760" w:rsidRDefault="006A798B" w:rsidP="009C42CB">
            <w:pPr>
              <w:contextualSpacing/>
              <w:rPr>
                <w:noProof/>
              </w:rPr>
            </w:pPr>
            <w:r>
              <w:rPr>
                <w:noProof/>
              </w:rPr>
              <w:drawing>
                <wp:inline distT="0" distB="0" distL="0" distR="0" wp14:anchorId="1B6C44F0" wp14:editId="239D5E11">
                  <wp:extent cx="3009600" cy="2458800"/>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600" cy="2458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F9090B8" w14:textId="77777777" w:rsidR="006A798B" w:rsidRPr="00033310" w:rsidRDefault="006A798B" w:rsidP="009C42CB">
            <w:pPr>
              <w:rPr>
                <w:rFonts w:eastAsia="Myriad Pro" w:cs="Myriad Pro"/>
                <w:color w:val="000000" w:themeColor="text1"/>
                <w:lang w:val="sl"/>
              </w:rPr>
            </w:pPr>
            <w:r w:rsidRPr="00033310">
              <w:rPr>
                <w:rFonts w:eastAsia="Myriad Pro" w:cs="Myriad Pro"/>
                <w:b/>
                <w:bCs/>
                <w:color w:val="000000" w:themeColor="text1"/>
                <w:lang w:val="sl"/>
              </w:rPr>
              <w:t>Nominalna vrednost davčno potrjenih računov je bila med 25. decembrom 2022 in 7. januarjem 2023 ob visoki rasti cen medletno višja za 12 %.</w:t>
            </w:r>
            <w:r w:rsidRPr="00033310">
              <w:rPr>
                <w:rFonts w:eastAsia="Myriad Pro" w:cs="Myriad Pro"/>
                <w:color w:val="000000" w:themeColor="text1"/>
                <w:lang w:val="sl"/>
              </w:rPr>
              <w:t xml:space="preserve"> K podobni medletni nominalni rasti kot v preteklih dveh tednih je največ prispevala za desetino višja prodaja v trgovini, kjer je bilo izdanih za več kot tri četrtine skupne vrednosti davčno potrjenih računov. Na rast je pomembno vplivala tudi visoka, 43-odstotna, nominalna rast prodaje v gostinstvu, ki je bila tudi posledica nizke osnove</w:t>
            </w:r>
            <w:r w:rsidRPr="00033310">
              <w:rPr>
                <w:rFonts w:eastAsia="Myriad Pro" w:cs="Myriad Pro"/>
                <w:color w:val="000000" w:themeColor="text1"/>
                <w:vertAlign w:val="superscript"/>
                <w:lang w:val="sl"/>
              </w:rPr>
              <w:footnoteReference w:id="2"/>
            </w:r>
            <w:r w:rsidRPr="00033310">
              <w:rPr>
                <w:rFonts w:eastAsia="Myriad Pro" w:cs="Myriad Pro"/>
                <w:color w:val="000000" w:themeColor="text1"/>
                <w:lang w:val="sl"/>
              </w:rPr>
              <w:t xml:space="preserve">. </w:t>
            </w:r>
          </w:p>
          <w:p w14:paraId="480CC30D" w14:textId="77777777" w:rsidR="006A798B" w:rsidRPr="003B5760" w:rsidRDefault="006A798B" w:rsidP="009C42CB">
            <w:pPr>
              <w:rPr>
                <w:rFonts w:eastAsia="Myriad Pro" w:cs="Myriad Pro"/>
                <w:lang w:val="sl"/>
              </w:rPr>
            </w:pPr>
          </w:p>
          <w:p w14:paraId="2CA3AC41" w14:textId="77777777" w:rsidR="006A798B" w:rsidRPr="003B5760" w:rsidRDefault="006A798B" w:rsidP="009C42CB">
            <w:pPr>
              <w:rPr>
                <w:rFonts w:eastAsia="Myriad Pro" w:cs="Myriad Pro"/>
                <w:color w:val="000000" w:themeColor="text1"/>
                <w:lang w:val="sl"/>
              </w:rPr>
            </w:pPr>
          </w:p>
          <w:p w14:paraId="1E140DFC" w14:textId="77777777" w:rsidR="006A798B" w:rsidRPr="003B5760" w:rsidRDefault="006A798B" w:rsidP="009C42CB"/>
        </w:tc>
      </w:tr>
    </w:tbl>
    <w:p w14:paraId="28528955" w14:textId="5802A756" w:rsidR="006A798B" w:rsidRDefault="006A798B" w:rsidP="001F51CD">
      <w:pPr>
        <w:tabs>
          <w:tab w:val="left" w:pos="580"/>
        </w:tabs>
      </w:pPr>
    </w:p>
    <w:p w14:paraId="78DA7E2F" w14:textId="7127B926" w:rsidR="006A798B" w:rsidRDefault="006A798B" w:rsidP="001F51CD">
      <w:pPr>
        <w:tabs>
          <w:tab w:val="left" w:pos="580"/>
        </w:tabs>
      </w:pPr>
    </w:p>
    <w:p w14:paraId="1BF6CC2F" w14:textId="7F5C8B85" w:rsidR="006A798B" w:rsidRDefault="006A798B">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121"/>
        <w:gridCol w:w="4536"/>
      </w:tblGrid>
      <w:tr w:rsidR="0055045A" w:rsidRPr="006C2117" w14:paraId="22A97048" w14:textId="77777777" w:rsidTr="001E1947">
        <w:trPr>
          <w:trHeight w:val="207"/>
        </w:trPr>
        <w:tc>
          <w:tcPr>
            <w:tcW w:w="5103" w:type="dxa"/>
            <w:gridSpan w:val="2"/>
            <w:tcBorders>
              <w:bottom w:val="single" w:sz="4" w:space="0" w:color="auto"/>
            </w:tcBorders>
            <w:tcMar>
              <w:left w:w="0" w:type="dxa"/>
            </w:tcMar>
          </w:tcPr>
          <w:p w14:paraId="1B8C1F05" w14:textId="3194F548" w:rsidR="0055045A" w:rsidRPr="006C2117" w:rsidRDefault="0055045A" w:rsidP="009C42CB">
            <w:pPr>
              <w:pStyle w:val="Naslov31"/>
              <w:jc w:val="left"/>
            </w:pPr>
            <w:r w:rsidRPr="009E45E5">
              <w:lastRenderedPageBreak/>
              <w:t xml:space="preserve">Poraba elektrike po odjemnih skupinah, </w:t>
            </w:r>
            <w:r>
              <w:t>december</w:t>
            </w:r>
            <w:r w:rsidRPr="009E45E5">
              <w:t xml:space="preserve"> 2022</w:t>
            </w:r>
          </w:p>
        </w:tc>
        <w:tc>
          <w:tcPr>
            <w:tcW w:w="4536" w:type="dxa"/>
            <w:tcBorders>
              <w:bottom w:val="single" w:sz="4" w:space="0" w:color="auto"/>
            </w:tcBorders>
          </w:tcPr>
          <w:p w14:paraId="698EB458" w14:textId="77777777" w:rsidR="0055045A" w:rsidRPr="006C2117" w:rsidRDefault="0055045A" w:rsidP="009C42CB">
            <w:pPr>
              <w:pStyle w:val="Naslov31"/>
            </w:pPr>
          </w:p>
        </w:tc>
      </w:tr>
      <w:tr w:rsidR="0055045A" w:rsidRPr="00DF4F0B" w14:paraId="03B96F57" w14:textId="77777777" w:rsidTr="001E1947">
        <w:trPr>
          <w:trHeight w:val="1134"/>
        </w:trPr>
        <w:tc>
          <w:tcPr>
            <w:tcW w:w="4982" w:type="dxa"/>
            <w:tcBorders>
              <w:top w:val="single" w:sz="4" w:space="0" w:color="auto"/>
            </w:tcBorders>
            <w:tcMar>
              <w:left w:w="0" w:type="dxa"/>
            </w:tcMar>
          </w:tcPr>
          <w:p w14:paraId="59454B9A" w14:textId="78931218" w:rsidR="0055045A" w:rsidRDefault="004F3C35" w:rsidP="009C42CB">
            <w:pPr>
              <w:pStyle w:val="Odstavekseznama"/>
              <w:ind w:left="0"/>
            </w:pPr>
            <w:r>
              <w:rPr>
                <w:noProof/>
              </w:rPr>
              <w:drawing>
                <wp:inline distT="0" distB="0" distL="0" distR="0" wp14:anchorId="3D2A2AF0" wp14:editId="5387B897">
                  <wp:extent cx="3092400" cy="2541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41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2723DCB" w14:textId="2E9FBFDA" w:rsidR="00177BF2" w:rsidRPr="00DF4F0B" w:rsidRDefault="00DA563D" w:rsidP="009C42CB">
            <w:r w:rsidRPr="00DA563D">
              <w:rPr>
                <w:b/>
                <w:bCs/>
              </w:rPr>
              <w:t>Decembra lani sta bili porabi elektrike industrijskih in gospodinjskih odjemalcev na distribucijs</w:t>
            </w:r>
            <w:r w:rsidR="00EF48C3">
              <w:rPr>
                <w:b/>
                <w:bCs/>
              </w:rPr>
              <w:t>k</w:t>
            </w:r>
            <w:r w:rsidRPr="00DA563D">
              <w:rPr>
                <w:b/>
                <w:bCs/>
              </w:rPr>
              <w:t xml:space="preserve">em omrežju </w:t>
            </w:r>
            <w:r w:rsidR="00362540">
              <w:rPr>
                <w:b/>
                <w:bCs/>
              </w:rPr>
              <w:t xml:space="preserve">medletno </w:t>
            </w:r>
            <w:r w:rsidRPr="00DA563D">
              <w:rPr>
                <w:b/>
                <w:bCs/>
              </w:rPr>
              <w:t xml:space="preserve">nižji, poraba malih poslovnih odjemalcev pa je bila višja. </w:t>
            </w:r>
            <w:r w:rsidRPr="00DA563D">
              <w:t>Industrijska poraba je bila glede na december 2021 nižja za 6,8</w:t>
            </w:r>
            <w:r w:rsidR="00B14AA8">
              <w:t> </w:t>
            </w:r>
            <w:r w:rsidRPr="00DA563D">
              <w:t>%, po naši oceni zaradi nižje porabe nekaterih energetsko intenzivnih podjetij, ki so pod vplivom visokih cen elektrike zmanjšala obseg proizvodnje</w:t>
            </w:r>
            <w:r w:rsidR="00642022">
              <w:t xml:space="preserve"> oz.</w:t>
            </w:r>
            <w:r w:rsidRPr="00DA563D">
              <w:t xml:space="preserve"> izboljšala energetsko učinkovitost proizvodnih procesov. Nižja kot decembra 2021 (za 2,6</w:t>
            </w:r>
            <w:r w:rsidR="00B14AA8">
              <w:t> </w:t>
            </w:r>
            <w:r w:rsidRPr="00DA563D">
              <w:t xml:space="preserve">%) je bila tudi gospodinjska poraba, </w:t>
            </w:r>
            <w:r w:rsidR="008650E3">
              <w:t>ocenjujemo, da v večji meri</w:t>
            </w:r>
            <w:r w:rsidR="008650E3" w:rsidRPr="00DA563D">
              <w:t xml:space="preserve"> </w:t>
            </w:r>
            <w:r w:rsidRPr="00DA563D">
              <w:t>zaradi varčnejše rabe energije</w:t>
            </w:r>
            <w:r w:rsidR="008650E3">
              <w:t xml:space="preserve">, </w:t>
            </w:r>
            <w:r w:rsidR="005C3909">
              <w:t>delno</w:t>
            </w:r>
            <w:r w:rsidR="008650E3">
              <w:t xml:space="preserve"> pa lahko</w:t>
            </w:r>
            <w:r w:rsidR="005C3909">
              <w:t xml:space="preserve"> tudi </w:t>
            </w:r>
            <w:r w:rsidRPr="00DA563D">
              <w:t>manjšega obsega dela od doma. Poraba malih poslovnih odjemalcev</w:t>
            </w:r>
            <w:r w:rsidRPr="00DA563D">
              <w:rPr>
                <w:vertAlign w:val="superscript"/>
              </w:rPr>
              <w:footnoteReference w:id="3"/>
            </w:r>
            <w:r w:rsidRPr="00DA563D">
              <w:t xml:space="preserve"> je bila decembra 2022 ob odsotnosti </w:t>
            </w:r>
            <w:r w:rsidR="00203FD7">
              <w:t xml:space="preserve">epidemičnih </w:t>
            </w:r>
            <w:r w:rsidRPr="00DA563D">
              <w:t>omejitvenih ukrepov za 2,2</w:t>
            </w:r>
            <w:r w:rsidR="00B14AA8">
              <w:t> </w:t>
            </w:r>
            <w:r w:rsidRPr="00DA563D">
              <w:t>% višja kot decembra 2021.</w:t>
            </w:r>
          </w:p>
        </w:tc>
      </w:tr>
    </w:tbl>
    <w:p w14:paraId="7BF100DE" w14:textId="1DE1B8D9" w:rsidR="003B5760" w:rsidRDefault="003B5760" w:rsidP="0055045A">
      <w:pPr>
        <w:tabs>
          <w:tab w:val="left" w:pos="580"/>
        </w:tabs>
      </w:pPr>
    </w:p>
    <w:p w14:paraId="0127A2B8" w14:textId="77777777" w:rsidR="003B5760" w:rsidRPr="003B5760" w:rsidRDefault="003B5760" w:rsidP="003B5760">
      <w:pPr>
        <w:tabs>
          <w:tab w:val="left" w:pos="580"/>
        </w:tabs>
      </w:pPr>
    </w:p>
    <w:p w14:paraId="7E103B6C" w14:textId="2AD987BD" w:rsidR="005A4B30" w:rsidRDefault="005A4B30" w:rsidP="0055045A">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1681"/>
        <w:gridCol w:w="2976"/>
      </w:tblGrid>
      <w:tr w:rsidR="005A4B30" w:rsidRPr="006C2117" w14:paraId="25B0CA61" w14:textId="77777777" w:rsidTr="001E1947">
        <w:trPr>
          <w:trHeight w:val="207"/>
        </w:trPr>
        <w:tc>
          <w:tcPr>
            <w:tcW w:w="6663" w:type="dxa"/>
            <w:gridSpan w:val="2"/>
            <w:tcBorders>
              <w:bottom w:val="single" w:sz="4" w:space="0" w:color="auto"/>
            </w:tcBorders>
            <w:tcMar>
              <w:left w:w="0" w:type="dxa"/>
            </w:tcMar>
          </w:tcPr>
          <w:p w14:paraId="0565C063" w14:textId="44086984" w:rsidR="005A4B30" w:rsidRPr="006C2117" w:rsidRDefault="005A4B30" w:rsidP="009C42CB">
            <w:pPr>
              <w:pStyle w:val="Naslov31"/>
              <w:jc w:val="left"/>
            </w:pPr>
            <w:r w:rsidRPr="00BA72A0">
              <w:t xml:space="preserve">Obseg proizvodnje v predelovalnih dejavnostih, </w:t>
            </w:r>
            <w:r>
              <w:t>november</w:t>
            </w:r>
            <w:r w:rsidRPr="00BA72A0">
              <w:t xml:space="preserve"> 2022</w:t>
            </w:r>
          </w:p>
        </w:tc>
        <w:tc>
          <w:tcPr>
            <w:tcW w:w="2976" w:type="dxa"/>
            <w:tcBorders>
              <w:bottom w:val="single" w:sz="4" w:space="0" w:color="auto"/>
            </w:tcBorders>
          </w:tcPr>
          <w:p w14:paraId="2B9246BF" w14:textId="77777777" w:rsidR="005A4B30" w:rsidRPr="006C2117" w:rsidRDefault="005A4B30" w:rsidP="009C42CB">
            <w:pPr>
              <w:pStyle w:val="Naslov31"/>
            </w:pPr>
          </w:p>
        </w:tc>
      </w:tr>
      <w:tr w:rsidR="005A4B30" w:rsidRPr="00DF4F0B" w14:paraId="2D91FEB9" w14:textId="77777777" w:rsidTr="001E1947">
        <w:trPr>
          <w:trHeight w:val="1134"/>
        </w:trPr>
        <w:tc>
          <w:tcPr>
            <w:tcW w:w="4982" w:type="dxa"/>
            <w:tcBorders>
              <w:top w:val="single" w:sz="4" w:space="0" w:color="auto"/>
            </w:tcBorders>
            <w:tcMar>
              <w:left w:w="0" w:type="dxa"/>
            </w:tcMar>
          </w:tcPr>
          <w:p w14:paraId="0A50BF89" w14:textId="1AC87A42" w:rsidR="005A4B30" w:rsidRDefault="00CD4BE3" w:rsidP="009C42CB">
            <w:pPr>
              <w:pStyle w:val="Odstavekseznama"/>
              <w:ind w:left="0"/>
              <w:rPr>
                <w:rFonts w:eastAsia="Arial"/>
                <w:szCs w:val="20"/>
              </w:rPr>
            </w:pPr>
            <w:r>
              <w:rPr>
                <w:rFonts w:eastAsia="Arial"/>
                <w:noProof/>
                <w:szCs w:val="20"/>
              </w:rPr>
              <w:drawing>
                <wp:inline distT="0" distB="0" distL="0" distR="0" wp14:anchorId="4F9F9ADE" wp14:editId="18070900">
                  <wp:extent cx="3085200" cy="258120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200" cy="2581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F2585FD" w14:textId="05EAC643" w:rsidR="005A4B30" w:rsidRPr="00DF4F0B" w:rsidRDefault="00196B1B" w:rsidP="009C42CB">
            <w:pPr>
              <w:spacing w:line="240" w:lineRule="atLeast"/>
              <w:rPr>
                <w:rFonts w:eastAsia="Arial"/>
                <w:szCs w:val="20"/>
              </w:rPr>
            </w:pPr>
            <w:r w:rsidRPr="00111843">
              <w:rPr>
                <w:rStyle w:val="VodilnistavekUMAR"/>
                <w:szCs w:val="18"/>
              </w:rPr>
              <w:t>Počasna krepitev aktivnosti predelovalnih dejavnosti iz prvih treh četrtletij 2022 se je proti koncu leta ustavila.</w:t>
            </w:r>
            <w:r w:rsidRPr="00B166EC">
              <w:rPr>
                <w:rFonts w:eastAsia="Arial"/>
                <w:bCs/>
                <w:szCs w:val="20"/>
              </w:rPr>
              <w:t xml:space="preserve"> </w:t>
            </w:r>
            <w:r w:rsidRPr="00604A55">
              <w:rPr>
                <w:rFonts w:eastAsia="Arial"/>
              </w:rPr>
              <w:t>Proizvodnja večine panog je bila nižja tudi medletno.</w:t>
            </w:r>
            <w:r w:rsidRPr="002A3BF5">
              <w:rPr>
                <w:rFonts w:eastAsia="Arial"/>
              </w:rPr>
              <w:t xml:space="preserve"> Po medletni rasti v prvi polovici leta je bila od sredine lanskega leta medletno nižja proizvodnja nizko tehnološko zahtevnih panog (poleg energetsko intenzivnejše papirne industrije, v zadnjih mesecih tudi lesna in pohištvena industrija ter proizvodnja živil). Predvsem oktobra in novembra so za </w:t>
            </w:r>
            <w:r w:rsidR="003829A7">
              <w:rPr>
                <w:rFonts w:eastAsia="Arial"/>
              </w:rPr>
              <w:t>r</w:t>
            </w:r>
            <w:r w:rsidRPr="002A3BF5">
              <w:rPr>
                <w:rFonts w:eastAsia="Arial"/>
              </w:rPr>
              <w:t xml:space="preserve">avnmi </w:t>
            </w:r>
            <w:r w:rsidR="003829A7">
              <w:rPr>
                <w:rFonts w:eastAsia="Arial"/>
              </w:rPr>
              <w:t xml:space="preserve">iz leta 2021 </w:t>
            </w:r>
            <w:r w:rsidRPr="002A3BF5">
              <w:rPr>
                <w:rFonts w:eastAsia="Arial"/>
              </w:rPr>
              <w:t>zaostale tudi srednje nizko (z izjemo proizvodnje kovinskih izdelkov, ki je energetsko manj intenzivna) in nekatere srednje visoko tehnološko zahtevne</w:t>
            </w:r>
            <w:r>
              <w:rPr>
                <w:rFonts w:eastAsia="Arial"/>
              </w:rPr>
              <w:t xml:space="preserve"> dejavnosti</w:t>
            </w:r>
            <w:r w:rsidRPr="002A3BF5">
              <w:rPr>
                <w:rFonts w:eastAsia="Arial"/>
              </w:rPr>
              <w:t xml:space="preserve">. Pri slednjih je to po naši oceni </w:t>
            </w:r>
            <w:r w:rsidR="0049386A">
              <w:rPr>
                <w:rFonts w:eastAsia="Arial"/>
              </w:rPr>
              <w:t>bolj</w:t>
            </w:r>
            <w:r w:rsidRPr="002A3BF5">
              <w:rPr>
                <w:rFonts w:eastAsia="Arial"/>
              </w:rPr>
              <w:t xml:space="preserve"> povezano z motnjami v dobavnih verigah in manjšim povpraševanjem (</w:t>
            </w:r>
            <w:r w:rsidR="0049386A">
              <w:rPr>
                <w:rFonts w:eastAsia="Arial"/>
              </w:rPr>
              <w:t xml:space="preserve">v </w:t>
            </w:r>
            <w:r w:rsidRPr="002A3BF5">
              <w:rPr>
                <w:rFonts w:eastAsia="Arial"/>
              </w:rPr>
              <w:t>proizvodnj</w:t>
            </w:r>
            <w:r w:rsidR="0049386A">
              <w:rPr>
                <w:rFonts w:eastAsia="Arial"/>
              </w:rPr>
              <w:t>i</w:t>
            </w:r>
            <w:r w:rsidRPr="002A3BF5">
              <w:rPr>
                <w:rFonts w:eastAsia="Arial"/>
              </w:rPr>
              <w:t xml:space="preserve"> motornih vozil, proizvodnj</w:t>
            </w:r>
            <w:r w:rsidR="0049386A">
              <w:rPr>
                <w:rFonts w:eastAsia="Arial"/>
              </w:rPr>
              <w:t>i</w:t>
            </w:r>
            <w:r w:rsidRPr="002A3BF5">
              <w:rPr>
                <w:rFonts w:eastAsia="Arial"/>
              </w:rPr>
              <w:t xml:space="preserve"> drugih strojev in naprav) kot energetsko intenzivnostjo (</w:t>
            </w:r>
            <w:r w:rsidR="006A592C">
              <w:rPr>
                <w:rFonts w:eastAsia="Arial"/>
              </w:rPr>
              <w:t xml:space="preserve">ki je večja v </w:t>
            </w:r>
            <w:r w:rsidRPr="002A3BF5">
              <w:rPr>
                <w:rFonts w:eastAsia="Arial"/>
              </w:rPr>
              <w:t>kemičn</w:t>
            </w:r>
            <w:r w:rsidR="006A592C">
              <w:rPr>
                <w:rFonts w:eastAsia="Arial"/>
              </w:rPr>
              <w:t>i</w:t>
            </w:r>
            <w:r w:rsidRPr="002A3BF5">
              <w:rPr>
                <w:rFonts w:eastAsia="Arial"/>
              </w:rPr>
              <w:t xml:space="preserve"> industrij</w:t>
            </w:r>
            <w:r w:rsidR="006A592C">
              <w:rPr>
                <w:rFonts w:eastAsia="Arial"/>
              </w:rPr>
              <w:t>i</w:t>
            </w:r>
            <w:r w:rsidRPr="002A3BF5">
              <w:rPr>
                <w:rFonts w:eastAsia="Arial"/>
              </w:rPr>
              <w:t>). Višja kot pred letom je ostala le proizvodnja visoko tehnološko zahtevnih proizvodnje IKT opreme in po naši oceni farmacevtske industrije, ki s</w:t>
            </w:r>
            <w:r w:rsidR="00B06B8E">
              <w:rPr>
                <w:rFonts w:eastAsia="Arial"/>
              </w:rPr>
              <w:t>ta</w:t>
            </w:r>
            <w:r w:rsidRPr="002A3BF5">
              <w:rPr>
                <w:rFonts w:eastAsia="Arial"/>
              </w:rPr>
              <w:t xml:space="preserve"> v prvih enajstih mesecih lani proizvodnjo povečal</w:t>
            </w:r>
            <w:r w:rsidR="00B06B8E">
              <w:rPr>
                <w:rFonts w:eastAsia="Arial"/>
              </w:rPr>
              <w:t>i</w:t>
            </w:r>
            <w:r w:rsidRPr="002A3BF5">
              <w:rPr>
                <w:rFonts w:eastAsia="Arial"/>
              </w:rPr>
              <w:t xml:space="preserve"> za petino glede na enako obdobje leto prej. Rast vseh ostalih panog je bila v enakem obdobju v povprečju manj kot 2-odstotna.</w:t>
            </w:r>
          </w:p>
        </w:tc>
      </w:tr>
    </w:tbl>
    <w:p w14:paraId="44BA038A" w14:textId="1D69172A" w:rsidR="005A4B30" w:rsidRDefault="005A4B30" w:rsidP="0055045A">
      <w:pPr>
        <w:tabs>
          <w:tab w:val="left" w:pos="580"/>
        </w:tabs>
      </w:pPr>
    </w:p>
    <w:p w14:paraId="1DD05E77" w14:textId="0342C82F" w:rsidR="00177BF2" w:rsidRDefault="00177BF2">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5A4B30" w14:paraId="4117C4FF" w14:textId="77777777" w:rsidTr="001E1947">
        <w:trPr>
          <w:trHeight w:val="207"/>
        </w:trPr>
        <w:tc>
          <w:tcPr>
            <w:tcW w:w="4819" w:type="dxa"/>
            <w:tcBorders>
              <w:bottom w:val="single" w:sz="4" w:space="0" w:color="auto"/>
            </w:tcBorders>
            <w:tcMar>
              <w:left w:w="0" w:type="dxa"/>
            </w:tcMar>
          </w:tcPr>
          <w:p w14:paraId="5DC4BD17" w14:textId="2E517B67" w:rsidR="005A4B30" w:rsidRPr="006C2117" w:rsidRDefault="005A4B30" w:rsidP="009C42CB">
            <w:pPr>
              <w:pStyle w:val="Naslov31"/>
              <w:jc w:val="left"/>
            </w:pPr>
            <w:r>
              <w:lastRenderedPageBreak/>
              <w:t>Aktivnost v gradbeništvu, november 2022</w:t>
            </w:r>
          </w:p>
        </w:tc>
        <w:tc>
          <w:tcPr>
            <w:tcW w:w="4820" w:type="dxa"/>
            <w:gridSpan w:val="2"/>
            <w:tcBorders>
              <w:bottom w:val="single" w:sz="4" w:space="0" w:color="auto"/>
            </w:tcBorders>
          </w:tcPr>
          <w:p w14:paraId="5F970E98" w14:textId="77777777" w:rsidR="005A4B30" w:rsidRPr="006C2117" w:rsidRDefault="005A4B30" w:rsidP="009C42CB">
            <w:pPr>
              <w:pStyle w:val="Naslov31"/>
            </w:pPr>
          </w:p>
        </w:tc>
      </w:tr>
      <w:tr w:rsidR="005A4B30" w:rsidRPr="00916FC4" w14:paraId="1D76CC9C" w14:textId="77777777" w:rsidTr="001E1947">
        <w:trPr>
          <w:trHeight w:val="1134"/>
        </w:trPr>
        <w:tc>
          <w:tcPr>
            <w:tcW w:w="4982" w:type="dxa"/>
            <w:gridSpan w:val="2"/>
            <w:tcBorders>
              <w:top w:val="single" w:sz="4" w:space="0" w:color="auto"/>
            </w:tcBorders>
            <w:tcMar>
              <w:left w:w="0" w:type="dxa"/>
            </w:tcMar>
          </w:tcPr>
          <w:p w14:paraId="47ED3411" w14:textId="4BCFE60E" w:rsidR="005A4B30" w:rsidRDefault="00F323EE" w:rsidP="009C42CB">
            <w:pPr>
              <w:pStyle w:val="Odstavekseznama"/>
              <w:ind w:left="0"/>
            </w:pPr>
            <w:r>
              <w:rPr>
                <w:noProof/>
              </w:rPr>
              <w:drawing>
                <wp:inline distT="0" distB="0" distL="0" distR="0" wp14:anchorId="2CC1474C" wp14:editId="01B9862D">
                  <wp:extent cx="3085200" cy="2523600"/>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200" cy="2523600"/>
                          </a:xfrm>
                          <a:prstGeom prst="rect">
                            <a:avLst/>
                          </a:prstGeom>
                          <a:noFill/>
                        </pic:spPr>
                      </pic:pic>
                    </a:graphicData>
                  </a:graphic>
                </wp:inline>
              </w:drawing>
            </w:r>
          </w:p>
        </w:tc>
        <w:tc>
          <w:tcPr>
            <w:tcW w:w="4657" w:type="dxa"/>
            <w:tcBorders>
              <w:top w:val="single" w:sz="4" w:space="0" w:color="auto"/>
            </w:tcBorders>
            <w:tcMar>
              <w:left w:w="284" w:type="dxa"/>
            </w:tcMar>
          </w:tcPr>
          <w:p w14:paraId="71F34A50" w14:textId="736049D9" w:rsidR="005A4B30" w:rsidRPr="00916FC4" w:rsidRDefault="46939C28" w:rsidP="009C42CB">
            <w:r w:rsidRPr="278D04BE">
              <w:rPr>
                <w:rFonts w:eastAsia="Myriad Pro" w:cs="Myriad Pro"/>
                <w:b/>
              </w:rPr>
              <w:t>Po podatkih o vrednosti opravljenih gradbenih del je bila novembra gradbena aktivnost znatno višj</w:t>
            </w:r>
            <w:r w:rsidR="00ED2CCF" w:rsidRPr="278D04BE">
              <w:rPr>
                <w:rFonts w:eastAsia="Myriad Pro" w:cs="Myriad Pro"/>
                <w:b/>
              </w:rPr>
              <w:t>a</w:t>
            </w:r>
            <w:r w:rsidRPr="278D04BE">
              <w:rPr>
                <w:rFonts w:eastAsia="Myriad Pro" w:cs="Myriad Pro"/>
                <w:b/>
              </w:rPr>
              <w:t xml:space="preserve"> kot </w:t>
            </w:r>
            <w:r w:rsidR="00A9494E">
              <w:rPr>
                <w:rFonts w:eastAsia="Myriad Pro" w:cs="Myriad Pro"/>
                <w:b/>
              </w:rPr>
              <w:t>leta 2021.</w:t>
            </w:r>
            <w:r w:rsidRPr="35C3A2D3">
              <w:rPr>
                <w:rFonts w:eastAsia="Myriad Pro" w:cs="Myriad Pro"/>
                <w:b/>
                <w:bCs/>
                <w:sz w:val="18"/>
                <w:szCs w:val="18"/>
              </w:rPr>
              <w:t xml:space="preserve"> </w:t>
            </w:r>
            <w:r w:rsidR="4A7F6A46" w:rsidRPr="0821F2F5">
              <w:rPr>
                <w:rFonts w:eastAsia="Myriad Pro" w:cs="Myriad Pro"/>
              </w:rPr>
              <w:t>Vrednost opravljenih gradbeni</w:t>
            </w:r>
            <w:r w:rsidR="00E34AE6">
              <w:rPr>
                <w:rFonts w:eastAsia="Myriad Pro" w:cs="Myriad Pro"/>
              </w:rPr>
              <w:t>h</w:t>
            </w:r>
            <w:r w:rsidR="4A7F6A46" w:rsidRPr="0821F2F5">
              <w:rPr>
                <w:rFonts w:eastAsia="Myriad Pro" w:cs="Myriad Pro"/>
              </w:rPr>
              <w:t xml:space="preserve"> del</w:t>
            </w:r>
            <w:r w:rsidR="00145D9A">
              <w:rPr>
                <w:rFonts w:eastAsia="Myriad Pro" w:cs="Myriad Pro"/>
              </w:rPr>
              <w:t xml:space="preserve"> </w:t>
            </w:r>
            <w:r w:rsidR="7B9D9414" w:rsidRPr="278D04BE">
              <w:rPr>
                <w:rFonts w:eastAsia="Myriad Pro" w:cs="Myriad Pro"/>
              </w:rPr>
              <w:t xml:space="preserve">se je </w:t>
            </w:r>
            <w:r w:rsidR="0C507E1D" w:rsidRPr="278D04BE">
              <w:rPr>
                <w:rFonts w:eastAsia="Myriad Pro" w:cs="Myriad Pro"/>
              </w:rPr>
              <w:t xml:space="preserve">v </w:t>
            </w:r>
            <w:r w:rsidR="7B9D9414" w:rsidRPr="278D04BE">
              <w:rPr>
                <w:rFonts w:eastAsia="Myriad Pro" w:cs="Myriad Pro"/>
              </w:rPr>
              <w:t>let</w:t>
            </w:r>
            <w:r w:rsidR="54122F4F" w:rsidRPr="278D04BE">
              <w:rPr>
                <w:rFonts w:eastAsia="Myriad Pro" w:cs="Myriad Pro"/>
              </w:rPr>
              <w:t>u</w:t>
            </w:r>
            <w:r w:rsidR="7B9D9414" w:rsidRPr="278D04BE">
              <w:rPr>
                <w:rFonts w:eastAsia="Myriad Pro" w:cs="Myriad Pro"/>
              </w:rPr>
              <w:t xml:space="preserve"> 2022 močno okrepila</w:t>
            </w:r>
            <w:r w:rsidRPr="278D04BE">
              <w:rPr>
                <w:rFonts w:eastAsia="Myriad Pro" w:cs="Myriad Pro"/>
              </w:rPr>
              <w:t xml:space="preserve"> in bila </w:t>
            </w:r>
            <w:r w:rsidR="11829A0B" w:rsidRPr="278D04BE">
              <w:rPr>
                <w:rFonts w:eastAsia="Myriad Pro" w:cs="Myriad Pro"/>
              </w:rPr>
              <w:t xml:space="preserve">novembra </w:t>
            </w:r>
            <w:r w:rsidRPr="278D04BE">
              <w:rPr>
                <w:rFonts w:eastAsia="Myriad Pro" w:cs="Myriad Pro"/>
              </w:rPr>
              <w:t>za 44</w:t>
            </w:r>
            <w:r w:rsidRPr="278D04BE">
              <w:rPr>
                <w:rFonts w:ascii="Arial" w:eastAsia="Arial" w:hAnsi="Arial" w:cs="Arial"/>
              </w:rPr>
              <w:t> </w:t>
            </w:r>
            <w:r w:rsidRPr="278D04BE">
              <w:rPr>
                <w:rFonts w:eastAsia="Myriad Pro" w:cs="Myriad Pro"/>
              </w:rPr>
              <w:t xml:space="preserve">% višja kot </w:t>
            </w:r>
            <w:r w:rsidR="49C09DB2" w:rsidRPr="278D04BE">
              <w:rPr>
                <w:rFonts w:eastAsia="Myriad Pro" w:cs="Myriad Pro"/>
              </w:rPr>
              <w:t>pred letom dni</w:t>
            </w:r>
            <w:r w:rsidRPr="278D04BE">
              <w:rPr>
                <w:rFonts w:eastAsia="Myriad Pro" w:cs="Myriad Pro"/>
              </w:rPr>
              <w:t>. V primerjavi s preteklimi leti po aktivnosti izstopa gradnja stavb, visoka je bila tudi v gradnji inženirskih objektov, v specializiranih gradbenih delih (inštalacijska dela, zaključna gradbena dela) pa nižja. Implicitni deflator vrednosti opravljenih gradbenih del (ki meri cene v gradbeništvu) je novembra znašal 17</w:t>
            </w:r>
            <w:r w:rsidRPr="278D04BE">
              <w:rPr>
                <w:rFonts w:ascii="Arial" w:eastAsia="Arial" w:hAnsi="Arial" w:cs="Arial"/>
              </w:rPr>
              <w:t> </w:t>
            </w:r>
            <w:r w:rsidRPr="278D04BE">
              <w:rPr>
                <w:rFonts w:eastAsia="Myriad Pro" w:cs="Myriad Pro"/>
              </w:rPr>
              <w:t xml:space="preserve">%, kar je sicer nekaj manj kot v predhodnih mesecih. </w:t>
            </w:r>
            <w:r w:rsidRPr="008D0379">
              <w:rPr>
                <w:rFonts w:eastAsia="Myriad Pro" w:cs="Myriad Pro"/>
                <w:i/>
              </w:rPr>
              <w:t>Nekateri drugi podatki</w:t>
            </w:r>
            <w:r w:rsidRPr="65A092BA">
              <w:rPr>
                <w:rFonts w:eastAsia="Myriad Pro" w:cs="Myriad Pro"/>
              </w:rPr>
              <w:t xml:space="preserve"> kažejo na znatno nižjo aktivnost v gradbeništvu. </w:t>
            </w:r>
            <w:r w:rsidR="2682A42F" w:rsidRPr="65A092BA">
              <w:rPr>
                <w:rFonts w:eastAsia="Myriad Pro" w:cs="Myriad Pro"/>
              </w:rPr>
              <w:t>V</w:t>
            </w:r>
            <w:r w:rsidRPr="65A092BA">
              <w:rPr>
                <w:rFonts w:eastAsia="Myriad Pro" w:cs="Myriad Pro"/>
              </w:rPr>
              <w:t>rednost industrijske proizvodnje v dveh dejavnostih, ki sta tradicionalno močno povezani z gradbeništvom, ne nakazuje tako visok</w:t>
            </w:r>
            <w:r w:rsidR="008C4F6A">
              <w:rPr>
                <w:rFonts w:eastAsia="Myriad Pro" w:cs="Myriad Pro"/>
              </w:rPr>
              <w:t>e</w:t>
            </w:r>
            <w:r w:rsidRPr="65A092BA">
              <w:rPr>
                <w:rFonts w:eastAsia="Myriad Pro" w:cs="Myriad Pro"/>
              </w:rPr>
              <w:t xml:space="preserve"> rast</w:t>
            </w:r>
            <w:r w:rsidR="00D45A5B">
              <w:rPr>
                <w:rFonts w:eastAsia="Myriad Pro" w:cs="Myriad Pro"/>
              </w:rPr>
              <w:t>i</w:t>
            </w:r>
            <w:r w:rsidRPr="65A092BA">
              <w:rPr>
                <w:rFonts w:eastAsia="Myriad Pro" w:cs="Myriad Pro"/>
              </w:rPr>
              <w:t xml:space="preserve">. V dejavnosti </w:t>
            </w:r>
            <w:r w:rsidR="00E61214">
              <w:rPr>
                <w:rFonts w:eastAsia="Myriad Pro" w:cs="Myriad Pro"/>
              </w:rPr>
              <w:t>pridobivanja</w:t>
            </w:r>
            <w:r w:rsidRPr="65A092BA">
              <w:rPr>
                <w:rFonts w:eastAsia="Myriad Pro" w:cs="Myriad Pro"/>
              </w:rPr>
              <w:t xml:space="preserve"> rudnin in kamnin je bila proizvodnja novembra 10 % višja</w:t>
            </w:r>
            <w:r w:rsidR="00D45A5B" w:rsidRPr="65A092BA">
              <w:rPr>
                <w:rFonts w:eastAsia="Myriad Pro" w:cs="Myriad Pro"/>
              </w:rPr>
              <w:t xml:space="preserve"> kot novembra 2021</w:t>
            </w:r>
            <w:r w:rsidRPr="65A092BA">
              <w:rPr>
                <w:rFonts w:eastAsia="Myriad Pro" w:cs="Myriad Pro"/>
              </w:rPr>
              <w:t>, v proizvodnji nekovinskih mineralnih izdelkov pa za 9</w:t>
            </w:r>
            <w:r w:rsidR="00646B2B" w:rsidRPr="65A092BA">
              <w:rPr>
                <w:rFonts w:eastAsia="Myriad Pro" w:cs="Myriad Pro"/>
              </w:rPr>
              <w:t> </w:t>
            </w:r>
            <w:r w:rsidRPr="65A092BA">
              <w:rPr>
                <w:rFonts w:eastAsia="Myriad Pro" w:cs="Myriad Pro"/>
              </w:rPr>
              <w:t>% nižja.</w:t>
            </w:r>
          </w:p>
        </w:tc>
      </w:tr>
    </w:tbl>
    <w:p w14:paraId="63AA7827" w14:textId="36A65E99" w:rsidR="005A4B30" w:rsidRDefault="005A4B30" w:rsidP="0055045A">
      <w:pPr>
        <w:tabs>
          <w:tab w:val="left" w:pos="580"/>
        </w:tabs>
      </w:pPr>
    </w:p>
    <w:p w14:paraId="2787D72B" w14:textId="21566051" w:rsidR="00356826" w:rsidRDefault="00356826" w:rsidP="0055045A">
      <w:pPr>
        <w:tabs>
          <w:tab w:val="left" w:pos="580"/>
        </w:tabs>
      </w:pPr>
    </w:p>
    <w:p w14:paraId="09B9D926" w14:textId="77777777" w:rsidR="00356826" w:rsidRDefault="00356826" w:rsidP="0055045A">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5010"/>
        <w:gridCol w:w="120"/>
        <w:gridCol w:w="4509"/>
      </w:tblGrid>
      <w:tr w:rsidR="0055045A" w:rsidRPr="006C2117" w14:paraId="03880D96" w14:textId="77777777" w:rsidTr="001E1947">
        <w:trPr>
          <w:trHeight w:val="207"/>
        </w:trPr>
        <w:tc>
          <w:tcPr>
            <w:tcW w:w="5103" w:type="dxa"/>
            <w:gridSpan w:val="2"/>
            <w:tcBorders>
              <w:bottom w:val="single" w:sz="4" w:space="0" w:color="auto"/>
            </w:tcBorders>
            <w:tcMar>
              <w:left w:w="0" w:type="dxa"/>
            </w:tcMar>
          </w:tcPr>
          <w:p w14:paraId="1F846B7F" w14:textId="19330F4D" w:rsidR="0055045A" w:rsidRPr="006C2117" w:rsidRDefault="0055045A" w:rsidP="009C42CB">
            <w:pPr>
              <w:pStyle w:val="Naslov31"/>
              <w:jc w:val="left"/>
            </w:pPr>
            <w:r w:rsidRPr="00BA72A0">
              <w:t>Tekoči račun plačilne bilance</w:t>
            </w:r>
            <w:r w:rsidR="004C43F3">
              <w:t>,</w:t>
            </w:r>
            <w:r w:rsidR="008C1367">
              <w:t xml:space="preserve"> november</w:t>
            </w:r>
            <w:r w:rsidRPr="00BA72A0">
              <w:t xml:space="preserve"> 2022</w:t>
            </w:r>
          </w:p>
        </w:tc>
        <w:tc>
          <w:tcPr>
            <w:tcW w:w="4536" w:type="dxa"/>
            <w:tcBorders>
              <w:bottom w:val="single" w:sz="4" w:space="0" w:color="auto"/>
            </w:tcBorders>
          </w:tcPr>
          <w:p w14:paraId="361CA238" w14:textId="77777777" w:rsidR="0055045A" w:rsidRPr="006C2117" w:rsidRDefault="0055045A" w:rsidP="009C42CB">
            <w:pPr>
              <w:pStyle w:val="Naslov31"/>
            </w:pPr>
          </w:p>
        </w:tc>
      </w:tr>
      <w:tr w:rsidR="0055045A" w:rsidRPr="00DF4F0B" w14:paraId="13A5E2E2" w14:textId="77777777" w:rsidTr="001E1947">
        <w:trPr>
          <w:trHeight w:val="1134"/>
        </w:trPr>
        <w:tc>
          <w:tcPr>
            <w:tcW w:w="4982" w:type="dxa"/>
            <w:tcBorders>
              <w:top w:val="single" w:sz="4" w:space="0" w:color="auto"/>
            </w:tcBorders>
            <w:tcMar>
              <w:left w:w="0" w:type="dxa"/>
            </w:tcMar>
          </w:tcPr>
          <w:p w14:paraId="157DD703" w14:textId="1285D613" w:rsidR="0055045A" w:rsidRDefault="004763D0" w:rsidP="009C42CB">
            <w:pPr>
              <w:pStyle w:val="Odstavekseznama"/>
              <w:ind w:left="0"/>
            </w:pPr>
            <w:r>
              <w:rPr>
                <w:noProof/>
              </w:rPr>
              <w:drawing>
                <wp:inline distT="0" distB="0" distL="0" distR="0" wp14:anchorId="10274746" wp14:editId="0E9E278E">
                  <wp:extent cx="3181350" cy="2643829"/>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666" cy="2652402"/>
                          </a:xfrm>
                          <a:prstGeom prst="rect">
                            <a:avLst/>
                          </a:prstGeom>
                          <a:noFill/>
                        </pic:spPr>
                      </pic:pic>
                    </a:graphicData>
                  </a:graphic>
                </wp:inline>
              </w:drawing>
            </w:r>
          </w:p>
        </w:tc>
        <w:tc>
          <w:tcPr>
            <w:tcW w:w="4657" w:type="dxa"/>
            <w:gridSpan w:val="2"/>
            <w:tcBorders>
              <w:top w:val="single" w:sz="4" w:space="0" w:color="auto"/>
            </w:tcBorders>
            <w:tcMar>
              <w:left w:w="284" w:type="dxa"/>
            </w:tcMar>
          </w:tcPr>
          <w:p w14:paraId="60E19F44" w14:textId="7737DC36" w:rsidR="0055045A" w:rsidRPr="00DF4F0B" w:rsidRDefault="0BA8E6D4" w:rsidP="009C42CB">
            <w:r w:rsidRPr="06B0947D">
              <w:rPr>
                <w:b/>
                <w:bCs/>
              </w:rPr>
              <w:t xml:space="preserve">Tekoči račun plačilne bilance je imel v prvih enajstih mesecih leta 2022 primanjkljaj </w:t>
            </w:r>
            <w:r w:rsidR="005726AD">
              <w:rPr>
                <w:b/>
                <w:bCs/>
              </w:rPr>
              <w:t xml:space="preserve">v </w:t>
            </w:r>
            <w:r w:rsidRPr="06B0947D">
              <w:rPr>
                <w:b/>
                <w:bCs/>
              </w:rPr>
              <w:t>višini  217,9 mio EUR, v enakem obdobju leta 2021 pa presežek v višini 2,2 mrd EUR.</w:t>
            </w:r>
            <w:r>
              <w:t xml:space="preserve"> </w:t>
            </w:r>
            <w:r w:rsidR="1AE10D58">
              <w:t xml:space="preserve">K </w:t>
            </w:r>
            <w:r>
              <w:t>občutn</w:t>
            </w:r>
            <w:r w:rsidR="7124ED09">
              <w:t xml:space="preserve">emu </w:t>
            </w:r>
            <w:r w:rsidR="543A9D5C">
              <w:t xml:space="preserve"> zniževanj</w:t>
            </w:r>
            <w:r w:rsidR="377E8501">
              <w:t>u</w:t>
            </w:r>
            <w:r>
              <w:t xml:space="preserve"> </w:t>
            </w:r>
            <w:r w:rsidR="10793878">
              <w:t>salda tekočega račun</w:t>
            </w:r>
            <w:r>
              <w:t>a je ob hitrejši rasti uvoza od izvoza blaga naj</w:t>
            </w:r>
            <w:r w:rsidR="00D229A6">
              <w:t>več</w:t>
            </w:r>
            <w:r>
              <w:t xml:space="preserve"> prispeval blagovni saldo, ki se </w:t>
            </w:r>
            <w:bookmarkStart w:id="0" w:name="_GoBack"/>
            <w:bookmarkEnd w:id="0"/>
            <w:r>
              <w:t xml:space="preserve">je </w:t>
            </w:r>
            <w:r w:rsidR="2C860950">
              <w:t>ž</w:t>
            </w:r>
            <w:r>
              <w:t>e konec leta 2021 prevesil v primanjkljaj. Storitveni presežek pa se je povečal, zlasti v menjavi potovanj, saj so bili prihodki od potovanj tujih turistov v Slovenijo medletno precej višji (za 1,2 mrd EUR) od izdatkov domačega prebivalstva za potovanja v tujino (za 0,5 mrd EUR). K rasti storitvenega presežka je prispevala tudi menjava transportnih storitev. Neto odlivi primarnih in sekundarnih dohodkov so bili medletno višji. Primanjkljaj primarnih dohodkov je bil višji predvsem zaradi več plačanih carin v proračun EU, poleg tega so bile nižje tudi prejete subvencije iz proračuna EU. Višji primanjkljaj sekundarnih dohodkov je izhajal iz višjih transferjev zasebnega sektorja v tujino.</w:t>
            </w:r>
          </w:p>
          <w:p w14:paraId="17AE4551" w14:textId="0C2D329F" w:rsidR="0055045A" w:rsidRPr="00DF4F0B" w:rsidRDefault="0055045A" w:rsidP="009C42CB"/>
        </w:tc>
      </w:tr>
    </w:tbl>
    <w:p w14:paraId="19676031" w14:textId="2DE1F698" w:rsidR="005304FD" w:rsidRDefault="005304FD" w:rsidP="0055045A">
      <w:pPr>
        <w:tabs>
          <w:tab w:val="left" w:pos="580"/>
        </w:tabs>
      </w:pPr>
    </w:p>
    <w:p w14:paraId="50BDE0F0" w14:textId="3FA2C78A" w:rsidR="00B14AA8" w:rsidRDefault="00B14AA8">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8"/>
        <w:gridCol w:w="1856"/>
        <w:gridCol w:w="2795"/>
      </w:tblGrid>
      <w:tr w:rsidR="005304FD" w:rsidRPr="008A2E00" w14:paraId="1F32C93F" w14:textId="77777777" w:rsidTr="001E1947">
        <w:trPr>
          <w:trHeight w:val="207"/>
        </w:trPr>
        <w:tc>
          <w:tcPr>
            <w:tcW w:w="6840" w:type="dxa"/>
            <w:gridSpan w:val="2"/>
            <w:tcBorders>
              <w:bottom w:val="single" w:sz="4" w:space="0" w:color="auto"/>
            </w:tcBorders>
            <w:tcMar>
              <w:left w:w="0" w:type="dxa"/>
            </w:tcMar>
          </w:tcPr>
          <w:p w14:paraId="18ADFD62" w14:textId="0B73EFE9" w:rsidR="005304FD" w:rsidRPr="008A2E00" w:rsidRDefault="005304FD" w:rsidP="009C42CB">
            <w:pPr>
              <w:jc w:val="left"/>
              <w:rPr>
                <w:b/>
              </w:rPr>
            </w:pPr>
            <w:r w:rsidRPr="00BA72A0">
              <w:rPr>
                <w:b/>
              </w:rPr>
              <w:lastRenderedPageBreak/>
              <w:t xml:space="preserve">Obseg cestnega in železniškega blagovnega prometa, </w:t>
            </w:r>
            <w:r>
              <w:rPr>
                <w:b/>
              </w:rPr>
              <w:t>3</w:t>
            </w:r>
            <w:r w:rsidRPr="00BA72A0">
              <w:rPr>
                <w:b/>
              </w:rPr>
              <w:t>. četrtletje 2022</w:t>
            </w:r>
          </w:p>
        </w:tc>
        <w:tc>
          <w:tcPr>
            <w:tcW w:w="2799" w:type="dxa"/>
            <w:tcBorders>
              <w:bottom w:val="single" w:sz="4" w:space="0" w:color="auto"/>
            </w:tcBorders>
          </w:tcPr>
          <w:p w14:paraId="65DE60C1" w14:textId="77777777" w:rsidR="005304FD" w:rsidRPr="008A2E00" w:rsidRDefault="005304FD" w:rsidP="009C42CB"/>
        </w:tc>
      </w:tr>
      <w:tr w:rsidR="005304FD" w:rsidRPr="008A2E00" w14:paraId="43DF35B3" w14:textId="77777777" w:rsidTr="001E1947">
        <w:trPr>
          <w:trHeight w:val="1134"/>
        </w:trPr>
        <w:tc>
          <w:tcPr>
            <w:tcW w:w="4982" w:type="dxa"/>
            <w:tcBorders>
              <w:top w:val="single" w:sz="4" w:space="0" w:color="auto"/>
            </w:tcBorders>
            <w:tcMar>
              <w:left w:w="0" w:type="dxa"/>
            </w:tcMar>
          </w:tcPr>
          <w:p w14:paraId="7A5F3666" w14:textId="1175FF34" w:rsidR="005304FD" w:rsidRPr="008A2E00" w:rsidRDefault="006D481D" w:rsidP="009C42CB">
            <w:pPr>
              <w:contextualSpacing/>
              <w:rPr>
                <w:rFonts w:eastAsia="Arial"/>
              </w:rPr>
            </w:pPr>
            <w:r>
              <w:rPr>
                <w:rFonts w:eastAsia="Arial"/>
                <w:noProof/>
              </w:rPr>
              <w:drawing>
                <wp:inline distT="0" distB="0" distL="0" distR="0" wp14:anchorId="30287CA0" wp14:editId="76CC19B8">
                  <wp:extent cx="3168000" cy="2512800"/>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000" cy="2512800"/>
                          </a:xfrm>
                          <a:prstGeom prst="rect">
                            <a:avLst/>
                          </a:prstGeom>
                          <a:noFill/>
                        </pic:spPr>
                      </pic:pic>
                    </a:graphicData>
                  </a:graphic>
                </wp:inline>
              </w:drawing>
            </w:r>
            <w:r w:rsidR="005304FD" w:rsidRPr="008A2E00">
              <w:br/>
            </w:r>
          </w:p>
        </w:tc>
        <w:tc>
          <w:tcPr>
            <w:tcW w:w="4657" w:type="dxa"/>
            <w:gridSpan w:val="2"/>
            <w:tcBorders>
              <w:top w:val="single" w:sz="4" w:space="0" w:color="auto"/>
            </w:tcBorders>
            <w:tcMar>
              <w:left w:w="284" w:type="dxa"/>
            </w:tcMar>
          </w:tcPr>
          <w:p w14:paraId="31B6CFF5" w14:textId="3B00B6B1" w:rsidR="005304FD" w:rsidRPr="0065447B" w:rsidRDefault="00EF48C3" w:rsidP="009C42CB">
            <w:pPr>
              <w:rPr>
                <w:bCs/>
              </w:rPr>
            </w:pPr>
            <w:r w:rsidRPr="6C5DEFC4">
              <w:rPr>
                <w:rFonts w:eastAsia="Myriad Pro" w:cs="Myriad Pro"/>
                <w:b/>
                <w:color w:val="000000"/>
              </w:rPr>
              <w:t xml:space="preserve">Obseg cestnega blagovnega prometa se je </w:t>
            </w:r>
            <w:r w:rsidRPr="6254799C">
              <w:rPr>
                <w:rFonts w:eastAsia="Myriad Pro" w:cs="Myriad Pro"/>
                <w:b/>
                <w:bCs/>
                <w:color w:val="000000"/>
              </w:rPr>
              <w:t xml:space="preserve">tudi </w:t>
            </w:r>
            <w:r w:rsidRPr="6C5DEFC4">
              <w:rPr>
                <w:rFonts w:eastAsia="Myriad Pro" w:cs="Myriad Pro"/>
                <w:b/>
                <w:color w:val="000000"/>
              </w:rPr>
              <w:t xml:space="preserve">v tretjem četrtletju 2022 precej znižal, obseg železniškega pa je stagniral. </w:t>
            </w:r>
            <w:r w:rsidRPr="6C5DEFC4">
              <w:rPr>
                <w:rFonts w:eastAsia="Myriad Pro" w:cs="Myriad Pro"/>
                <w:color w:val="000000"/>
              </w:rPr>
              <w:t xml:space="preserve">Obseg cestnih prevozov slovenskih prevoznikov se je medčetrtletno drugič zapored močno znižal in je bil v primerjavi z enakim četrtletjem leta 2019 za skoraj 5 % nižji (prevoz po tujini za 8 %, ostali cestni prevozi pa za 1 %). Veliko medčetrtletno znižanje je bilo sicer povezano z znižanjem obsega prevozov, ki vsaj delno potekajo po Sloveniji (izvoz, uvoz in notranji prevoz skupaj). Delež prevoza slovenskih prevoznikov po tujini v vseh prevozih se je tako precej povečal </w:t>
            </w:r>
            <w:r>
              <w:rPr>
                <w:rFonts w:eastAsia="Myriad Pro" w:cs="Myriad Pro"/>
                <w:color w:val="000000"/>
              </w:rPr>
              <w:t xml:space="preserve">(na 47 %) </w:t>
            </w:r>
            <w:r w:rsidRPr="6C5DEFC4">
              <w:rPr>
                <w:rFonts w:eastAsia="Myriad Pro" w:cs="Myriad Pro"/>
                <w:color w:val="000000"/>
              </w:rPr>
              <w:t xml:space="preserve">in ni </w:t>
            </w:r>
            <w:r>
              <w:rPr>
                <w:rFonts w:eastAsia="Myriad Pro" w:cs="Myriad Pro"/>
                <w:color w:val="000000"/>
              </w:rPr>
              <w:t xml:space="preserve">bil </w:t>
            </w:r>
            <w:r w:rsidRPr="6C5DEFC4">
              <w:rPr>
                <w:rFonts w:eastAsia="Myriad Pro" w:cs="Myriad Pro"/>
                <w:color w:val="000000"/>
              </w:rPr>
              <w:t xml:space="preserve">več bistveno </w:t>
            </w:r>
            <w:r w:rsidRPr="6C5DEFC4">
              <w:rPr>
                <w:rFonts w:eastAsia="Myriad Pro" w:cs="Myriad Pro"/>
                <w:color w:val="000000" w:themeColor="text1"/>
              </w:rPr>
              <w:t xml:space="preserve">nižji </w:t>
            </w:r>
            <w:r w:rsidRPr="6C5DEFC4">
              <w:rPr>
                <w:rFonts w:eastAsia="Myriad Pro" w:cs="Myriad Pro"/>
                <w:color w:val="000000"/>
              </w:rPr>
              <w:t>kot v enakem obdobju pred epidemijo (</w:t>
            </w:r>
            <w:r>
              <w:rPr>
                <w:rFonts w:eastAsia="Myriad Pro" w:cs="Myriad Pro"/>
                <w:color w:val="000000"/>
              </w:rPr>
              <w:t xml:space="preserve">ko je znašal </w:t>
            </w:r>
            <w:r w:rsidRPr="6C5DEFC4">
              <w:rPr>
                <w:rFonts w:eastAsia="Myriad Pro" w:cs="Myriad Pro"/>
                <w:color w:val="000000"/>
              </w:rPr>
              <w:t>4</w:t>
            </w:r>
            <w:r>
              <w:rPr>
                <w:rFonts w:eastAsia="Myriad Pro" w:cs="Myriad Pro"/>
                <w:color w:val="000000"/>
              </w:rPr>
              <w:t>9 %)</w:t>
            </w:r>
            <w:r w:rsidRPr="6254799C">
              <w:rPr>
                <w:rStyle w:val="Sprotnaopomba-sklic"/>
                <w:rFonts w:eastAsia="Myriad Pro" w:cs="Myriad Pro"/>
                <w:color w:val="000000"/>
              </w:rPr>
              <w:footnoteReference w:id="4"/>
            </w:r>
            <w:r w:rsidRPr="6C5DEFC4">
              <w:rPr>
                <w:rFonts w:eastAsia="Myriad Pro" w:cs="Myriad Pro"/>
                <w:color w:val="000000"/>
              </w:rPr>
              <w:t>. Železniški prevoz blaga, ki se je zniževal že pred epidemijo, je bil glede na enako četrtletje v letu 2019 za okoli 7</w:t>
            </w:r>
            <w:r w:rsidRPr="6C5DEFC4">
              <w:rPr>
                <w:rFonts w:eastAsia="Myriad Pro" w:cs="Myriad Pro"/>
                <w:color w:val="000000" w:themeColor="text1"/>
              </w:rPr>
              <w:t> % nižji.</w:t>
            </w:r>
          </w:p>
          <w:p w14:paraId="4D54A8DE" w14:textId="77777777" w:rsidR="005304FD" w:rsidRPr="008A2E00" w:rsidRDefault="005304FD" w:rsidP="009C42CB"/>
        </w:tc>
      </w:tr>
    </w:tbl>
    <w:p w14:paraId="6CEE9A9A" w14:textId="77777777" w:rsidR="005304FD" w:rsidRDefault="005304FD" w:rsidP="0055045A">
      <w:pPr>
        <w:tabs>
          <w:tab w:val="left" w:pos="580"/>
        </w:tabs>
      </w:pPr>
    </w:p>
    <w:p w14:paraId="04CC3922" w14:textId="77777777" w:rsidR="000103B0" w:rsidRDefault="000103B0" w:rsidP="000103B0">
      <w:pPr>
        <w:tabs>
          <w:tab w:val="left" w:pos="580"/>
        </w:tabs>
      </w:pPr>
    </w:p>
    <w:p w14:paraId="4FFDB88C" w14:textId="77777777" w:rsidR="0078321F" w:rsidRDefault="0078321F" w:rsidP="001F51CD">
      <w:pPr>
        <w:tabs>
          <w:tab w:val="left" w:pos="580"/>
        </w:tabs>
      </w:pPr>
    </w:p>
    <w:p w14:paraId="5511E549" w14:textId="77777777" w:rsidR="004270F3" w:rsidRDefault="004270F3" w:rsidP="004270F3">
      <w:pPr>
        <w:spacing w:after="160" w:line="259" w:lineRule="auto"/>
        <w:jc w:val="left"/>
      </w:pPr>
    </w:p>
    <w:p w14:paraId="2A960C72" w14:textId="77777777" w:rsidR="004270F3" w:rsidRDefault="004270F3" w:rsidP="004270F3">
      <w:pPr>
        <w:tabs>
          <w:tab w:val="left" w:pos="580"/>
        </w:tabs>
      </w:pPr>
    </w:p>
    <w:p w14:paraId="5C85C673" w14:textId="77777777" w:rsidR="00A8549D" w:rsidRDefault="00A8549D" w:rsidP="0005322C">
      <w:pPr>
        <w:spacing w:after="160" w:line="259" w:lineRule="auto"/>
        <w:jc w:val="left"/>
      </w:pPr>
    </w:p>
    <w:p w14:paraId="22475C0D" w14:textId="77777777" w:rsidR="00FE7254" w:rsidRPr="00FE7254" w:rsidRDefault="00FE7254" w:rsidP="00FE7254">
      <w:pPr>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6A312A6" w14:textId="7825831E" w:rsidR="002E69B6" w:rsidRPr="00887D7E" w:rsidRDefault="00A03A44" w:rsidP="00C26C8D">
      <w:pPr>
        <w:tabs>
          <w:tab w:val="left" w:pos="580"/>
        </w:tabs>
      </w:pPr>
      <w:r w:rsidRPr="00A03A44">
        <w:rPr>
          <w:noProof/>
        </w:rPr>
        <w:lastRenderedPageBreak/>
        <w:drawing>
          <wp:inline distT="0" distB="0" distL="0" distR="0" wp14:anchorId="51CE286E" wp14:editId="0091644B">
            <wp:extent cx="5927743" cy="9040483"/>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428" cy="9052204"/>
                    </a:xfrm>
                    <a:prstGeom prst="rect">
                      <a:avLst/>
                    </a:prstGeom>
                    <a:no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F8387" w16cex:dateUtc="2023-01-16T07:04:00Z"/>
  <w16cex:commentExtensible w16cex:durableId="265B08D8" w16cex:dateUtc="2023-01-13T13: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0F693" w14:textId="77777777" w:rsidR="00936EA3" w:rsidRDefault="00936EA3" w:rsidP="0063497B">
      <w:pPr>
        <w:spacing w:line="240" w:lineRule="auto"/>
      </w:pPr>
      <w:r>
        <w:separator/>
      </w:r>
    </w:p>
  </w:endnote>
  <w:endnote w:type="continuationSeparator" w:id="0">
    <w:p w14:paraId="044DF0D8" w14:textId="77777777" w:rsidR="00936EA3" w:rsidRDefault="00936EA3" w:rsidP="0063497B">
      <w:pPr>
        <w:spacing w:line="240" w:lineRule="auto"/>
      </w:pPr>
      <w:r>
        <w:continuationSeparator/>
      </w:r>
    </w:p>
  </w:endnote>
  <w:endnote w:type="continuationNotice" w:id="1">
    <w:p w14:paraId="28A279A1" w14:textId="77777777" w:rsidR="00936EA3" w:rsidRDefault="00936E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77777777" w:rsidR="00936EA3" w:rsidRPr="00363E63" w:rsidRDefault="00936EA3"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7777777" w:rsidR="00936EA3" w:rsidRPr="00363E63" w:rsidRDefault="00936EA3"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936EA3" w:rsidRPr="00C26C8D" w:rsidRDefault="00936EA3"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936EA3" w:rsidRPr="00C26C8D" w:rsidRDefault="00936EA3" w:rsidP="00C26C8D">
    <w:pPr>
      <w:pStyle w:val="Naslov31"/>
      <w:tabs>
        <w:tab w:val="right" w:pos="9638"/>
      </w:tabs>
      <w:jc w:val="left"/>
      <w:rPr>
        <w:b w:val="0"/>
        <w:sz w:val="18"/>
        <w:szCs w:val="18"/>
      </w:rPr>
    </w:pPr>
  </w:p>
  <w:p w14:paraId="6B87A005" w14:textId="77777777" w:rsidR="00936EA3" w:rsidRPr="00363E63" w:rsidRDefault="00936EA3"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4D2C3" w14:textId="77777777" w:rsidR="00936EA3" w:rsidRDefault="00936EA3" w:rsidP="0063497B">
      <w:pPr>
        <w:spacing w:line="240" w:lineRule="auto"/>
      </w:pPr>
      <w:r>
        <w:separator/>
      </w:r>
    </w:p>
  </w:footnote>
  <w:footnote w:type="continuationSeparator" w:id="0">
    <w:p w14:paraId="6CE41F6D" w14:textId="77777777" w:rsidR="00936EA3" w:rsidRDefault="00936EA3" w:rsidP="0063497B">
      <w:pPr>
        <w:spacing w:line="240" w:lineRule="auto"/>
      </w:pPr>
      <w:r>
        <w:continuationSeparator/>
      </w:r>
    </w:p>
  </w:footnote>
  <w:footnote w:type="continuationNotice" w:id="1">
    <w:p w14:paraId="57F57EE0" w14:textId="77777777" w:rsidR="00936EA3" w:rsidRDefault="00936EA3">
      <w:pPr>
        <w:spacing w:line="240" w:lineRule="auto"/>
      </w:pPr>
    </w:p>
  </w:footnote>
  <w:footnote w:id="2">
    <w:p w14:paraId="672E8977" w14:textId="79C77071" w:rsidR="00936EA3" w:rsidRPr="008D0379" w:rsidRDefault="00936EA3" w:rsidP="00D20B8C">
      <w:pPr>
        <w:pStyle w:val="Sprotnaopomba-besedilo"/>
      </w:pPr>
      <w:r w:rsidRPr="00B70374">
        <w:rPr>
          <w:rStyle w:val="Sprotnaopomba-sklic"/>
        </w:rPr>
        <w:footnoteRef/>
      </w:r>
      <w:r w:rsidRPr="00B70374">
        <w:t xml:space="preserve"> </w:t>
      </w:r>
      <w:r w:rsidRPr="008D0379">
        <w:t>Po septembrski razširitvi pogoja PCT na uporabnike večine storitev so se novembra 2021 ukrepi za zamejitev epidemije še zaostrili. Omejen je bil odpiralni čas gostinskih obratov, obratovanje diskotek in gostinskih lokalov, ki nudijo glasbo, ni bilo dovoljeno, omejeno je bilo zbiranje ljudi, pogoj PCT je bilo treba izkazati z veljavnim osebnim dokumentom itd.</w:t>
      </w:r>
    </w:p>
  </w:footnote>
  <w:footnote w:id="3">
    <w:p w14:paraId="699E275D" w14:textId="77777777" w:rsidR="00936EA3" w:rsidRDefault="00936EA3" w:rsidP="00DA563D">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4">
    <w:p w14:paraId="256D6C02" w14:textId="77777777" w:rsidR="00936EA3" w:rsidRDefault="00936EA3" w:rsidP="00EF48C3">
      <w:pPr>
        <w:pStyle w:val="Sprotnaopomba-besedilo"/>
      </w:pPr>
      <w:r>
        <w:rPr>
          <w:rStyle w:val="Sprotnaopomba-sklic"/>
        </w:rPr>
        <w:footnoteRef/>
      </w:r>
      <w:r>
        <w:t xml:space="preserve"> D</w:t>
      </w:r>
      <w:r w:rsidRPr="00AF28FC">
        <w:t xml:space="preserve">elež </w:t>
      </w:r>
      <w:r>
        <w:t xml:space="preserve">prevozov </w:t>
      </w:r>
      <w:r w:rsidRPr="00AF28FC">
        <w:t xml:space="preserve">tujih tovornih vozil na slovenskih avtocestah </w:t>
      </w:r>
      <w:r>
        <w:t>(merjeno v p</w:t>
      </w:r>
      <w:r w:rsidRPr="00AF28FC">
        <w:t>revoženih kilometr</w:t>
      </w:r>
      <w:r>
        <w:t>ih)</w:t>
      </w:r>
      <w:r w:rsidRPr="00AF28FC">
        <w:t xml:space="preserve"> </w:t>
      </w:r>
      <w:r>
        <w:t xml:space="preserve">je bil </w:t>
      </w:r>
      <w:r w:rsidRPr="00AF28FC">
        <w:t>po podatkih D</w:t>
      </w:r>
      <w:r>
        <w:t>arsa</w:t>
      </w:r>
      <w:r w:rsidRPr="00AF28FC">
        <w:t xml:space="preserve"> </w:t>
      </w:r>
      <w:r>
        <w:t xml:space="preserve">v 3. četrtletju 2022 glede na enako obdobje leta 2019 nižji </w:t>
      </w:r>
      <w:r w:rsidRPr="00AF28FC">
        <w:t>le za 1 o.</w:t>
      </w:r>
      <w:r>
        <w:t> </w:t>
      </w:r>
      <w:r w:rsidRPr="00AF28FC">
        <w: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741153B4" w:rsidR="00936EA3" w:rsidRDefault="00936EA3"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16. januar 2023</w:t>
    </w:r>
  </w:p>
  <w:p w14:paraId="4BCD6FCD" w14:textId="77777777" w:rsidR="00936EA3" w:rsidRDefault="00936EA3" w:rsidP="00FE7254">
    <w:pPr>
      <w:jc w:val="right"/>
    </w:pPr>
  </w:p>
  <w:p w14:paraId="2346E65D" w14:textId="77777777" w:rsidR="00936EA3" w:rsidRDefault="00936EA3" w:rsidP="00FE7254">
    <w:pPr>
      <w:jc w:val="right"/>
    </w:pPr>
  </w:p>
  <w:p w14:paraId="72003DEC" w14:textId="77777777" w:rsidR="00936EA3" w:rsidRDefault="00936EA3"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936EA3" w:rsidRPr="00C26C8D" w:rsidRDefault="00936EA3"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2D3E"/>
    <w:rsid w:val="000043C1"/>
    <w:rsid w:val="00004D56"/>
    <w:rsid w:val="00005E4B"/>
    <w:rsid w:val="00006396"/>
    <w:rsid w:val="000103B0"/>
    <w:rsid w:val="00014A64"/>
    <w:rsid w:val="00016923"/>
    <w:rsid w:val="00021C44"/>
    <w:rsid w:val="00022AF8"/>
    <w:rsid w:val="0002391A"/>
    <w:rsid w:val="00024EF0"/>
    <w:rsid w:val="000257A3"/>
    <w:rsid w:val="000258A5"/>
    <w:rsid w:val="00026AAA"/>
    <w:rsid w:val="00027640"/>
    <w:rsid w:val="00033310"/>
    <w:rsid w:val="000349C7"/>
    <w:rsid w:val="000407E8"/>
    <w:rsid w:val="00041021"/>
    <w:rsid w:val="0004116E"/>
    <w:rsid w:val="0004410D"/>
    <w:rsid w:val="00052A70"/>
    <w:rsid w:val="0005322C"/>
    <w:rsid w:val="00054458"/>
    <w:rsid w:val="00055BD4"/>
    <w:rsid w:val="00060DB5"/>
    <w:rsid w:val="00061F03"/>
    <w:rsid w:val="00062E0D"/>
    <w:rsid w:val="00064E87"/>
    <w:rsid w:val="00065B72"/>
    <w:rsid w:val="00066060"/>
    <w:rsid w:val="00070313"/>
    <w:rsid w:val="000703C7"/>
    <w:rsid w:val="00070B6E"/>
    <w:rsid w:val="00073C2B"/>
    <w:rsid w:val="00077F13"/>
    <w:rsid w:val="000802F5"/>
    <w:rsid w:val="00082FF2"/>
    <w:rsid w:val="00083B7F"/>
    <w:rsid w:val="00084B09"/>
    <w:rsid w:val="00087E6A"/>
    <w:rsid w:val="00092592"/>
    <w:rsid w:val="00096101"/>
    <w:rsid w:val="00097DD5"/>
    <w:rsid w:val="000A5A42"/>
    <w:rsid w:val="000A7BDC"/>
    <w:rsid w:val="000B2332"/>
    <w:rsid w:val="000B2627"/>
    <w:rsid w:val="000B4616"/>
    <w:rsid w:val="000B5067"/>
    <w:rsid w:val="000B5B96"/>
    <w:rsid w:val="000C15FE"/>
    <w:rsid w:val="000C450B"/>
    <w:rsid w:val="000C5DFC"/>
    <w:rsid w:val="000D3F8B"/>
    <w:rsid w:val="000D4661"/>
    <w:rsid w:val="000D7845"/>
    <w:rsid w:val="000E0B03"/>
    <w:rsid w:val="000F5315"/>
    <w:rsid w:val="000F75E7"/>
    <w:rsid w:val="00101E8B"/>
    <w:rsid w:val="00110B3C"/>
    <w:rsid w:val="00111843"/>
    <w:rsid w:val="00111DFE"/>
    <w:rsid w:val="00112B3E"/>
    <w:rsid w:val="00115501"/>
    <w:rsid w:val="00115E8D"/>
    <w:rsid w:val="00116531"/>
    <w:rsid w:val="00116668"/>
    <w:rsid w:val="00120162"/>
    <w:rsid w:val="00123A5A"/>
    <w:rsid w:val="00123D52"/>
    <w:rsid w:val="001255CD"/>
    <w:rsid w:val="00126339"/>
    <w:rsid w:val="0012725B"/>
    <w:rsid w:val="00127822"/>
    <w:rsid w:val="00133E20"/>
    <w:rsid w:val="0013769A"/>
    <w:rsid w:val="0014161A"/>
    <w:rsid w:val="00145D9A"/>
    <w:rsid w:val="001462A8"/>
    <w:rsid w:val="00150890"/>
    <w:rsid w:val="00150D0F"/>
    <w:rsid w:val="0016111E"/>
    <w:rsid w:val="00161807"/>
    <w:rsid w:val="00162E99"/>
    <w:rsid w:val="00163772"/>
    <w:rsid w:val="00165DA2"/>
    <w:rsid w:val="00166721"/>
    <w:rsid w:val="00167096"/>
    <w:rsid w:val="0016713C"/>
    <w:rsid w:val="00170ADE"/>
    <w:rsid w:val="00175B27"/>
    <w:rsid w:val="00176407"/>
    <w:rsid w:val="00177BF2"/>
    <w:rsid w:val="00181CF5"/>
    <w:rsid w:val="00182319"/>
    <w:rsid w:val="001846F0"/>
    <w:rsid w:val="001847BE"/>
    <w:rsid w:val="00184BC3"/>
    <w:rsid w:val="00186CE8"/>
    <w:rsid w:val="00187DC1"/>
    <w:rsid w:val="00190B5F"/>
    <w:rsid w:val="0019138D"/>
    <w:rsid w:val="001920B0"/>
    <w:rsid w:val="00192B58"/>
    <w:rsid w:val="00196B1B"/>
    <w:rsid w:val="00196BDC"/>
    <w:rsid w:val="0019717D"/>
    <w:rsid w:val="001A080A"/>
    <w:rsid w:val="001A0B7D"/>
    <w:rsid w:val="001A0C6A"/>
    <w:rsid w:val="001A0C98"/>
    <w:rsid w:val="001A30B1"/>
    <w:rsid w:val="001A3E47"/>
    <w:rsid w:val="001B475E"/>
    <w:rsid w:val="001B6AE7"/>
    <w:rsid w:val="001B7402"/>
    <w:rsid w:val="001C03A0"/>
    <w:rsid w:val="001C2D69"/>
    <w:rsid w:val="001C3331"/>
    <w:rsid w:val="001C3E55"/>
    <w:rsid w:val="001C4064"/>
    <w:rsid w:val="001D1DF5"/>
    <w:rsid w:val="001D2917"/>
    <w:rsid w:val="001D2B56"/>
    <w:rsid w:val="001D3E77"/>
    <w:rsid w:val="001D6793"/>
    <w:rsid w:val="001D76BE"/>
    <w:rsid w:val="001D7F11"/>
    <w:rsid w:val="001E1947"/>
    <w:rsid w:val="001E3587"/>
    <w:rsid w:val="001E3956"/>
    <w:rsid w:val="001E66B1"/>
    <w:rsid w:val="001F4E8F"/>
    <w:rsid w:val="001F51CD"/>
    <w:rsid w:val="001F5764"/>
    <w:rsid w:val="00203FD7"/>
    <w:rsid w:val="002040EA"/>
    <w:rsid w:val="0020683D"/>
    <w:rsid w:val="00206CB2"/>
    <w:rsid w:val="00210E8D"/>
    <w:rsid w:val="00213015"/>
    <w:rsid w:val="00215DA0"/>
    <w:rsid w:val="0022245A"/>
    <w:rsid w:val="002229E0"/>
    <w:rsid w:val="00222F75"/>
    <w:rsid w:val="0022644C"/>
    <w:rsid w:val="00226C04"/>
    <w:rsid w:val="002362D3"/>
    <w:rsid w:val="00236656"/>
    <w:rsid w:val="002374F8"/>
    <w:rsid w:val="0024119A"/>
    <w:rsid w:val="00242C71"/>
    <w:rsid w:val="0024323E"/>
    <w:rsid w:val="00243593"/>
    <w:rsid w:val="0024378B"/>
    <w:rsid w:val="002461D2"/>
    <w:rsid w:val="00246CF1"/>
    <w:rsid w:val="00247321"/>
    <w:rsid w:val="002511CF"/>
    <w:rsid w:val="00252158"/>
    <w:rsid w:val="00252E25"/>
    <w:rsid w:val="00253AF0"/>
    <w:rsid w:val="002551D9"/>
    <w:rsid w:val="00255F95"/>
    <w:rsid w:val="0026341B"/>
    <w:rsid w:val="0026509A"/>
    <w:rsid w:val="00266DD0"/>
    <w:rsid w:val="00271747"/>
    <w:rsid w:val="0027286B"/>
    <w:rsid w:val="00274D3F"/>
    <w:rsid w:val="00280045"/>
    <w:rsid w:val="0028665C"/>
    <w:rsid w:val="00287CEE"/>
    <w:rsid w:val="00290CA7"/>
    <w:rsid w:val="00291679"/>
    <w:rsid w:val="0029405F"/>
    <w:rsid w:val="00296BEC"/>
    <w:rsid w:val="002A62E5"/>
    <w:rsid w:val="002B025E"/>
    <w:rsid w:val="002B058F"/>
    <w:rsid w:val="002B0E16"/>
    <w:rsid w:val="002B113D"/>
    <w:rsid w:val="002B1CE8"/>
    <w:rsid w:val="002B4319"/>
    <w:rsid w:val="002B4C3A"/>
    <w:rsid w:val="002B5361"/>
    <w:rsid w:val="002B617D"/>
    <w:rsid w:val="002B67C9"/>
    <w:rsid w:val="002B7155"/>
    <w:rsid w:val="002C5AFE"/>
    <w:rsid w:val="002C75CC"/>
    <w:rsid w:val="002D46EF"/>
    <w:rsid w:val="002D753B"/>
    <w:rsid w:val="002D77C5"/>
    <w:rsid w:val="002E20DD"/>
    <w:rsid w:val="002E5771"/>
    <w:rsid w:val="002E64A4"/>
    <w:rsid w:val="002E69B6"/>
    <w:rsid w:val="002E6D32"/>
    <w:rsid w:val="002E6F0D"/>
    <w:rsid w:val="002E6FAD"/>
    <w:rsid w:val="002F00BB"/>
    <w:rsid w:val="002F0448"/>
    <w:rsid w:val="002F2D8F"/>
    <w:rsid w:val="002F45CB"/>
    <w:rsid w:val="002F73C1"/>
    <w:rsid w:val="00301B51"/>
    <w:rsid w:val="00305883"/>
    <w:rsid w:val="00306767"/>
    <w:rsid w:val="00310D5E"/>
    <w:rsid w:val="00312D09"/>
    <w:rsid w:val="003159CC"/>
    <w:rsid w:val="003248C5"/>
    <w:rsid w:val="003252A6"/>
    <w:rsid w:val="00325655"/>
    <w:rsid w:val="00325DFC"/>
    <w:rsid w:val="0032707E"/>
    <w:rsid w:val="0033042F"/>
    <w:rsid w:val="003305D2"/>
    <w:rsid w:val="00330DEB"/>
    <w:rsid w:val="00331DD6"/>
    <w:rsid w:val="00332186"/>
    <w:rsid w:val="00333B2F"/>
    <w:rsid w:val="0034057B"/>
    <w:rsid w:val="0034156F"/>
    <w:rsid w:val="00342F7A"/>
    <w:rsid w:val="0034385F"/>
    <w:rsid w:val="00344240"/>
    <w:rsid w:val="003443B1"/>
    <w:rsid w:val="00345706"/>
    <w:rsid w:val="00346E79"/>
    <w:rsid w:val="00350A64"/>
    <w:rsid w:val="00351781"/>
    <w:rsid w:val="003524EB"/>
    <w:rsid w:val="00353DB2"/>
    <w:rsid w:val="0035658B"/>
    <w:rsid w:val="00356826"/>
    <w:rsid w:val="00356832"/>
    <w:rsid w:val="00357EE7"/>
    <w:rsid w:val="0036158A"/>
    <w:rsid w:val="003616BC"/>
    <w:rsid w:val="00361B80"/>
    <w:rsid w:val="00362540"/>
    <w:rsid w:val="00363E63"/>
    <w:rsid w:val="003640E5"/>
    <w:rsid w:val="00364A8F"/>
    <w:rsid w:val="00365D68"/>
    <w:rsid w:val="00366D68"/>
    <w:rsid w:val="00371828"/>
    <w:rsid w:val="00374467"/>
    <w:rsid w:val="00374B90"/>
    <w:rsid w:val="0037709E"/>
    <w:rsid w:val="00380056"/>
    <w:rsid w:val="00381F22"/>
    <w:rsid w:val="003829A7"/>
    <w:rsid w:val="00383126"/>
    <w:rsid w:val="003831A6"/>
    <w:rsid w:val="00384D4F"/>
    <w:rsid w:val="0038500A"/>
    <w:rsid w:val="00386C31"/>
    <w:rsid w:val="00390947"/>
    <w:rsid w:val="00392E0E"/>
    <w:rsid w:val="00393D08"/>
    <w:rsid w:val="00394109"/>
    <w:rsid w:val="00394FBC"/>
    <w:rsid w:val="00396859"/>
    <w:rsid w:val="003974F8"/>
    <w:rsid w:val="003A0437"/>
    <w:rsid w:val="003A0CC1"/>
    <w:rsid w:val="003A1B12"/>
    <w:rsid w:val="003A23E4"/>
    <w:rsid w:val="003A26B5"/>
    <w:rsid w:val="003A49D8"/>
    <w:rsid w:val="003A6674"/>
    <w:rsid w:val="003B14A1"/>
    <w:rsid w:val="003B2E1F"/>
    <w:rsid w:val="003B3AB8"/>
    <w:rsid w:val="003B55C2"/>
    <w:rsid w:val="003B5760"/>
    <w:rsid w:val="003B76CF"/>
    <w:rsid w:val="003B7B25"/>
    <w:rsid w:val="003C0556"/>
    <w:rsid w:val="003C1005"/>
    <w:rsid w:val="003C104C"/>
    <w:rsid w:val="003C2454"/>
    <w:rsid w:val="003C3C52"/>
    <w:rsid w:val="003C44D9"/>
    <w:rsid w:val="003C614E"/>
    <w:rsid w:val="003C6951"/>
    <w:rsid w:val="003D0FA7"/>
    <w:rsid w:val="003D1203"/>
    <w:rsid w:val="003D33C1"/>
    <w:rsid w:val="003D58DF"/>
    <w:rsid w:val="003E0230"/>
    <w:rsid w:val="003E31E7"/>
    <w:rsid w:val="003E5239"/>
    <w:rsid w:val="003E5ADA"/>
    <w:rsid w:val="003E5C15"/>
    <w:rsid w:val="003E64D6"/>
    <w:rsid w:val="003E799C"/>
    <w:rsid w:val="003F30E4"/>
    <w:rsid w:val="003F4C1B"/>
    <w:rsid w:val="003F7AC7"/>
    <w:rsid w:val="004041D4"/>
    <w:rsid w:val="0040719E"/>
    <w:rsid w:val="004079CD"/>
    <w:rsid w:val="0041056D"/>
    <w:rsid w:val="004123A3"/>
    <w:rsid w:val="00415098"/>
    <w:rsid w:val="004204B9"/>
    <w:rsid w:val="004255B4"/>
    <w:rsid w:val="0042618B"/>
    <w:rsid w:val="004270F3"/>
    <w:rsid w:val="004271E0"/>
    <w:rsid w:val="00431E69"/>
    <w:rsid w:val="00431EDD"/>
    <w:rsid w:val="004338CC"/>
    <w:rsid w:val="004368FB"/>
    <w:rsid w:val="00445954"/>
    <w:rsid w:val="004461CB"/>
    <w:rsid w:val="00446303"/>
    <w:rsid w:val="0044650F"/>
    <w:rsid w:val="00452589"/>
    <w:rsid w:val="004527C3"/>
    <w:rsid w:val="00452804"/>
    <w:rsid w:val="004533D3"/>
    <w:rsid w:val="0045444B"/>
    <w:rsid w:val="00454E68"/>
    <w:rsid w:val="00455141"/>
    <w:rsid w:val="00461BCB"/>
    <w:rsid w:val="00462BA6"/>
    <w:rsid w:val="004636A5"/>
    <w:rsid w:val="00464D01"/>
    <w:rsid w:val="004652F7"/>
    <w:rsid w:val="00467144"/>
    <w:rsid w:val="0046726B"/>
    <w:rsid w:val="00467D2C"/>
    <w:rsid w:val="004712B8"/>
    <w:rsid w:val="004729A1"/>
    <w:rsid w:val="00472EF9"/>
    <w:rsid w:val="00472F14"/>
    <w:rsid w:val="0047514E"/>
    <w:rsid w:val="004763D0"/>
    <w:rsid w:val="00477274"/>
    <w:rsid w:val="00477624"/>
    <w:rsid w:val="00480215"/>
    <w:rsid w:val="0048123F"/>
    <w:rsid w:val="00482166"/>
    <w:rsid w:val="00485BB1"/>
    <w:rsid w:val="00487A30"/>
    <w:rsid w:val="0049386A"/>
    <w:rsid w:val="00496E7F"/>
    <w:rsid w:val="004970E5"/>
    <w:rsid w:val="00497D53"/>
    <w:rsid w:val="004A03E7"/>
    <w:rsid w:val="004A37A6"/>
    <w:rsid w:val="004A574A"/>
    <w:rsid w:val="004A6A8D"/>
    <w:rsid w:val="004B013F"/>
    <w:rsid w:val="004B235F"/>
    <w:rsid w:val="004B2A84"/>
    <w:rsid w:val="004B49B6"/>
    <w:rsid w:val="004C0A16"/>
    <w:rsid w:val="004C278D"/>
    <w:rsid w:val="004C2835"/>
    <w:rsid w:val="004C30D1"/>
    <w:rsid w:val="004C43F3"/>
    <w:rsid w:val="004C7373"/>
    <w:rsid w:val="004D0C06"/>
    <w:rsid w:val="004D1C88"/>
    <w:rsid w:val="004D1DBE"/>
    <w:rsid w:val="004D2BC3"/>
    <w:rsid w:val="004D2D1C"/>
    <w:rsid w:val="004D4230"/>
    <w:rsid w:val="004D63EF"/>
    <w:rsid w:val="004E107A"/>
    <w:rsid w:val="004E1AF2"/>
    <w:rsid w:val="004E1F41"/>
    <w:rsid w:val="004E2181"/>
    <w:rsid w:val="004E55DD"/>
    <w:rsid w:val="004F320B"/>
    <w:rsid w:val="004F34AB"/>
    <w:rsid w:val="004F3835"/>
    <w:rsid w:val="004F3C35"/>
    <w:rsid w:val="004F61F1"/>
    <w:rsid w:val="004F72E3"/>
    <w:rsid w:val="00506E6D"/>
    <w:rsid w:val="0050789C"/>
    <w:rsid w:val="00520115"/>
    <w:rsid w:val="00521709"/>
    <w:rsid w:val="005224F3"/>
    <w:rsid w:val="0052505D"/>
    <w:rsid w:val="005304FD"/>
    <w:rsid w:val="005321D5"/>
    <w:rsid w:val="005326CC"/>
    <w:rsid w:val="00533109"/>
    <w:rsid w:val="00534457"/>
    <w:rsid w:val="005361E9"/>
    <w:rsid w:val="0054158F"/>
    <w:rsid w:val="00544A5B"/>
    <w:rsid w:val="005468A2"/>
    <w:rsid w:val="00546DBF"/>
    <w:rsid w:val="0055045A"/>
    <w:rsid w:val="00555A80"/>
    <w:rsid w:val="00561C9A"/>
    <w:rsid w:val="0056428E"/>
    <w:rsid w:val="0056680E"/>
    <w:rsid w:val="00566D6E"/>
    <w:rsid w:val="005726AD"/>
    <w:rsid w:val="00573CF2"/>
    <w:rsid w:val="00575343"/>
    <w:rsid w:val="0058006D"/>
    <w:rsid w:val="0058052D"/>
    <w:rsid w:val="005806D5"/>
    <w:rsid w:val="00585652"/>
    <w:rsid w:val="005908AA"/>
    <w:rsid w:val="0059494D"/>
    <w:rsid w:val="005965AF"/>
    <w:rsid w:val="0059746F"/>
    <w:rsid w:val="005977D2"/>
    <w:rsid w:val="005A2EF5"/>
    <w:rsid w:val="005A4B30"/>
    <w:rsid w:val="005A70C8"/>
    <w:rsid w:val="005A7DEB"/>
    <w:rsid w:val="005B0823"/>
    <w:rsid w:val="005B0C7D"/>
    <w:rsid w:val="005B4C57"/>
    <w:rsid w:val="005B6FC5"/>
    <w:rsid w:val="005C0779"/>
    <w:rsid w:val="005C126C"/>
    <w:rsid w:val="005C2C5C"/>
    <w:rsid w:val="005C3876"/>
    <w:rsid w:val="005C3909"/>
    <w:rsid w:val="005C3B6F"/>
    <w:rsid w:val="005C489E"/>
    <w:rsid w:val="005C4BD6"/>
    <w:rsid w:val="005C4D2E"/>
    <w:rsid w:val="005D0551"/>
    <w:rsid w:val="005D285A"/>
    <w:rsid w:val="005D3726"/>
    <w:rsid w:val="005D71A4"/>
    <w:rsid w:val="005E2A43"/>
    <w:rsid w:val="005E5A25"/>
    <w:rsid w:val="005E6F08"/>
    <w:rsid w:val="005F2004"/>
    <w:rsid w:val="005F25DF"/>
    <w:rsid w:val="005F5C51"/>
    <w:rsid w:val="00600E28"/>
    <w:rsid w:val="0060240D"/>
    <w:rsid w:val="00602BA4"/>
    <w:rsid w:val="0060300C"/>
    <w:rsid w:val="00605C8B"/>
    <w:rsid w:val="00612374"/>
    <w:rsid w:val="00613F54"/>
    <w:rsid w:val="00613F73"/>
    <w:rsid w:val="00614A02"/>
    <w:rsid w:val="006232F8"/>
    <w:rsid w:val="00623BBE"/>
    <w:rsid w:val="006269CE"/>
    <w:rsid w:val="00632222"/>
    <w:rsid w:val="0063497B"/>
    <w:rsid w:val="00636B10"/>
    <w:rsid w:val="00637D5B"/>
    <w:rsid w:val="006404D5"/>
    <w:rsid w:val="00642022"/>
    <w:rsid w:val="006421BC"/>
    <w:rsid w:val="00643ACC"/>
    <w:rsid w:val="00646B2B"/>
    <w:rsid w:val="00650921"/>
    <w:rsid w:val="0065132B"/>
    <w:rsid w:val="00652795"/>
    <w:rsid w:val="00653924"/>
    <w:rsid w:val="0065447B"/>
    <w:rsid w:val="00654FA7"/>
    <w:rsid w:val="006571E5"/>
    <w:rsid w:val="00657585"/>
    <w:rsid w:val="00662E1E"/>
    <w:rsid w:val="0066322D"/>
    <w:rsid w:val="00671853"/>
    <w:rsid w:val="006744A8"/>
    <w:rsid w:val="00681569"/>
    <w:rsid w:val="00682412"/>
    <w:rsid w:val="006851CA"/>
    <w:rsid w:val="006875F1"/>
    <w:rsid w:val="00687A6B"/>
    <w:rsid w:val="00687E50"/>
    <w:rsid w:val="006965FC"/>
    <w:rsid w:val="006979EF"/>
    <w:rsid w:val="006A15CC"/>
    <w:rsid w:val="006A592C"/>
    <w:rsid w:val="006A595B"/>
    <w:rsid w:val="006A5981"/>
    <w:rsid w:val="006A6820"/>
    <w:rsid w:val="006A7079"/>
    <w:rsid w:val="006A798B"/>
    <w:rsid w:val="006B3D3D"/>
    <w:rsid w:val="006B60A0"/>
    <w:rsid w:val="006B73B6"/>
    <w:rsid w:val="006B7430"/>
    <w:rsid w:val="006B7DA3"/>
    <w:rsid w:val="006C2117"/>
    <w:rsid w:val="006C2E31"/>
    <w:rsid w:val="006C50E7"/>
    <w:rsid w:val="006C6657"/>
    <w:rsid w:val="006C66CB"/>
    <w:rsid w:val="006C6FC9"/>
    <w:rsid w:val="006C7DB4"/>
    <w:rsid w:val="006D3EED"/>
    <w:rsid w:val="006D481D"/>
    <w:rsid w:val="006D4A69"/>
    <w:rsid w:val="006D521A"/>
    <w:rsid w:val="006E04F6"/>
    <w:rsid w:val="006E1C81"/>
    <w:rsid w:val="006E6B3C"/>
    <w:rsid w:val="006F0B24"/>
    <w:rsid w:val="006F3B53"/>
    <w:rsid w:val="007016EF"/>
    <w:rsid w:val="00706ADD"/>
    <w:rsid w:val="00707EB5"/>
    <w:rsid w:val="007121F2"/>
    <w:rsid w:val="00714319"/>
    <w:rsid w:val="0071753C"/>
    <w:rsid w:val="0071783E"/>
    <w:rsid w:val="007206B1"/>
    <w:rsid w:val="00723863"/>
    <w:rsid w:val="00731125"/>
    <w:rsid w:val="00731B6F"/>
    <w:rsid w:val="0073387C"/>
    <w:rsid w:val="00737361"/>
    <w:rsid w:val="0074196B"/>
    <w:rsid w:val="0074344E"/>
    <w:rsid w:val="0074452D"/>
    <w:rsid w:val="0074466E"/>
    <w:rsid w:val="00744E82"/>
    <w:rsid w:val="00746F86"/>
    <w:rsid w:val="00750B0D"/>
    <w:rsid w:val="007511AD"/>
    <w:rsid w:val="00751346"/>
    <w:rsid w:val="007516A0"/>
    <w:rsid w:val="007544F0"/>
    <w:rsid w:val="00762194"/>
    <w:rsid w:val="00766241"/>
    <w:rsid w:val="00771468"/>
    <w:rsid w:val="00771D42"/>
    <w:rsid w:val="00777337"/>
    <w:rsid w:val="0078321F"/>
    <w:rsid w:val="00786303"/>
    <w:rsid w:val="0079410F"/>
    <w:rsid w:val="00794864"/>
    <w:rsid w:val="00795200"/>
    <w:rsid w:val="007971E2"/>
    <w:rsid w:val="007A0B59"/>
    <w:rsid w:val="007A1CD0"/>
    <w:rsid w:val="007A3A82"/>
    <w:rsid w:val="007A414F"/>
    <w:rsid w:val="007A4A47"/>
    <w:rsid w:val="007A56AD"/>
    <w:rsid w:val="007A79D4"/>
    <w:rsid w:val="007A7AD0"/>
    <w:rsid w:val="007B189A"/>
    <w:rsid w:val="007B63D3"/>
    <w:rsid w:val="007B6C89"/>
    <w:rsid w:val="007B7110"/>
    <w:rsid w:val="007C26AA"/>
    <w:rsid w:val="007C48CF"/>
    <w:rsid w:val="007D04F2"/>
    <w:rsid w:val="007D0791"/>
    <w:rsid w:val="007D164F"/>
    <w:rsid w:val="007D18A3"/>
    <w:rsid w:val="007D1929"/>
    <w:rsid w:val="007D3896"/>
    <w:rsid w:val="007D4A37"/>
    <w:rsid w:val="007E659C"/>
    <w:rsid w:val="007F1307"/>
    <w:rsid w:val="007F6069"/>
    <w:rsid w:val="00800BCD"/>
    <w:rsid w:val="00800D67"/>
    <w:rsid w:val="00801D7A"/>
    <w:rsid w:val="0080541B"/>
    <w:rsid w:val="00805D7C"/>
    <w:rsid w:val="00812D81"/>
    <w:rsid w:val="008137E0"/>
    <w:rsid w:val="00820AB1"/>
    <w:rsid w:val="0083025B"/>
    <w:rsid w:val="0083204F"/>
    <w:rsid w:val="00833E88"/>
    <w:rsid w:val="00835A2A"/>
    <w:rsid w:val="00835A70"/>
    <w:rsid w:val="008364AB"/>
    <w:rsid w:val="00840074"/>
    <w:rsid w:val="008433B0"/>
    <w:rsid w:val="0084348E"/>
    <w:rsid w:val="008442F2"/>
    <w:rsid w:val="00845AD9"/>
    <w:rsid w:val="00852E3D"/>
    <w:rsid w:val="00860582"/>
    <w:rsid w:val="008649A7"/>
    <w:rsid w:val="008650E3"/>
    <w:rsid w:val="00874615"/>
    <w:rsid w:val="008752A0"/>
    <w:rsid w:val="00877AB3"/>
    <w:rsid w:val="00882BE5"/>
    <w:rsid w:val="00883786"/>
    <w:rsid w:val="008837F0"/>
    <w:rsid w:val="00886885"/>
    <w:rsid w:val="00886AD3"/>
    <w:rsid w:val="00887D7E"/>
    <w:rsid w:val="00890A09"/>
    <w:rsid w:val="0089259B"/>
    <w:rsid w:val="00896C66"/>
    <w:rsid w:val="00896CDC"/>
    <w:rsid w:val="008977F3"/>
    <w:rsid w:val="008A0844"/>
    <w:rsid w:val="008A1022"/>
    <w:rsid w:val="008A14E9"/>
    <w:rsid w:val="008A2E00"/>
    <w:rsid w:val="008A3BAE"/>
    <w:rsid w:val="008A60FC"/>
    <w:rsid w:val="008A7049"/>
    <w:rsid w:val="008B019C"/>
    <w:rsid w:val="008B1DC9"/>
    <w:rsid w:val="008B57C2"/>
    <w:rsid w:val="008B7326"/>
    <w:rsid w:val="008BB599"/>
    <w:rsid w:val="008C04C4"/>
    <w:rsid w:val="008C1367"/>
    <w:rsid w:val="008C18D3"/>
    <w:rsid w:val="008C32FE"/>
    <w:rsid w:val="008C4F6A"/>
    <w:rsid w:val="008C5025"/>
    <w:rsid w:val="008C7628"/>
    <w:rsid w:val="008D0379"/>
    <w:rsid w:val="008D03DA"/>
    <w:rsid w:val="008E245D"/>
    <w:rsid w:val="008E2871"/>
    <w:rsid w:val="008E4669"/>
    <w:rsid w:val="008E65B2"/>
    <w:rsid w:val="008E752C"/>
    <w:rsid w:val="008E7947"/>
    <w:rsid w:val="008F2C7A"/>
    <w:rsid w:val="008F3E6B"/>
    <w:rsid w:val="00902C77"/>
    <w:rsid w:val="0090688B"/>
    <w:rsid w:val="009078DD"/>
    <w:rsid w:val="00910265"/>
    <w:rsid w:val="009108E5"/>
    <w:rsid w:val="00910A6B"/>
    <w:rsid w:val="0091385F"/>
    <w:rsid w:val="009165C4"/>
    <w:rsid w:val="00916FC4"/>
    <w:rsid w:val="0091753E"/>
    <w:rsid w:val="009203A2"/>
    <w:rsid w:val="0092237A"/>
    <w:rsid w:val="00922BAD"/>
    <w:rsid w:val="00926E02"/>
    <w:rsid w:val="0093183B"/>
    <w:rsid w:val="0093604B"/>
    <w:rsid w:val="00936BD2"/>
    <w:rsid w:val="00936EA3"/>
    <w:rsid w:val="00942927"/>
    <w:rsid w:val="00943A1A"/>
    <w:rsid w:val="00943DDD"/>
    <w:rsid w:val="009446E5"/>
    <w:rsid w:val="00946C4C"/>
    <w:rsid w:val="009470CD"/>
    <w:rsid w:val="00947144"/>
    <w:rsid w:val="00950039"/>
    <w:rsid w:val="0095229A"/>
    <w:rsid w:val="00957866"/>
    <w:rsid w:val="00957EAF"/>
    <w:rsid w:val="009611B7"/>
    <w:rsid w:val="009675AC"/>
    <w:rsid w:val="00971564"/>
    <w:rsid w:val="0097375C"/>
    <w:rsid w:val="009740C1"/>
    <w:rsid w:val="0097488C"/>
    <w:rsid w:val="00974CB2"/>
    <w:rsid w:val="00982A57"/>
    <w:rsid w:val="009840A7"/>
    <w:rsid w:val="00985EE4"/>
    <w:rsid w:val="009908D8"/>
    <w:rsid w:val="009909A4"/>
    <w:rsid w:val="009918B9"/>
    <w:rsid w:val="009930B0"/>
    <w:rsid w:val="009934E3"/>
    <w:rsid w:val="0099530C"/>
    <w:rsid w:val="009A0978"/>
    <w:rsid w:val="009A1E12"/>
    <w:rsid w:val="009A325F"/>
    <w:rsid w:val="009A7163"/>
    <w:rsid w:val="009A71BC"/>
    <w:rsid w:val="009B1E15"/>
    <w:rsid w:val="009B6102"/>
    <w:rsid w:val="009C12DA"/>
    <w:rsid w:val="009C1BE7"/>
    <w:rsid w:val="009C337E"/>
    <w:rsid w:val="009C3E88"/>
    <w:rsid w:val="009C42CB"/>
    <w:rsid w:val="009C4C87"/>
    <w:rsid w:val="009D0E1C"/>
    <w:rsid w:val="009D311B"/>
    <w:rsid w:val="009D4435"/>
    <w:rsid w:val="009D6BF3"/>
    <w:rsid w:val="009E1837"/>
    <w:rsid w:val="009E520E"/>
    <w:rsid w:val="009E540B"/>
    <w:rsid w:val="009E6CF8"/>
    <w:rsid w:val="009F074F"/>
    <w:rsid w:val="009F100D"/>
    <w:rsid w:val="009F1C52"/>
    <w:rsid w:val="009F2107"/>
    <w:rsid w:val="009F3678"/>
    <w:rsid w:val="009F6F44"/>
    <w:rsid w:val="009F75CB"/>
    <w:rsid w:val="00A03639"/>
    <w:rsid w:val="00A03A44"/>
    <w:rsid w:val="00A05383"/>
    <w:rsid w:val="00A072AA"/>
    <w:rsid w:val="00A107AD"/>
    <w:rsid w:val="00A129FF"/>
    <w:rsid w:val="00A12CFE"/>
    <w:rsid w:val="00A12DD2"/>
    <w:rsid w:val="00A14BB6"/>
    <w:rsid w:val="00A15DA9"/>
    <w:rsid w:val="00A21B66"/>
    <w:rsid w:val="00A22817"/>
    <w:rsid w:val="00A230D0"/>
    <w:rsid w:val="00A236E8"/>
    <w:rsid w:val="00A242E2"/>
    <w:rsid w:val="00A30DB1"/>
    <w:rsid w:val="00A355C7"/>
    <w:rsid w:val="00A35FCE"/>
    <w:rsid w:val="00A40776"/>
    <w:rsid w:val="00A42839"/>
    <w:rsid w:val="00A438E1"/>
    <w:rsid w:val="00A43E0A"/>
    <w:rsid w:val="00A47428"/>
    <w:rsid w:val="00A478D7"/>
    <w:rsid w:val="00A549BD"/>
    <w:rsid w:val="00A5668B"/>
    <w:rsid w:val="00A57F7D"/>
    <w:rsid w:val="00A62351"/>
    <w:rsid w:val="00A645CF"/>
    <w:rsid w:val="00A703DF"/>
    <w:rsid w:val="00A7050D"/>
    <w:rsid w:val="00A708D3"/>
    <w:rsid w:val="00A72977"/>
    <w:rsid w:val="00A736A0"/>
    <w:rsid w:val="00A75761"/>
    <w:rsid w:val="00A76391"/>
    <w:rsid w:val="00A807D0"/>
    <w:rsid w:val="00A8329F"/>
    <w:rsid w:val="00A8549D"/>
    <w:rsid w:val="00A87BFE"/>
    <w:rsid w:val="00A87E78"/>
    <w:rsid w:val="00A90395"/>
    <w:rsid w:val="00A91FD7"/>
    <w:rsid w:val="00A93BFF"/>
    <w:rsid w:val="00A9494E"/>
    <w:rsid w:val="00A9533C"/>
    <w:rsid w:val="00A96032"/>
    <w:rsid w:val="00AA0B7E"/>
    <w:rsid w:val="00AA1F25"/>
    <w:rsid w:val="00AA3703"/>
    <w:rsid w:val="00AA6CDE"/>
    <w:rsid w:val="00AA713B"/>
    <w:rsid w:val="00AB0C65"/>
    <w:rsid w:val="00AB1DF6"/>
    <w:rsid w:val="00AB4836"/>
    <w:rsid w:val="00AB6034"/>
    <w:rsid w:val="00AB74B0"/>
    <w:rsid w:val="00AB78C2"/>
    <w:rsid w:val="00AC328B"/>
    <w:rsid w:val="00AC6654"/>
    <w:rsid w:val="00AC7A8C"/>
    <w:rsid w:val="00AD1A82"/>
    <w:rsid w:val="00AD62C9"/>
    <w:rsid w:val="00AD675D"/>
    <w:rsid w:val="00AD6EFF"/>
    <w:rsid w:val="00AE2753"/>
    <w:rsid w:val="00AE3184"/>
    <w:rsid w:val="00AE3298"/>
    <w:rsid w:val="00AE3A0D"/>
    <w:rsid w:val="00AE5CA1"/>
    <w:rsid w:val="00AE6F57"/>
    <w:rsid w:val="00AE74D8"/>
    <w:rsid w:val="00AF17FE"/>
    <w:rsid w:val="00AF1FB6"/>
    <w:rsid w:val="00AF3058"/>
    <w:rsid w:val="00AF5265"/>
    <w:rsid w:val="00AF5EE3"/>
    <w:rsid w:val="00AF6CE4"/>
    <w:rsid w:val="00AF7D8F"/>
    <w:rsid w:val="00B00E5E"/>
    <w:rsid w:val="00B06B8E"/>
    <w:rsid w:val="00B10FE7"/>
    <w:rsid w:val="00B11BB6"/>
    <w:rsid w:val="00B12AB7"/>
    <w:rsid w:val="00B144A1"/>
    <w:rsid w:val="00B14AA8"/>
    <w:rsid w:val="00B2125E"/>
    <w:rsid w:val="00B21996"/>
    <w:rsid w:val="00B220A3"/>
    <w:rsid w:val="00B226C8"/>
    <w:rsid w:val="00B256C1"/>
    <w:rsid w:val="00B2692B"/>
    <w:rsid w:val="00B30231"/>
    <w:rsid w:val="00B32724"/>
    <w:rsid w:val="00B356B6"/>
    <w:rsid w:val="00B3704F"/>
    <w:rsid w:val="00B37413"/>
    <w:rsid w:val="00B375C5"/>
    <w:rsid w:val="00B40FC8"/>
    <w:rsid w:val="00B451B6"/>
    <w:rsid w:val="00B4702A"/>
    <w:rsid w:val="00B52F7E"/>
    <w:rsid w:val="00B545B7"/>
    <w:rsid w:val="00B56388"/>
    <w:rsid w:val="00B614F9"/>
    <w:rsid w:val="00B615A1"/>
    <w:rsid w:val="00B61616"/>
    <w:rsid w:val="00B62D1D"/>
    <w:rsid w:val="00B66CBE"/>
    <w:rsid w:val="00B70374"/>
    <w:rsid w:val="00B73062"/>
    <w:rsid w:val="00B738F6"/>
    <w:rsid w:val="00B7450D"/>
    <w:rsid w:val="00B76526"/>
    <w:rsid w:val="00B81133"/>
    <w:rsid w:val="00B82B15"/>
    <w:rsid w:val="00B8300F"/>
    <w:rsid w:val="00B92DA1"/>
    <w:rsid w:val="00B9429F"/>
    <w:rsid w:val="00BA06C6"/>
    <w:rsid w:val="00BA17CB"/>
    <w:rsid w:val="00BA1DBC"/>
    <w:rsid w:val="00BA206E"/>
    <w:rsid w:val="00BA4013"/>
    <w:rsid w:val="00BA4836"/>
    <w:rsid w:val="00BA51FC"/>
    <w:rsid w:val="00BA5775"/>
    <w:rsid w:val="00BA7BFE"/>
    <w:rsid w:val="00BB051A"/>
    <w:rsid w:val="00BB26CE"/>
    <w:rsid w:val="00BB361C"/>
    <w:rsid w:val="00BB596B"/>
    <w:rsid w:val="00BB6063"/>
    <w:rsid w:val="00BB6DF6"/>
    <w:rsid w:val="00BB73B2"/>
    <w:rsid w:val="00BC08EA"/>
    <w:rsid w:val="00BC41EA"/>
    <w:rsid w:val="00BC7B39"/>
    <w:rsid w:val="00BC7B46"/>
    <w:rsid w:val="00BD11DE"/>
    <w:rsid w:val="00BD1278"/>
    <w:rsid w:val="00BD270C"/>
    <w:rsid w:val="00BD445F"/>
    <w:rsid w:val="00BD6B2F"/>
    <w:rsid w:val="00BD74F8"/>
    <w:rsid w:val="00BE692D"/>
    <w:rsid w:val="00BF2574"/>
    <w:rsid w:val="00BF2667"/>
    <w:rsid w:val="00BF2BFC"/>
    <w:rsid w:val="00BF2F81"/>
    <w:rsid w:val="00BF39BE"/>
    <w:rsid w:val="00BF4529"/>
    <w:rsid w:val="00BF615A"/>
    <w:rsid w:val="00BF64FF"/>
    <w:rsid w:val="00C0394F"/>
    <w:rsid w:val="00C065C3"/>
    <w:rsid w:val="00C101AE"/>
    <w:rsid w:val="00C11346"/>
    <w:rsid w:val="00C11F86"/>
    <w:rsid w:val="00C12476"/>
    <w:rsid w:val="00C129F0"/>
    <w:rsid w:val="00C14F73"/>
    <w:rsid w:val="00C15AB6"/>
    <w:rsid w:val="00C170D6"/>
    <w:rsid w:val="00C26C8D"/>
    <w:rsid w:val="00C31DD3"/>
    <w:rsid w:val="00C33B13"/>
    <w:rsid w:val="00C37089"/>
    <w:rsid w:val="00C43D25"/>
    <w:rsid w:val="00C52E84"/>
    <w:rsid w:val="00C54755"/>
    <w:rsid w:val="00C57605"/>
    <w:rsid w:val="00C65B2C"/>
    <w:rsid w:val="00C66A32"/>
    <w:rsid w:val="00C7023C"/>
    <w:rsid w:val="00C71CE3"/>
    <w:rsid w:val="00C72C9C"/>
    <w:rsid w:val="00C73E30"/>
    <w:rsid w:val="00C74201"/>
    <w:rsid w:val="00C75108"/>
    <w:rsid w:val="00C75FAF"/>
    <w:rsid w:val="00C765E5"/>
    <w:rsid w:val="00C80811"/>
    <w:rsid w:val="00C8117C"/>
    <w:rsid w:val="00C8316C"/>
    <w:rsid w:val="00C926E8"/>
    <w:rsid w:val="00C92B01"/>
    <w:rsid w:val="00C938BC"/>
    <w:rsid w:val="00C9438F"/>
    <w:rsid w:val="00C96FE7"/>
    <w:rsid w:val="00CB185C"/>
    <w:rsid w:val="00CB2C49"/>
    <w:rsid w:val="00CB603C"/>
    <w:rsid w:val="00CB6AE4"/>
    <w:rsid w:val="00CC45DD"/>
    <w:rsid w:val="00CC6016"/>
    <w:rsid w:val="00CC6777"/>
    <w:rsid w:val="00CD4BE3"/>
    <w:rsid w:val="00CD619B"/>
    <w:rsid w:val="00CE3753"/>
    <w:rsid w:val="00CE5C98"/>
    <w:rsid w:val="00CF1BDD"/>
    <w:rsid w:val="00CF4288"/>
    <w:rsid w:val="00CF6407"/>
    <w:rsid w:val="00D04063"/>
    <w:rsid w:val="00D04ECC"/>
    <w:rsid w:val="00D1159C"/>
    <w:rsid w:val="00D127B3"/>
    <w:rsid w:val="00D149C7"/>
    <w:rsid w:val="00D20B8C"/>
    <w:rsid w:val="00D21920"/>
    <w:rsid w:val="00D229A6"/>
    <w:rsid w:val="00D260AB"/>
    <w:rsid w:val="00D269D1"/>
    <w:rsid w:val="00D2766A"/>
    <w:rsid w:val="00D27BDB"/>
    <w:rsid w:val="00D31062"/>
    <w:rsid w:val="00D312B6"/>
    <w:rsid w:val="00D3310E"/>
    <w:rsid w:val="00D33C9A"/>
    <w:rsid w:val="00D33D88"/>
    <w:rsid w:val="00D35253"/>
    <w:rsid w:val="00D353C3"/>
    <w:rsid w:val="00D41ECD"/>
    <w:rsid w:val="00D44A56"/>
    <w:rsid w:val="00D455E8"/>
    <w:rsid w:val="00D459DF"/>
    <w:rsid w:val="00D45A5B"/>
    <w:rsid w:val="00D46AC2"/>
    <w:rsid w:val="00D47930"/>
    <w:rsid w:val="00D523CB"/>
    <w:rsid w:val="00D569EB"/>
    <w:rsid w:val="00D57BBF"/>
    <w:rsid w:val="00D607C4"/>
    <w:rsid w:val="00D63CDD"/>
    <w:rsid w:val="00D63F14"/>
    <w:rsid w:val="00D64576"/>
    <w:rsid w:val="00D64755"/>
    <w:rsid w:val="00D6735E"/>
    <w:rsid w:val="00D67FB0"/>
    <w:rsid w:val="00D7085D"/>
    <w:rsid w:val="00D71373"/>
    <w:rsid w:val="00D7306E"/>
    <w:rsid w:val="00D7442E"/>
    <w:rsid w:val="00D76360"/>
    <w:rsid w:val="00D8114D"/>
    <w:rsid w:val="00D81D10"/>
    <w:rsid w:val="00D83D56"/>
    <w:rsid w:val="00D85678"/>
    <w:rsid w:val="00D8684F"/>
    <w:rsid w:val="00D87533"/>
    <w:rsid w:val="00D90505"/>
    <w:rsid w:val="00D92F22"/>
    <w:rsid w:val="00D95416"/>
    <w:rsid w:val="00D95B56"/>
    <w:rsid w:val="00DA1E71"/>
    <w:rsid w:val="00DA3067"/>
    <w:rsid w:val="00DA563D"/>
    <w:rsid w:val="00DA6949"/>
    <w:rsid w:val="00DB13A7"/>
    <w:rsid w:val="00DB1C32"/>
    <w:rsid w:val="00DC022D"/>
    <w:rsid w:val="00DC2376"/>
    <w:rsid w:val="00DC23A5"/>
    <w:rsid w:val="00DC5019"/>
    <w:rsid w:val="00DD0448"/>
    <w:rsid w:val="00DD1910"/>
    <w:rsid w:val="00DD46D5"/>
    <w:rsid w:val="00DE2568"/>
    <w:rsid w:val="00DE2EA9"/>
    <w:rsid w:val="00DE4ACB"/>
    <w:rsid w:val="00DE4AD4"/>
    <w:rsid w:val="00DE5B2B"/>
    <w:rsid w:val="00DE60F9"/>
    <w:rsid w:val="00DE72F6"/>
    <w:rsid w:val="00DF1DFE"/>
    <w:rsid w:val="00DF3707"/>
    <w:rsid w:val="00DF4F0B"/>
    <w:rsid w:val="00DF67EB"/>
    <w:rsid w:val="00DF7AA6"/>
    <w:rsid w:val="00E008B8"/>
    <w:rsid w:val="00E00D93"/>
    <w:rsid w:val="00E02608"/>
    <w:rsid w:val="00E02749"/>
    <w:rsid w:val="00E041E9"/>
    <w:rsid w:val="00E07F63"/>
    <w:rsid w:val="00E11672"/>
    <w:rsid w:val="00E12F63"/>
    <w:rsid w:val="00E1314C"/>
    <w:rsid w:val="00E1322D"/>
    <w:rsid w:val="00E1638D"/>
    <w:rsid w:val="00E1644B"/>
    <w:rsid w:val="00E24AAC"/>
    <w:rsid w:val="00E2711F"/>
    <w:rsid w:val="00E30F44"/>
    <w:rsid w:val="00E31B72"/>
    <w:rsid w:val="00E3247B"/>
    <w:rsid w:val="00E325C2"/>
    <w:rsid w:val="00E32672"/>
    <w:rsid w:val="00E33404"/>
    <w:rsid w:val="00E34AE6"/>
    <w:rsid w:val="00E37D62"/>
    <w:rsid w:val="00E4211E"/>
    <w:rsid w:val="00E42A69"/>
    <w:rsid w:val="00E44048"/>
    <w:rsid w:val="00E50887"/>
    <w:rsid w:val="00E518F8"/>
    <w:rsid w:val="00E51F92"/>
    <w:rsid w:val="00E56CF8"/>
    <w:rsid w:val="00E61214"/>
    <w:rsid w:val="00E62157"/>
    <w:rsid w:val="00E7094F"/>
    <w:rsid w:val="00E739CD"/>
    <w:rsid w:val="00E75E61"/>
    <w:rsid w:val="00E7791D"/>
    <w:rsid w:val="00E814D0"/>
    <w:rsid w:val="00E81806"/>
    <w:rsid w:val="00E84707"/>
    <w:rsid w:val="00E861F4"/>
    <w:rsid w:val="00E86721"/>
    <w:rsid w:val="00E8794E"/>
    <w:rsid w:val="00E915A6"/>
    <w:rsid w:val="00E919F2"/>
    <w:rsid w:val="00E93414"/>
    <w:rsid w:val="00E94401"/>
    <w:rsid w:val="00E9487C"/>
    <w:rsid w:val="00EA0317"/>
    <w:rsid w:val="00EA421C"/>
    <w:rsid w:val="00EA4574"/>
    <w:rsid w:val="00EA4B29"/>
    <w:rsid w:val="00EA6A7B"/>
    <w:rsid w:val="00EA7D9D"/>
    <w:rsid w:val="00EB5F8A"/>
    <w:rsid w:val="00EC03BE"/>
    <w:rsid w:val="00EC0667"/>
    <w:rsid w:val="00EC10EA"/>
    <w:rsid w:val="00EC1D8F"/>
    <w:rsid w:val="00EC2108"/>
    <w:rsid w:val="00EC57D6"/>
    <w:rsid w:val="00EC7394"/>
    <w:rsid w:val="00ED158E"/>
    <w:rsid w:val="00ED2CCF"/>
    <w:rsid w:val="00ED4168"/>
    <w:rsid w:val="00ED5889"/>
    <w:rsid w:val="00ED641A"/>
    <w:rsid w:val="00EE35BD"/>
    <w:rsid w:val="00EE44DD"/>
    <w:rsid w:val="00EE4CF6"/>
    <w:rsid w:val="00EE6669"/>
    <w:rsid w:val="00EE6D25"/>
    <w:rsid w:val="00EE7E6E"/>
    <w:rsid w:val="00EF0656"/>
    <w:rsid w:val="00EF1EC5"/>
    <w:rsid w:val="00EF299D"/>
    <w:rsid w:val="00EF3FD6"/>
    <w:rsid w:val="00EF48C3"/>
    <w:rsid w:val="00EF5D58"/>
    <w:rsid w:val="00F04564"/>
    <w:rsid w:val="00F05302"/>
    <w:rsid w:val="00F06812"/>
    <w:rsid w:val="00F071DA"/>
    <w:rsid w:val="00F12BD0"/>
    <w:rsid w:val="00F212CA"/>
    <w:rsid w:val="00F21549"/>
    <w:rsid w:val="00F24029"/>
    <w:rsid w:val="00F24273"/>
    <w:rsid w:val="00F2696C"/>
    <w:rsid w:val="00F304EF"/>
    <w:rsid w:val="00F31CA1"/>
    <w:rsid w:val="00F323EE"/>
    <w:rsid w:val="00F32C57"/>
    <w:rsid w:val="00F35718"/>
    <w:rsid w:val="00F409C1"/>
    <w:rsid w:val="00F41187"/>
    <w:rsid w:val="00F41E1A"/>
    <w:rsid w:val="00F43D0E"/>
    <w:rsid w:val="00F43F6C"/>
    <w:rsid w:val="00F45E68"/>
    <w:rsid w:val="00F47B15"/>
    <w:rsid w:val="00F53841"/>
    <w:rsid w:val="00F545EF"/>
    <w:rsid w:val="00F549BE"/>
    <w:rsid w:val="00F55E33"/>
    <w:rsid w:val="00F60147"/>
    <w:rsid w:val="00F65156"/>
    <w:rsid w:val="00F66E1B"/>
    <w:rsid w:val="00F66EE8"/>
    <w:rsid w:val="00F66FE5"/>
    <w:rsid w:val="00F70A74"/>
    <w:rsid w:val="00F7118E"/>
    <w:rsid w:val="00F74AD8"/>
    <w:rsid w:val="00F75751"/>
    <w:rsid w:val="00F759C1"/>
    <w:rsid w:val="00F8294E"/>
    <w:rsid w:val="00F837F0"/>
    <w:rsid w:val="00F87E43"/>
    <w:rsid w:val="00F91FE1"/>
    <w:rsid w:val="00F930F6"/>
    <w:rsid w:val="00FA45E3"/>
    <w:rsid w:val="00FA4C4B"/>
    <w:rsid w:val="00FA7397"/>
    <w:rsid w:val="00FA7EE2"/>
    <w:rsid w:val="00FB169A"/>
    <w:rsid w:val="00FB24ED"/>
    <w:rsid w:val="00FB2DCD"/>
    <w:rsid w:val="00FB2DEF"/>
    <w:rsid w:val="00FB5533"/>
    <w:rsid w:val="00FB6D2E"/>
    <w:rsid w:val="00FB6F03"/>
    <w:rsid w:val="00FC12D6"/>
    <w:rsid w:val="00FC2954"/>
    <w:rsid w:val="00FC4E13"/>
    <w:rsid w:val="00FC55E3"/>
    <w:rsid w:val="00FC639A"/>
    <w:rsid w:val="00FD01CA"/>
    <w:rsid w:val="00FD1641"/>
    <w:rsid w:val="00FD3751"/>
    <w:rsid w:val="00FD51D8"/>
    <w:rsid w:val="00FD6B74"/>
    <w:rsid w:val="00FE12B1"/>
    <w:rsid w:val="00FE2454"/>
    <w:rsid w:val="00FE625D"/>
    <w:rsid w:val="00FE7254"/>
    <w:rsid w:val="00FF187C"/>
    <w:rsid w:val="00FF2E64"/>
    <w:rsid w:val="00FF4415"/>
    <w:rsid w:val="00FF57BF"/>
    <w:rsid w:val="00FF5CF4"/>
    <w:rsid w:val="0123EA2B"/>
    <w:rsid w:val="0187B876"/>
    <w:rsid w:val="035D91B3"/>
    <w:rsid w:val="03E5D857"/>
    <w:rsid w:val="05175898"/>
    <w:rsid w:val="06999899"/>
    <w:rsid w:val="06B0947D"/>
    <w:rsid w:val="07FEC5F8"/>
    <w:rsid w:val="0821F2F5"/>
    <w:rsid w:val="0A27FA9A"/>
    <w:rsid w:val="0BA30B3D"/>
    <w:rsid w:val="0BA8E6D4"/>
    <w:rsid w:val="0C2FAB6C"/>
    <w:rsid w:val="0C507E1D"/>
    <w:rsid w:val="0D86178C"/>
    <w:rsid w:val="0F0B2645"/>
    <w:rsid w:val="0F73C0E0"/>
    <w:rsid w:val="0F8ABE4D"/>
    <w:rsid w:val="10793878"/>
    <w:rsid w:val="11829A0B"/>
    <w:rsid w:val="11C8D53B"/>
    <w:rsid w:val="12677E5A"/>
    <w:rsid w:val="1282E1A0"/>
    <w:rsid w:val="14D773A8"/>
    <w:rsid w:val="150075FD"/>
    <w:rsid w:val="161A47A2"/>
    <w:rsid w:val="16D7EF1A"/>
    <w:rsid w:val="170D092F"/>
    <w:rsid w:val="17C96060"/>
    <w:rsid w:val="1963C64C"/>
    <w:rsid w:val="1A6010B3"/>
    <w:rsid w:val="1AE10D58"/>
    <w:rsid w:val="1C7064D8"/>
    <w:rsid w:val="1CD4E2D4"/>
    <w:rsid w:val="1F2B5C6C"/>
    <w:rsid w:val="1F6EFF73"/>
    <w:rsid w:val="1F7749D5"/>
    <w:rsid w:val="1F8EE846"/>
    <w:rsid w:val="1F933687"/>
    <w:rsid w:val="1FA27049"/>
    <w:rsid w:val="209231AC"/>
    <w:rsid w:val="217727C1"/>
    <w:rsid w:val="21F19F53"/>
    <w:rsid w:val="2257CD22"/>
    <w:rsid w:val="25374F41"/>
    <w:rsid w:val="25E05F27"/>
    <w:rsid w:val="2682A42F"/>
    <w:rsid w:val="269637BF"/>
    <w:rsid w:val="278CE17C"/>
    <w:rsid w:val="278D04BE"/>
    <w:rsid w:val="28F1CD4C"/>
    <w:rsid w:val="2B17B018"/>
    <w:rsid w:val="2C860950"/>
    <w:rsid w:val="2CBA2D16"/>
    <w:rsid w:val="2CE1AD55"/>
    <w:rsid w:val="2D6C1016"/>
    <w:rsid w:val="2EBB53D9"/>
    <w:rsid w:val="2EDD5153"/>
    <w:rsid w:val="2F1086A5"/>
    <w:rsid w:val="302CF70A"/>
    <w:rsid w:val="305D0A7B"/>
    <w:rsid w:val="311756AC"/>
    <w:rsid w:val="312594C6"/>
    <w:rsid w:val="316DABEB"/>
    <w:rsid w:val="31D6CE73"/>
    <w:rsid w:val="323F8139"/>
    <w:rsid w:val="33A56BBA"/>
    <w:rsid w:val="3521EA3D"/>
    <w:rsid w:val="357D5926"/>
    <w:rsid w:val="35A0B659"/>
    <w:rsid w:val="35C3A2D3"/>
    <w:rsid w:val="37739683"/>
    <w:rsid w:val="377E8501"/>
    <w:rsid w:val="3922BE47"/>
    <w:rsid w:val="39D0784F"/>
    <w:rsid w:val="3B4DCA80"/>
    <w:rsid w:val="3BB8CE85"/>
    <w:rsid w:val="3BF6330B"/>
    <w:rsid w:val="3C6C1DAC"/>
    <w:rsid w:val="3DA4A47B"/>
    <w:rsid w:val="3E75F6D3"/>
    <w:rsid w:val="3EF8B526"/>
    <w:rsid w:val="401C8CDA"/>
    <w:rsid w:val="4068EE09"/>
    <w:rsid w:val="411F72FE"/>
    <w:rsid w:val="411F74E2"/>
    <w:rsid w:val="42AB7DC3"/>
    <w:rsid w:val="42C2FC55"/>
    <w:rsid w:val="42F9848C"/>
    <w:rsid w:val="42F98632"/>
    <w:rsid w:val="43ABD970"/>
    <w:rsid w:val="4419D94E"/>
    <w:rsid w:val="4482A7C8"/>
    <w:rsid w:val="46256977"/>
    <w:rsid w:val="467329E5"/>
    <w:rsid w:val="46939C28"/>
    <w:rsid w:val="47C139D8"/>
    <w:rsid w:val="48037AEF"/>
    <w:rsid w:val="481F72C6"/>
    <w:rsid w:val="489BD46E"/>
    <w:rsid w:val="48FD4927"/>
    <w:rsid w:val="49C09DB2"/>
    <w:rsid w:val="49F83CA4"/>
    <w:rsid w:val="4A7F6A46"/>
    <w:rsid w:val="4B4202CC"/>
    <w:rsid w:val="4B7CDE3D"/>
    <w:rsid w:val="4B7CDEC3"/>
    <w:rsid w:val="4BD44F24"/>
    <w:rsid w:val="4C7B829E"/>
    <w:rsid w:val="4C94AAFB"/>
    <w:rsid w:val="4E8D757F"/>
    <w:rsid w:val="4EA37C92"/>
    <w:rsid w:val="4EB69FFD"/>
    <w:rsid w:val="4EB6BA3F"/>
    <w:rsid w:val="51036445"/>
    <w:rsid w:val="512B9E57"/>
    <w:rsid w:val="513F19C9"/>
    <w:rsid w:val="53CA7002"/>
    <w:rsid w:val="54122F4F"/>
    <w:rsid w:val="542289A0"/>
    <w:rsid w:val="543A9D5C"/>
    <w:rsid w:val="5488F2B5"/>
    <w:rsid w:val="54F2C778"/>
    <w:rsid w:val="566D5039"/>
    <w:rsid w:val="571627D7"/>
    <w:rsid w:val="571BE96C"/>
    <w:rsid w:val="572762AE"/>
    <w:rsid w:val="5823843A"/>
    <w:rsid w:val="585D14E6"/>
    <w:rsid w:val="59BD08FB"/>
    <w:rsid w:val="59ED8AD5"/>
    <w:rsid w:val="5AC3467A"/>
    <w:rsid w:val="5B1616C7"/>
    <w:rsid w:val="5B93462E"/>
    <w:rsid w:val="5BEE6921"/>
    <w:rsid w:val="5D407D35"/>
    <w:rsid w:val="5D5B5225"/>
    <w:rsid w:val="5D6DA54E"/>
    <w:rsid w:val="5D9205A7"/>
    <w:rsid w:val="600C1C4A"/>
    <w:rsid w:val="60224628"/>
    <w:rsid w:val="61690DB2"/>
    <w:rsid w:val="62A12BB5"/>
    <w:rsid w:val="62C72026"/>
    <w:rsid w:val="63607BE1"/>
    <w:rsid w:val="63D1D961"/>
    <w:rsid w:val="650848F3"/>
    <w:rsid w:val="651FFC22"/>
    <w:rsid w:val="659C2449"/>
    <w:rsid w:val="65A092BA"/>
    <w:rsid w:val="660035E2"/>
    <w:rsid w:val="671D19AE"/>
    <w:rsid w:val="68679EEF"/>
    <w:rsid w:val="69163E22"/>
    <w:rsid w:val="69C76206"/>
    <w:rsid w:val="6A6A88CE"/>
    <w:rsid w:val="6AA00ABD"/>
    <w:rsid w:val="6B41F19E"/>
    <w:rsid w:val="6C1CC8D3"/>
    <w:rsid w:val="6D05E979"/>
    <w:rsid w:val="6D9016AB"/>
    <w:rsid w:val="6E6BAAF4"/>
    <w:rsid w:val="6F51BE89"/>
    <w:rsid w:val="6F66ACD2"/>
    <w:rsid w:val="703F438C"/>
    <w:rsid w:val="7118C660"/>
    <w:rsid w:val="7124ED09"/>
    <w:rsid w:val="712D06C0"/>
    <w:rsid w:val="7136474C"/>
    <w:rsid w:val="71980AC5"/>
    <w:rsid w:val="7265ED65"/>
    <w:rsid w:val="740ACEA9"/>
    <w:rsid w:val="746275F1"/>
    <w:rsid w:val="74C197DE"/>
    <w:rsid w:val="7573E9C2"/>
    <w:rsid w:val="75A69F0A"/>
    <w:rsid w:val="7770123F"/>
    <w:rsid w:val="786D1FB6"/>
    <w:rsid w:val="78BA9E44"/>
    <w:rsid w:val="7B65E59A"/>
    <w:rsid w:val="7B9D9414"/>
    <w:rsid w:val="7C209A51"/>
    <w:rsid w:val="7DA0C8D2"/>
    <w:rsid w:val="7DDC5091"/>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semiHidden/>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semiHidden/>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table" w:customStyle="1" w:styleId="Tabelamrea1">
    <w:name w:val="Tabela – mreža1"/>
    <w:basedOn w:val="Navadnatabela"/>
    <w:next w:val="Tabelamrea"/>
    <w:uiPriority w:val="39"/>
    <w:rsid w:val="003B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dilnistavekUMAR">
    <w:name w:val="Vodilni stavek_UMAR"/>
    <w:basedOn w:val="Privzetapisavaodstavka"/>
    <w:qFormat/>
    <w:rsid w:val="00196B1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1A8A1-01B6-4C55-832F-F139DEBD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996</Words>
  <Characters>5679</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2023-01-16T10:01:00Z</dcterms:created>
  <dcterms:modified xsi:type="dcterms:W3CDTF">2023-01-16T10:01:00Z</dcterms:modified>
</cp:coreProperties>
</file>