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02A4F33E" w:rsidR="001D6793" w:rsidRDefault="00FA45E3" w:rsidP="001D6793">
      <w:pPr>
        <w:pStyle w:val="Naslov21"/>
      </w:pPr>
      <w:r>
        <w:t xml:space="preserve">od </w:t>
      </w:r>
      <w:r w:rsidR="007B4508">
        <w:t>13</w:t>
      </w:r>
      <w:r w:rsidR="001D6793">
        <w:t>.</w:t>
      </w:r>
      <w:r w:rsidR="00520115">
        <w:t xml:space="preserve"> </w:t>
      </w:r>
      <w:r w:rsidR="001D6793">
        <w:t xml:space="preserve">do </w:t>
      </w:r>
      <w:r w:rsidR="007B4508">
        <w:t>17</w:t>
      </w:r>
      <w:r w:rsidR="001D6793">
        <w:t xml:space="preserve">. </w:t>
      </w:r>
      <w:r w:rsidR="007B4508">
        <w:t>februar</w:t>
      </w:r>
      <w:r w:rsidR="00C336A4">
        <w:t>j</w:t>
      </w:r>
      <w:r w:rsidR="007B4508">
        <w:t>a</w:t>
      </w:r>
      <w:r w:rsidR="001D6793">
        <w:t xml:space="preserve"> 20</w:t>
      </w:r>
      <w:r w:rsidR="005B4C57">
        <w:t>2</w:t>
      </w:r>
      <w:r w:rsidR="005D0551">
        <w:t>3</w:t>
      </w:r>
    </w:p>
    <w:p w14:paraId="0D813662" w14:textId="62600A0A" w:rsidR="00DF4F0B" w:rsidRDefault="00DF4F0B"/>
    <w:p w14:paraId="196DFF85" w14:textId="77777777" w:rsidR="00916FC4" w:rsidRDefault="00916FC4"/>
    <w:p w14:paraId="0F21DA7E" w14:textId="301F2ADD" w:rsidR="008A2E00" w:rsidRPr="002E0CCA" w:rsidRDefault="00A52CD9" w:rsidP="00351781">
      <w:pPr>
        <w:spacing w:line="240" w:lineRule="atLeast"/>
      </w:pPr>
      <w:r>
        <w:t>M</w:t>
      </w:r>
      <w:r w:rsidR="00795CB2" w:rsidRPr="002E0CCA">
        <w:t xml:space="preserve">edletna rast </w:t>
      </w:r>
      <w:r>
        <w:t>BDP se je v zadnjem lanskem četrtletju občutno umirila (</w:t>
      </w:r>
      <w:r w:rsidR="00795CB2" w:rsidRPr="002E0CCA">
        <w:t>0,</w:t>
      </w:r>
      <w:r w:rsidR="00593412">
        <w:t>2</w:t>
      </w:r>
      <w:r>
        <w:t> </w:t>
      </w:r>
      <w:r w:rsidR="00A273E9">
        <w:t>%</w:t>
      </w:r>
      <w:r>
        <w:t>), v</w:t>
      </w:r>
      <w:r w:rsidR="00795CB2" w:rsidRPr="002E0CCA">
        <w:t xml:space="preserve"> celem letu 2022 </w:t>
      </w:r>
      <w:r>
        <w:t xml:space="preserve">pa </w:t>
      </w:r>
      <w:r w:rsidR="00795CB2" w:rsidRPr="002E0CCA">
        <w:t>je bil BDP višji za 5,4 %</w:t>
      </w:r>
      <w:r w:rsidR="00D339FD" w:rsidRPr="002E0CCA">
        <w:t>.</w:t>
      </w:r>
      <w:r w:rsidR="007327A2" w:rsidRPr="002E0CCA">
        <w:t xml:space="preserve"> </w:t>
      </w:r>
      <w:r w:rsidR="00541711">
        <w:t>Proti koncu leta so</w:t>
      </w:r>
      <w:r w:rsidR="009826F8">
        <w:t xml:space="preserve"> </w:t>
      </w:r>
      <w:r w:rsidR="00541711">
        <w:t xml:space="preserve">se razmere poslabšale zlasti v izvoznem delu gospodarstva, visoka </w:t>
      </w:r>
      <w:r w:rsidR="009826F8">
        <w:t xml:space="preserve">celoletna rast pa je izhajala predvsem iz močne investicijske aktivnosti in </w:t>
      </w:r>
      <w:r w:rsidR="00157BB6">
        <w:t xml:space="preserve">zasebne potrošnje, ki pa se je ob koncu leta že umirila. </w:t>
      </w:r>
      <w:r w:rsidR="0031380B" w:rsidRPr="00537726">
        <w:t xml:space="preserve">Investicijska dejavnost je </w:t>
      </w:r>
      <w:r w:rsidR="0031380B">
        <w:t>bila</w:t>
      </w:r>
      <w:r w:rsidR="0031380B" w:rsidRPr="00537726">
        <w:t xml:space="preserve"> razmeroma močna zlasti v gradbeništvu</w:t>
      </w:r>
      <w:r w:rsidR="0031380B">
        <w:t>, kjer je v</w:t>
      </w:r>
      <w:r w:rsidR="0031380B" w:rsidRPr="00422436">
        <w:t xml:space="preserve"> primerjavi s preteklimi leti izstopa</w:t>
      </w:r>
      <w:r w:rsidR="0031380B">
        <w:t>la</w:t>
      </w:r>
      <w:r w:rsidR="0031380B" w:rsidRPr="00422436">
        <w:t xml:space="preserve"> gradnja stavb, visoka je bila tudi </w:t>
      </w:r>
      <w:r w:rsidR="0031380B">
        <w:t xml:space="preserve">aktivnost </w:t>
      </w:r>
      <w:r w:rsidR="0031380B" w:rsidRPr="00422436">
        <w:t>v gradnji inženirskih objektov</w:t>
      </w:r>
      <w:r w:rsidR="0031380B" w:rsidRPr="00537726">
        <w:t xml:space="preserve">. </w:t>
      </w:r>
      <w:r w:rsidR="00736CD9">
        <w:t>R</w:t>
      </w:r>
      <w:r w:rsidR="00537726" w:rsidRPr="00537726">
        <w:t xml:space="preserve">ast uvoza </w:t>
      </w:r>
      <w:r w:rsidR="00736CD9">
        <w:t xml:space="preserve">je </w:t>
      </w:r>
      <w:r w:rsidR="00537726" w:rsidRPr="00537726">
        <w:t xml:space="preserve">presegla rast izvoza, kar je prispevalo k negativnemu prispevku salda menjave s tujino. </w:t>
      </w:r>
      <w:r w:rsidR="00CB063B" w:rsidRPr="002E0CCA">
        <w:t xml:space="preserve">Po desetih letih presežka je </w:t>
      </w:r>
      <w:r w:rsidR="00786099">
        <w:t xml:space="preserve">bil </w:t>
      </w:r>
      <w:r w:rsidR="00CB063B" w:rsidRPr="002E0CCA">
        <w:t>tekoči račun</w:t>
      </w:r>
      <w:r w:rsidR="00CB063B">
        <w:t xml:space="preserve"> </w:t>
      </w:r>
      <w:r w:rsidR="28E7E390">
        <w:t>lani</w:t>
      </w:r>
      <w:r w:rsidR="00CB063B" w:rsidRPr="002E0CCA">
        <w:t xml:space="preserve"> v primanjkljaju</w:t>
      </w:r>
      <w:r w:rsidR="00CB063B">
        <w:t>, o</w:t>
      </w:r>
      <w:r w:rsidR="00CB063B" w:rsidRPr="002E0CCA">
        <w:t xml:space="preserve">b </w:t>
      </w:r>
      <w:r w:rsidR="00743094">
        <w:t>močnem</w:t>
      </w:r>
      <w:r w:rsidR="00743094" w:rsidRPr="002E0CCA">
        <w:t xml:space="preserve"> </w:t>
      </w:r>
      <w:r w:rsidR="00CB063B" w:rsidRPr="002E0CCA">
        <w:t>domače</w:t>
      </w:r>
      <w:r w:rsidR="00743094">
        <w:t>m</w:t>
      </w:r>
      <w:r w:rsidR="00CB063B" w:rsidRPr="002E0CCA">
        <w:t xml:space="preserve"> povpraševanj</w:t>
      </w:r>
      <w:r w:rsidR="00743094">
        <w:t>u</w:t>
      </w:r>
      <w:r w:rsidR="00CB063B" w:rsidRPr="002E0CCA">
        <w:t xml:space="preserve"> in poslabšanih pogoj</w:t>
      </w:r>
      <w:r w:rsidR="00736CD9">
        <w:t>ih</w:t>
      </w:r>
      <w:r w:rsidR="00CB063B" w:rsidRPr="002E0CCA">
        <w:t xml:space="preserve"> menjave je k občutnemu znižanju salda največ prispeval blagovni saldo</w:t>
      </w:r>
      <w:r w:rsidR="00CB063B">
        <w:t>.</w:t>
      </w:r>
      <w:r w:rsidR="00CB063B" w:rsidRPr="00537726">
        <w:t xml:space="preserve"> </w:t>
      </w:r>
      <w:r w:rsidR="00D41F74">
        <w:t>Število d</w:t>
      </w:r>
      <w:r w:rsidR="00FC4490">
        <w:t xml:space="preserve">elovno aktivnih je </w:t>
      </w:r>
      <w:r w:rsidR="00D41F74">
        <w:t xml:space="preserve">bilo lani najvišje doslej in za </w:t>
      </w:r>
      <w:r w:rsidR="00D41F74" w:rsidRPr="00FC4490">
        <w:t>2,4 % višje kot leta 2021</w:t>
      </w:r>
      <w:r w:rsidR="00D41F74">
        <w:t xml:space="preserve">. </w:t>
      </w:r>
      <w:r w:rsidR="00D41F74" w:rsidRPr="003B7A94">
        <w:rPr>
          <w:bCs/>
        </w:rPr>
        <w:t>K rasti je največ prispevalo zaposlovanje tujih</w:t>
      </w:r>
      <w:bookmarkStart w:id="0" w:name="_GoBack"/>
      <w:bookmarkEnd w:id="0"/>
      <w:r w:rsidR="00D41F74" w:rsidRPr="003B7A94">
        <w:rPr>
          <w:bCs/>
        </w:rPr>
        <w:t xml:space="preserve"> državljanov</w:t>
      </w:r>
      <w:r w:rsidR="004D07B9">
        <w:rPr>
          <w:bCs/>
        </w:rPr>
        <w:t xml:space="preserve">, po </w:t>
      </w:r>
      <w:r w:rsidR="00D41F74" w:rsidRPr="003B7A94">
        <w:rPr>
          <w:bCs/>
        </w:rPr>
        <w:t xml:space="preserve">deležu </w:t>
      </w:r>
      <w:r w:rsidR="004D07B9">
        <w:rPr>
          <w:bCs/>
        </w:rPr>
        <w:t xml:space="preserve">zaposlenih tujcev </w:t>
      </w:r>
      <w:r w:rsidR="00792AC2">
        <w:rPr>
          <w:bCs/>
        </w:rPr>
        <w:t xml:space="preserve">so </w:t>
      </w:r>
      <w:r w:rsidR="00D41F74" w:rsidRPr="003B7A94">
        <w:rPr>
          <w:bCs/>
        </w:rPr>
        <w:t>izstopa</w:t>
      </w:r>
      <w:r w:rsidR="004D07B9">
        <w:rPr>
          <w:bCs/>
        </w:rPr>
        <w:t>l</w:t>
      </w:r>
      <w:r w:rsidR="00BE4B68">
        <w:rPr>
          <w:bCs/>
        </w:rPr>
        <w:t>i</w:t>
      </w:r>
      <w:r w:rsidR="00D41F74" w:rsidRPr="003B7A94">
        <w:rPr>
          <w:bCs/>
        </w:rPr>
        <w:t xml:space="preserve"> gradbeništvo, promet in skladiščenje ter druge raznovrstne poslovne </w:t>
      </w:r>
      <w:r w:rsidR="00792AC2">
        <w:rPr>
          <w:bCs/>
        </w:rPr>
        <w:t xml:space="preserve">dejavnosti. </w:t>
      </w:r>
      <w:r w:rsidR="00BF01C5" w:rsidRPr="00BF01C5">
        <w:t>V prvi polovici februarja je bila ob nizkih temperaturah poraba plina le za kak odstotek manjša od primerljive v prejšnjih letih</w:t>
      </w:r>
      <w:r w:rsidR="002E0CCA">
        <w:t>.</w:t>
      </w:r>
      <w:r w:rsidR="002F0FA8">
        <w:t xml:space="preserve"> </w:t>
      </w:r>
      <w:r w:rsidR="002E0CCA">
        <w:t>O</w:t>
      </w:r>
      <w:r w:rsidR="002F0FA8">
        <w:t>d avgusta do novembra</w:t>
      </w:r>
      <w:r w:rsidR="00A31FBB">
        <w:t xml:space="preserve"> pa se je v primerjavi s preteklim</w:t>
      </w:r>
      <w:r w:rsidR="00D5594F">
        <w:t xml:space="preserve"> petletnim obdobjem</w:t>
      </w:r>
      <w:r w:rsidR="00A31FBB">
        <w:t xml:space="preserve"> poraba znižala</w:t>
      </w:r>
      <w:r w:rsidR="009A7602">
        <w:t xml:space="preserve"> za slabih 15 %, </w:t>
      </w:r>
      <w:r w:rsidR="00382FE3">
        <w:t>v E</w:t>
      </w:r>
      <w:r w:rsidR="00A31FBB">
        <w:t>U</w:t>
      </w:r>
      <w:r w:rsidR="00382FE3">
        <w:t xml:space="preserve"> pa za petino</w:t>
      </w:r>
      <w:r w:rsidR="009A7602">
        <w:t>, k čem</w:t>
      </w:r>
      <w:r w:rsidR="00E307C8">
        <w:t>u</w:t>
      </w:r>
      <w:r w:rsidR="009A7602">
        <w:t>r</w:t>
      </w:r>
      <w:r w:rsidR="007327A2" w:rsidRPr="002E0CCA">
        <w:t xml:space="preserve"> so, poleg ugodnih vremenskih razmer, prispevali tudi ukrepi za znižanje porabe plina ter prilagoditve industrije. </w:t>
      </w:r>
      <w:r w:rsidR="004E6B16">
        <w:t>P</w:t>
      </w:r>
      <w:r w:rsidR="007327A2" w:rsidRPr="002E0CCA">
        <w:t xml:space="preserve">oraba elektrike </w:t>
      </w:r>
      <w:r w:rsidR="004E6B16">
        <w:t>je bila januarja nižja v vseh odjemnih skupinah, najbolj v industriji</w:t>
      </w:r>
      <w:r w:rsidR="007327A2" w:rsidRPr="002E0CCA">
        <w:t>.</w:t>
      </w:r>
      <w:r w:rsidR="0095088B">
        <w:t xml:space="preserve"> </w:t>
      </w:r>
    </w:p>
    <w:p w14:paraId="699C14D3" w14:textId="6719295C" w:rsidR="006A798B" w:rsidRDefault="006A798B" w:rsidP="001F51CD">
      <w:pPr>
        <w:tabs>
          <w:tab w:val="left" w:pos="580"/>
        </w:tabs>
      </w:pPr>
    </w:p>
    <w:p w14:paraId="5DD718CB" w14:textId="415F0C86" w:rsidR="00521709" w:rsidRDefault="00521709" w:rsidP="001F51CD">
      <w:pPr>
        <w:tabs>
          <w:tab w:val="left" w:pos="580"/>
        </w:tabs>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22"/>
        <w:gridCol w:w="163"/>
        <w:gridCol w:w="4660"/>
      </w:tblGrid>
      <w:tr w:rsidR="00B73A24" w14:paraId="1A892559" w14:textId="77777777" w:rsidTr="6D4E2F76">
        <w:trPr>
          <w:trHeight w:val="207"/>
        </w:trPr>
        <w:tc>
          <w:tcPr>
            <w:tcW w:w="4819" w:type="dxa"/>
            <w:tcBorders>
              <w:top w:val="nil"/>
              <w:left w:val="nil"/>
              <w:bottom w:val="single" w:sz="4" w:space="0" w:color="auto"/>
              <w:right w:val="nil"/>
            </w:tcBorders>
            <w:hideMark/>
          </w:tcPr>
          <w:p w14:paraId="5CB59659" w14:textId="39A12289" w:rsidR="00B73A24" w:rsidRDefault="00B73A24">
            <w:pPr>
              <w:pStyle w:val="Naslov31"/>
              <w:jc w:val="left"/>
            </w:pPr>
            <w:r>
              <w:t>Bruto domači proizvod, 4. četrtletje 2022</w:t>
            </w:r>
          </w:p>
        </w:tc>
        <w:tc>
          <w:tcPr>
            <w:tcW w:w="4820" w:type="dxa"/>
            <w:gridSpan w:val="2"/>
            <w:tcBorders>
              <w:top w:val="nil"/>
              <w:left w:val="nil"/>
              <w:bottom w:val="single" w:sz="4" w:space="0" w:color="auto"/>
              <w:right w:val="nil"/>
            </w:tcBorders>
          </w:tcPr>
          <w:p w14:paraId="3D55AAE0" w14:textId="77777777" w:rsidR="00B73A24" w:rsidRDefault="00B73A24">
            <w:pPr>
              <w:pStyle w:val="Naslov31"/>
            </w:pPr>
          </w:p>
        </w:tc>
      </w:tr>
      <w:tr w:rsidR="00B73A24" w14:paraId="2DEB03DB" w14:textId="77777777" w:rsidTr="6D4E2F76">
        <w:trPr>
          <w:trHeight w:val="1134"/>
        </w:trPr>
        <w:tc>
          <w:tcPr>
            <w:tcW w:w="4982" w:type="dxa"/>
            <w:gridSpan w:val="2"/>
            <w:tcBorders>
              <w:top w:val="single" w:sz="4" w:space="0" w:color="auto"/>
              <w:left w:val="nil"/>
              <w:bottom w:val="nil"/>
              <w:right w:val="nil"/>
            </w:tcBorders>
          </w:tcPr>
          <w:p w14:paraId="1A6A963C" w14:textId="51CAAEFE" w:rsidR="00B73A24" w:rsidRDefault="00E97653">
            <w:pPr>
              <w:pStyle w:val="ListParagraph"/>
              <w:ind w:left="0"/>
            </w:pPr>
            <w:r>
              <w:rPr>
                <w:noProof/>
              </w:rPr>
              <w:drawing>
                <wp:inline distT="0" distB="0" distL="0" distR="0" wp14:anchorId="0F4F66AF" wp14:editId="30ECF564">
                  <wp:extent cx="3182400" cy="2559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2559600"/>
                          </a:xfrm>
                          <a:prstGeom prst="rect">
                            <a:avLst/>
                          </a:prstGeom>
                          <a:noFill/>
                        </pic:spPr>
                      </pic:pic>
                    </a:graphicData>
                  </a:graphic>
                </wp:inline>
              </w:drawing>
            </w:r>
          </w:p>
          <w:p w14:paraId="0612398B" w14:textId="77777777" w:rsidR="00B73A24" w:rsidRDefault="00B73A24">
            <w:pPr>
              <w:pStyle w:val="ListParagraph"/>
              <w:ind w:left="0"/>
            </w:pPr>
          </w:p>
        </w:tc>
        <w:tc>
          <w:tcPr>
            <w:tcW w:w="4657" w:type="dxa"/>
            <w:tcBorders>
              <w:top w:val="single" w:sz="4" w:space="0" w:color="auto"/>
              <w:left w:val="nil"/>
              <w:bottom w:val="nil"/>
              <w:right w:val="nil"/>
            </w:tcBorders>
            <w:tcMar>
              <w:top w:w="113" w:type="dxa"/>
              <w:left w:w="284" w:type="dxa"/>
              <w:bottom w:w="113" w:type="dxa"/>
              <w:right w:w="0" w:type="dxa"/>
            </w:tcMar>
          </w:tcPr>
          <w:p w14:paraId="04363063" w14:textId="36BC26F2" w:rsidR="00B73A24" w:rsidRPr="005D57CB" w:rsidRDefault="00D5407D" w:rsidP="00D5407D">
            <w:pPr>
              <w:rPr>
                <w:color w:val="DBDBDB" w:themeColor="background2"/>
              </w:rPr>
            </w:pPr>
            <w:r w:rsidRPr="6D4E2F76">
              <w:rPr>
                <w:b/>
                <w:bCs/>
              </w:rPr>
              <w:t>BDP se je v zadnjem lanskem četrtletju, po močnem upadu v tretjem, tekoče povečal za 0,8 %; medletna rast (0,2 %) se je občutno umirila.</w:t>
            </w:r>
            <w:r w:rsidR="0095088B">
              <w:rPr>
                <w:b/>
                <w:bCs/>
              </w:rPr>
              <w:t xml:space="preserve"> </w:t>
            </w:r>
            <w:r w:rsidRPr="005D57CB">
              <w:rPr>
                <w:b/>
              </w:rPr>
              <w:t xml:space="preserve">V celem letu 2022 je </w:t>
            </w:r>
            <w:r w:rsidR="00BA149F" w:rsidRPr="005D57CB">
              <w:rPr>
                <w:b/>
              </w:rPr>
              <w:t xml:space="preserve">bil </w:t>
            </w:r>
            <w:r w:rsidRPr="005D57CB">
              <w:rPr>
                <w:b/>
              </w:rPr>
              <w:t>BDP viš</w:t>
            </w:r>
            <w:r w:rsidR="00BA149F" w:rsidRPr="005D57CB">
              <w:rPr>
                <w:b/>
              </w:rPr>
              <w:t>ji</w:t>
            </w:r>
            <w:r w:rsidRPr="005D57CB">
              <w:rPr>
                <w:b/>
              </w:rPr>
              <w:t xml:space="preserve"> za 5,4 %</w:t>
            </w:r>
            <w:r w:rsidRPr="005D57CB">
              <w:t xml:space="preserve">. </w:t>
            </w:r>
            <w:r w:rsidR="002B2B19">
              <w:t>Razmere so se proti koncu leta poslabšale zlasti v izvoznem delu gospodarstva</w:t>
            </w:r>
            <w:r w:rsidR="00593220">
              <w:t xml:space="preserve">. </w:t>
            </w:r>
            <w:r w:rsidRPr="005D57CB">
              <w:t xml:space="preserve">Dodana vrednost v predelovalnih dejavnostih je bila v zadnjem četrtletju nižja kot pred letom, upadla je zlasti v energetsko </w:t>
            </w:r>
            <w:r w:rsidR="00DB4C38">
              <w:t xml:space="preserve">intenzivnejših </w:t>
            </w:r>
            <w:r w:rsidRPr="005D57CB">
              <w:t xml:space="preserve">panogah, medletno nižji je bil tudi blagovni izvoz. Upočasnila se je tudi rast storitvenega izvoza, na katerega je od spomladi ugodno vplivalo predvsem pokovidno okrevanje v turizmu. V celem letu je </w:t>
            </w:r>
            <w:r w:rsidRPr="005D57CB">
              <w:rPr>
                <w:bCs/>
              </w:rPr>
              <w:t>rast uvoza presegla rast izvoza, kar je prispevalo k negativnemu prispevku salda menjave s tujino.</w:t>
            </w:r>
            <w:r w:rsidRPr="005D57CB">
              <w:t xml:space="preserve"> Investicijska dejavnost je </w:t>
            </w:r>
            <w:r w:rsidR="006276DF">
              <w:t xml:space="preserve">ob visoki gradbeni aktivnosti </w:t>
            </w:r>
            <w:r w:rsidRPr="005D57CB">
              <w:t>tudi v zadnjem četrtletju ostala razmeroma močna.</w:t>
            </w:r>
            <w:bookmarkStart w:id="1" w:name="_Hlk126575524"/>
            <w:r w:rsidRPr="005D57CB">
              <w:t xml:space="preserve"> S padanjem zaupanja potrošnikov, ki se je začelo spomladi in je bilo povezano z negotovostjo glede energetske in prehranske krize ter zmanjševanjem kupne moči, se je trošenje gospodinjstev do konca leta umirilo, v </w:t>
            </w:r>
            <w:r w:rsidR="00E54C23" w:rsidRPr="005D57CB">
              <w:t>primerjavi z letom prej</w:t>
            </w:r>
            <w:r w:rsidRPr="005D57CB">
              <w:t xml:space="preserve"> pa je rast ostala visoka. </w:t>
            </w:r>
            <w:bookmarkEnd w:id="1"/>
            <w:r w:rsidRPr="005D57CB">
              <w:t>Državna potrošnja je bila, podobno kot v tretjem, tudi v zadnjem četrtletju nižja kot pred letom, predvsem zaradi znatno nižjih izdatkov za obvladovanje epidemije.</w:t>
            </w:r>
          </w:p>
        </w:tc>
      </w:tr>
    </w:tbl>
    <w:p w14:paraId="254BA28D" w14:textId="77777777" w:rsidR="00CA5CD8" w:rsidRDefault="00CA5CD8" w:rsidP="00CA5CD8">
      <w:pPr>
        <w:spacing w:after="160" w:line="254" w:lineRule="auto"/>
        <w:jc w:val="left"/>
      </w:pPr>
      <w:r>
        <w:br w:type="page"/>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0"/>
        <w:gridCol w:w="202"/>
        <w:gridCol w:w="4536"/>
      </w:tblGrid>
      <w:tr w:rsidR="00CA5CD8" w:rsidRPr="006C2117" w14:paraId="4D7CCB12" w14:textId="77777777" w:rsidTr="22A85E4F">
        <w:trPr>
          <w:trHeight w:val="207"/>
        </w:trPr>
        <w:tc>
          <w:tcPr>
            <w:tcW w:w="5102" w:type="dxa"/>
            <w:gridSpan w:val="2"/>
            <w:tcBorders>
              <w:bottom w:val="single" w:sz="4" w:space="0" w:color="auto"/>
            </w:tcBorders>
            <w:tcMar>
              <w:left w:w="0" w:type="dxa"/>
            </w:tcMar>
          </w:tcPr>
          <w:p w14:paraId="22993681" w14:textId="77777777" w:rsidR="00CA5CD8" w:rsidRPr="006C2117" w:rsidRDefault="00CA5CD8" w:rsidP="00BB775F">
            <w:pPr>
              <w:pStyle w:val="Naslov31"/>
              <w:jc w:val="left"/>
            </w:pPr>
            <w:r w:rsidRPr="00BA72A0">
              <w:lastRenderedPageBreak/>
              <w:t>Tekoči račun plačilne bilance</w:t>
            </w:r>
            <w:r>
              <w:t>, december</w:t>
            </w:r>
            <w:r w:rsidRPr="00BA72A0">
              <w:t xml:space="preserve"> 2022</w:t>
            </w:r>
          </w:p>
        </w:tc>
        <w:tc>
          <w:tcPr>
            <w:tcW w:w="4536" w:type="dxa"/>
            <w:tcBorders>
              <w:bottom w:val="single" w:sz="4" w:space="0" w:color="auto"/>
            </w:tcBorders>
          </w:tcPr>
          <w:p w14:paraId="6ACCCA61" w14:textId="77777777" w:rsidR="00CA5CD8" w:rsidRPr="006C2117" w:rsidRDefault="00CA5CD8" w:rsidP="00BB775F">
            <w:pPr>
              <w:pStyle w:val="Naslov31"/>
            </w:pPr>
          </w:p>
        </w:tc>
      </w:tr>
      <w:tr w:rsidR="00CA5CD8" w:rsidRPr="00DF4F0B" w14:paraId="29302F1B" w14:textId="77777777" w:rsidTr="22A85E4F">
        <w:trPr>
          <w:trHeight w:val="1134"/>
        </w:trPr>
        <w:tc>
          <w:tcPr>
            <w:tcW w:w="4900" w:type="dxa"/>
            <w:tcBorders>
              <w:top w:val="single" w:sz="4" w:space="0" w:color="auto"/>
            </w:tcBorders>
            <w:tcMar>
              <w:left w:w="0" w:type="dxa"/>
            </w:tcMar>
          </w:tcPr>
          <w:p w14:paraId="478757AB" w14:textId="1EE7E663" w:rsidR="00CA5CD8" w:rsidRDefault="006054FE" w:rsidP="00BB775F">
            <w:pPr>
              <w:pStyle w:val="ListParagraph"/>
              <w:ind w:left="0"/>
            </w:pPr>
            <w:r>
              <w:rPr>
                <w:noProof/>
              </w:rPr>
              <w:drawing>
                <wp:inline distT="0" distB="0" distL="0" distR="0" wp14:anchorId="491EA782" wp14:editId="7EEB2B45">
                  <wp:extent cx="3115310" cy="25546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2554605"/>
                          </a:xfrm>
                          <a:prstGeom prst="rect">
                            <a:avLst/>
                          </a:prstGeom>
                          <a:noFill/>
                        </pic:spPr>
                      </pic:pic>
                    </a:graphicData>
                  </a:graphic>
                </wp:inline>
              </w:drawing>
            </w:r>
          </w:p>
        </w:tc>
        <w:tc>
          <w:tcPr>
            <w:tcW w:w="4738" w:type="dxa"/>
            <w:gridSpan w:val="2"/>
            <w:tcBorders>
              <w:top w:val="single" w:sz="4" w:space="0" w:color="auto"/>
            </w:tcBorders>
            <w:tcMar>
              <w:left w:w="284" w:type="dxa"/>
            </w:tcMar>
          </w:tcPr>
          <w:p w14:paraId="2E3B04B4" w14:textId="7264179E" w:rsidR="00CA5CD8" w:rsidRPr="00DF4F0B" w:rsidRDefault="00CA5CD8" w:rsidP="22A85E4F">
            <w:r w:rsidRPr="22A85E4F">
              <w:rPr>
                <w:b/>
                <w:bCs/>
              </w:rPr>
              <w:t>Po desetih letih se je presežek tekočega računa leta 2022 prevesil v primanjkljaj (449,6 mio EUR ali 0,8 % BDP).</w:t>
            </w:r>
            <w:r>
              <w:t xml:space="preserve"> Ob </w:t>
            </w:r>
            <w:r w:rsidR="3B965CF8">
              <w:t xml:space="preserve">močnem </w:t>
            </w:r>
            <w:r>
              <w:t>domače</w:t>
            </w:r>
            <w:r w:rsidR="3B965CF8">
              <w:t>m</w:t>
            </w:r>
            <w:r>
              <w:t xml:space="preserve"> povpraševanj</w:t>
            </w:r>
            <w:r w:rsidR="3B965CF8">
              <w:t>u</w:t>
            </w:r>
            <w:r>
              <w:t xml:space="preserve"> in poslabšanih pogoj</w:t>
            </w:r>
            <w:r w:rsidR="1785811B">
              <w:t>ih</w:t>
            </w:r>
            <w:r>
              <w:t xml:space="preserve"> menjave je k občutnemu znižanju salda tekočega računa največ prispeval blagovni saldo. Povečal pa se je storitveni presežek, ki je bil višji v vseh segmentih storitvene menjave, zlasti v menjavi potovanj, saj </w:t>
            </w:r>
            <w:r w:rsidR="2F884CA6">
              <w:t xml:space="preserve">so se prilivi </w:t>
            </w:r>
            <w:r>
              <w:t xml:space="preserve">od potovanj tujih turistov v Slovenijo </w:t>
            </w:r>
            <w:r w:rsidR="670D464F">
              <w:t xml:space="preserve">povečali </w:t>
            </w:r>
            <w:r>
              <w:t xml:space="preserve">precej </w:t>
            </w:r>
            <w:r w:rsidR="3C707E93">
              <w:t>bolj</w:t>
            </w:r>
            <w:r>
              <w:t xml:space="preserve"> (za 1,2 mrd EUR) </w:t>
            </w:r>
            <w:r w:rsidR="24C7657F">
              <w:t xml:space="preserve">kot izdatki </w:t>
            </w:r>
            <w:r>
              <w:t>domačega prebivalstva za potovanja v tujino (za 0,5 mrd EUR). Neto odlivi primarnih in sekundarnih dohodkov so bili višji kot pred letom. Primanjkljaj primarnih dohodkov se je povečal predvsem zaradi več plačanih carin v proračun EU (uvoz električnih vozil za trg EU prek</w:t>
            </w:r>
            <w:r w:rsidR="00EC3600">
              <w:t>o</w:t>
            </w:r>
            <w:r>
              <w:t xml:space="preserve"> Luke Koper), poleg tega so bile nižje tudi prejete subvencije iz proračuna EU. Višji primanjkljaj sekundarnih dohodkov pa je izhajal iz višjih transferjev državnega in zasebnega sektorja v tujino. Z vidika varčevalno-investicijske vrzeli je k zmanjšanju salda tekočega računa razmeroma več prispevalo nižje bruto varčevanje, predvsem gospodinjstev, okrepila pa se je tudi investicijska aktivnost.</w:t>
            </w:r>
          </w:p>
        </w:tc>
      </w:tr>
    </w:tbl>
    <w:p w14:paraId="388BDDC0" w14:textId="77777777" w:rsidR="00CA5CD8" w:rsidRDefault="00CA5CD8" w:rsidP="00CA5CD8">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A5CD8" w:rsidRPr="006C2117" w14:paraId="0BA9823B" w14:textId="77777777" w:rsidTr="00BB775F">
        <w:trPr>
          <w:trHeight w:val="207"/>
        </w:trPr>
        <w:tc>
          <w:tcPr>
            <w:tcW w:w="4819" w:type="dxa"/>
            <w:tcBorders>
              <w:bottom w:val="single" w:sz="4" w:space="0" w:color="auto"/>
            </w:tcBorders>
            <w:tcMar>
              <w:left w:w="0" w:type="dxa"/>
            </w:tcMar>
          </w:tcPr>
          <w:p w14:paraId="528813A8" w14:textId="77777777" w:rsidR="00CA5CD8" w:rsidRPr="006C2117" w:rsidRDefault="00CA5CD8" w:rsidP="00BB775F">
            <w:pPr>
              <w:pStyle w:val="Naslov31"/>
              <w:jc w:val="left"/>
            </w:pPr>
            <w:r>
              <w:t>Aktivnost v gradbeništvu, december 2022</w:t>
            </w:r>
          </w:p>
        </w:tc>
        <w:tc>
          <w:tcPr>
            <w:tcW w:w="4820" w:type="dxa"/>
            <w:gridSpan w:val="2"/>
            <w:tcBorders>
              <w:bottom w:val="single" w:sz="4" w:space="0" w:color="auto"/>
            </w:tcBorders>
          </w:tcPr>
          <w:p w14:paraId="4966E69A" w14:textId="77777777" w:rsidR="00CA5CD8" w:rsidRPr="006C2117" w:rsidRDefault="00CA5CD8" w:rsidP="00BB775F">
            <w:pPr>
              <w:pStyle w:val="Naslov31"/>
            </w:pPr>
          </w:p>
        </w:tc>
      </w:tr>
      <w:tr w:rsidR="00CA5CD8" w:rsidRPr="00916FC4" w14:paraId="4628A211" w14:textId="77777777" w:rsidTr="00BB775F">
        <w:trPr>
          <w:trHeight w:val="1134"/>
        </w:trPr>
        <w:tc>
          <w:tcPr>
            <w:tcW w:w="4982" w:type="dxa"/>
            <w:gridSpan w:val="2"/>
            <w:tcBorders>
              <w:top w:val="single" w:sz="4" w:space="0" w:color="auto"/>
            </w:tcBorders>
            <w:tcMar>
              <w:left w:w="0" w:type="dxa"/>
            </w:tcMar>
          </w:tcPr>
          <w:p w14:paraId="00F5D493" w14:textId="57024A19" w:rsidR="00CA5CD8" w:rsidRDefault="006054FE" w:rsidP="00BB775F">
            <w:pPr>
              <w:pStyle w:val="ListParagraph"/>
              <w:ind w:left="0"/>
            </w:pPr>
            <w:r>
              <w:rPr>
                <w:noProof/>
              </w:rPr>
              <w:drawing>
                <wp:inline distT="0" distB="0" distL="0" distR="0" wp14:anchorId="5EE01D8E" wp14:editId="6C952D99">
                  <wp:extent cx="3191774" cy="2612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859" cy="2626318"/>
                          </a:xfrm>
                          <a:prstGeom prst="rect">
                            <a:avLst/>
                          </a:prstGeom>
                          <a:noFill/>
                        </pic:spPr>
                      </pic:pic>
                    </a:graphicData>
                  </a:graphic>
                </wp:inline>
              </w:drawing>
            </w:r>
          </w:p>
        </w:tc>
        <w:tc>
          <w:tcPr>
            <w:tcW w:w="4657" w:type="dxa"/>
            <w:tcBorders>
              <w:top w:val="single" w:sz="4" w:space="0" w:color="auto"/>
            </w:tcBorders>
            <w:tcMar>
              <w:left w:w="284" w:type="dxa"/>
            </w:tcMar>
          </w:tcPr>
          <w:p w14:paraId="71E8B549" w14:textId="071640B6" w:rsidR="00CA5CD8" w:rsidRPr="00916FC4" w:rsidRDefault="00CA5CD8" w:rsidP="00BB775F">
            <w:pPr>
              <w:rPr>
                <w:rFonts w:eastAsia="Myriad Pro" w:cs="Myriad Pro"/>
                <w:szCs w:val="20"/>
              </w:rPr>
            </w:pPr>
            <w:r w:rsidRPr="3351D115">
              <w:rPr>
                <w:rFonts w:eastAsia="Myriad Pro" w:cs="Myriad Pro"/>
                <w:b/>
                <w:bCs/>
                <w:szCs w:val="20"/>
              </w:rPr>
              <w:t>Po podatkih o vrednosti opravljenih gradbenih del je bila decembra</w:t>
            </w:r>
            <w:r>
              <w:rPr>
                <w:rFonts w:eastAsia="Myriad Pro" w:cs="Myriad Pro"/>
                <w:b/>
                <w:bCs/>
                <w:szCs w:val="20"/>
              </w:rPr>
              <w:t xml:space="preserve"> 2022</w:t>
            </w:r>
            <w:r w:rsidRPr="3351D115">
              <w:rPr>
                <w:rFonts w:eastAsia="Myriad Pro" w:cs="Myriad Pro"/>
                <w:b/>
                <w:bCs/>
                <w:szCs w:val="20"/>
              </w:rPr>
              <w:t xml:space="preserve"> gradbena aktivnost znatno višj</w:t>
            </w:r>
            <w:r>
              <w:rPr>
                <w:rFonts w:eastAsia="Myriad Pro" w:cs="Myriad Pro"/>
                <w:b/>
                <w:bCs/>
                <w:szCs w:val="20"/>
              </w:rPr>
              <w:t>a kot leto prej</w:t>
            </w:r>
            <w:r w:rsidRPr="3351D115">
              <w:rPr>
                <w:rFonts w:eastAsia="Myriad Pro" w:cs="Myriad Pro"/>
                <w:b/>
                <w:bCs/>
                <w:szCs w:val="20"/>
              </w:rPr>
              <w:t>.</w:t>
            </w:r>
            <w:r w:rsidRPr="3351D115">
              <w:rPr>
                <w:rFonts w:eastAsia="Myriad Pro" w:cs="Myriad Pro"/>
                <w:b/>
                <w:bCs/>
                <w:sz w:val="18"/>
                <w:szCs w:val="18"/>
              </w:rPr>
              <w:t xml:space="preserve"> </w:t>
            </w:r>
            <w:r w:rsidRPr="3351D115">
              <w:rPr>
                <w:rFonts w:eastAsia="Myriad Pro" w:cs="Myriad Pro"/>
                <w:szCs w:val="20"/>
              </w:rPr>
              <w:t>Po močni okrepitvi v začetku leta 2022 je vrednost del v nadaljevanju ostala na podobni ravni, proti koncu leta pa se je nadalje povečala in bila decembra za 74</w:t>
            </w:r>
            <w:r w:rsidRPr="3351D115">
              <w:rPr>
                <w:rFonts w:ascii="Arial" w:eastAsia="Arial" w:hAnsi="Arial" w:cs="Arial"/>
                <w:szCs w:val="20"/>
              </w:rPr>
              <w:t> </w:t>
            </w:r>
            <w:r w:rsidRPr="3351D115">
              <w:rPr>
                <w:rFonts w:eastAsia="Myriad Pro" w:cs="Myriad Pro"/>
                <w:szCs w:val="20"/>
              </w:rPr>
              <w:t xml:space="preserve">% višja kot decembra 2021. V primerjavi s preteklimi leti po aktivnosti izstopa gradnja stavb, visoka je bila tudi v gradnji inženirskih objektov, v specializiranih gradbenih delih (inštalacijska dela, zaključna gradbena dela) pa nižja. </w:t>
            </w:r>
          </w:p>
          <w:p w14:paraId="077F9FF8" w14:textId="43A4CEF5" w:rsidR="00CA5CD8" w:rsidRPr="00916FC4" w:rsidRDefault="00CA5CD8" w:rsidP="00BB775F">
            <w:r w:rsidRPr="3351D115">
              <w:rPr>
                <w:rFonts w:eastAsia="Myriad Pro" w:cs="Myriad Pro"/>
                <w:szCs w:val="20"/>
              </w:rPr>
              <w:t xml:space="preserve">Nekateri drugi podatki </w:t>
            </w:r>
            <w:r>
              <w:rPr>
                <w:rFonts w:eastAsia="Myriad Pro" w:cs="Myriad Pro"/>
                <w:szCs w:val="20"/>
              </w:rPr>
              <w:t xml:space="preserve">pa </w:t>
            </w:r>
            <w:r w:rsidRPr="3351D115">
              <w:rPr>
                <w:rFonts w:eastAsia="Myriad Pro" w:cs="Myriad Pro"/>
                <w:szCs w:val="20"/>
              </w:rPr>
              <w:t xml:space="preserve">kažejo na znatno nižjo aktivnost v gradbeništvu. Po podatkih DDV je bila decembra 2022 aktivnost podjetij iz dejavnosti gradbeništva za 6 % višja kot </w:t>
            </w:r>
            <w:r>
              <w:rPr>
                <w:rFonts w:eastAsia="Myriad Pro" w:cs="Myriad Pro"/>
                <w:szCs w:val="20"/>
              </w:rPr>
              <w:t>leto pred tem</w:t>
            </w:r>
            <w:r w:rsidRPr="3351D115">
              <w:rPr>
                <w:rFonts w:eastAsia="Myriad Pro" w:cs="Myriad Pro"/>
                <w:szCs w:val="20"/>
              </w:rPr>
              <w:t>. Razlika v rasti aktivnosti glede na podatke o vrednosti opravljenih gradbenih del je znašala kar 68</w:t>
            </w:r>
            <w:r w:rsidRPr="3351D115">
              <w:rPr>
                <w:rFonts w:ascii="Arial" w:eastAsia="Arial" w:hAnsi="Arial" w:cs="Arial"/>
                <w:szCs w:val="20"/>
              </w:rPr>
              <w:t> </w:t>
            </w:r>
            <w:r w:rsidRPr="3351D115">
              <w:rPr>
                <w:rFonts w:eastAsia="Myriad Pro" w:cs="Myriad Pro"/>
                <w:szCs w:val="20"/>
              </w:rPr>
              <w:t>o.</w:t>
            </w:r>
            <w:r w:rsidRPr="3351D115">
              <w:rPr>
                <w:rFonts w:ascii="Arial" w:eastAsia="Arial" w:hAnsi="Arial" w:cs="Arial"/>
                <w:szCs w:val="20"/>
              </w:rPr>
              <w:t> </w:t>
            </w:r>
            <w:r w:rsidRPr="3351D115">
              <w:rPr>
                <w:rFonts w:eastAsia="Myriad Pro" w:cs="Myriad Pro"/>
                <w:szCs w:val="20"/>
              </w:rPr>
              <w:t>t. Podobno podatki o vrednosti industrijske proizvodnje v dveh dejavnostih, ki sta tradicionalno močno povezani z gradbeništvom, ne nakazujeta</w:t>
            </w:r>
            <w:r w:rsidR="00A16BC3">
              <w:rPr>
                <w:rFonts w:eastAsia="Myriad Pro" w:cs="Myriad Pro"/>
                <w:szCs w:val="20"/>
              </w:rPr>
              <w:t xml:space="preserve"> </w:t>
            </w:r>
            <w:r w:rsidRPr="3351D115">
              <w:rPr>
                <w:rFonts w:eastAsia="Myriad Pro" w:cs="Myriad Pro"/>
                <w:szCs w:val="20"/>
              </w:rPr>
              <w:t>tako visok</w:t>
            </w:r>
            <w:r w:rsidR="00E24C19">
              <w:rPr>
                <w:rFonts w:eastAsia="Myriad Pro" w:cs="Myriad Pro"/>
                <w:szCs w:val="20"/>
              </w:rPr>
              <w:t>e</w:t>
            </w:r>
            <w:r w:rsidRPr="3351D115">
              <w:rPr>
                <w:rFonts w:eastAsia="Myriad Pro" w:cs="Myriad Pro"/>
                <w:szCs w:val="20"/>
              </w:rPr>
              <w:t xml:space="preserve"> rast</w:t>
            </w:r>
            <w:r w:rsidR="00E24C19">
              <w:rPr>
                <w:rFonts w:eastAsia="Myriad Pro" w:cs="Myriad Pro"/>
                <w:szCs w:val="20"/>
              </w:rPr>
              <w:t>i</w:t>
            </w:r>
            <w:r w:rsidRPr="3351D115">
              <w:rPr>
                <w:rFonts w:eastAsia="Myriad Pro" w:cs="Myriad Pro"/>
                <w:szCs w:val="20"/>
              </w:rPr>
              <w:t xml:space="preserve">. V dejavnosti </w:t>
            </w:r>
            <w:r>
              <w:rPr>
                <w:rFonts w:eastAsia="Myriad Pro" w:cs="Myriad Pro"/>
                <w:szCs w:val="20"/>
              </w:rPr>
              <w:t>p</w:t>
            </w:r>
            <w:r w:rsidRPr="3351D115">
              <w:rPr>
                <w:rFonts w:eastAsia="Myriad Pro" w:cs="Myriad Pro"/>
                <w:szCs w:val="20"/>
              </w:rPr>
              <w:t>ridobivanj</w:t>
            </w:r>
            <w:r>
              <w:rPr>
                <w:rFonts w:eastAsia="Myriad Pro" w:cs="Myriad Pro"/>
                <w:szCs w:val="20"/>
              </w:rPr>
              <w:t>a</w:t>
            </w:r>
            <w:r w:rsidRPr="3351D115">
              <w:rPr>
                <w:rFonts w:eastAsia="Myriad Pro" w:cs="Myriad Pro"/>
                <w:szCs w:val="20"/>
              </w:rPr>
              <w:t xml:space="preserve"> rudnin in kamnin je bila proizvodnja decembra </w:t>
            </w:r>
            <w:r>
              <w:rPr>
                <w:rFonts w:eastAsia="Myriad Pro" w:cs="Myriad Pro"/>
                <w:szCs w:val="20"/>
              </w:rPr>
              <w:t xml:space="preserve">2022 </w:t>
            </w:r>
            <w:r w:rsidRPr="3351D115">
              <w:rPr>
                <w:rFonts w:eastAsia="Myriad Pro" w:cs="Myriad Pro"/>
                <w:szCs w:val="20"/>
              </w:rPr>
              <w:t>1 % nižja kot decembra 2021, v proizvodnji nekovinskih mineralnih izdelkov pa za 8 % nižja</w:t>
            </w:r>
            <w:r>
              <w:rPr>
                <w:rFonts w:eastAsia="Myriad Pro" w:cs="Myriad Pro"/>
                <w:szCs w:val="20"/>
              </w:rPr>
              <w:t>.</w:t>
            </w:r>
          </w:p>
        </w:tc>
      </w:tr>
    </w:tbl>
    <w:p w14:paraId="578A1952" w14:textId="77777777" w:rsidR="00CA5CD8" w:rsidRDefault="00CA5CD8" w:rsidP="00CA5CD8">
      <w:pPr>
        <w:spacing w:after="160" w:line="254"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CA5CD8" w14:paraId="030FFD69" w14:textId="77777777" w:rsidTr="22A85E4F">
        <w:trPr>
          <w:trHeight w:val="207"/>
        </w:trPr>
        <w:tc>
          <w:tcPr>
            <w:tcW w:w="6100" w:type="dxa"/>
            <w:gridSpan w:val="2"/>
            <w:tcBorders>
              <w:top w:val="nil"/>
              <w:left w:val="nil"/>
              <w:bottom w:val="single" w:sz="4" w:space="0" w:color="auto"/>
              <w:right w:val="nil"/>
            </w:tcBorders>
            <w:hideMark/>
          </w:tcPr>
          <w:p w14:paraId="61167F72" w14:textId="77777777" w:rsidR="00CA5CD8" w:rsidRDefault="00CA5CD8" w:rsidP="00BB775F">
            <w:pPr>
              <w:pStyle w:val="Naslov31"/>
              <w:jc w:val="left"/>
            </w:pPr>
            <w:r>
              <w:lastRenderedPageBreak/>
              <w:t xml:space="preserve">Število delovno aktivnih oseb, december 2022 </w:t>
            </w:r>
          </w:p>
        </w:tc>
        <w:tc>
          <w:tcPr>
            <w:tcW w:w="3545" w:type="dxa"/>
            <w:tcBorders>
              <w:top w:val="nil"/>
              <w:left w:val="nil"/>
              <w:bottom w:val="single" w:sz="4" w:space="0" w:color="auto"/>
              <w:right w:val="nil"/>
            </w:tcBorders>
          </w:tcPr>
          <w:p w14:paraId="372434F2" w14:textId="77777777" w:rsidR="00CA5CD8" w:rsidRDefault="00CA5CD8" w:rsidP="00BB775F">
            <w:pPr>
              <w:pStyle w:val="Naslov31"/>
            </w:pPr>
          </w:p>
        </w:tc>
      </w:tr>
      <w:tr w:rsidR="00CA5CD8" w14:paraId="44BC1129" w14:textId="77777777" w:rsidTr="22A85E4F">
        <w:trPr>
          <w:trHeight w:val="1134"/>
        </w:trPr>
        <w:tc>
          <w:tcPr>
            <w:tcW w:w="4985" w:type="dxa"/>
            <w:tcBorders>
              <w:top w:val="single" w:sz="4" w:space="0" w:color="auto"/>
              <w:left w:val="nil"/>
              <w:bottom w:val="nil"/>
              <w:right w:val="nil"/>
            </w:tcBorders>
          </w:tcPr>
          <w:p w14:paraId="1779624A" w14:textId="3CD1AB84" w:rsidR="00CA5CD8" w:rsidRDefault="006D365F" w:rsidP="00BB775F">
            <w:pPr>
              <w:pStyle w:val="ListParagraph"/>
              <w:ind w:left="0"/>
              <w:rPr>
                <w:noProof/>
              </w:rPr>
            </w:pPr>
            <w:r>
              <w:rPr>
                <w:noProof/>
              </w:rPr>
              <w:drawing>
                <wp:inline distT="0" distB="0" distL="0" distR="0" wp14:anchorId="693AAB2E" wp14:editId="52ADCA15">
                  <wp:extent cx="3175200" cy="2415600"/>
                  <wp:effectExtent l="0" t="0" r="635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200" cy="2415600"/>
                          </a:xfrm>
                          <a:prstGeom prst="rect">
                            <a:avLst/>
                          </a:prstGeom>
                          <a:noFill/>
                        </pic:spPr>
                      </pic:pic>
                    </a:graphicData>
                  </a:graphic>
                </wp:inline>
              </w:drawing>
            </w:r>
          </w:p>
          <w:p w14:paraId="26BC6CC1" w14:textId="77777777" w:rsidR="00CA5CD8" w:rsidRDefault="00CA5CD8" w:rsidP="00BB775F">
            <w:pPr>
              <w:pStyle w:val="ListParagraph"/>
              <w:ind w:left="0"/>
            </w:pPr>
          </w:p>
        </w:tc>
        <w:tc>
          <w:tcPr>
            <w:tcW w:w="4660" w:type="dxa"/>
            <w:gridSpan w:val="2"/>
            <w:tcBorders>
              <w:top w:val="single" w:sz="4" w:space="0" w:color="auto"/>
              <w:left w:val="nil"/>
              <w:bottom w:val="nil"/>
              <w:right w:val="nil"/>
            </w:tcBorders>
            <w:tcMar>
              <w:top w:w="113" w:type="dxa"/>
              <w:left w:w="284" w:type="dxa"/>
              <w:bottom w:w="113" w:type="dxa"/>
              <w:right w:w="0" w:type="dxa"/>
            </w:tcMar>
            <w:hideMark/>
          </w:tcPr>
          <w:p w14:paraId="25A4F79D" w14:textId="4BE7AA36" w:rsidR="00CA5CD8" w:rsidRDefault="0095088B" w:rsidP="00BB775F">
            <w:pPr>
              <w:rPr>
                <w:rFonts w:eastAsia="Myriad Pro" w:cs="Myriad Pro"/>
              </w:rPr>
            </w:pPr>
            <w:r>
              <w:rPr>
                <w:b/>
                <w:bCs/>
              </w:rPr>
              <w:t xml:space="preserve">Decembra lani je bila medletna rast števila delovno </w:t>
            </w:r>
            <w:r w:rsidR="00CA5CD8" w:rsidRPr="22A85E4F">
              <w:rPr>
                <w:b/>
                <w:bCs/>
              </w:rPr>
              <w:t>aktivnih 2-odstotna, kar je podobno kot prejšnje mesece. </w:t>
            </w:r>
            <w:r w:rsidR="00CA5CD8">
              <w:t>Najvišja je bila v gradbeništvu, ki je dejavnost z velikim pomanjkanjem delovne sile</w:t>
            </w:r>
            <w:r w:rsidR="74C1E3EC">
              <w:t xml:space="preserve">, </w:t>
            </w:r>
            <w:r w:rsidR="0576C9B9">
              <w:t>kjer</w:t>
            </w:r>
            <w:r w:rsidR="74C1E3EC">
              <w:t xml:space="preserve"> se je število</w:t>
            </w:r>
            <w:r w:rsidR="0576C9B9">
              <w:t xml:space="preserve"> delov</w:t>
            </w:r>
            <w:r w:rsidR="4906D7C4">
              <w:t>n</w:t>
            </w:r>
            <w:r w:rsidR="0576C9B9">
              <w:t>o aktivnih</w:t>
            </w:r>
            <w:r w:rsidR="74C1E3EC">
              <w:t xml:space="preserve"> najbolj povečalo glede na</w:t>
            </w:r>
            <w:r>
              <w:t xml:space="preserve"> </w:t>
            </w:r>
            <w:r w:rsidR="0DA70B05">
              <w:t>začetek</w:t>
            </w:r>
            <w:r w:rsidR="1C9A8885">
              <w:t xml:space="preserve"> leta</w:t>
            </w:r>
            <w:r w:rsidR="0DA70B05">
              <w:t xml:space="preserve"> 2019</w:t>
            </w:r>
            <w:r w:rsidR="00CA5CD8">
              <w:t xml:space="preserve">. K skupni rasti števila delovno aktivnih </w:t>
            </w:r>
            <w:r w:rsidR="09AAA8D0">
              <w:t>že dlj</w:t>
            </w:r>
            <w:r w:rsidR="00391442">
              <w:t>e</w:t>
            </w:r>
            <w:r w:rsidR="09AAA8D0">
              <w:t xml:space="preserve"> časa največ </w:t>
            </w:r>
            <w:r w:rsidR="00CA5CD8">
              <w:t xml:space="preserve">prispeva zaposlovanje tujih državljanov – na medletni ravni je </w:t>
            </w:r>
            <w:r w:rsidR="4906D7C4">
              <w:t xml:space="preserve">bil </w:t>
            </w:r>
            <w:r w:rsidR="00CA5CD8">
              <w:t>prispevek decembra 76</w:t>
            </w:r>
            <w:r w:rsidR="00B31493">
              <w:t> %</w:t>
            </w:r>
            <w:r w:rsidR="00CA5CD8">
              <w:t xml:space="preserve">, kar je malenkost manj kot </w:t>
            </w:r>
            <w:r w:rsidR="4906D7C4">
              <w:t xml:space="preserve">v </w:t>
            </w:r>
            <w:r w:rsidR="00CA5CD8">
              <w:t>prejšnj</w:t>
            </w:r>
            <w:r w:rsidR="4906D7C4">
              <w:t>ih dveh</w:t>
            </w:r>
            <w:r w:rsidR="00CA5CD8">
              <w:t xml:space="preserve"> mesec</w:t>
            </w:r>
            <w:r w:rsidR="4906D7C4">
              <w:t>ih</w:t>
            </w:r>
            <w:r w:rsidR="00CA5CD8">
              <w:t xml:space="preserve">. Delež tujcev med vsemi delovno aktivnimi je bil najvišji doslej – 14,2 %, medletno pa je </w:t>
            </w:r>
            <w:r w:rsidR="1C9A8885">
              <w:t xml:space="preserve">bil višji </w:t>
            </w:r>
            <w:r w:rsidR="00CA5CD8">
              <w:t>za 1,3 o.</w:t>
            </w:r>
            <w:r w:rsidR="00B31493">
              <w:t> </w:t>
            </w:r>
            <w:r w:rsidR="00CA5CD8">
              <w:t>t. Po deležu tujcev izstopajo gradbeništvo (48 %), promet in skladiščenje (32 %) ter druge raznovrstne poslovne dejavnosti (26 %).</w:t>
            </w:r>
            <w:r>
              <w:t xml:space="preserve"> </w:t>
            </w:r>
            <w:r w:rsidR="00CA5CD8">
              <w:t>V povprečju lanskega leta je bilo število delovno aktivnih za 2,4 % višje kot leta 2021.</w:t>
            </w:r>
          </w:p>
        </w:tc>
      </w:tr>
    </w:tbl>
    <w:p w14:paraId="2CB9B2E1" w14:textId="4EEA8959" w:rsidR="00DE79DB" w:rsidRDefault="00DE79DB" w:rsidP="00DE79DB">
      <w:pPr>
        <w:spacing w:after="160" w:line="254" w:lineRule="auto"/>
        <w:jc w:val="left"/>
      </w:pPr>
    </w:p>
    <w:p w14:paraId="16A3F95F" w14:textId="77777777" w:rsidR="00DD6EC3" w:rsidRDefault="00DD6EC3" w:rsidP="00DE79DB">
      <w:pPr>
        <w:spacing w:after="160" w:line="254"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DE79DB" w14:paraId="662F72FA" w14:textId="77777777" w:rsidTr="22A85E4F">
        <w:trPr>
          <w:trHeight w:val="207"/>
        </w:trPr>
        <w:tc>
          <w:tcPr>
            <w:tcW w:w="5103" w:type="dxa"/>
            <w:gridSpan w:val="2"/>
            <w:tcBorders>
              <w:top w:val="nil"/>
              <w:left w:val="nil"/>
              <w:bottom w:val="single" w:sz="4" w:space="0" w:color="auto"/>
              <w:right w:val="nil"/>
            </w:tcBorders>
            <w:hideMark/>
          </w:tcPr>
          <w:p w14:paraId="6B103F2C" w14:textId="084D2A30" w:rsidR="00DE79DB" w:rsidRDefault="00DE79DB">
            <w:pPr>
              <w:pStyle w:val="Naslov31"/>
              <w:jc w:val="left"/>
            </w:pPr>
            <w:r>
              <w:t xml:space="preserve">Poraba zemeljskega plina, februar 2023 </w:t>
            </w:r>
          </w:p>
        </w:tc>
        <w:tc>
          <w:tcPr>
            <w:tcW w:w="4536" w:type="dxa"/>
            <w:tcBorders>
              <w:top w:val="nil"/>
              <w:left w:val="nil"/>
              <w:bottom w:val="single" w:sz="4" w:space="0" w:color="auto"/>
              <w:right w:val="nil"/>
            </w:tcBorders>
          </w:tcPr>
          <w:p w14:paraId="6954683A" w14:textId="77777777" w:rsidR="00DE79DB" w:rsidRDefault="00DE79DB">
            <w:pPr>
              <w:pStyle w:val="Naslov31"/>
              <w:rPr>
                <w:highlight w:val="green"/>
              </w:rPr>
            </w:pPr>
          </w:p>
        </w:tc>
      </w:tr>
      <w:tr w:rsidR="00DE79DB" w14:paraId="1380F8F0" w14:textId="77777777" w:rsidTr="22A85E4F">
        <w:trPr>
          <w:trHeight w:val="3353"/>
        </w:trPr>
        <w:tc>
          <w:tcPr>
            <w:tcW w:w="4901" w:type="dxa"/>
            <w:tcBorders>
              <w:top w:val="single" w:sz="4" w:space="0" w:color="auto"/>
              <w:left w:val="nil"/>
              <w:bottom w:val="nil"/>
              <w:right w:val="nil"/>
            </w:tcBorders>
            <w:hideMark/>
          </w:tcPr>
          <w:p w14:paraId="027450E1" w14:textId="52079FDF" w:rsidR="00475AFD" w:rsidRPr="003E3F20" w:rsidRDefault="00A40132">
            <w:r>
              <w:rPr>
                <w:noProof/>
              </w:rPr>
              <w:drawing>
                <wp:inline distT="0" distB="0" distL="0" distR="0" wp14:anchorId="09419CE1" wp14:editId="03277804">
                  <wp:extent cx="3002400" cy="239040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400" cy="2390400"/>
                          </a:xfrm>
                          <a:prstGeom prst="rect">
                            <a:avLst/>
                          </a:prstGeom>
                          <a:noFill/>
                        </pic:spPr>
                      </pic:pic>
                    </a:graphicData>
                  </a:graphic>
                </wp:inline>
              </w:drawing>
            </w:r>
          </w:p>
          <w:p w14:paraId="455ACEF7" w14:textId="1C087E51" w:rsidR="00DE79DB" w:rsidRPr="003E3F20" w:rsidRDefault="00DE79DB"/>
        </w:tc>
        <w:tc>
          <w:tcPr>
            <w:tcW w:w="4738" w:type="dxa"/>
            <w:gridSpan w:val="2"/>
            <w:tcBorders>
              <w:top w:val="single" w:sz="4" w:space="0" w:color="auto"/>
              <w:left w:val="nil"/>
              <w:bottom w:val="nil"/>
              <w:right w:val="nil"/>
            </w:tcBorders>
            <w:tcMar>
              <w:top w:w="113" w:type="dxa"/>
              <w:left w:w="284" w:type="dxa"/>
              <w:bottom w:w="113" w:type="dxa"/>
              <w:right w:w="0" w:type="dxa"/>
            </w:tcMar>
            <w:hideMark/>
          </w:tcPr>
          <w:p w14:paraId="47C2B405" w14:textId="38632EB3" w:rsidR="00DE79DB" w:rsidRDefault="14F26F90">
            <w:pPr>
              <w:rPr>
                <w:b/>
                <w:bCs/>
              </w:rPr>
            </w:pPr>
            <w:r w:rsidRPr="00BF01C5">
              <w:rPr>
                <w:rFonts w:eastAsia="Myriad Pro" w:cs="Myriad Pro"/>
                <w:b/>
                <w:bCs/>
              </w:rPr>
              <w:t>V prvi polovici februarja je bila ob nizkih temperaturah poraba plina le za kak odstotek manjša od primerljive v prejšnjih letih.</w:t>
            </w:r>
            <w:r w:rsidRPr="00BF01C5">
              <w:rPr>
                <w:rFonts w:eastAsia="Myriad Pro" w:cs="Myriad Pro"/>
              </w:rPr>
              <w:t xml:space="preserve"> Poleg prilagoditev dela industrije na visoke cene plina z njegovo manjšo porabo v proizvodnih procesih ter ukrepov Vlade</w:t>
            </w:r>
            <w:r w:rsidR="009209E3" w:rsidRPr="003E3F20">
              <w:rPr>
                <w:rStyle w:val="FootnoteReference"/>
              </w:rPr>
              <w:footnoteReference w:id="2"/>
            </w:r>
            <w:r w:rsidRPr="00064392">
              <w:rPr>
                <w:rFonts w:eastAsia="Myriad Pro" w:cs="Myriad Pro"/>
              </w:rPr>
              <w:t xml:space="preserve"> za spodbujanje varčnejše rabe, tudi</w:t>
            </w:r>
            <w:r w:rsidR="0095088B">
              <w:rPr>
                <w:rFonts w:eastAsia="Myriad Pro" w:cs="Myriad Pro"/>
              </w:rPr>
              <w:t xml:space="preserve"> </w:t>
            </w:r>
            <w:r w:rsidRPr="00064392">
              <w:rPr>
                <w:rFonts w:eastAsia="Myriad Pro" w:cs="Myriad Pro"/>
              </w:rPr>
              <w:t>vreme pomembno vpliva na obseg porabe plina (v rekordno toplem lanskem oktobru je bila na primer poraba plina za več kot petino nižja od prejšnjih let).</w:t>
            </w:r>
            <w:r w:rsidR="0095088B">
              <w:rPr>
                <w:rFonts w:eastAsia="Myriad Pro" w:cs="Myriad Pro"/>
              </w:rPr>
              <w:t xml:space="preserve"> </w:t>
            </w:r>
            <w:r w:rsidRPr="00064392">
              <w:rPr>
                <w:rFonts w:eastAsia="Myriad Pro" w:cs="Myriad Pro"/>
              </w:rPr>
              <w:t>Po podatkih Eurostata so v povprečju države EU od avgusta do novembra porabo znižale bolj od Slovenije, za okoli 20 % glede na preteklo petletno obdobje</w:t>
            </w:r>
            <w:r w:rsidR="34B7A180" w:rsidRPr="00064392">
              <w:rPr>
                <w:rFonts w:eastAsia="Myriad Pro" w:cs="Myriad Pro"/>
              </w:rPr>
              <w:t xml:space="preserve"> (Slovenija za </w:t>
            </w:r>
            <w:r w:rsidR="00205DE6">
              <w:rPr>
                <w:rFonts w:eastAsia="Myriad Pro" w:cs="Myriad Pro"/>
              </w:rPr>
              <w:t>okoli 15 %</w:t>
            </w:r>
            <w:r w:rsidR="34B7A180" w:rsidRPr="00064392">
              <w:rPr>
                <w:rFonts w:eastAsia="Myriad Pro" w:cs="Myriad Pro"/>
              </w:rPr>
              <w:t>)</w:t>
            </w:r>
            <w:r w:rsidRPr="00064392">
              <w:rPr>
                <w:rFonts w:eastAsia="Myriad Pro" w:cs="Myriad Pro"/>
              </w:rPr>
              <w:t xml:space="preserve">, kar je skupaj s še vedno </w:t>
            </w:r>
            <w:r w:rsidR="00805C67">
              <w:rPr>
                <w:rFonts w:eastAsia="Myriad Pro" w:cs="Myriad Pro"/>
              </w:rPr>
              <w:t>razmeroma</w:t>
            </w:r>
            <w:r w:rsidR="00805C67" w:rsidRPr="00064392">
              <w:rPr>
                <w:rFonts w:eastAsia="Myriad Pro" w:cs="Myriad Pro"/>
              </w:rPr>
              <w:t xml:space="preserve"> </w:t>
            </w:r>
            <w:r w:rsidRPr="00064392">
              <w:rPr>
                <w:rFonts w:eastAsia="Myriad Pro" w:cs="Myriad Pro"/>
              </w:rPr>
              <w:t>dobro napolnjenimi skladišči</w:t>
            </w:r>
            <w:r w:rsidR="009209E3" w:rsidRPr="003E3F20">
              <w:rPr>
                <w:rStyle w:val="FootnoteReference"/>
              </w:rPr>
              <w:footnoteReference w:id="3"/>
            </w:r>
            <w:r w:rsidRPr="00064392">
              <w:rPr>
                <w:rFonts w:eastAsia="Myriad Pro" w:cs="Myriad Pro"/>
              </w:rPr>
              <w:t xml:space="preserve"> plina dober obet, da EU ne bo </w:t>
            </w:r>
            <w:r w:rsidR="00F330E2">
              <w:rPr>
                <w:rFonts w:eastAsia="Myriad Pro" w:cs="Myriad Pro"/>
              </w:rPr>
              <w:t xml:space="preserve">imela </w:t>
            </w:r>
            <w:r w:rsidR="00EC6EA1">
              <w:rPr>
                <w:rFonts w:eastAsia="Myriad Pro" w:cs="Myriad Pro"/>
              </w:rPr>
              <w:t xml:space="preserve">večjih </w:t>
            </w:r>
            <w:r w:rsidR="00F330E2">
              <w:rPr>
                <w:rFonts w:eastAsia="Myriad Pro" w:cs="Myriad Pro"/>
              </w:rPr>
              <w:t xml:space="preserve">težav pri oskrbi </w:t>
            </w:r>
            <w:r w:rsidR="00805C67">
              <w:rPr>
                <w:rFonts w:eastAsia="Myriad Pro" w:cs="Myriad Pro"/>
              </w:rPr>
              <w:t>s plinom</w:t>
            </w:r>
            <w:r w:rsidRPr="00064392">
              <w:rPr>
                <w:rFonts w:eastAsia="Myriad Pro" w:cs="Myriad Pro"/>
              </w:rPr>
              <w:t>. Slovenija je po predhodnih podatkih od 1.</w:t>
            </w:r>
            <w:r w:rsidRPr="00064392">
              <w:rPr>
                <w:rFonts w:ascii="Arial" w:eastAsia="Arial" w:hAnsi="Arial" w:cs="Arial"/>
              </w:rPr>
              <w:t> </w:t>
            </w:r>
            <w:r w:rsidRPr="00064392">
              <w:rPr>
                <w:rFonts w:eastAsia="Myriad Pro" w:cs="Myriad Pro"/>
              </w:rPr>
              <w:t>avgusta 2022 do 17. februarja 2023 glede na primerljivo povprečje prejšnjih petih let porabo plina zmanjšala za 13 %, ali malo manj od priporočil EU o vsaj 15-odstotnem znižanju rabe plina za celotno obdobje od avgusta 2022 do marca 2023.</w:t>
            </w:r>
          </w:p>
        </w:tc>
      </w:tr>
    </w:tbl>
    <w:p w14:paraId="13C71A6B" w14:textId="584D3889" w:rsidR="00990107" w:rsidRDefault="00990107" w:rsidP="001F51CD">
      <w:pPr>
        <w:tabs>
          <w:tab w:val="left" w:pos="580"/>
        </w:tabs>
      </w:pPr>
    </w:p>
    <w:p w14:paraId="257ECC6B" w14:textId="0C74E6E3" w:rsidR="00990107" w:rsidRDefault="00990107" w:rsidP="001F51CD">
      <w:pPr>
        <w:tabs>
          <w:tab w:val="left" w:pos="580"/>
        </w:tabs>
      </w:pPr>
    </w:p>
    <w:p w14:paraId="0A5A78C5" w14:textId="4BD7C727" w:rsidR="00990107" w:rsidRDefault="00990107" w:rsidP="001F51CD">
      <w:pPr>
        <w:tabs>
          <w:tab w:val="left" w:pos="580"/>
        </w:tabs>
      </w:pPr>
    </w:p>
    <w:p w14:paraId="19C211BC" w14:textId="77777777" w:rsidR="007924C5" w:rsidRDefault="007924C5">
      <w:r>
        <w:br w:type="page"/>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8"/>
        <w:gridCol w:w="4389"/>
      </w:tblGrid>
      <w:tr w:rsidR="0055045A" w:rsidRPr="006C2117" w14:paraId="22A97048" w14:textId="77777777" w:rsidTr="00132744">
        <w:trPr>
          <w:trHeight w:val="207"/>
        </w:trPr>
        <w:tc>
          <w:tcPr>
            <w:tcW w:w="5250" w:type="dxa"/>
            <w:gridSpan w:val="2"/>
            <w:tcBorders>
              <w:bottom w:val="single" w:sz="4" w:space="0" w:color="auto"/>
            </w:tcBorders>
            <w:tcMar>
              <w:left w:w="0" w:type="dxa"/>
            </w:tcMar>
          </w:tcPr>
          <w:p w14:paraId="1B8C1F05" w14:textId="5A5C727E" w:rsidR="0055045A" w:rsidRPr="006C2117" w:rsidRDefault="0055045A" w:rsidP="009C42CB">
            <w:pPr>
              <w:pStyle w:val="Naslov31"/>
              <w:jc w:val="left"/>
            </w:pPr>
            <w:r w:rsidRPr="009E45E5">
              <w:lastRenderedPageBreak/>
              <w:t xml:space="preserve">Poraba elektrike po odjemnih skupinah, </w:t>
            </w:r>
            <w:r w:rsidR="00132744">
              <w:t>januar</w:t>
            </w:r>
            <w:r w:rsidRPr="009E45E5">
              <w:t xml:space="preserve"> 202</w:t>
            </w:r>
            <w:r w:rsidR="00132744">
              <w:t>3</w:t>
            </w:r>
          </w:p>
        </w:tc>
        <w:tc>
          <w:tcPr>
            <w:tcW w:w="4389" w:type="dxa"/>
            <w:tcBorders>
              <w:bottom w:val="single" w:sz="4" w:space="0" w:color="auto"/>
            </w:tcBorders>
          </w:tcPr>
          <w:p w14:paraId="698EB458" w14:textId="77777777" w:rsidR="0055045A" w:rsidRPr="006C2117" w:rsidRDefault="0055045A" w:rsidP="009C42CB">
            <w:pPr>
              <w:pStyle w:val="Naslov31"/>
            </w:pPr>
          </w:p>
        </w:tc>
      </w:tr>
      <w:tr w:rsidR="0055045A" w:rsidRPr="00DF4F0B" w14:paraId="03B96F57" w14:textId="77777777" w:rsidTr="00132744">
        <w:trPr>
          <w:trHeight w:val="1134"/>
        </w:trPr>
        <w:tc>
          <w:tcPr>
            <w:tcW w:w="4982" w:type="dxa"/>
            <w:tcBorders>
              <w:top w:val="single" w:sz="4" w:space="0" w:color="auto"/>
            </w:tcBorders>
            <w:tcMar>
              <w:left w:w="0" w:type="dxa"/>
            </w:tcMar>
          </w:tcPr>
          <w:p w14:paraId="59454B9A" w14:textId="5D3577F3" w:rsidR="0055045A" w:rsidRDefault="00137087" w:rsidP="009C42CB">
            <w:pPr>
              <w:pStyle w:val="ListParagraph"/>
              <w:ind w:left="0"/>
            </w:pPr>
            <w:r>
              <w:rPr>
                <w:noProof/>
              </w:rPr>
              <w:drawing>
                <wp:inline distT="0" distB="0" distL="0" distR="0" wp14:anchorId="6B52E4DA" wp14:editId="011559FF">
                  <wp:extent cx="3038400" cy="2433600"/>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00" cy="243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BBEE599" w14:textId="3F725DEB" w:rsidR="00FF527D" w:rsidRPr="00FF527D" w:rsidRDefault="00FF527D" w:rsidP="00FF527D">
            <w:r w:rsidRPr="00FF527D">
              <w:rPr>
                <w:b/>
                <w:bCs/>
              </w:rPr>
              <w:t>Januarja je bila poraba elektrike</w:t>
            </w:r>
            <w:r>
              <w:rPr>
                <w:b/>
                <w:bCs/>
              </w:rPr>
              <w:t xml:space="preserve"> </w:t>
            </w:r>
            <w:r w:rsidRPr="00FF527D">
              <w:rPr>
                <w:b/>
                <w:bCs/>
              </w:rPr>
              <w:t>na distribucijskem omrežju</w:t>
            </w:r>
            <w:r>
              <w:rPr>
                <w:b/>
                <w:bCs/>
              </w:rPr>
              <w:t xml:space="preserve">, </w:t>
            </w:r>
            <w:r w:rsidR="00300353">
              <w:rPr>
                <w:b/>
                <w:bCs/>
              </w:rPr>
              <w:t xml:space="preserve">podobno </w:t>
            </w:r>
            <w:r>
              <w:rPr>
                <w:b/>
                <w:bCs/>
              </w:rPr>
              <w:t>kot že nekaj predhodnih mesecev,</w:t>
            </w:r>
            <w:r w:rsidRPr="00FF527D">
              <w:rPr>
                <w:b/>
                <w:bCs/>
              </w:rPr>
              <w:t xml:space="preserve"> medletno nižja v vseh odjemnih skupinah. </w:t>
            </w:r>
            <w:r>
              <w:t>N</w:t>
            </w:r>
            <w:r w:rsidRPr="00FF527D">
              <w:t xml:space="preserve">ajbolj </w:t>
            </w:r>
            <w:r>
              <w:t xml:space="preserve">se je </w:t>
            </w:r>
            <w:r w:rsidRPr="00FF527D">
              <w:t xml:space="preserve">znižala industrijska poraba (za 4,0 %), po naši oceni zaradi nižje porabe energetsko intenzivnega dela </w:t>
            </w:r>
            <w:r>
              <w:t>gospodarstva</w:t>
            </w:r>
            <w:r w:rsidRPr="00FF527D">
              <w:t xml:space="preserve">. Medletno nižja (za 2,8 %) je bila tudi poraba gospodinjstev, </w:t>
            </w:r>
            <w:r w:rsidR="004F531D">
              <w:t xml:space="preserve">ocenjujemo, da </w:t>
            </w:r>
            <w:r w:rsidR="008C0C89">
              <w:t>z</w:t>
            </w:r>
            <w:r w:rsidR="004F531D" w:rsidRPr="00DA563D">
              <w:t>aradi varčnejše rabe energije</w:t>
            </w:r>
            <w:r w:rsidR="00CC19E4">
              <w:t xml:space="preserve"> in</w:t>
            </w:r>
            <w:r w:rsidR="004F531D">
              <w:t xml:space="preserve"> tudi </w:t>
            </w:r>
            <w:r w:rsidR="004F531D" w:rsidRPr="00DA563D">
              <w:t xml:space="preserve">manj </w:t>
            </w:r>
            <w:r w:rsidR="00D41315">
              <w:t xml:space="preserve">dela </w:t>
            </w:r>
            <w:r w:rsidR="00E061CF">
              <w:t>na domu</w:t>
            </w:r>
            <w:r w:rsidR="003E39F5">
              <w:t xml:space="preserve">, saj </w:t>
            </w:r>
            <w:r w:rsidR="00F73F02">
              <w:t xml:space="preserve">smo </w:t>
            </w:r>
            <w:r w:rsidR="00E061CF">
              <w:t xml:space="preserve">imeli </w:t>
            </w:r>
            <w:r w:rsidR="00F73F02">
              <w:t>lani ob tem času izrazit porast okužb s covid-19</w:t>
            </w:r>
            <w:r w:rsidR="003E39F5">
              <w:t xml:space="preserve"> in posledično več dela na domu</w:t>
            </w:r>
            <w:r w:rsidR="008C2A8D">
              <w:t xml:space="preserve"> ter</w:t>
            </w:r>
            <w:r w:rsidR="00766287">
              <w:t xml:space="preserve"> </w:t>
            </w:r>
            <w:r w:rsidR="003B2018">
              <w:t xml:space="preserve">bolniških </w:t>
            </w:r>
            <w:r w:rsidR="00E061CF">
              <w:t>odsotnosti</w:t>
            </w:r>
            <w:r w:rsidR="003B2018">
              <w:t>, v veljavi pa so bile tudi</w:t>
            </w:r>
            <w:r w:rsidR="0095088B">
              <w:t xml:space="preserve"> </w:t>
            </w:r>
            <w:r w:rsidR="003B2018">
              <w:t>karant</w:t>
            </w:r>
            <w:r w:rsidR="00DB70DC">
              <w:t>e</w:t>
            </w:r>
            <w:r w:rsidR="003B2018">
              <w:t xml:space="preserve">ne. </w:t>
            </w:r>
            <w:r w:rsidR="009F5FA0">
              <w:t>Le malenkost nižja (</w:t>
            </w:r>
            <w:r w:rsidR="00E95294">
              <w:t xml:space="preserve">za </w:t>
            </w:r>
            <w:r w:rsidR="009F5FA0" w:rsidRPr="00FF527D">
              <w:t>0,7 %</w:t>
            </w:r>
            <w:r w:rsidR="009F5FA0">
              <w:t xml:space="preserve">) kot pred letom pa je bila januarja </w:t>
            </w:r>
            <w:r w:rsidRPr="00FF527D">
              <w:t>poraba malih poslovnih odjemalcev</w:t>
            </w:r>
            <w:r w:rsidRPr="003E3F20">
              <w:rPr>
                <w:rStyle w:val="FootnoteReference"/>
              </w:rPr>
              <w:footnoteReference w:id="4"/>
            </w:r>
            <w:r w:rsidR="009F5FA0">
              <w:t>.</w:t>
            </w:r>
          </w:p>
          <w:p w14:paraId="52723DCB" w14:textId="057AECBC" w:rsidR="00177BF2" w:rsidRPr="00DF4F0B" w:rsidRDefault="00177BF2" w:rsidP="009C42CB"/>
        </w:tc>
      </w:tr>
    </w:tbl>
    <w:p w14:paraId="7BF100DE" w14:textId="1DE1B8D9" w:rsidR="003B5760" w:rsidRDefault="003B5760" w:rsidP="0055045A">
      <w:pPr>
        <w:tabs>
          <w:tab w:val="left" w:pos="580"/>
        </w:tabs>
      </w:pPr>
    </w:p>
    <w:p w14:paraId="0127A2B8" w14:textId="77777777" w:rsidR="003B5760" w:rsidRPr="003B5760" w:rsidRDefault="003B5760" w:rsidP="003B5760">
      <w:pPr>
        <w:tabs>
          <w:tab w:val="left" w:pos="580"/>
        </w:tabs>
      </w:pPr>
    </w:p>
    <w:p w14:paraId="1DD05E77" w14:textId="7FFDFD17" w:rsidR="00177BF2" w:rsidRDefault="00177BF2">
      <w:pPr>
        <w:spacing w:after="160" w:line="259" w:lineRule="auto"/>
        <w:jc w:val="left"/>
      </w:pPr>
    </w:p>
    <w:p w14:paraId="4DE35FFA" w14:textId="26E5E724" w:rsidR="00F168DC" w:rsidRDefault="00F168DC">
      <w:pPr>
        <w:spacing w:after="160" w:line="259" w:lineRule="auto"/>
        <w:jc w:val="left"/>
      </w:pPr>
    </w:p>
    <w:p w14:paraId="5CE12A71" w14:textId="45260D23" w:rsidR="00F168DC" w:rsidRDefault="00F168DC">
      <w:pPr>
        <w:spacing w:after="160" w:line="259" w:lineRule="auto"/>
        <w:jc w:val="left"/>
      </w:pPr>
    </w:p>
    <w:p w14:paraId="5FD2DA9E" w14:textId="3719D69C" w:rsidR="00F168DC" w:rsidRDefault="00F168DC">
      <w:pPr>
        <w:spacing w:after="160" w:line="259" w:lineRule="auto"/>
        <w:jc w:val="left"/>
      </w:pPr>
    </w:p>
    <w:p w14:paraId="754AF822" w14:textId="77777777" w:rsidR="00F168DC" w:rsidRDefault="00F168DC">
      <w:pPr>
        <w:spacing w:after="160" w:line="259" w:lineRule="auto"/>
        <w:jc w:val="left"/>
      </w:pPr>
    </w:p>
    <w:p w14:paraId="63AA7827" w14:textId="36A65E99" w:rsidR="005A4B30" w:rsidRDefault="005A4B30" w:rsidP="0055045A">
      <w:pPr>
        <w:tabs>
          <w:tab w:val="left" w:pos="580"/>
        </w:tabs>
      </w:pPr>
    </w:p>
    <w:p w14:paraId="2787D72B" w14:textId="21566051" w:rsidR="00356826" w:rsidRDefault="00356826" w:rsidP="0055045A">
      <w:pPr>
        <w:tabs>
          <w:tab w:val="left" w:pos="580"/>
        </w:tabs>
      </w:pPr>
    </w:p>
    <w:p w14:paraId="09B9D926" w14:textId="581E2BE8" w:rsidR="00356826" w:rsidRDefault="00356826" w:rsidP="0055045A">
      <w:pPr>
        <w:tabs>
          <w:tab w:val="left" w:pos="580"/>
        </w:tabs>
      </w:pPr>
    </w:p>
    <w:p w14:paraId="1887515B" w14:textId="1A48BD05" w:rsidR="00F168DC" w:rsidRDefault="00F168DC" w:rsidP="0055045A">
      <w:pPr>
        <w:tabs>
          <w:tab w:val="left" w:pos="580"/>
        </w:tabs>
      </w:pPr>
    </w:p>
    <w:p w14:paraId="73881BB1" w14:textId="479B3BF4" w:rsidR="00F168DC" w:rsidRDefault="00F168DC" w:rsidP="0055045A">
      <w:pPr>
        <w:tabs>
          <w:tab w:val="left" w:pos="580"/>
        </w:tabs>
      </w:pPr>
    </w:p>
    <w:p w14:paraId="2957D3C9" w14:textId="29649F30" w:rsidR="00F168DC" w:rsidRDefault="00F168DC" w:rsidP="0055045A">
      <w:pPr>
        <w:tabs>
          <w:tab w:val="left" w:pos="580"/>
        </w:tabs>
      </w:pPr>
    </w:p>
    <w:p w14:paraId="143BADC3" w14:textId="5085C397" w:rsidR="00F168DC" w:rsidRDefault="00F168DC" w:rsidP="0055045A">
      <w:pPr>
        <w:tabs>
          <w:tab w:val="left" w:pos="580"/>
        </w:tabs>
      </w:pPr>
    </w:p>
    <w:p w14:paraId="36AD6913" w14:textId="35A4C2FD" w:rsidR="00F168DC" w:rsidRDefault="00F168DC" w:rsidP="0055045A">
      <w:pPr>
        <w:tabs>
          <w:tab w:val="left" w:pos="580"/>
        </w:tabs>
      </w:pPr>
    </w:p>
    <w:p w14:paraId="50BDE0F0" w14:textId="23B7E5C9" w:rsidR="00B14AA8" w:rsidRDefault="00B14AA8">
      <w:pPr>
        <w:spacing w:after="160" w:line="259" w:lineRule="auto"/>
        <w:jc w:val="left"/>
      </w:pPr>
    </w:p>
    <w:p w14:paraId="22475C0D" w14:textId="77777777" w:rsidR="00FE7254" w:rsidRPr="00FE7254" w:rsidRDefault="00FE7254" w:rsidP="00FE7254">
      <w:pPr>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6A312A6" w14:textId="30ED58D4" w:rsidR="002E69B6" w:rsidRPr="00887D7E" w:rsidRDefault="0024717B" w:rsidP="00C26C8D">
      <w:pPr>
        <w:tabs>
          <w:tab w:val="left" w:pos="580"/>
        </w:tabs>
      </w:pPr>
      <w:r w:rsidRPr="0024717B">
        <w:rPr>
          <w:noProof/>
        </w:rPr>
        <w:lastRenderedPageBreak/>
        <w:drawing>
          <wp:inline distT="0" distB="0" distL="0" distR="0" wp14:anchorId="59D415D6" wp14:editId="1724A4F5">
            <wp:extent cx="6120130" cy="9554680"/>
            <wp:effectExtent l="0" t="0" r="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9554680"/>
                    </a:xfrm>
                    <a:prstGeom prst="rect">
                      <a:avLst/>
                    </a:prstGeom>
                    <a:no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9A1001" w16cex:dateUtc="2023-02-17T13:38:00Z"/>
  <w16cex:commentExtensible w16cex:durableId="21A92176" w16cex:dateUtc="2023-02-17T13:35:00Z"/>
  <w16cex:commentExtensible w16cex:durableId="0F9CE8AE" w16cex:dateUtc="2023-02-17T13:35:00Z"/>
  <w16cex:commentExtensible w16cex:durableId="6998146C" w16cex:dateUtc="2023-02-17T13:37:00Z"/>
  <w16cex:commentExtensible w16cex:durableId="36E0BFD4" w16cex:dateUtc="2023-02-17T13:59:07.693Z"/>
  <w16cex:commentExtensible w16cex:durableId="464CDBAC" w16cex:dateUtc="2023-02-17T14:02:37.293Z"/>
  <w16cex:commentExtensible w16cex:durableId="08F5FA9A" w16cex:dateUtc="2023-02-17T14:13:15.61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72285" w14:textId="77777777" w:rsidR="008745A0" w:rsidRDefault="008745A0" w:rsidP="0063497B">
      <w:pPr>
        <w:spacing w:line="240" w:lineRule="auto"/>
      </w:pPr>
      <w:r>
        <w:separator/>
      </w:r>
    </w:p>
  </w:endnote>
  <w:endnote w:type="continuationSeparator" w:id="0">
    <w:p w14:paraId="6E6DBB37" w14:textId="77777777" w:rsidR="008745A0" w:rsidRDefault="008745A0" w:rsidP="0063497B">
      <w:pPr>
        <w:spacing w:line="240" w:lineRule="auto"/>
      </w:pPr>
      <w:r>
        <w:continuationSeparator/>
      </w:r>
    </w:p>
  </w:endnote>
  <w:endnote w:type="continuationNotice" w:id="1">
    <w:p w14:paraId="5381497A" w14:textId="77777777" w:rsidR="008745A0" w:rsidRDefault="008745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77777777" w:rsidR="008745A0" w:rsidRPr="00363E63" w:rsidRDefault="008745A0"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7777777" w:rsidR="008745A0" w:rsidRPr="00363E63" w:rsidRDefault="008745A0"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8745A0" w:rsidRPr="00C26C8D" w:rsidRDefault="008745A0"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8745A0" w:rsidRPr="00C26C8D" w:rsidRDefault="008745A0" w:rsidP="00C26C8D">
    <w:pPr>
      <w:pStyle w:val="Naslov31"/>
      <w:tabs>
        <w:tab w:val="right" w:pos="9638"/>
      </w:tabs>
      <w:jc w:val="left"/>
      <w:rPr>
        <w:b w:val="0"/>
        <w:sz w:val="18"/>
        <w:szCs w:val="18"/>
      </w:rPr>
    </w:pPr>
  </w:p>
  <w:p w14:paraId="6B87A005" w14:textId="77777777" w:rsidR="008745A0" w:rsidRPr="00363E63" w:rsidRDefault="008745A0"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C00E5" w14:textId="77777777" w:rsidR="008745A0" w:rsidRDefault="008745A0" w:rsidP="0063497B">
      <w:pPr>
        <w:spacing w:line="240" w:lineRule="auto"/>
      </w:pPr>
      <w:r>
        <w:separator/>
      </w:r>
    </w:p>
  </w:footnote>
  <w:footnote w:type="continuationSeparator" w:id="0">
    <w:p w14:paraId="5623BB6E" w14:textId="77777777" w:rsidR="008745A0" w:rsidRDefault="008745A0" w:rsidP="0063497B">
      <w:pPr>
        <w:spacing w:line="240" w:lineRule="auto"/>
      </w:pPr>
      <w:r>
        <w:continuationSeparator/>
      </w:r>
    </w:p>
  </w:footnote>
  <w:footnote w:type="continuationNotice" w:id="1">
    <w:p w14:paraId="58D30F88" w14:textId="77777777" w:rsidR="008745A0" w:rsidRDefault="008745A0">
      <w:pPr>
        <w:spacing w:line="240" w:lineRule="auto"/>
      </w:pPr>
    </w:p>
  </w:footnote>
  <w:footnote w:id="2">
    <w:p w14:paraId="59F381E1" w14:textId="77777777" w:rsidR="008745A0" w:rsidRDefault="008745A0" w:rsidP="009209E3">
      <w:pPr>
        <w:pStyle w:val="FootnoteText"/>
      </w:pPr>
      <w:r>
        <w:rPr>
          <w:rStyle w:val="FootnoteReference"/>
        </w:rPr>
        <w:footnoteRef/>
      </w:r>
      <w:r>
        <w:t xml:space="preserve"> Med možnimi ukrepi na ravni EU po uredbi so zamenjava plina s tekočimi gorivi pri proizvodnji elektrike, spodbujanje prehoda na druga goriva v industriji, zmanjšanje ogrevanja in hlajenja v državnih zgradbah, kampanje ozaveščanja itd. Nekaj takih ukrepov je Vlada RS že sprejela.</w:t>
      </w:r>
    </w:p>
  </w:footnote>
  <w:footnote w:id="3">
    <w:p w14:paraId="6DCA84FA" w14:textId="2189E779" w:rsidR="008745A0" w:rsidRDefault="008745A0" w:rsidP="009209E3">
      <w:pPr>
        <w:pStyle w:val="FootnoteText"/>
      </w:pPr>
      <w:r>
        <w:rPr>
          <w:rStyle w:val="FootnoteReference"/>
        </w:rPr>
        <w:footnoteRef/>
      </w:r>
      <w:r>
        <w:t xml:space="preserve"> </w:t>
      </w:r>
      <w:r>
        <w:rPr>
          <w:rFonts w:eastAsia="Myriad Pro" w:cs="Myriad Pro"/>
        </w:rPr>
        <w:t>Po informacijah družbe Plinovodi je 12. novembra 2022 napolnjenost skladišč plina v EU dosegla 95,5 %, nato pa se je začela zmanjševati in je 11. februarja 2023 znašala 66,5 %, s čimer je bila na zgornji meji v obdobju 2016</w:t>
      </w:r>
      <w:r w:rsidR="00B95C74">
        <w:rPr>
          <w:rFonts w:eastAsia="Myriad Pro" w:cs="Myriad Pro"/>
        </w:rPr>
        <w:t>–</w:t>
      </w:r>
      <w:r>
        <w:rPr>
          <w:rFonts w:eastAsia="Myriad Pro" w:cs="Myriad Pro"/>
        </w:rPr>
        <w:t>2020 (v enakem času lani je bila pol manjša, le okoli tretjino).</w:t>
      </w:r>
    </w:p>
  </w:footnote>
  <w:footnote w:id="4">
    <w:p w14:paraId="57D8AD14" w14:textId="4281E466" w:rsidR="008745A0" w:rsidRDefault="008745A0" w:rsidP="00FF527D">
      <w:pPr>
        <w:pStyle w:val="FootnoteText"/>
      </w:pPr>
      <w:r w:rsidRPr="00E95294">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6905EDE6" w:rsidR="008745A0" w:rsidRDefault="008745A0"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9"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20. februar 2023</w:t>
    </w:r>
  </w:p>
  <w:p w14:paraId="4BCD6FCD" w14:textId="77777777" w:rsidR="008745A0" w:rsidRDefault="008745A0" w:rsidP="00FE7254">
    <w:pPr>
      <w:jc w:val="right"/>
    </w:pPr>
  </w:p>
  <w:p w14:paraId="2346E65D" w14:textId="77777777" w:rsidR="008745A0" w:rsidRDefault="008745A0" w:rsidP="00FE7254">
    <w:pPr>
      <w:jc w:val="right"/>
    </w:pPr>
  </w:p>
  <w:p w14:paraId="72003DEC" w14:textId="77777777" w:rsidR="008745A0" w:rsidRDefault="008745A0"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8745A0" w:rsidRPr="00C26C8D" w:rsidRDefault="008745A0"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2D3E"/>
    <w:rsid w:val="0000353C"/>
    <w:rsid w:val="000043C1"/>
    <w:rsid w:val="00004D56"/>
    <w:rsid w:val="00005E4B"/>
    <w:rsid w:val="00006396"/>
    <w:rsid w:val="000103B0"/>
    <w:rsid w:val="000149F0"/>
    <w:rsid w:val="00014A64"/>
    <w:rsid w:val="00014DE7"/>
    <w:rsid w:val="00016923"/>
    <w:rsid w:val="00021C44"/>
    <w:rsid w:val="00022AF8"/>
    <w:rsid w:val="0002391A"/>
    <w:rsid w:val="00024EF0"/>
    <w:rsid w:val="000257A3"/>
    <w:rsid w:val="000258A5"/>
    <w:rsid w:val="00026AAA"/>
    <w:rsid w:val="00027640"/>
    <w:rsid w:val="00031304"/>
    <w:rsid w:val="00033310"/>
    <w:rsid w:val="000349C7"/>
    <w:rsid w:val="00034CCC"/>
    <w:rsid w:val="000407E8"/>
    <w:rsid w:val="00041021"/>
    <w:rsid w:val="0004116E"/>
    <w:rsid w:val="00043205"/>
    <w:rsid w:val="0004410D"/>
    <w:rsid w:val="00052A70"/>
    <w:rsid w:val="0005322C"/>
    <w:rsid w:val="00054458"/>
    <w:rsid w:val="00055BD4"/>
    <w:rsid w:val="00060DB5"/>
    <w:rsid w:val="00061F03"/>
    <w:rsid w:val="00062E0D"/>
    <w:rsid w:val="00064392"/>
    <w:rsid w:val="00064E87"/>
    <w:rsid w:val="00065B72"/>
    <w:rsid w:val="00066060"/>
    <w:rsid w:val="00070313"/>
    <w:rsid w:val="000703C7"/>
    <w:rsid w:val="00070B6E"/>
    <w:rsid w:val="00073C2B"/>
    <w:rsid w:val="00077F13"/>
    <w:rsid w:val="000802F5"/>
    <w:rsid w:val="00081FD3"/>
    <w:rsid w:val="00082FF2"/>
    <w:rsid w:val="00083B7F"/>
    <w:rsid w:val="00084B09"/>
    <w:rsid w:val="00087E6A"/>
    <w:rsid w:val="00092592"/>
    <w:rsid w:val="00096101"/>
    <w:rsid w:val="00097DD5"/>
    <w:rsid w:val="000A5A42"/>
    <w:rsid w:val="000A7BDC"/>
    <w:rsid w:val="000B2332"/>
    <w:rsid w:val="000B2627"/>
    <w:rsid w:val="000B4616"/>
    <w:rsid w:val="000B5067"/>
    <w:rsid w:val="000B5B96"/>
    <w:rsid w:val="000C15FE"/>
    <w:rsid w:val="000C450B"/>
    <w:rsid w:val="000C5DFC"/>
    <w:rsid w:val="000D3F8B"/>
    <w:rsid w:val="000D4661"/>
    <w:rsid w:val="000D7845"/>
    <w:rsid w:val="000E0B03"/>
    <w:rsid w:val="000F5315"/>
    <w:rsid w:val="000F75E7"/>
    <w:rsid w:val="00101E8B"/>
    <w:rsid w:val="00110B3C"/>
    <w:rsid w:val="00111843"/>
    <w:rsid w:val="00111DFE"/>
    <w:rsid w:val="00112B3E"/>
    <w:rsid w:val="00115501"/>
    <w:rsid w:val="00115E8D"/>
    <w:rsid w:val="00116531"/>
    <w:rsid w:val="00116668"/>
    <w:rsid w:val="00120162"/>
    <w:rsid w:val="00123A5A"/>
    <w:rsid w:val="00123D52"/>
    <w:rsid w:val="001255CD"/>
    <w:rsid w:val="00126339"/>
    <w:rsid w:val="0012725B"/>
    <w:rsid w:val="00127822"/>
    <w:rsid w:val="00132744"/>
    <w:rsid w:val="0013375C"/>
    <w:rsid w:val="00133E20"/>
    <w:rsid w:val="00137087"/>
    <w:rsid w:val="0013769A"/>
    <w:rsid w:val="0014161A"/>
    <w:rsid w:val="00145D9A"/>
    <w:rsid w:val="001462A8"/>
    <w:rsid w:val="00150890"/>
    <w:rsid w:val="00150D0F"/>
    <w:rsid w:val="00157BB6"/>
    <w:rsid w:val="0016111E"/>
    <w:rsid w:val="00161807"/>
    <w:rsid w:val="00162E99"/>
    <w:rsid w:val="00163772"/>
    <w:rsid w:val="00165CA0"/>
    <w:rsid w:val="00165DA2"/>
    <w:rsid w:val="00166721"/>
    <w:rsid w:val="00167096"/>
    <w:rsid w:val="0016713C"/>
    <w:rsid w:val="0016721A"/>
    <w:rsid w:val="00167E42"/>
    <w:rsid w:val="00170ADE"/>
    <w:rsid w:val="00171871"/>
    <w:rsid w:val="00175B27"/>
    <w:rsid w:val="00176407"/>
    <w:rsid w:val="00177BF2"/>
    <w:rsid w:val="00181CF5"/>
    <w:rsid w:val="00182319"/>
    <w:rsid w:val="001846F0"/>
    <w:rsid w:val="001847BE"/>
    <w:rsid w:val="00184BC3"/>
    <w:rsid w:val="00186CE8"/>
    <w:rsid w:val="00187DC1"/>
    <w:rsid w:val="0019008F"/>
    <w:rsid w:val="00190B5F"/>
    <w:rsid w:val="0019138D"/>
    <w:rsid w:val="001920B0"/>
    <w:rsid w:val="00192B58"/>
    <w:rsid w:val="00196B1B"/>
    <w:rsid w:val="00196BDC"/>
    <w:rsid w:val="0019717D"/>
    <w:rsid w:val="001A036E"/>
    <w:rsid w:val="001A080A"/>
    <w:rsid w:val="001A0B7D"/>
    <w:rsid w:val="001A0C6A"/>
    <w:rsid w:val="001A0C98"/>
    <w:rsid w:val="001A30B1"/>
    <w:rsid w:val="001A3E47"/>
    <w:rsid w:val="001B0361"/>
    <w:rsid w:val="001B475E"/>
    <w:rsid w:val="001B6AE7"/>
    <w:rsid w:val="001B7402"/>
    <w:rsid w:val="001C03A0"/>
    <w:rsid w:val="001C2D69"/>
    <w:rsid w:val="001C3331"/>
    <w:rsid w:val="001C3E55"/>
    <w:rsid w:val="001C4064"/>
    <w:rsid w:val="001D1DF5"/>
    <w:rsid w:val="001D2917"/>
    <w:rsid w:val="001D2B56"/>
    <w:rsid w:val="001D3E77"/>
    <w:rsid w:val="001D6793"/>
    <w:rsid w:val="001D76BE"/>
    <w:rsid w:val="001D7F11"/>
    <w:rsid w:val="001E3587"/>
    <w:rsid w:val="001E3956"/>
    <w:rsid w:val="001E66B1"/>
    <w:rsid w:val="001F4E8F"/>
    <w:rsid w:val="001F51CD"/>
    <w:rsid w:val="001F5764"/>
    <w:rsid w:val="002008BA"/>
    <w:rsid w:val="00203FD7"/>
    <w:rsid w:val="002040EA"/>
    <w:rsid w:val="00205DE6"/>
    <w:rsid w:val="0020683D"/>
    <w:rsid w:val="00206CB2"/>
    <w:rsid w:val="00210E8D"/>
    <w:rsid w:val="00213015"/>
    <w:rsid w:val="00213E9C"/>
    <w:rsid w:val="00215DA0"/>
    <w:rsid w:val="0022245A"/>
    <w:rsid w:val="002229E0"/>
    <w:rsid w:val="00222F75"/>
    <w:rsid w:val="0022644C"/>
    <w:rsid w:val="00226C04"/>
    <w:rsid w:val="002362D3"/>
    <w:rsid w:val="00236656"/>
    <w:rsid w:val="002374F8"/>
    <w:rsid w:val="0024119A"/>
    <w:rsid w:val="002427D1"/>
    <w:rsid w:val="00242C71"/>
    <w:rsid w:val="00242E3F"/>
    <w:rsid w:val="0024323E"/>
    <w:rsid w:val="00243593"/>
    <w:rsid w:val="0024378B"/>
    <w:rsid w:val="002461D2"/>
    <w:rsid w:val="00246CF1"/>
    <w:rsid w:val="0024717B"/>
    <w:rsid w:val="00247321"/>
    <w:rsid w:val="002511CF"/>
    <w:rsid w:val="00252158"/>
    <w:rsid w:val="00252E25"/>
    <w:rsid w:val="00253AF0"/>
    <w:rsid w:val="002551D9"/>
    <w:rsid w:val="00255E46"/>
    <w:rsid w:val="00255F95"/>
    <w:rsid w:val="00261889"/>
    <w:rsid w:val="0026341B"/>
    <w:rsid w:val="0026509A"/>
    <w:rsid w:val="00266DD0"/>
    <w:rsid w:val="00271747"/>
    <w:rsid w:val="0027286B"/>
    <w:rsid w:val="00274D3F"/>
    <w:rsid w:val="00280045"/>
    <w:rsid w:val="0028665C"/>
    <w:rsid w:val="00287CEE"/>
    <w:rsid w:val="00290CA7"/>
    <w:rsid w:val="00291679"/>
    <w:rsid w:val="0029405F"/>
    <w:rsid w:val="002955FE"/>
    <w:rsid w:val="00295B57"/>
    <w:rsid w:val="00296BEC"/>
    <w:rsid w:val="002A62E5"/>
    <w:rsid w:val="002A6DE8"/>
    <w:rsid w:val="002B025E"/>
    <w:rsid w:val="002B058F"/>
    <w:rsid w:val="002B0E16"/>
    <w:rsid w:val="002B113D"/>
    <w:rsid w:val="002B1CE8"/>
    <w:rsid w:val="002B2B19"/>
    <w:rsid w:val="002B4319"/>
    <w:rsid w:val="002B4C3A"/>
    <w:rsid w:val="002B5361"/>
    <w:rsid w:val="002B617D"/>
    <w:rsid w:val="002B67C9"/>
    <w:rsid w:val="002B7155"/>
    <w:rsid w:val="002C0103"/>
    <w:rsid w:val="002C256D"/>
    <w:rsid w:val="002C5AFE"/>
    <w:rsid w:val="002C75CC"/>
    <w:rsid w:val="002D46EF"/>
    <w:rsid w:val="002D753B"/>
    <w:rsid w:val="002D77C5"/>
    <w:rsid w:val="002E0CCA"/>
    <w:rsid w:val="002E20DD"/>
    <w:rsid w:val="002E5771"/>
    <w:rsid w:val="002E64A4"/>
    <w:rsid w:val="002E69B6"/>
    <w:rsid w:val="002E6D32"/>
    <w:rsid w:val="002E6F0D"/>
    <w:rsid w:val="002E6FAD"/>
    <w:rsid w:val="002F00BB"/>
    <w:rsid w:val="002F0448"/>
    <w:rsid w:val="002F0FA8"/>
    <w:rsid w:val="002F2D8F"/>
    <w:rsid w:val="002F45CB"/>
    <w:rsid w:val="002F73C1"/>
    <w:rsid w:val="00300353"/>
    <w:rsid w:val="00301B51"/>
    <w:rsid w:val="00305883"/>
    <w:rsid w:val="00306767"/>
    <w:rsid w:val="00310D5E"/>
    <w:rsid w:val="00311405"/>
    <w:rsid w:val="00312D09"/>
    <w:rsid w:val="0031380B"/>
    <w:rsid w:val="003159CC"/>
    <w:rsid w:val="003248C5"/>
    <w:rsid w:val="003252A6"/>
    <w:rsid w:val="00325655"/>
    <w:rsid w:val="00325DFC"/>
    <w:rsid w:val="0032707E"/>
    <w:rsid w:val="0033042F"/>
    <w:rsid w:val="003305D2"/>
    <w:rsid w:val="00330DEB"/>
    <w:rsid w:val="00331DD6"/>
    <w:rsid w:val="00332186"/>
    <w:rsid w:val="00333B2F"/>
    <w:rsid w:val="0034057B"/>
    <w:rsid w:val="0034156F"/>
    <w:rsid w:val="003416D6"/>
    <w:rsid w:val="00342F7A"/>
    <w:rsid w:val="0034385F"/>
    <w:rsid w:val="00344240"/>
    <w:rsid w:val="003443B1"/>
    <w:rsid w:val="00345706"/>
    <w:rsid w:val="003465CC"/>
    <w:rsid w:val="00346E79"/>
    <w:rsid w:val="00350A64"/>
    <w:rsid w:val="00351781"/>
    <w:rsid w:val="003524EB"/>
    <w:rsid w:val="00352DAD"/>
    <w:rsid w:val="00353DB2"/>
    <w:rsid w:val="0035658B"/>
    <w:rsid w:val="00356826"/>
    <w:rsid w:val="00356832"/>
    <w:rsid w:val="00357EE7"/>
    <w:rsid w:val="0036158A"/>
    <w:rsid w:val="003616BC"/>
    <w:rsid w:val="00361B80"/>
    <w:rsid w:val="00362540"/>
    <w:rsid w:val="00363E63"/>
    <w:rsid w:val="003640E5"/>
    <w:rsid w:val="00364A8F"/>
    <w:rsid w:val="00365D68"/>
    <w:rsid w:val="00366D68"/>
    <w:rsid w:val="003712F9"/>
    <w:rsid w:val="00371828"/>
    <w:rsid w:val="00374467"/>
    <w:rsid w:val="00374B90"/>
    <w:rsid w:val="0037709E"/>
    <w:rsid w:val="00380056"/>
    <w:rsid w:val="00381F22"/>
    <w:rsid w:val="003829A7"/>
    <w:rsid w:val="00382FE3"/>
    <w:rsid w:val="00383126"/>
    <w:rsid w:val="003831A6"/>
    <w:rsid w:val="00384D4F"/>
    <w:rsid w:val="0038500A"/>
    <w:rsid w:val="00386C31"/>
    <w:rsid w:val="00390947"/>
    <w:rsid w:val="00391442"/>
    <w:rsid w:val="00392E0E"/>
    <w:rsid w:val="00393D08"/>
    <w:rsid w:val="00394109"/>
    <w:rsid w:val="00394FBC"/>
    <w:rsid w:val="00396859"/>
    <w:rsid w:val="00396B7A"/>
    <w:rsid w:val="003974F8"/>
    <w:rsid w:val="003A0437"/>
    <w:rsid w:val="003A0CC1"/>
    <w:rsid w:val="003A1B12"/>
    <w:rsid w:val="003A23E4"/>
    <w:rsid w:val="003A26B5"/>
    <w:rsid w:val="003A48AB"/>
    <w:rsid w:val="003A49D8"/>
    <w:rsid w:val="003A6674"/>
    <w:rsid w:val="003B14A1"/>
    <w:rsid w:val="003B2018"/>
    <w:rsid w:val="003B2E1F"/>
    <w:rsid w:val="003B3AB8"/>
    <w:rsid w:val="003B55C2"/>
    <w:rsid w:val="003B5760"/>
    <w:rsid w:val="003B76CF"/>
    <w:rsid w:val="003B7A94"/>
    <w:rsid w:val="003B7B25"/>
    <w:rsid w:val="003C0556"/>
    <w:rsid w:val="003C1005"/>
    <w:rsid w:val="003C104C"/>
    <w:rsid w:val="003C2454"/>
    <w:rsid w:val="003C371A"/>
    <w:rsid w:val="003C3C52"/>
    <w:rsid w:val="003C44D9"/>
    <w:rsid w:val="003C614E"/>
    <w:rsid w:val="003C6951"/>
    <w:rsid w:val="003D0FA7"/>
    <w:rsid w:val="003D1203"/>
    <w:rsid w:val="003D33C1"/>
    <w:rsid w:val="003D58DF"/>
    <w:rsid w:val="003E0230"/>
    <w:rsid w:val="003E31E7"/>
    <w:rsid w:val="003E39F5"/>
    <w:rsid w:val="003E3F20"/>
    <w:rsid w:val="003E5239"/>
    <w:rsid w:val="003E5ADA"/>
    <w:rsid w:val="003E5C15"/>
    <w:rsid w:val="003E64D6"/>
    <w:rsid w:val="003E799C"/>
    <w:rsid w:val="003F30E4"/>
    <w:rsid w:val="003F4C17"/>
    <w:rsid w:val="003F4C1B"/>
    <w:rsid w:val="003F7AC7"/>
    <w:rsid w:val="0040096F"/>
    <w:rsid w:val="004041D4"/>
    <w:rsid w:val="0040719E"/>
    <w:rsid w:val="004079CD"/>
    <w:rsid w:val="0041056D"/>
    <w:rsid w:val="004123A3"/>
    <w:rsid w:val="00415098"/>
    <w:rsid w:val="004204B9"/>
    <w:rsid w:val="00422436"/>
    <w:rsid w:val="004255B4"/>
    <w:rsid w:val="0042618B"/>
    <w:rsid w:val="004270F3"/>
    <w:rsid w:val="004271E0"/>
    <w:rsid w:val="00431E69"/>
    <w:rsid w:val="00431EDD"/>
    <w:rsid w:val="004338CC"/>
    <w:rsid w:val="004368FB"/>
    <w:rsid w:val="00437189"/>
    <w:rsid w:val="00441003"/>
    <w:rsid w:val="00445954"/>
    <w:rsid w:val="004461CB"/>
    <w:rsid w:val="00446303"/>
    <w:rsid w:val="0044650F"/>
    <w:rsid w:val="00452589"/>
    <w:rsid w:val="004527C3"/>
    <w:rsid w:val="00452804"/>
    <w:rsid w:val="004533D3"/>
    <w:rsid w:val="0045444B"/>
    <w:rsid w:val="00454E68"/>
    <w:rsid w:val="00455141"/>
    <w:rsid w:val="00461BCB"/>
    <w:rsid w:val="00462BA6"/>
    <w:rsid w:val="004636A5"/>
    <w:rsid w:val="00464D01"/>
    <w:rsid w:val="004652F7"/>
    <w:rsid w:val="00467144"/>
    <w:rsid w:val="0046726B"/>
    <w:rsid w:val="00467D2C"/>
    <w:rsid w:val="004712B8"/>
    <w:rsid w:val="004729A1"/>
    <w:rsid w:val="00472EF9"/>
    <w:rsid w:val="00472F14"/>
    <w:rsid w:val="00474481"/>
    <w:rsid w:val="0047514E"/>
    <w:rsid w:val="00475AFD"/>
    <w:rsid w:val="00477274"/>
    <w:rsid w:val="00477624"/>
    <w:rsid w:val="004777ED"/>
    <w:rsid w:val="00480215"/>
    <w:rsid w:val="0048123F"/>
    <w:rsid w:val="00482166"/>
    <w:rsid w:val="00485BB1"/>
    <w:rsid w:val="00487A30"/>
    <w:rsid w:val="0049386A"/>
    <w:rsid w:val="004954A2"/>
    <w:rsid w:val="00496E7F"/>
    <w:rsid w:val="004970E5"/>
    <w:rsid w:val="00497D53"/>
    <w:rsid w:val="004A03E7"/>
    <w:rsid w:val="004A1719"/>
    <w:rsid w:val="004A37A6"/>
    <w:rsid w:val="004A574A"/>
    <w:rsid w:val="004A6A8D"/>
    <w:rsid w:val="004B013F"/>
    <w:rsid w:val="004B235F"/>
    <w:rsid w:val="004B2A84"/>
    <w:rsid w:val="004B49B6"/>
    <w:rsid w:val="004C0A16"/>
    <w:rsid w:val="004C278D"/>
    <w:rsid w:val="004C2835"/>
    <w:rsid w:val="004C30D1"/>
    <w:rsid w:val="004C4A05"/>
    <w:rsid w:val="004C7373"/>
    <w:rsid w:val="004D07B9"/>
    <w:rsid w:val="004D0C06"/>
    <w:rsid w:val="004D1C88"/>
    <w:rsid w:val="004D1DBE"/>
    <w:rsid w:val="004D2BC3"/>
    <w:rsid w:val="004D2D1C"/>
    <w:rsid w:val="004D4230"/>
    <w:rsid w:val="004D63EF"/>
    <w:rsid w:val="004E107A"/>
    <w:rsid w:val="004E1AF2"/>
    <w:rsid w:val="004E1F41"/>
    <w:rsid w:val="004E2181"/>
    <w:rsid w:val="004E55DD"/>
    <w:rsid w:val="004E6B16"/>
    <w:rsid w:val="004F320B"/>
    <w:rsid w:val="004F34AB"/>
    <w:rsid w:val="004F3835"/>
    <w:rsid w:val="004F3C35"/>
    <w:rsid w:val="004F531D"/>
    <w:rsid w:val="004F61F1"/>
    <w:rsid w:val="004F72E3"/>
    <w:rsid w:val="00506E6D"/>
    <w:rsid w:val="0050789C"/>
    <w:rsid w:val="00520115"/>
    <w:rsid w:val="00521709"/>
    <w:rsid w:val="005224F3"/>
    <w:rsid w:val="0052505D"/>
    <w:rsid w:val="005304FD"/>
    <w:rsid w:val="005321D5"/>
    <w:rsid w:val="005326CC"/>
    <w:rsid w:val="00533109"/>
    <w:rsid w:val="00534457"/>
    <w:rsid w:val="005361E9"/>
    <w:rsid w:val="00536FF9"/>
    <w:rsid w:val="00537726"/>
    <w:rsid w:val="0054158F"/>
    <w:rsid w:val="00541711"/>
    <w:rsid w:val="00544A5B"/>
    <w:rsid w:val="005468A2"/>
    <w:rsid w:val="00546DBF"/>
    <w:rsid w:val="005471A9"/>
    <w:rsid w:val="0055045A"/>
    <w:rsid w:val="00555A80"/>
    <w:rsid w:val="00561C9A"/>
    <w:rsid w:val="0056428E"/>
    <w:rsid w:val="0056680E"/>
    <w:rsid w:val="00566D6E"/>
    <w:rsid w:val="00570467"/>
    <w:rsid w:val="005726AD"/>
    <w:rsid w:val="00573CF2"/>
    <w:rsid w:val="00575343"/>
    <w:rsid w:val="0058006D"/>
    <w:rsid w:val="0058052D"/>
    <w:rsid w:val="005806D5"/>
    <w:rsid w:val="00585652"/>
    <w:rsid w:val="005908AA"/>
    <w:rsid w:val="00593220"/>
    <w:rsid w:val="00593412"/>
    <w:rsid w:val="0059494D"/>
    <w:rsid w:val="00594C6D"/>
    <w:rsid w:val="005965AF"/>
    <w:rsid w:val="0059746F"/>
    <w:rsid w:val="005977D2"/>
    <w:rsid w:val="005A2EF5"/>
    <w:rsid w:val="005A4B30"/>
    <w:rsid w:val="005A70C8"/>
    <w:rsid w:val="005A7DEB"/>
    <w:rsid w:val="005B0823"/>
    <w:rsid w:val="005B0C7D"/>
    <w:rsid w:val="005B4C57"/>
    <w:rsid w:val="005B6FC5"/>
    <w:rsid w:val="005C0779"/>
    <w:rsid w:val="005C126C"/>
    <w:rsid w:val="005C2C5C"/>
    <w:rsid w:val="005C3876"/>
    <w:rsid w:val="005C3909"/>
    <w:rsid w:val="005C3B6F"/>
    <w:rsid w:val="005C489E"/>
    <w:rsid w:val="005C4BD6"/>
    <w:rsid w:val="005C4D2E"/>
    <w:rsid w:val="005D0551"/>
    <w:rsid w:val="005D285A"/>
    <w:rsid w:val="005D2D24"/>
    <w:rsid w:val="005D3726"/>
    <w:rsid w:val="005D499E"/>
    <w:rsid w:val="005D57CB"/>
    <w:rsid w:val="005D71A4"/>
    <w:rsid w:val="005E2A43"/>
    <w:rsid w:val="005E5A25"/>
    <w:rsid w:val="005E6F08"/>
    <w:rsid w:val="005F2004"/>
    <w:rsid w:val="005F25DF"/>
    <w:rsid w:val="005F5C51"/>
    <w:rsid w:val="00600D7B"/>
    <w:rsid w:val="00600E28"/>
    <w:rsid w:val="0060240D"/>
    <w:rsid w:val="00602BA4"/>
    <w:rsid w:val="0060300C"/>
    <w:rsid w:val="006054FE"/>
    <w:rsid w:val="00605C8B"/>
    <w:rsid w:val="00612374"/>
    <w:rsid w:val="00613F54"/>
    <w:rsid w:val="00613F73"/>
    <w:rsid w:val="00614A02"/>
    <w:rsid w:val="006232F8"/>
    <w:rsid w:val="00623BBE"/>
    <w:rsid w:val="006269CE"/>
    <w:rsid w:val="006276DF"/>
    <w:rsid w:val="00632222"/>
    <w:rsid w:val="006323D4"/>
    <w:rsid w:val="0063497B"/>
    <w:rsid w:val="00637D5B"/>
    <w:rsid w:val="006404D5"/>
    <w:rsid w:val="00642022"/>
    <w:rsid w:val="006421BC"/>
    <w:rsid w:val="00643ACC"/>
    <w:rsid w:val="00646B2B"/>
    <w:rsid w:val="00650921"/>
    <w:rsid w:val="0065132B"/>
    <w:rsid w:val="00652795"/>
    <w:rsid w:val="00653924"/>
    <w:rsid w:val="0065447B"/>
    <w:rsid w:val="00654FA7"/>
    <w:rsid w:val="006571E5"/>
    <w:rsid w:val="00657585"/>
    <w:rsid w:val="00662E1E"/>
    <w:rsid w:val="0066322D"/>
    <w:rsid w:val="00671853"/>
    <w:rsid w:val="006744A8"/>
    <w:rsid w:val="00681569"/>
    <w:rsid w:val="00682412"/>
    <w:rsid w:val="006851CA"/>
    <w:rsid w:val="006875F1"/>
    <w:rsid w:val="00687A6B"/>
    <w:rsid w:val="00687E50"/>
    <w:rsid w:val="00693632"/>
    <w:rsid w:val="006965FC"/>
    <w:rsid w:val="006979EF"/>
    <w:rsid w:val="006A15CC"/>
    <w:rsid w:val="006A5162"/>
    <w:rsid w:val="006A592C"/>
    <w:rsid w:val="006A595B"/>
    <w:rsid w:val="006A5981"/>
    <w:rsid w:val="006A6820"/>
    <w:rsid w:val="006A7079"/>
    <w:rsid w:val="006A798B"/>
    <w:rsid w:val="006B3D3D"/>
    <w:rsid w:val="006B60A0"/>
    <w:rsid w:val="006B6856"/>
    <w:rsid w:val="006B6FE7"/>
    <w:rsid w:val="006B73B6"/>
    <w:rsid w:val="006B7430"/>
    <w:rsid w:val="006B7DA3"/>
    <w:rsid w:val="006C2117"/>
    <w:rsid w:val="006C2E31"/>
    <w:rsid w:val="006C50E7"/>
    <w:rsid w:val="006C6657"/>
    <w:rsid w:val="006C66CB"/>
    <w:rsid w:val="006C6FC9"/>
    <w:rsid w:val="006C7DB4"/>
    <w:rsid w:val="006D365F"/>
    <w:rsid w:val="006D3EED"/>
    <w:rsid w:val="006D481D"/>
    <w:rsid w:val="006D4A69"/>
    <w:rsid w:val="006D521A"/>
    <w:rsid w:val="006D7DF8"/>
    <w:rsid w:val="006D7FE8"/>
    <w:rsid w:val="006E04F6"/>
    <w:rsid w:val="006E1C81"/>
    <w:rsid w:val="006E6B3C"/>
    <w:rsid w:val="006F0B24"/>
    <w:rsid w:val="006F3B53"/>
    <w:rsid w:val="007016EF"/>
    <w:rsid w:val="00706ADD"/>
    <w:rsid w:val="00707EB5"/>
    <w:rsid w:val="007121F2"/>
    <w:rsid w:val="00714319"/>
    <w:rsid w:val="0071753C"/>
    <w:rsid w:val="0071783E"/>
    <w:rsid w:val="007206B1"/>
    <w:rsid w:val="00723863"/>
    <w:rsid w:val="00731125"/>
    <w:rsid w:val="00731B6F"/>
    <w:rsid w:val="007327A2"/>
    <w:rsid w:val="0073387C"/>
    <w:rsid w:val="0073406D"/>
    <w:rsid w:val="00736CD9"/>
    <w:rsid w:val="00737361"/>
    <w:rsid w:val="0074196B"/>
    <w:rsid w:val="00742D21"/>
    <w:rsid w:val="00743094"/>
    <w:rsid w:val="0074452D"/>
    <w:rsid w:val="0074466E"/>
    <w:rsid w:val="00744E82"/>
    <w:rsid w:val="00746F86"/>
    <w:rsid w:val="00750B0D"/>
    <w:rsid w:val="007511AD"/>
    <w:rsid w:val="00751346"/>
    <w:rsid w:val="007516A0"/>
    <w:rsid w:val="007544F0"/>
    <w:rsid w:val="00762194"/>
    <w:rsid w:val="00766241"/>
    <w:rsid w:val="00766287"/>
    <w:rsid w:val="00771468"/>
    <w:rsid w:val="00771D42"/>
    <w:rsid w:val="0077513B"/>
    <w:rsid w:val="00777337"/>
    <w:rsid w:val="00780B89"/>
    <w:rsid w:val="00781020"/>
    <w:rsid w:val="007825B7"/>
    <w:rsid w:val="0078321F"/>
    <w:rsid w:val="00786099"/>
    <w:rsid w:val="00786303"/>
    <w:rsid w:val="007924C5"/>
    <w:rsid w:val="00792AC2"/>
    <w:rsid w:val="0079410F"/>
    <w:rsid w:val="00794864"/>
    <w:rsid w:val="00795200"/>
    <w:rsid w:val="00795CB2"/>
    <w:rsid w:val="007971E2"/>
    <w:rsid w:val="007A0B59"/>
    <w:rsid w:val="007A1CD0"/>
    <w:rsid w:val="007A3A82"/>
    <w:rsid w:val="007A414F"/>
    <w:rsid w:val="007A4A47"/>
    <w:rsid w:val="007A56AD"/>
    <w:rsid w:val="007A6755"/>
    <w:rsid w:val="007A79D4"/>
    <w:rsid w:val="007A7AD0"/>
    <w:rsid w:val="007B189A"/>
    <w:rsid w:val="007B4508"/>
    <w:rsid w:val="007B63D3"/>
    <w:rsid w:val="007B6C89"/>
    <w:rsid w:val="007B7110"/>
    <w:rsid w:val="007C26AA"/>
    <w:rsid w:val="007C48CF"/>
    <w:rsid w:val="007D04F2"/>
    <w:rsid w:val="007D0791"/>
    <w:rsid w:val="007D164F"/>
    <w:rsid w:val="007D18A3"/>
    <w:rsid w:val="007D1929"/>
    <w:rsid w:val="007D3896"/>
    <w:rsid w:val="007D4A37"/>
    <w:rsid w:val="007E659C"/>
    <w:rsid w:val="007F1307"/>
    <w:rsid w:val="007F3067"/>
    <w:rsid w:val="007F6069"/>
    <w:rsid w:val="00800BCD"/>
    <w:rsid w:val="00800D67"/>
    <w:rsid w:val="00801D7A"/>
    <w:rsid w:val="0080541B"/>
    <w:rsid w:val="00805C67"/>
    <w:rsid w:val="00805D7C"/>
    <w:rsid w:val="00805FC6"/>
    <w:rsid w:val="00811B09"/>
    <w:rsid w:val="00812D81"/>
    <w:rsid w:val="008137E0"/>
    <w:rsid w:val="00820AB1"/>
    <w:rsid w:val="00825511"/>
    <w:rsid w:val="0083025B"/>
    <w:rsid w:val="00831D7B"/>
    <w:rsid w:val="0083204F"/>
    <w:rsid w:val="00833E88"/>
    <w:rsid w:val="00835A2A"/>
    <w:rsid w:val="00835A70"/>
    <w:rsid w:val="008364AB"/>
    <w:rsid w:val="00840074"/>
    <w:rsid w:val="008433B0"/>
    <w:rsid w:val="0084348E"/>
    <w:rsid w:val="008442F2"/>
    <w:rsid w:val="00845AD9"/>
    <w:rsid w:val="00852E3D"/>
    <w:rsid w:val="00860582"/>
    <w:rsid w:val="008649A7"/>
    <w:rsid w:val="008650E3"/>
    <w:rsid w:val="008745A0"/>
    <w:rsid w:val="00874615"/>
    <w:rsid w:val="008752A0"/>
    <w:rsid w:val="00877AB3"/>
    <w:rsid w:val="00882BE5"/>
    <w:rsid w:val="00883786"/>
    <w:rsid w:val="008837F0"/>
    <w:rsid w:val="00886885"/>
    <w:rsid w:val="00886AD3"/>
    <w:rsid w:val="00887D7E"/>
    <w:rsid w:val="00890A09"/>
    <w:rsid w:val="0089259B"/>
    <w:rsid w:val="00896C66"/>
    <w:rsid w:val="00896CDC"/>
    <w:rsid w:val="008977F3"/>
    <w:rsid w:val="008A0844"/>
    <w:rsid w:val="008A1022"/>
    <w:rsid w:val="008A14E9"/>
    <w:rsid w:val="008A2E00"/>
    <w:rsid w:val="008A3BAE"/>
    <w:rsid w:val="008A60FC"/>
    <w:rsid w:val="008A7049"/>
    <w:rsid w:val="008B019C"/>
    <w:rsid w:val="008B1695"/>
    <w:rsid w:val="008B1DC9"/>
    <w:rsid w:val="008B29FA"/>
    <w:rsid w:val="008B57C2"/>
    <w:rsid w:val="008B7326"/>
    <w:rsid w:val="008BB599"/>
    <w:rsid w:val="008C04C4"/>
    <w:rsid w:val="008C0C89"/>
    <w:rsid w:val="008C1367"/>
    <w:rsid w:val="008C18D3"/>
    <w:rsid w:val="008C2A8D"/>
    <w:rsid w:val="008C32FE"/>
    <w:rsid w:val="008C4F6A"/>
    <w:rsid w:val="008C5025"/>
    <w:rsid w:val="008C7628"/>
    <w:rsid w:val="008D0379"/>
    <w:rsid w:val="008D03DA"/>
    <w:rsid w:val="008E245D"/>
    <w:rsid w:val="008E2871"/>
    <w:rsid w:val="008E4669"/>
    <w:rsid w:val="008E65B2"/>
    <w:rsid w:val="008E6812"/>
    <w:rsid w:val="008E752C"/>
    <w:rsid w:val="008E7947"/>
    <w:rsid w:val="008F186E"/>
    <w:rsid w:val="008F2C7A"/>
    <w:rsid w:val="008F3E6B"/>
    <w:rsid w:val="008F7E83"/>
    <w:rsid w:val="00902C77"/>
    <w:rsid w:val="00905248"/>
    <w:rsid w:val="0090688B"/>
    <w:rsid w:val="009078DD"/>
    <w:rsid w:val="00910265"/>
    <w:rsid w:val="009108E5"/>
    <w:rsid w:val="00910A6B"/>
    <w:rsid w:val="00911A40"/>
    <w:rsid w:val="0091385F"/>
    <w:rsid w:val="00915C8E"/>
    <w:rsid w:val="009165C4"/>
    <w:rsid w:val="00916FC4"/>
    <w:rsid w:val="0091753E"/>
    <w:rsid w:val="009203A2"/>
    <w:rsid w:val="009209E3"/>
    <w:rsid w:val="00920BAF"/>
    <w:rsid w:val="0092237A"/>
    <w:rsid w:val="00922BAD"/>
    <w:rsid w:val="00926E02"/>
    <w:rsid w:val="0093183B"/>
    <w:rsid w:val="0093604B"/>
    <w:rsid w:val="00936BD2"/>
    <w:rsid w:val="00936EA3"/>
    <w:rsid w:val="00942927"/>
    <w:rsid w:val="00943A1A"/>
    <w:rsid w:val="00943DDD"/>
    <w:rsid w:val="009446E5"/>
    <w:rsid w:val="00944758"/>
    <w:rsid w:val="00946C4C"/>
    <w:rsid w:val="009470CD"/>
    <w:rsid w:val="00947144"/>
    <w:rsid w:val="00950039"/>
    <w:rsid w:val="0095088B"/>
    <w:rsid w:val="0095229A"/>
    <w:rsid w:val="00957866"/>
    <w:rsid w:val="00957EAF"/>
    <w:rsid w:val="009611B7"/>
    <w:rsid w:val="0096155B"/>
    <w:rsid w:val="00962705"/>
    <w:rsid w:val="009675AC"/>
    <w:rsid w:val="00971564"/>
    <w:rsid w:val="0097375C"/>
    <w:rsid w:val="009740C1"/>
    <w:rsid w:val="0097488C"/>
    <w:rsid w:val="00974CB2"/>
    <w:rsid w:val="00980C27"/>
    <w:rsid w:val="009826F8"/>
    <w:rsid w:val="00982A57"/>
    <w:rsid w:val="00983F24"/>
    <w:rsid w:val="009840A7"/>
    <w:rsid w:val="009850CF"/>
    <w:rsid w:val="00985EE4"/>
    <w:rsid w:val="00990107"/>
    <w:rsid w:val="009908D8"/>
    <w:rsid w:val="009909A4"/>
    <w:rsid w:val="009918B9"/>
    <w:rsid w:val="009930B0"/>
    <w:rsid w:val="009934E3"/>
    <w:rsid w:val="0099530C"/>
    <w:rsid w:val="009A0978"/>
    <w:rsid w:val="009A1E12"/>
    <w:rsid w:val="009A325F"/>
    <w:rsid w:val="009A7163"/>
    <w:rsid w:val="009A71BC"/>
    <w:rsid w:val="009A7602"/>
    <w:rsid w:val="009B09C0"/>
    <w:rsid w:val="009B10A0"/>
    <w:rsid w:val="009B1E15"/>
    <w:rsid w:val="009B6102"/>
    <w:rsid w:val="009C12DA"/>
    <w:rsid w:val="009C1BE7"/>
    <w:rsid w:val="009C337E"/>
    <w:rsid w:val="009C3E88"/>
    <w:rsid w:val="009C42CB"/>
    <w:rsid w:val="009C4567"/>
    <w:rsid w:val="009C4C87"/>
    <w:rsid w:val="009D0E1C"/>
    <w:rsid w:val="009D311B"/>
    <w:rsid w:val="009D4435"/>
    <w:rsid w:val="009D6BF3"/>
    <w:rsid w:val="009E1837"/>
    <w:rsid w:val="009E520E"/>
    <w:rsid w:val="009E540B"/>
    <w:rsid w:val="009E6CF8"/>
    <w:rsid w:val="009F074F"/>
    <w:rsid w:val="009F100D"/>
    <w:rsid w:val="009F1C52"/>
    <w:rsid w:val="009F2107"/>
    <w:rsid w:val="009F3678"/>
    <w:rsid w:val="009F5FA0"/>
    <w:rsid w:val="009F6F44"/>
    <w:rsid w:val="009F75CB"/>
    <w:rsid w:val="00A02893"/>
    <w:rsid w:val="00A03639"/>
    <w:rsid w:val="00A03A44"/>
    <w:rsid w:val="00A05383"/>
    <w:rsid w:val="00A072AA"/>
    <w:rsid w:val="00A107AD"/>
    <w:rsid w:val="00A129FF"/>
    <w:rsid w:val="00A12CFE"/>
    <w:rsid w:val="00A12DD2"/>
    <w:rsid w:val="00A14BB6"/>
    <w:rsid w:val="00A15DA9"/>
    <w:rsid w:val="00A16BC3"/>
    <w:rsid w:val="00A21B66"/>
    <w:rsid w:val="00A22817"/>
    <w:rsid w:val="00A230D0"/>
    <w:rsid w:val="00A236E8"/>
    <w:rsid w:val="00A242E2"/>
    <w:rsid w:val="00A273E9"/>
    <w:rsid w:val="00A27AD8"/>
    <w:rsid w:val="00A30DB1"/>
    <w:rsid w:val="00A31FBB"/>
    <w:rsid w:val="00A355C7"/>
    <w:rsid w:val="00A35FCE"/>
    <w:rsid w:val="00A40132"/>
    <w:rsid w:val="00A4023D"/>
    <w:rsid w:val="00A40776"/>
    <w:rsid w:val="00A42839"/>
    <w:rsid w:val="00A438E1"/>
    <w:rsid w:val="00A43E0A"/>
    <w:rsid w:val="00A47428"/>
    <w:rsid w:val="00A478D7"/>
    <w:rsid w:val="00A52CD9"/>
    <w:rsid w:val="00A549BD"/>
    <w:rsid w:val="00A5668B"/>
    <w:rsid w:val="00A57F7D"/>
    <w:rsid w:val="00A62351"/>
    <w:rsid w:val="00A645CF"/>
    <w:rsid w:val="00A703DF"/>
    <w:rsid w:val="00A7050D"/>
    <w:rsid w:val="00A708D3"/>
    <w:rsid w:val="00A72977"/>
    <w:rsid w:val="00A736A0"/>
    <w:rsid w:val="00A75761"/>
    <w:rsid w:val="00A76391"/>
    <w:rsid w:val="00A807D0"/>
    <w:rsid w:val="00A8329F"/>
    <w:rsid w:val="00A8549D"/>
    <w:rsid w:val="00A87BFE"/>
    <w:rsid w:val="00A87E78"/>
    <w:rsid w:val="00A90395"/>
    <w:rsid w:val="00A91FD7"/>
    <w:rsid w:val="00A93BFF"/>
    <w:rsid w:val="00A9494E"/>
    <w:rsid w:val="00A9533C"/>
    <w:rsid w:val="00A96032"/>
    <w:rsid w:val="00AA0B7E"/>
    <w:rsid w:val="00AA1F25"/>
    <w:rsid w:val="00AA3703"/>
    <w:rsid w:val="00AA5C04"/>
    <w:rsid w:val="00AA6CDE"/>
    <w:rsid w:val="00AA713B"/>
    <w:rsid w:val="00AB0C65"/>
    <w:rsid w:val="00AB1DF6"/>
    <w:rsid w:val="00AB2FAF"/>
    <w:rsid w:val="00AB4836"/>
    <w:rsid w:val="00AB6034"/>
    <w:rsid w:val="00AB74B0"/>
    <w:rsid w:val="00AB78C2"/>
    <w:rsid w:val="00AC328B"/>
    <w:rsid w:val="00AC6654"/>
    <w:rsid w:val="00AC7A8C"/>
    <w:rsid w:val="00AD1A82"/>
    <w:rsid w:val="00AD62C9"/>
    <w:rsid w:val="00AD675D"/>
    <w:rsid w:val="00AD6EFF"/>
    <w:rsid w:val="00AE2753"/>
    <w:rsid w:val="00AE3184"/>
    <w:rsid w:val="00AE3298"/>
    <w:rsid w:val="00AE3A0D"/>
    <w:rsid w:val="00AE5BAC"/>
    <w:rsid w:val="00AE5CA1"/>
    <w:rsid w:val="00AE6F57"/>
    <w:rsid w:val="00AE74D8"/>
    <w:rsid w:val="00AF17FE"/>
    <w:rsid w:val="00AF1FB6"/>
    <w:rsid w:val="00AF3058"/>
    <w:rsid w:val="00AF5265"/>
    <w:rsid w:val="00AF5EE3"/>
    <w:rsid w:val="00AF6CE4"/>
    <w:rsid w:val="00AF7D8F"/>
    <w:rsid w:val="00B00E5E"/>
    <w:rsid w:val="00B06B8E"/>
    <w:rsid w:val="00B10FE7"/>
    <w:rsid w:val="00B11364"/>
    <w:rsid w:val="00B11BB6"/>
    <w:rsid w:val="00B12AB7"/>
    <w:rsid w:val="00B144A1"/>
    <w:rsid w:val="00B14AA8"/>
    <w:rsid w:val="00B2125E"/>
    <w:rsid w:val="00B21996"/>
    <w:rsid w:val="00B220A3"/>
    <w:rsid w:val="00B226C8"/>
    <w:rsid w:val="00B256C1"/>
    <w:rsid w:val="00B2692B"/>
    <w:rsid w:val="00B30231"/>
    <w:rsid w:val="00B31493"/>
    <w:rsid w:val="00B32724"/>
    <w:rsid w:val="00B356B6"/>
    <w:rsid w:val="00B3704F"/>
    <w:rsid w:val="00B37413"/>
    <w:rsid w:val="00B375C5"/>
    <w:rsid w:val="00B40FC8"/>
    <w:rsid w:val="00B451B6"/>
    <w:rsid w:val="00B4702A"/>
    <w:rsid w:val="00B52F7E"/>
    <w:rsid w:val="00B545B7"/>
    <w:rsid w:val="00B55C72"/>
    <w:rsid w:val="00B56388"/>
    <w:rsid w:val="00B614F9"/>
    <w:rsid w:val="00B615A1"/>
    <w:rsid w:val="00B61616"/>
    <w:rsid w:val="00B62D1D"/>
    <w:rsid w:val="00B66CBE"/>
    <w:rsid w:val="00B70374"/>
    <w:rsid w:val="00B73062"/>
    <w:rsid w:val="00B738F6"/>
    <w:rsid w:val="00B73A24"/>
    <w:rsid w:val="00B7450D"/>
    <w:rsid w:val="00B75E70"/>
    <w:rsid w:val="00B76526"/>
    <w:rsid w:val="00B81133"/>
    <w:rsid w:val="00B82B15"/>
    <w:rsid w:val="00B8300F"/>
    <w:rsid w:val="00B92DA1"/>
    <w:rsid w:val="00B9429F"/>
    <w:rsid w:val="00B9564E"/>
    <w:rsid w:val="00B95C74"/>
    <w:rsid w:val="00B960C6"/>
    <w:rsid w:val="00BA06C6"/>
    <w:rsid w:val="00BA13B9"/>
    <w:rsid w:val="00BA149F"/>
    <w:rsid w:val="00BA17CB"/>
    <w:rsid w:val="00BA1DBC"/>
    <w:rsid w:val="00BA206E"/>
    <w:rsid w:val="00BA4013"/>
    <w:rsid w:val="00BA4836"/>
    <w:rsid w:val="00BA51FC"/>
    <w:rsid w:val="00BA5775"/>
    <w:rsid w:val="00BA7BFE"/>
    <w:rsid w:val="00BB051A"/>
    <w:rsid w:val="00BB26CE"/>
    <w:rsid w:val="00BB361C"/>
    <w:rsid w:val="00BB596B"/>
    <w:rsid w:val="00BB5BBA"/>
    <w:rsid w:val="00BB6063"/>
    <w:rsid w:val="00BB6DF6"/>
    <w:rsid w:val="00BB73B2"/>
    <w:rsid w:val="00BB775F"/>
    <w:rsid w:val="00BC08EA"/>
    <w:rsid w:val="00BC41EA"/>
    <w:rsid w:val="00BC7B39"/>
    <w:rsid w:val="00BC7B46"/>
    <w:rsid w:val="00BD11DE"/>
    <w:rsid w:val="00BD1278"/>
    <w:rsid w:val="00BD270C"/>
    <w:rsid w:val="00BD445F"/>
    <w:rsid w:val="00BD6B2F"/>
    <w:rsid w:val="00BD74F8"/>
    <w:rsid w:val="00BE4B68"/>
    <w:rsid w:val="00BE692D"/>
    <w:rsid w:val="00BF01C5"/>
    <w:rsid w:val="00BF2574"/>
    <w:rsid w:val="00BF2667"/>
    <w:rsid w:val="00BF2BFC"/>
    <w:rsid w:val="00BF2F81"/>
    <w:rsid w:val="00BF39BE"/>
    <w:rsid w:val="00BF4529"/>
    <w:rsid w:val="00BF615A"/>
    <w:rsid w:val="00BF64FF"/>
    <w:rsid w:val="00C0394F"/>
    <w:rsid w:val="00C065C3"/>
    <w:rsid w:val="00C101AE"/>
    <w:rsid w:val="00C11346"/>
    <w:rsid w:val="00C11F86"/>
    <w:rsid w:val="00C12476"/>
    <w:rsid w:val="00C129F0"/>
    <w:rsid w:val="00C14F73"/>
    <w:rsid w:val="00C15AB6"/>
    <w:rsid w:val="00C170D6"/>
    <w:rsid w:val="00C26C8D"/>
    <w:rsid w:val="00C31DD3"/>
    <w:rsid w:val="00C336A4"/>
    <w:rsid w:val="00C33B13"/>
    <w:rsid w:val="00C37089"/>
    <w:rsid w:val="00C43D25"/>
    <w:rsid w:val="00C52E84"/>
    <w:rsid w:val="00C531EA"/>
    <w:rsid w:val="00C54755"/>
    <w:rsid w:val="00C57605"/>
    <w:rsid w:val="00C65B2C"/>
    <w:rsid w:val="00C66A32"/>
    <w:rsid w:val="00C7023C"/>
    <w:rsid w:val="00C71CE3"/>
    <w:rsid w:val="00C726BB"/>
    <w:rsid w:val="00C72C9C"/>
    <w:rsid w:val="00C739C2"/>
    <w:rsid w:val="00C73E30"/>
    <w:rsid w:val="00C74201"/>
    <w:rsid w:val="00C75108"/>
    <w:rsid w:val="00C75FAF"/>
    <w:rsid w:val="00C765E5"/>
    <w:rsid w:val="00C777BA"/>
    <w:rsid w:val="00C80811"/>
    <w:rsid w:val="00C8117C"/>
    <w:rsid w:val="00C8316C"/>
    <w:rsid w:val="00C875B3"/>
    <w:rsid w:val="00C926E8"/>
    <w:rsid w:val="00C92B01"/>
    <w:rsid w:val="00C938BC"/>
    <w:rsid w:val="00C9438F"/>
    <w:rsid w:val="00C96CD4"/>
    <w:rsid w:val="00C96FE7"/>
    <w:rsid w:val="00C97077"/>
    <w:rsid w:val="00CA3498"/>
    <w:rsid w:val="00CA5CD8"/>
    <w:rsid w:val="00CB00AA"/>
    <w:rsid w:val="00CB063B"/>
    <w:rsid w:val="00CB185C"/>
    <w:rsid w:val="00CB2C49"/>
    <w:rsid w:val="00CB34B6"/>
    <w:rsid w:val="00CB603C"/>
    <w:rsid w:val="00CB6AE4"/>
    <w:rsid w:val="00CC19E4"/>
    <w:rsid w:val="00CC45DD"/>
    <w:rsid w:val="00CC6016"/>
    <w:rsid w:val="00CC6777"/>
    <w:rsid w:val="00CC756E"/>
    <w:rsid w:val="00CD4BE3"/>
    <w:rsid w:val="00CD619B"/>
    <w:rsid w:val="00CE3753"/>
    <w:rsid w:val="00CE5C98"/>
    <w:rsid w:val="00CF1BDD"/>
    <w:rsid w:val="00CF4288"/>
    <w:rsid w:val="00CF6407"/>
    <w:rsid w:val="00D04063"/>
    <w:rsid w:val="00D04ECC"/>
    <w:rsid w:val="00D1159C"/>
    <w:rsid w:val="00D127B3"/>
    <w:rsid w:val="00D149C7"/>
    <w:rsid w:val="00D20B8C"/>
    <w:rsid w:val="00D21920"/>
    <w:rsid w:val="00D229A6"/>
    <w:rsid w:val="00D260AB"/>
    <w:rsid w:val="00D269D1"/>
    <w:rsid w:val="00D2766A"/>
    <w:rsid w:val="00D27BDB"/>
    <w:rsid w:val="00D31062"/>
    <w:rsid w:val="00D312B6"/>
    <w:rsid w:val="00D3310E"/>
    <w:rsid w:val="00D339FD"/>
    <w:rsid w:val="00D33C9A"/>
    <w:rsid w:val="00D33D88"/>
    <w:rsid w:val="00D35253"/>
    <w:rsid w:val="00D353C3"/>
    <w:rsid w:val="00D366EC"/>
    <w:rsid w:val="00D41315"/>
    <w:rsid w:val="00D41ECD"/>
    <w:rsid w:val="00D41F74"/>
    <w:rsid w:val="00D4298A"/>
    <w:rsid w:val="00D43ED8"/>
    <w:rsid w:val="00D44A56"/>
    <w:rsid w:val="00D455E8"/>
    <w:rsid w:val="00D459DF"/>
    <w:rsid w:val="00D45A5B"/>
    <w:rsid w:val="00D46AC2"/>
    <w:rsid w:val="00D47930"/>
    <w:rsid w:val="00D523CB"/>
    <w:rsid w:val="00D5407D"/>
    <w:rsid w:val="00D5594F"/>
    <w:rsid w:val="00D569EB"/>
    <w:rsid w:val="00D571E8"/>
    <w:rsid w:val="00D57BBF"/>
    <w:rsid w:val="00D607C4"/>
    <w:rsid w:val="00D63CDD"/>
    <w:rsid w:val="00D63F14"/>
    <w:rsid w:val="00D64576"/>
    <w:rsid w:val="00D64755"/>
    <w:rsid w:val="00D6735E"/>
    <w:rsid w:val="00D67FB0"/>
    <w:rsid w:val="00D7085D"/>
    <w:rsid w:val="00D71373"/>
    <w:rsid w:val="00D7306E"/>
    <w:rsid w:val="00D7442E"/>
    <w:rsid w:val="00D74535"/>
    <w:rsid w:val="00D76360"/>
    <w:rsid w:val="00D8114D"/>
    <w:rsid w:val="00D81D10"/>
    <w:rsid w:val="00D83D56"/>
    <w:rsid w:val="00D85678"/>
    <w:rsid w:val="00D8684F"/>
    <w:rsid w:val="00D87533"/>
    <w:rsid w:val="00D90505"/>
    <w:rsid w:val="00D92F22"/>
    <w:rsid w:val="00D95416"/>
    <w:rsid w:val="00D95B56"/>
    <w:rsid w:val="00DA1E71"/>
    <w:rsid w:val="00DA3067"/>
    <w:rsid w:val="00DA563D"/>
    <w:rsid w:val="00DA6949"/>
    <w:rsid w:val="00DB13A7"/>
    <w:rsid w:val="00DB1C32"/>
    <w:rsid w:val="00DB4C38"/>
    <w:rsid w:val="00DB6609"/>
    <w:rsid w:val="00DB70DC"/>
    <w:rsid w:val="00DC022D"/>
    <w:rsid w:val="00DC2376"/>
    <w:rsid w:val="00DC23A5"/>
    <w:rsid w:val="00DC5019"/>
    <w:rsid w:val="00DD0448"/>
    <w:rsid w:val="00DD1910"/>
    <w:rsid w:val="00DD46D5"/>
    <w:rsid w:val="00DD6EC3"/>
    <w:rsid w:val="00DE2568"/>
    <w:rsid w:val="00DE2EA9"/>
    <w:rsid w:val="00DE4ACB"/>
    <w:rsid w:val="00DE4AD4"/>
    <w:rsid w:val="00DE4BD3"/>
    <w:rsid w:val="00DE5B2B"/>
    <w:rsid w:val="00DE60F9"/>
    <w:rsid w:val="00DE72F6"/>
    <w:rsid w:val="00DE79DB"/>
    <w:rsid w:val="00DF1DFE"/>
    <w:rsid w:val="00DF3707"/>
    <w:rsid w:val="00DF43EE"/>
    <w:rsid w:val="00DF4F0B"/>
    <w:rsid w:val="00DF67EB"/>
    <w:rsid w:val="00DF7AA6"/>
    <w:rsid w:val="00E008B8"/>
    <w:rsid w:val="00E00D93"/>
    <w:rsid w:val="00E02608"/>
    <w:rsid w:val="00E02749"/>
    <w:rsid w:val="00E041E9"/>
    <w:rsid w:val="00E061CF"/>
    <w:rsid w:val="00E07F63"/>
    <w:rsid w:val="00E11672"/>
    <w:rsid w:val="00E12F63"/>
    <w:rsid w:val="00E1314C"/>
    <w:rsid w:val="00E1322D"/>
    <w:rsid w:val="00E15E41"/>
    <w:rsid w:val="00E1638D"/>
    <w:rsid w:val="00E1644B"/>
    <w:rsid w:val="00E20FA9"/>
    <w:rsid w:val="00E24AAC"/>
    <w:rsid w:val="00E24C19"/>
    <w:rsid w:val="00E2711F"/>
    <w:rsid w:val="00E2788B"/>
    <w:rsid w:val="00E307C8"/>
    <w:rsid w:val="00E30F44"/>
    <w:rsid w:val="00E31B72"/>
    <w:rsid w:val="00E3247B"/>
    <w:rsid w:val="00E325C2"/>
    <w:rsid w:val="00E32672"/>
    <w:rsid w:val="00E33404"/>
    <w:rsid w:val="00E34AE6"/>
    <w:rsid w:val="00E37D62"/>
    <w:rsid w:val="00E4211E"/>
    <w:rsid w:val="00E42A69"/>
    <w:rsid w:val="00E44048"/>
    <w:rsid w:val="00E50887"/>
    <w:rsid w:val="00E518F8"/>
    <w:rsid w:val="00E51F92"/>
    <w:rsid w:val="00E54C23"/>
    <w:rsid w:val="00E56CF8"/>
    <w:rsid w:val="00E60EA0"/>
    <w:rsid w:val="00E61214"/>
    <w:rsid w:val="00E62157"/>
    <w:rsid w:val="00E7094F"/>
    <w:rsid w:val="00E739CD"/>
    <w:rsid w:val="00E75E61"/>
    <w:rsid w:val="00E7791D"/>
    <w:rsid w:val="00E814D0"/>
    <w:rsid w:val="00E81806"/>
    <w:rsid w:val="00E84707"/>
    <w:rsid w:val="00E861F4"/>
    <w:rsid w:val="00E86721"/>
    <w:rsid w:val="00E8794E"/>
    <w:rsid w:val="00E915A6"/>
    <w:rsid w:val="00E919F2"/>
    <w:rsid w:val="00E93414"/>
    <w:rsid w:val="00E94401"/>
    <w:rsid w:val="00E9487C"/>
    <w:rsid w:val="00E95294"/>
    <w:rsid w:val="00E97653"/>
    <w:rsid w:val="00EA0317"/>
    <w:rsid w:val="00EA421C"/>
    <w:rsid w:val="00EA4574"/>
    <w:rsid w:val="00EA4B29"/>
    <w:rsid w:val="00EA6918"/>
    <w:rsid w:val="00EA6A7B"/>
    <w:rsid w:val="00EA7D9D"/>
    <w:rsid w:val="00EB4F2F"/>
    <w:rsid w:val="00EB5F8A"/>
    <w:rsid w:val="00EC03BE"/>
    <w:rsid w:val="00EC0667"/>
    <w:rsid w:val="00EC10EA"/>
    <w:rsid w:val="00EC1D8F"/>
    <w:rsid w:val="00EC2108"/>
    <w:rsid w:val="00EC3600"/>
    <w:rsid w:val="00EC51D5"/>
    <w:rsid w:val="00EC57D6"/>
    <w:rsid w:val="00EC6EA1"/>
    <w:rsid w:val="00EC7394"/>
    <w:rsid w:val="00ED158E"/>
    <w:rsid w:val="00ED2CCF"/>
    <w:rsid w:val="00ED4168"/>
    <w:rsid w:val="00ED5889"/>
    <w:rsid w:val="00ED641A"/>
    <w:rsid w:val="00EE35BD"/>
    <w:rsid w:val="00EE44DD"/>
    <w:rsid w:val="00EE4CF6"/>
    <w:rsid w:val="00EE6669"/>
    <w:rsid w:val="00EE6D25"/>
    <w:rsid w:val="00EE7E6E"/>
    <w:rsid w:val="00EF0656"/>
    <w:rsid w:val="00EF1C39"/>
    <w:rsid w:val="00EF1EC5"/>
    <w:rsid w:val="00EF299D"/>
    <w:rsid w:val="00EF3FD6"/>
    <w:rsid w:val="00EF48C3"/>
    <w:rsid w:val="00EF58A5"/>
    <w:rsid w:val="00EF5D58"/>
    <w:rsid w:val="00F04564"/>
    <w:rsid w:val="00F05302"/>
    <w:rsid w:val="00F06812"/>
    <w:rsid w:val="00F071DA"/>
    <w:rsid w:val="00F12BD0"/>
    <w:rsid w:val="00F168DC"/>
    <w:rsid w:val="00F212CA"/>
    <w:rsid w:val="00F21549"/>
    <w:rsid w:val="00F24029"/>
    <w:rsid w:val="00F24273"/>
    <w:rsid w:val="00F2696C"/>
    <w:rsid w:val="00F304EF"/>
    <w:rsid w:val="00F31CA1"/>
    <w:rsid w:val="00F323EE"/>
    <w:rsid w:val="00F32C57"/>
    <w:rsid w:val="00F330E2"/>
    <w:rsid w:val="00F35718"/>
    <w:rsid w:val="00F409C1"/>
    <w:rsid w:val="00F41187"/>
    <w:rsid w:val="00F41E1A"/>
    <w:rsid w:val="00F4347B"/>
    <w:rsid w:val="00F43D0E"/>
    <w:rsid w:val="00F43F6C"/>
    <w:rsid w:val="00F45E68"/>
    <w:rsid w:val="00F47B15"/>
    <w:rsid w:val="00F53841"/>
    <w:rsid w:val="00F545EF"/>
    <w:rsid w:val="00F549BE"/>
    <w:rsid w:val="00F55E33"/>
    <w:rsid w:val="00F5772C"/>
    <w:rsid w:val="00F57BC0"/>
    <w:rsid w:val="00F60147"/>
    <w:rsid w:val="00F62F1A"/>
    <w:rsid w:val="00F65156"/>
    <w:rsid w:val="00F66E1B"/>
    <w:rsid w:val="00F66EE8"/>
    <w:rsid w:val="00F66FE5"/>
    <w:rsid w:val="00F67C18"/>
    <w:rsid w:val="00F70A74"/>
    <w:rsid w:val="00F7118E"/>
    <w:rsid w:val="00F73F02"/>
    <w:rsid w:val="00F74AD8"/>
    <w:rsid w:val="00F75751"/>
    <w:rsid w:val="00F759C1"/>
    <w:rsid w:val="00F8294E"/>
    <w:rsid w:val="00F837F0"/>
    <w:rsid w:val="00F87E43"/>
    <w:rsid w:val="00F91FE1"/>
    <w:rsid w:val="00F930F6"/>
    <w:rsid w:val="00FA000A"/>
    <w:rsid w:val="00FA45E3"/>
    <w:rsid w:val="00FA4C4B"/>
    <w:rsid w:val="00FA7397"/>
    <w:rsid w:val="00FA7EE2"/>
    <w:rsid w:val="00FB122C"/>
    <w:rsid w:val="00FB169A"/>
    <w:rsid w:val="00FB24ED"/>
    <w:rsid w:val="00FB2DCD"/>
    <w:rsid w:val="00FB2DEF"/>
    <w:rsid w:val="00FB5533"/>
    <w:rsid w:val="00FB6D2E"/>
    <w:rsid w:val="00FB6F03"/>
    <w:rsid w:val="00FC0A99"/>
    <w:rsid w:val="00FC12D6"/>
    <w:rsid w:val="00FC2954"/>
    <w:rsid w:val="00FC4490"/>
    <w:rsid w:val="00FC4E13"/>
    <w:rsid w:val="00FC55E3"/>
    <w:rsid w:val="00FC639A"/>
    <w:rsid w:val="00FD01CA"/>
    <w:rsid w:val="00FD1641"/>
    <w:rsid w:val="00FD3751"/>
    <w:rsid w:val="00FD51D8"/>
    <w:rsid w:val="00FD6B74"/>
    <w:rsid w:val="00FE12B1"/>
    <w:rsid w:val="00FE2454"/>
    <w:rsid w:val="00FE625D"/>
    <w:rsid w:val="00FE7254"/>
    <w:rsid w:val="00FF187C"/>
    <w:rsid w:val="00FF2E64"/>
    <w:rsid w:val="00FF4415"/>
    <w:rsid w:val="00FF527D"/>
    <w:rsid w:val="00FF57BF"/>
    <w:rsid w:val="00FF5CF4"/>
    <w:rsid w:val="0123A8B7"/>
    <w:rsid w:val="0123EA2B"/>
    <w:rsid w:val="0187B876"/>
    <w:rsid w:val="035D91B3"/>
    <w:rsid w:val="03E5D857"/>
    <w:rsid w:val="0472CA56"/>
    <w:rsid w:val="05175898"/>
    <w:rsid w:val="0576C9B9"/>
    <w:rsid w:val="057A09B1"/>
    <w:rsid w:val="06999899"/>
    <w:rsid w:val="06B0947D"/>
    <w:rsid w:val="0714B0D6"/>
    <w:rsid w:val="07FEC5F8"/>
    <w:rsid w:val="0821F2F5"/>
    <w:rsid w:val="09AAA8D0"/>
    <w:rsid w:val="0A27FA9A"/>
    <w:rsid w:val="0BA30B3D"/>
    <w:rsid w:val="0BA8E6D4"/>
    <w:rsid w:val="0C2FAB6C"/>
    <w:rsid w:val="0C507E1D"/>
    <w:rsid w:val="0D86178C"/>
    <w:rsid w:val="0DA70B05"/>
    <w:rsid w:val="0E9FD4EB"/>
    <w:rsid w:val="0F0B2645"/>
    <w:rsid w:val="0F73C0E0"/>
    <w:rsid w:val="0F8ABE4D"/>
    <w:rsid w:val="10793878"/>
    <w:rsid w:val="11829A0B"/>
    <w:rsid w:val="11C8D53B"/>
    <w:rsid w:val="12677E5A"/>
    <w:rsid w:val="1282E1A0"/>
    <w:rsid w:val="13B4BB7E"/>
    <w:rsid w:val="14D773A8"/>
    <w:rsid w:val="14F26F90"/>
    <w:rsid w:val="150075FD"/>
    <w:rsid w:val="154B841B"/>
    <w:rsid w:val="161A47A2"/>
    <w:rsid w:val="168986EB"/>
    <w:rsid w:val="16D7EF1A"/>
    <w:rsid w:val="170D092F"/>
    <w:rsid w:val="1785811B"/>
    <w:rsid w:val="17C96060"/>
    <w:rsid w:val="1963C64C"/>
    <w:rsid w:val="1A5592C7"/>
    <w:rsid w:val="1A6010B3"/>
    <w:rsid w:val="1AE10D58"/>
    <w:rsid w:val="1C7064D8"/>
    <w:rsid w:val="1C9A8885"/>
    <w:rsid w:val="1CD4E2D4"/>
    <w:rsid w:val="1F2B5C6C"/>
    <w:rsid w:val="1F6EFF73"/>
    <w:rsid w:val="1F7749D5"/>
    <w:rsid w:val="1F8EE846"/>
    <w:rsid w:val="1F933687"/>
    <w:rsid w:val="1FA27049"/>
    <w:rsid w:val="20436A9D"/>
    <w:rsid w:val="209231AC"/>
    <w:rsid w:val="20C964F8"/>
    <w:rsid w:val="217727C1"/>
    <w:rsid w:val="21F19F53"/>
    <w:rsid w:val="2257CD22"/>
    <w:rsid w:val="22A85E4F"/>
    <w:rsid w:val="24C7657F"/>
    <w:rsid w:val="25374F41"/>
    <w:rsid w:val="25E05F27"/>
    <w:rsid w:val="2679B9BF"/>
    <w:rsid w:val="2682A42F"/>
    <w:rsid w:val="269637BF"/>
    <w:rsid w:val="278CE17C"/>
    <w:rsid w:val="278D04BE"/>
    <w:rsid w:val="28E7E390"/>
    <w:rsid w:val="28F1CD4C"/>
    <w:rsid w:val="2A090C4B"/>
    <w:rsid w:val="2B17B018"/>
    <w:rsid w:val="2C79E037"/>
    <w:rsid w:val="2C860950"/>
    <w:rsid w:val="2CBA2D16"/>
    <w:rsid w:val="2CE1AD55"/>
    <w:rsid w:val="2D6C1016"/>
    <w:rsid w:val="2EBB53D9"/>
    <w:rsid w:val="2EDD5153"/>
    <w:rsid w:val="2F1086A5"/>
    <w:rsid w:val="2F884CA6"/>
    <w:rsid w:val="302CF70A"/>
    <w:rsid w:val="305D0A7B"/>
    <w:rsid w:val="311756AC"/>
    <w:rsid w:val="312594C6"/>
    <w:rsid w:val="316DABEB"/>
    <w:rsid w:val="31D6CE73"/>
    <w:rsid w:val="323F8139"/>
    <w:rsid w:val="334D0283"/>
    <w:rsid w:val="3351D115"/>
    <w:rsid w:val="33A56BBA"/>
    <w:rsid w:val="341ADC86"/>
    <w:rsid w:val="34B7A180"/>
    <w:rsid w:val="3521EA3D"/>
    <w:rsid w:val="357D5926"/>
    <w:rsid w:val="35A0B659"/>
    <w:rsid w:val="35C3A2D3"/>
    <w:rsid w:val="37739683"/>
    <w:rsid w:val="377E8501"/>
    <w:rsid w:val="3852217F"/>
    <w:rsid w:val="386C8DD2"/>
    <w:rsid w:val="38893134"/>
    <w:rsid w:val="3922BE47"/>
    <w:rsid w:val="394B5907"/>
    <w:rsid w:val="39D0784F"/>
    <w:rsid w:val="3B4DCA80"/>
    <w:rsid w:val="3B965CF8"/>
    <w:rsid w:val="3BB8CE85"/>
    <w:rsid w:val="3BF6330B"/>
    <w:rsid w:val="3C6C1DAC"/>
    <w:rsid w:val="3C707E93"/>
    <w:rsid w:val="3DA4A47B"/>
    <w:rsid w:val="3DC2079A"/>
    <w:rsid w:val="3E573F27"/>
    <w:rsid w:val="3E75F6D3"/>
    <w:rsid w:val="3EF8B526"/>
    <w:rsid w:val="3F9CA8C7"/>
    <w:rsid w:val="401C8CDA"/>
    <w:rsid w:val="4068EE09"/>
    <w:rsid w:val="411F72FE"/>
    <w:rsid w:val="411F74E2"/>
    <w:rsid w:val="42AB7DC3"/>
    <w:rsid w:val="42C2FC55"/>
    <w:rsid w:val="42F9848C"/>
    <w:rsid w:val="42F98632"/>
    <w:rsid w:val="43ABD970"/>
    <w:rsid w:val="4419D94E"/>
    <w:rsid w:val="4482A7C8"/>
    <w:rsid w:val="4542C6FA"/>
    <w:rsid w:val="46256977"/>
    <w:rsid w:val="467329E5"/>
    <w:rsid w:val="46939C28"/>
    <w:rsid w:val="47C139D8"/>
    <w:rsid w:val="48037AEF"/>
    <w:rsid w:val="481F72C6"/>
    <w:rsid w:val="489BD46E"/>
    <w:rsid w:val="48C7D177"/>
    <w:rsid w:val="48FD4927"/>
    <w:rsid w:val="4906D7C4"/>
    <w:rsid w:val="49C09DB2"/>
    <w:rsid w:val="49F83CA4"/>
    <w:rsid w:val="4A23ECED"/>
    <w:rsid w:val="4A589709"/>
    <w:rsid w:val="4A7F6A46"/>
    <w:rsid w:val="4AAD0267"/>
    <w:rsid w:val="4B4202CC"/>
    <w:rsid w:val="4B7CDE3D"/>
    <w:rsid w:val="4B7CDEC3"/>
    <w:rsid w:val="4BD44F24"/>
    <w:rsid w:val="4C7B829E"/>
    <w:rsid w:val="4C94AAFB"/>
    <w:rsid w:val="4E8D757F"/>
    <w:rsid w:val="4EA37C92"/>
    <w:rsid w:val="4EB69FFD"/>
    <w:rsid w:val="4EB6BA3F"/>
    <w:rsid w:val="51036445"/>
    <w:rsid w:val="512B9E57"/>
    <w:rsid w:val="513F19C9"/>
    <w:rsid w:val="53CA7002"/>
    <w:rsid w:val="54122F4F"/>
    <w:rsid w:val="542289A0"/>
    <w:rsid w:val="543A9D5C"/>
    <w:rsid w:val="5488F2B5"/>
    <w:rsid w:val="54F2C778"/>
    <w:rsid w:val="55288AF6"/>
    <w:rsid w:val="566D5039"/>
    <w:rsid w:val="571627D7"/>
    <w:rsid w:val="571BE96C"/>
    <w:rsid w:val="572762AE"/>
    <w:rsid w:val="5823843A"/>
    <w:rsid w:val="585D14E6"/>
    <w:rsid w:val="59BD08FB"/>
    <w:rsid w:val="59ED8AD5"/>
    <w:rsid w:val="5AC3467A"/>
    <w:rsid w:val="5B07E52D"/>
    <w:rsid w:val="5B1616C7"/>
    <w:rsid w:val="5B627DC6"/>
    <w:rsid w:val="5B93462E"/>
    <w:rsid w:val="5BEE6921"/>
    <w:rsid w:val="5D407D35"/>
    <w:rsid w:val="5D5B5225"/>
    <w:rsid w:val="5D6DA54E"/>
    <w:rsid w:val="5D9205A7"/>
    <w:rsid w:val="5EB8088C"/>
    <w:rsid w:val="600C1C4A"/>
    <w:rsid w:val="60224628"/>
    <w:rsid w:val="61690DB2"/>
    <w:rsid w:val="6183ECD1"/>
    <w:rsid w:val="62A12BB5"/>
    <w:rsid w:val="62C72026"/>
    <w:rsid w:val="63607BE1"/>
    <w:rsid w:val="63D1D961"/>
    <w:rsid w:val="64EF8998"/>
    <w:rsid w:val="650848F3"/>
    <w:rsid w:val="651FFC22"/>
    <w:rsid w:val="659C2449"/>
    <w:rsid w:val="65A092BA"/>
    <w:rsid w:val="660035E2"/>
    <w:rsid w:val="670D464F"/>
    <w:rsid w:val="671D19AE"/>
    <w:rsid w:val="67DAC226"/>
    <w:rsid w:val="68679EEF"/>
    <w:rsid w:val="69163E22"/>
    <w:rsid w:val="69C76206"/>
    <w:rsid w:val="6A6A88CE"/>
    <w:rsid w:val="6A7E52D8"/>
    <w:rsid w:val="6AA00ABD"/>
    <w:rsid w:val="6B41F19E"/>
    <w:rsid w:val="6C1CC8D3"/>
    <w:rsid w:val="6CA4DE18"/>
    <w:rsid w:val="6D05E979"/>
    <w:rsid w:val="6D4E2F76"/>
    <w:rsid w:val="6D9016AB"/>
    <w:rsid w:val="6DFD822D"/>
    <w:rsid w:val="6E6BAAF4"/>
    <w:rsid w:val="6E9907D7"/>
    <w:rsid w:val="6EE0ACA5"/>
    <w:rsid w:val="6F51BE89"/>
    <w:rsid w:val="6F66ACD2"/>
    <w:rsid w:val="703F438C"/>
    <w:rsid w:val="7118C660"/>
    <w:rsid w:val="7124ED09"/>
    <w:rsid w:val="712D06C0"/>
    <w:rsid w:val="7136474C"/>
    <w:rsid w:val="71980AC5"/>
    <w:rsid w:val="7265ED65"/>
    <w:rsid w:val="73FFFCBC"/>
    <w:rsid w:val="740ACEA9"/>
    <w:rsid w:val="746275F1"/>
    <w:rsid w:val="74C197DE"/>
    <w:rsid w:val="74C1E3EC"/>
    <w:rsid w:val="75250ABE"/>
    <w:rsid w:val="7573E9C2"/>
    <w:rsid w:val="75A69F0A"/>
    <w:rsid w:val="7667BA74"/>
    <w:rsid w:val="7770123F"/>
    <w:rsid w:val="786D1FB6"/>
    <w:rsid w:val="78BA9E44"/>
    <w:rsid w:val="79E1BA22"/>
    <w:rsid w:val="7B65E59A"/>
    <w:rsid w:val="7B9D9414"/>
    <w:rsid w:val="7BF15B82"/>
    <w:rsid w:val="7C209A51"/>
    <w:rsid w:val="7DA0C8D2"/>
    <w:rsid w:val="7DDC5091"/>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semiHidden/>
    <w:unhideWhenUsed/>
    <w:rsid w:val="002B67C9"/>
    <w:pPr>
      <w:spacing w:line="240" w:lineRule="auto"/>
    </w:pPr>
    <w:rPr>
      <w:szCs w:val="20"/>
    </w:rPr>
  </w:style>
  <w:style w:type="character" w:customStyle="1" w:styleId="CommentTextChar">
    <w:name w:val="Comment Text Char"/>
    <w:basedOn w:val="DefaultParagraphFont"/>
    <w:link w:val="CommentText"/>
    <w:uiPriority w:val="99"/>
    <w:semiHidden/>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table" w:customStyle="1" w:styleId="Tabelamrea1">
    <w:name w:val="Tabela – mreža1"/>
    <w:basedOn w:val="TableNormal"/>
    <w:next w:val="TableGrid"/>
    <w:uiPriority w:val="39"/>
    <w:rsid w:val="003B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dilnistavekUMAR">
    <w:name w:val="Vodilni stavek_UMAR"/>
    <w:basedOn w:val="DefaultParagraphFont"/>
    <w:qFormat/>
    <w:rsid w:val="00196B1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8563">
      <w:bodyDiv w:val="1"/>
      <w:marLeft w:val="0"/>
      <w:marRight w:val="0"/>
      <w:marTop w:val="0"/>
      <w:marBottom w:val="0"/>
      <w:divBdr>
        <w:top w:val="none" w:sz="0" w:space="0" w:color="auto"/>
        <w:left w:val="none" w:sz="0" w:space="0" w:color="auto"/>
        <w:bottom w:val="none" w:sz="0" w:space="0" w:color="auto"/>
        <w:right w:val="none" w:sz="0" w:space="0" w:color="auto"/>
      </w:divBdr>
    </w:div>
    <w:div w:id="1481266285">
      <w:bodyDiv w:val="1"/>
      <w:marLeft w:val="0"/>
      <w:marRight w:val="0"/>
      <w:marTop w:val="0"/>
      <w:marBottom w:val="0"/>
      <w:divBdr>
        <w:top w:val="none" w:sz="0" w:space="0" w:color="auto"/>
        <w:left w:val="none" w:sz="0" w:space="0" w:color="auto"/>
        <w:bottom w:val="none" w:sz="0" w:space="0" w:color="auto"/>
        <w:right w:val="none" w:sz="0" w:space="0" w:color="auto"/>
      </w:divBdr>
    </w:div>
    <w:div w:id="1689211841">
      <w:bodyDiv w:val="1"/>
      <w:marLeft w:val="0"/>
      <w:marRight w:val="0"/>
      <w:marTop w:val="0"/>
      <w:marBottom w:val="0"/>
      <w:divBdr>
        <w:top w:val="none" w:sz="0" w:space="0" w:color="auto"/>
        <w:left w:val="none" w:sz="0" w:space="0" w:color="auto"/>
        <w:bottom w:val="none" w:sz="0" w:space="0" w:color="auto"/>
        <w:right w:val="none" w:sz="0" w:space="0" w:color="auto"/>
      </w:divBdr>
    </w:div>
    <w:div w:id="171148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250CC-8464-48B6-B76F-A36E48E0C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2023-02-20T12:03:00Z</dcterms:created>
  <dcterms:modified xsi:type="dcterms:W3CDTF">2023-02-20T12:03:00Z</dcterms:modified>
</cp:coreProperties>
</file>