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t>CURRENT ECONOMIC TRENDS</w:t>
      </w:r>
    </w:p>
    <w:p w14:paraId="6A9475CC" w14:textId="099AFCE1" w:rsidR="00C72A04" w:rsidRDefault="008D4C85" w:rsidP="00C72A04">
      <w:pPr>
        <w:pStyle w:val="Naslov21"/>
      </w:pPr>
      <w:r>
        <w:t>6</w:t>
      </w:r>
      <w:r w:rsidR="00C72A04">
        <w:t>–</w:t>
      </w:r>
      <w:r>
        <w:t>10</w:t>
      </w:r>
      <w:r w:rsidR="00B9411A">
        <w:t xml:space="preserve"> September</w:t>
      </w:r>
      <w:r w:rsidR="00C72A04">
        <w:t xml:space="preserve"> 2021</w:t>
      </w:r>
    </w:p>
    <w:p w14:paraId="01E93F83" w14:textId="77777777" w:rsidR="00C72A04" w:rsidRDefault="00C72A04" w:rsidP="00C72A04"/>
    <w:p w14:paraId="7B758E67" w14:textId="5652909C" w:rsidR="008D4C85" w:rsidRDefault="008D4C85" w:rsidP="008D4C85">
      <w:pPr>
        <w:tabs>
          <w:tab w:val="left" w:pos="580"/>
        </w:tabs>
      </w:pPr>
      <w:r w:rsidRPr="30055AC0">
        <w:rPr>
          <w:rFonts w:eastAsia="Myriad Pro" w:cs="Myriad Pro"/>
          <w:szCs w:val="20"/>
        </w:rPr>
        <w:t>At the end of August, the favourable trend in trade and tourism-related activities continued, as shown by data on the fiscal verification of invoices</w:t>
      </w:r>
      <w:r>
        <w:t>. Total turnover was higher than in the same period of 2019, but still lagged far behind the pre-epidemic period in some activities. In August, traffic of electronically tolled vehicles on Slovenian motorways was also higher than in the same period before the epidemic. The latest available data show that activity in the export-oriented part of the economy fell slightly in July, mainly due to disruptions in the supply of raw materials in the automotive industry.</w:t>
      </w:r>
    </w:p>
    <w:p w14:paraId="38828CC3" w14:textId="2D58BADE" w:rsidR="008D4C85" w:rsidRDefault="008D4C85" w:rsidP="008D4C85">
      <w:pPr>
        <w:tabs>
          <w:tab w:val="left" w:pos="580"/>
        </w:tabs>
        <w:rPr>
          <w:rFonts w:eastAsia="Myriad Pro" w:cs="Myriad Pr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62"/>
        <w:gridCol w:w="20"/>
        <w:gridCol w:w="4657"/>
      </w:tblGrid>
      <w:tr w:rsidR="008D4C85" w:rsidRPr="007A0B59" w14:paraId="2AE7DC1F" w14:textId="77777777" w:rsidTr="005D6D2E">
        <w:trPr>
          <w:trHeight w:val="207"/>
        </w:trPr>
        <w:tc>
          <w:tcPr>
            <w:tcW w:w="4962" w:type="dxa"/>
            <w:tcBorders>
              <w:bottom w:val="single" w:sz="4" w:space="0" w:color="auto"/>
            </w:tcBorders>
            <w:tcMar>
              <w:left w:w="0" w:type="dxa"/>
            </w:tcMar>
          </w:tcPr>
          <w:p w14:paraId="45CD527B" w14:textId="77777777" w:rsidR="008D4C85" w:rsidRPr="007A0B59" w:rsidRDefault="008D4C85" w:rsidP="00362D97">
            <w:pPr>
              <w:pStyle w:val="Naslov31"/>
              <w:jc w:val="left"/>
            </w:pPr>
            <w:r>
              <w:t>Fiscal verification of invoices, August–September 2021</w:t>
            </w:r>
          </w:p>
        </w:tc>
        <w:tc>
          <w:tcPr>
            <w:tcW w:w="4677" w:type="dxa"/>
            <w:gridSpan w:val="2"/>
            <w:tcBorders>
              <w:bottom w:val="single" w:sz="4" w:space="0" w:color="auto"/>
            </w:tcBorders>
          </w:tcPr>
          <w:p w14:paraId="70E20BB4" w14:textId="77777777" w:rsidR="008D4C85" w:rsidRPr="007A0B59" w:rsidRDefault="008D4C85" w:rsidP="00362D97">
            <w:pPr>
              <w:pStyle w:val="Naslov31"/>
            </w:pPr>
          </w:p>
        </w:tc>
      </w:tr>
      <w:tr w:rsidR="008D4C85" w:rsidRPr="00DF4F0B" w14:paraId="75333368" w14:textId="77777777" w:rsidTr="00362D97">
        <w:trPr>
          <w:trHeight w:val="1134"/>
        </w:trPr>
        <w:tc>
          <w:tcPr>
            <w:tcW w:w="4982" w:type="dxa"/>
            <w:gridSpan w:val="2"/>
            <w:tcBorders>
              <w:top w:val="single" w:sz="4" w:space="0" w:color="auto"/>
            </w:tcBorders>
            <w:tcMar>
              <w:left w:w="0" w:type="dxa"/>
            </w:tcMar>
          </w:tcPr>
          <w:p w14:paraId="1BF4621D" w14:textId="4E30CE91" w:rsidR="008D4C85" w:rsidRDefault="006034D6" w:rsidP="00362D97">
            <w:pPr>
              <w:pStyle w:val="ListParagraph"/>
              <w:ind w:left="0"/>
            </w:pPr>
            <w:r>
              <w:rPr>
                <w:noProof/>
              </w:rPr>
              <w:drawing>
                <wp:inline distT="0" distB="0" distL="0" distR="0" wp14:anchorId="53DDA3DC" wp14:editId="3604C7A7">
                  <wp:extent cx="3081600" cy="2451600"/>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600" cy="2451600"/>
                          </a:xfrm>
                          <a:prstGeom prst="rect">
                            <a:avLst/>
                          </a:prstGeom>
                          <a:noFill/>
                        </pic:spPr>
                      </pic:pic>
                    </a:graphicData>
                  </a:graphic>
                </wp:inline>
              </w:drawing>
            </w:r>
          </w:p>
        </w:tc>
        <w:tc>
          <w:tcPr>
            <w:tcW w:w="4657" w:type="dxa"/>
            <w:tcBorders>
              <w:top w:val="single" w:sz="4" w:space="0" w:color="auto"/>
            </w:tcBorders>
            <w:tcMar>
              <w:left w:w="284" w:type="dxa"/>
            </w:tcMar>
          </w:tcPr>
          <w:p w14:paraId="0964A5A4" w14:textId="77777777" w:rsidR="008D4C85" w:rsidRPr="00DF4F0B" w:rsidRDefault="008D4C85" w:rsidP="00362D97">
            <w:r w:rsidRPr="45F6CD11">
              <w:rPr>
                <w:rStyle w:val="normaltextrun"/>
                <w:b/>
                <w:bCs/>
              </w:rPr>
              <w:t xml:space="preserve">According to data on the fiscal verification of invoices, total turnover between 22 August and 4 September was 11% higher year-on-year and 7% higher than in the same period </w:t>
            </w:r>
            <w:r w:rsidRPr="45F6CD11">
              <w:rPr>
                <w:rStyle w:val="normaltextrun"/>
                <w:b/>
                <w:bCs/>
                <w:color w:val="000000"/>
                <w:shd w:val="clear" w:color="auto" w:fill="FFFFFF"/>
              </w:rPr>
              <w:t>of 2019</w:t>
            </w:r>
            <w:r w:rsidRPr="45F6CD11">
              <w:rPr>
                <w:rStyle w:val="normaltextrun"/>
                <w:b/>
                <w:bCs/>
              </w:rPr>
              <w:t>.</w:t>
            </w:r>
            <w:r w:rsidRPr="45F6CD11">
              <w:rPr>
                <w:rStyle w:val="normaltextrun"/>
                <w:b/>
                <w:bCs/>
                <w:color w:val="000000"/>
                <w:shd w:val="clear" w:color="auto" w:fill="FFFFFF"/>
              </w:rPr>
              <w:t xml:space="preserve"> </w:t>
            </w:r>
            <w:r>
              <w:rPr>
                <w:rStyle w:val="normaltextrun"/>
              </w:rPr>
              <w:t>Positive trends in trade continued, with sales 10% higher year-on-year and 7% higher than in 2019.</w:t>
            </w:r>
            <w:r>
              <w:rPr>
                <w:rStyle w:val="normaltextrun"/>
                <w:color w:val="000000"/>
                <w:shd w:val="clear" w:color="auto" w:fill="FFFFFF"/>
              </w:rPr>
              <w:t> </w:t>
            </w:r>
            <w:r>
              <w:rPr>
                <w:rStyle w:val="normaltextrun"/>
              </w:rPr>
              <w:t>Even higher year-on-year turnover growth (due to a low base) was recorded in travel agency activities, accommodation, food and beverage service activities and sports activities.</w:t>
            </w:r>
            <w:r>
              <w:rPr>
                <w:rStyle w:val="normaltextrun"/>
                <w:color w:val="000000"/>
                <w:shd w:val="clear" w:color="auto" w:fill="FFFFFF"/>
              </w:rPr>
              <w:t xml:space="preserve"> Turnover growth was driven by a larger number of foreign tourists as well as the redemption of vouchers introduced last year and this year. Turnover in certain services (accommodation and food service activities, sports activities) was also higher than in the same period of 2019, while turnover in other services (travel agency activities and casinos) was lower (by about a half and a fifth, respectively).</w:t>
            </w:r>
          </w:p>
        </w:tc>
      </w:tr>
    </w:tbl>
    <w:p w14:paraId="4005A2DA" w14:textId="6A61A7D1" w:rsidR="008D4C85" w:rsidRDefault="008D4C85" w:rsidP="008D4C85">
      <w:pPr>
        <w:tabs>
          <w:tab w:val="left" w:pos="580"/>
        </w:tabs>
        <w:rPr>
          <w:rFonts w:eastAsia="Myriad Pro" w:cs="Myriad Pro"/>
        </w:rPr>
      </w:pPr>
    </w:p>
    <w:p w14:paraId="4609D51C" w14:textId="7919E535" w:rsidR="00C72A04" w:rsidRDefault="00C72A04" w:rsidP="002B6DD4">
      <w:pPr>
        <w:pStyle w:val="Naslov31"/>
        <w:jc w:val="left"/>
        <w:sectPr w:rsidR="00C72A04"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964"/>
        <w:gridCol w:w="2693"/>
      </w:tblGrid>
      <w:tr w:rsidR="008D4C85" w:rsidRPr="007A0B59" w14:paraId="0AEE0AB2" w14:textId="77777777" w:rsidTr="005D6D2E">
        <w:trPr>
          <w:trHeight w:val="207"/>
        </w:trPr>
        <w:tc>
          <w:tcPr>
            <w:tcW w:w="6946" w:type="dxa"/>
            <w:gridSpan w:val="2"/>
            <w:tcBorders>
              <w:bottom w:val="single" w:sz="4" w:space="0" w:color="auto"/>
            </w:tcBorders>
            <w:tcMar>
              <w:left w:w="0" w:type="dxa"/>
            </w:tcMar>
          </w:tcPr>
          <w:p w14:paraId="0F6D50FF" w14:textId="77777777" w:rsidR="008D4C85" w:rsidRPr="007A0B59" w:rsidRDefault="008D4C85" w:rsidP="00362D97">
            <w:pPr>
              <w:pStyle w:val="Naslov31"/>
              <w:jc w:val="left"/>
            </w:pPr>
            <w:r>
              <w:lastRenderedPageBreak/>
              <w:t>Traffic of electronically tolled vehicles on Slovenian motorways, August 2021</w:t>
            </w:r>
          </w:p>
        </w:tc>
        <w:tc>
          <w:tcPr>
            <w:tcW w:w="2693" w:type="dxa"/>
            <w:tcBorders>
              <w:bottom w:val="single" w:sz="4" w:space="0" w:color="auto"/>
            </w:tcBorders>
          </w:tcPr>
          <w:p w14:paraId="6FC8F1B8" w14:textId="77777777" w:rsidR="008D4C85" w:rsidRPr="007A0B59" w:rsidRDefault="008D4C85" w:rsidP="00362D97">
            <w:pPr>
              <w:pStyle w:val="Naslov31"/>
            </w:pPr>
          </w:p>
        </w:tc>
      </w:tr>
      <w:tr w:rsidR="008D4C85" w:rsidRPr="00DF4F0B" w14:paraId="4058C5D4" w14:textId="77777777" w:rsidTr="00362D97">
        <w:trPr>
          <w:trHeight w:val="1134"/>
        </w:trPr>
        <w:tc>
          <w:tcPr>
            <w:tcW w:w="4982" w:type="dxa"/>
            <w:tcBorders>
              <w:top w:val="single" w:sz="4" w:space="0" w:color="auto"/>
            </w:tcBorders>
            <w:tcMar>
              <w:left w:w="0" w:type="dxa"/>
            </w:tcMar>
          </w:tcPr>
          <w:p w14:paraId="691D0309" w14:textId="07141EFF" w:rsidR="008D4C85" w:rsidRDefault="006034D6" w:rsidP="00362D97">
            <w:pPr>
              <w:pStyle w:val="ListParagraph"/>
              <w:ind w:left="0"/>
            </w:pPr>
            <w:r>
              <w:rPr>
                <w:noProof/>
              </w:rPr>
              <w:drawing>
                <wp:inline distT="0" distB="0" distL="0" distR="0" wp14:anchorId="39D92339" wp14:editId="29F5C852">
                  <wp:extent cx="3088800" cy="25524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800" cy="2552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90A6F33" w14:textId="77777777" w:rsidR="008D4C85" w:rsidRPr="00DF4F0B" w:rsidRDefault="008D4C85" w:rsidP="00362D97">
            <w:r>
              <w:rPr>
                <w:b/>
              </w:rPr>
              <w:t>Freight traffic on Slovenian motorways in August was up 13% year-on-year and up 7% compared with August 2019.</w:t>
            </w:r>
            <w:r>
              <w:t xml:space="preserve"> The year-on-year recovery (and also compared to the same two months in 2019) can be attributed to one less working day in July and one more in August this year. After adjusting the data for working days, the volume of freight traffic was 3% higher than in August 2019.</w:t>
            </w:r>
          </w:p>
        </w:tc>
      </w:tr>
    </w:tbl>
    <w:p w14:paraId="28AA28BD" w14:textId="77777777" w:rsidR="008D4C85" w:rsidRDefault="008D4C85" w:rsidP="008D4C85">
      <w:pPr>
        <w:spacing w:after="160" w:line="259" w:lineRule="auto"/>
        <w:jc w:val="left"/>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8D4C85" w:rsidRPr="007A0B59" w14:paraId="13127F9E" w14:textId="77777777" w:rsidTr="00362D97">
        <w:trPr>
          <w:trHeight w:val="207"/>
        </w:trPr>
        <w:tc>
          <w:tcPr>
            <w:tcW w:w="4819" w:type="dxa"/>
            <w:tcBorders>
              <w:bottom w:val="single" w:sz="4" w:space="0" w:color="auto"/>
            </w:tcBorders>
            <w:tcMar>
              <w:left w:w="0" w:type="dxa"/>
            </w:tcMar>
          </w:tcPr>
          <w:p w14:paraId="22E9A285" w14:textId="77777777" w:rsidR="008D4C85" w:rsidRPr="007A0B59" w:rsidRDefault="008D4C85" w:rsidP="00362D97">
            <w:pPr>
              <w:pStyle w:val="Naslov31"/>
              <w:jc w:val="left"/>
            </w:pPr>
            <w:r>
              <w:t>Trade in goods, July 2021</w:t>
            </w:r>
          </w:p>
        </w:tc>
        <w:tc>
          <w:tcPr>
            <w:tcW w:w="4820" w:type="dxa"/>
            <w:gridSpan w:val="2"/>
            <w:tcBorders>
              <w:bottom w:val="single" w:sz="4" w:space="0" w:color="auto"/>
            </w:tcBorders>
          </w:tcPr>
          <w:p w14:paraId="780C8335" w14:textId="77777777" w:rsidR="008D4C85" w:rsidRPr="007A0B59" w:rsidRDefault="008D4C85" w:rsidP="00362D97">
            <w:pPr>
              <w:pStyle w:val="Naslov31"/>
            </w:pPr>
          </w:p>
        </w:tc>
      </w:tr>
      <w:tr w:rsidR="008D4C85" w:rsidRPr="00DF4F0B" w14:paraId="0DADBFDA" w14:textId="77777777" w:rsidTr="00362D97">
        <w:trPr>
          <w:trHeight w:val="1134"/>
        </w:trPr>
        <w:tc>
          <w:tcPr>
            <w:tcW w:w="4982" w:type="dxa"/>
            <w:gridSpan w:val="2"/>
            <w:tcBorders>
              <w:top w:val="single" w:sz="4" w:space="0" w:color="auto"/>
            </w:tcBorders>
            <w:tcMar>
              <w:left w:w="0" w:type="dxa"/>
            </w:tcMar>
          </w:tcPr>
          <w:p w14:paraId="47B69183" w14:textId="5956078A" w:rsidR="008D4C85" w:rsidRDefault="006034D6" w:rsidP="00362D97">
            <w:pPr>
              <w:pStyle w:val="ListParagraph"/>
              <w:ind w:left="0"/>
            </w:pPr>
            <w:r>
              <w:rPr>
                <w:noProof/>
              </w:rPr>
              <w:drawing>
                <wp:inline distT="0" distB="0" distL="0" distR="0" wp14:anchorId="3F775F14" wp14:editId="546C1020">
                  <wp:extent cx="3164400" cy="248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400" cy="2484000"/>
                          </a:xfrm>
                          <a:prstGeom prst="rect">
                            <a:avLst/>
                          </a:prstGeom>
                          <a:noFill/>
                        </pic:spPr>
                      </pic:pic>
                    </a:graphicData>
                  </a:graphic>
                </wp:inline>
              </w:drawing>
            </w:r>
          </w:p>
        </w:tc>
        <w:tc>
          <w:tcPr>
            <w:tcW w:w="4657" w:type="dxa"/>
            <w:tcBorders>
              <w:top w:val="single" w:sz="4" w:space="0" w:color="auto"/>
            </w:tcBorders>
            <w:tcMar>
              <w:left w:w="284" w:type="dxa"/>
            </w:tcMar>
          </w:tcPr>
          <w:p w14:paraId="41F92282" w14:textId="77777777" w:rsidR="008D4C85" w:rsidRPr="00DF4F0B" w:rsidRDefault="008D4C85" w:rsidP="00362D97">
            <w:r>
              <w:rPr>
                <w:b/>
              </w:rPr>
              <w:t>Trade in goods fell again in July, but remained higher than last year.</w:t>
            </w:r>
            <w:r>
              <w:t xml:space="preserve"> In recent months, growth in exports of goods to EU Member States came to a halt, which we believe is related to lower exports of vehicles. The shortage of electronic built-in components has severely paralysed the production of vehicles and, consequently, their exports, which accounts for about one-sixth of total exports of goods. Among the main product groups, the positive trend in exports of metals and machinery and electrical equipment</w:t>
            </w:r>
            <w:r>
              <w:rPr>
                <w:rStyle w:val="FootnoteReference"/>
              </w:rPr>
              <w:footnoteReference w:id="2"/>
            </w:r>
            <w:r>
              <w:t xml:space="preserve"> continues and remains well above pre-epidemic levels. The decline in imports is related to somewhat lower manufacturing activity in Slovenia. In August, export expectations improved. Despite the disruptions in the supply of raw materials and longer delivery times (PMI), which have the greatest impact on the automotive industry, firms remain more optimistic about future foreign demand than before the epidemic. </w:t>
            </w:r>
          </w:p>
        </w:tc>
      </w:tr>
    </w:tbl>
    <w:p w14:paraId="5DA5D3E1" w14:textId="77777777" w:rsidR="008D4C85" w:rsidRDefault="008D4C85" w:rsidP="008D4C85">
      <w:pPr>
        <w:spacing w:after="160" w:line="259" w:lineRule="auto"/>
        <w:jc w:val="left"/>
        <w:rPr>
          <w:b/>
        </w:rPr>
      </w:pPr>
    </w:p>
    <w:p w14:paraId="3DBE35BB" w14:textId="77777777" w:rsidR="008D4C85" w:rsidRDefault="008D4C85" w:rsidP="008D4C85">
      <w:pPr>
        <w:spacing w:after="160" w:line="259" w:lineRule="auto"/>
        <w:jc w:val="left"/>
        <w:rPr>
          <w:b/>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8D4C85" w:rsidRPr="007A0B59" w14:paraId="3BC00EC9" w14:textId="77777777" w:rsidTr="00362D97">
        <w:trPr>
          <w:trHeight w:val="207"/>
        </w:trPr>
        <w:tc>
          <w:tcPr>
            <w:tcW w:w="4819" w:type="dxa"/>
            <w:tcBorders>
              <w:bottom w:val="single" w:sz="4" w:space="0" w:color="auto"/>
            </w:tcBorders>
            <w:tcMar>
              <w:left w:w="0" w:type="dxa"/>
            </w:tcMar>
          </w:tcPr>
          <w:p w14:paraId="45201C5A" w14:textId="77777777" w:rsidR="008D4C85" w:rsidRPr="007A0B59" w:rsidRDefault="008D4C85" w:rsidP="00362D97">
            <w:pPr>
              <w:pStyle w:val="Naslov31"/>
              <w:jc w:val="left"/>
            </w:pPr>
            <w:r>
              <w:lastRenderedPageBreak/>
              <w:t>Production volume in manufacturing, July 2021</w:t>
            </w:r>
          </w:p>
        </w:tc>
        <w:tc>
          <w:tcPr>
            <w:tcW w:w="4820" w:type="dxa"/>
            <w:gridSpan w:val="2"/>
            <w:tcBorders>
              <w:bottom w:val="single" w:sz="4" w:space="0" w:color="auto"/>
            </w:tcBorders>
          </w:tcPr>
          <w:p w14:paraId="7BEC853A" w14:textId="77777777" w:rsidR="008D4C85" w:rsidRPr="007A0B59" w:rsidRDefault="008D4C85" w:rsidP="00362D97">
            <w:pPr>
              <w:pStyle w:val="Naslov31"/>
            </w:pPr>
          </w:p>
        </w:tc>
      </w:tr>
      <w:tr w:rsidR="008D4C85" w:rsidRPr="00DF4F0B" w14:paraId="2DBB1C9D" w14:textId="77777777" w:rsidTr="00362D97">
        <w:trPr>
          <w:trHeight w:val="1134"/>
        </w:trPr>
        <w:tc>
          <w:tcPr>
            <w:tcW w:w="4982" w:type="dxa"/>
            <w:gridSpan w:val="2"/>
            <w:tcBorders>
              <w:top w:val="single" w:sz="4" w:space="0" w:color="auto"/>
            </w:tcBorders>
            <w:tcMar>
              <w:left w:w="0" w:type="dxa"/>
            </w:tcMar>
          </w:tcPr>
          <w:p w14:paraId="520413A7" w14:textId="6579B11E" w:rsidR="008D4C85" w:rsidRDefault="006034D6" w:rsidP="00362D97">
            <w:pPr>
              <w:pStyle w:val="ListParagraph"/>
              <w:ind w:left="0"/>
            </w:pPr>
            <w:r>
              <w:rPr>
                <w:noProof/>
              </w:rPr>
              <w:drawing>
                <wp:inline distT="0" distB="0" distL="0" distR="0" wp14:anchorId="3D033AC2" wp14:editId="088CB4A7">
                  <wp:extent cx="3052800" cy="24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800" cy="2448000"/>
                          </a:xfrm>
                          <a:prstGeom prst="rect">
                            <a:avLst/>
                          </a:prstGeom>
                          <a:noFill/>
                        </pic:spPr>
                      </pic:pic>
                    </a:graphicData>
                  </a:graphic>
                </wp:inline>
              </w:drawing>
            </w:r>
          </w:p>
        </w:tc>
        <w:tc>
          <w:tcPr>
            <w:tcW w:w="4657" w:type="dxa"/>
            <w:tcBorders>
              <w:top w:val="single" w:sz="4" w:space="0" w:color="auto"/>
            </w:tcBorders>
            <w:tcMar>
              <w:left w:w="284" w:type="dxa"/>
            </w:tcMar>
          </w:tcPr>
          <w:p w14:paraId="0172D752" w14:textId="77777777" w:rsidR="008D4C85" w:rsidRPr="00DF4F0B" w:rsidRDefault="008D4C85" w:rsidP="00362D97">
            <w:r>
              <w:rPr>
                <w:rStyle w:val="normaltextrun"/>
                <w:b/>
              </w:rPr>
              <w:t>Production volume in manufacturing fell in July compared to the previous month, but was still higher than in the same month last year and in 2019.</w:t>
            </w:r>
            <w:r>
              <w:rPr>
                <w:rStyle w:val="normaltextrun"/>
                <w:b/>
                <w:color w:val="000000" w:themeColor="text1"/>
              </w:rPr>
              <w:t xml:space="preserve"> </w:t>
            </w:r>
            <w:r>
              <w:rPr>
                <w:rStyle w:val="normaltextrun"/>
                <w:color w:val="000000"/>
                <w:shd w:val="clear" w:color="auto" w:fill="FFFFFF"/>
              </w:rPr>
              <w:t xml:space="preserve">This was largely due to reduced activity in medium-high technology industries, mainly due to supply disruptions in the automotive industry. </w:t>
            </w:r>
            <w:r>
              <w:rPr>
                <w:rStyle w:val="normaltextrun"/>
              </w:rPr>
              <w:t>A decline was recorded also in medium-low and low technology industries, while high-technology industries recorded relatively high growth.</w:t>
            </w:r>
            <w:r>
              <w:rPr>
                <w:rStyle w:val="normaltextrun"/>
                <w:b/>
                <w:color w:val="000000"/>
                <w:shd w:val="clear" w:color="auto" w:fill="FFFFFF"/>
              </w:rPr>
              <w:t xml:space="preserve"> </w:t>
            </w:r>
            <w:r>
              <w:rPr>
                <w:rStyle w:val="normaltextrun"/>
                <w:color w:val="000000" w:themeColor="text1"/>
              </w:rPr>
              <w:t>Total manufacturing production continued to exceed the level of the same period last year.</w:t>
            </w:r>
            <w:r>
              <w:rPr>
                <w:rStyle w:val="normaltextrun"/>
                <w:color w:val="000000"/>
                <w:shd w:val="clear" w:color="auto" w:fill="FFFFFF"/>
              </w:rPr>
              <w:t xml:space="preserve"> </w:t>
            </w:r>
            <w:r>
              <w:rPr>
                <w:rStyle w:val="normaltextrun"/>
              </w:rPr>
              <w:t>The lowest year-on-year growth was recorded in medium-high technology industries, mainly due to unfavourable developments in the automotive industry.</w:t>
            </w:r>
            <w:r>
              <w:rPr>
                <w:rStyle w:val="normaltextrun"/>
                <w:color w:val="000000"/>
                <w:shd w:val="clear" w:color="auto" w:fill="FFFFFF"/>
              </w:rPr>
              <w:t xml:space="preserve"> </w:t>
            </w:r>
            <w:r>
              <w:rPr>
                <w:rStyle w:val="normaltextrun"/>
              </w:rPr>
              <w:t>This is also the main reason why the production of medium-high technology activities is lagging behind the level of the same period in 2019</w:t>
            </w:r>
            <w:r>
              <w:rPr>
                <w:rStyle w:val="normaltextrun"/>
                <w:color w:val="000000" w:themeColor="text1"/>
              </w:rPr>
              <w:t xml:space="preserve">. </w:t>
            </w:r>
            <w:r>
              <w:rPr>
                <w:rStyle w:val="normaltextrun"/>
              </w:rPr>
              <w:t>Production in some other industries, such as the production of metals, electrical equipment, food and non-metallic mineral products, was also lower than in July 2019.</w:t>
            </w:r>
          </w:p>
        </w:tc>
      </w:tr>
    </w:tbl>
    <w:p w14:paraId="24B1A499" w14:textId="189BA9FA" w:rsidR="00C72A04" w:rsidRDefault="00C72A04" w:rsidP="00C72A04">
      <w:pPr>
        <w:pStyle w:val="Naslov31"/>
        <w:jc w:val="left"/>
      </w:pPr>
    </w:p>
    <w:p w14:paraId="26D4A973" w14:textId="77777777" w:rsidR="00B9411A" w:rsidRDefault="00B9411A" w:rsidP="00C72A04">
      <w:pPr>
        <w:pStyle w:val="Naslov31"/>
        <w:jc w:val="left"/>
      </w:pPr>
    </w:p>
    <w:p w14:paraId="5C88636F" w14:textId="5660CF8D" w:rsidR="00C72A04" w:rsidRPr="00B9411A" w:rsidRDefault="00C72A04" w:rsidP="00B9411A">
      <w:pPr>
        <w:spacing w:after="160" w:line="259" w:lineRule="auto"/>
        <w:jc w:val="left"/>
        <w:rPr>
          <w:b/>
        </w:rPr>
      </w:pPr>
    </w:p>
    <w:p w14:paraId="36BF2D09" w14:textId="77777777" w:rsidR="002F7C7B" w:rsidRDefault="002F7C7B" w:rsidP="00804DA8">
      <w:pPr>
        <w:pStyle w:val="Naslov31"/>
        <w:jc w:val="left"/>
        <w:sectPr w:rsidR="002F7C7B" w:rsidSect="00182B9F">
          <w:headerReference w:type="default" r:id="rId16"/>
          <w:headerReference w:type="first" r:id="rId17"/>
          <w:pgSz w:w="11906" w:h="16838"/>
          <w:pgMar w:top="1134" w:right="1134" w:bottom="1021" w:left="1134" w:header="709" w:footer="397" w:gutter="0"/>
          <w:cols w:space="708"/>
          <w:titlePg/>
          <w:docGrid w:linePitch="360"/>
        </w:sectPr>
      </w:pPr>
    </w:p>
    <w:p w14:paraId="20CA59C5" w14:textId="76678694" w:rsidR="00FE7254" w:rsidRPr="00FE7254" w:rsidRDefault="006034D6" w:rsidP="00DF3707">
      <w:pPr>
        <w:tabs>
          <w:tab w:val="left" w:pos="580"/>
        </w:tabs>
        <w:sectPr w:rsidR="00FE7254" w:rsidRPr="00FE7254" w:rsidSect="00363E63">
          <w:headerReference w:type="default" r:id="rId18"/>
          <w:footerReference w:type="default" r:id="rId19"/>
          <w:pgSz w:w="11906" w:h="16838"/>
          <w:pgMar w:top="1134" w:right="1134" w:bottom="1021" w:left="1134" w:header="709" w:footer="397" w:gutter="0"/>
          <w:cols w:space="708"/>
          <w:docGrid w:linePitch="360"/>
        </w:sectPr>
      </w:pPr>
      <w:r w:rsidRPr="006034D6">
        <w:rPr>
          <w:noProof/>
        </w:rPr>
        <w:lastRenderedPageBreak/>
        <w:drawing>
          <wp:inline distT="0" distB="0" distL="0" distR="0" wp14:anchorId="5A28ED02" wp14:editId="7E532CA6">
            <wp:extent cx="6120130" cy="82632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263255"/>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color w:val="2B579A"/>
          <w:shd w:val="clear" w:color="auto" w:fill="E6E6E6"/>
        </w:rPr>
        <w:lastRenderedPageBreak/>
        <w:drawing>
          <wp:inline distT="0" distB="0" distL="0" distR="0" wp14:anchorId="4FCD0891" wp14:editId="5C299993">
            <wp:extent cx="6078854"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6078854" cy="8598195"/>
                    </a:xfrm>
                    <a:prstGeom prst="rect">
                      <a:avLst/>
                    </a:prstGeom>
                  </pic:spPr>
                </pic:pic>
              </a:graphicData>
            </a:graphic>
          </wp:inline>
        </w:drawing>
      </w:r>
    </w:p>
    <w:sectPr w:rsidR="002E69B6" w:rsidRPr="00887D7E" w:rsidSect="00363E63">
      <w:headerReference w:type="default" r:id="rId22"/>
      <w:footerReference w:type="default" r:id="rId23"/>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3B2E1" w14:textId="77777777" w:rsidR="003544A3" w:rsidRDefault="003544A3" w:rsidP="0063497B">
      <w:pPr>
        <w:spacing w:line="240" w:lineRule="auto"/>
      </w:pPr>
      <w:r>
        <w:separator/>
      </w:r>
    </w:p>
  </w:endnote>
  <w:endnote w:type="continuationSeparator" w:id="0">
    <w:p w14:paraId="22F98C71" w14:textId="77777777" w:rsidR="003544A3" w:rsidRDefault="003544A3" w:rsidP="0063497B">
      <w:pPr>
        <w:spacing w:line="240" w:lineRule="auto"/>
      </w:pPr>
      <w:r>
        <w:continuationSeparator/>
      </w:r>
    </w:p>
  </w:endnote>
  <w:endnote w:type="continuationNotice" w:id="1">
    <w:p w14:paraId="067D1632" w14:textId="77777777" w:rsidR="003544A3" w:rsidRDefault="003544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26115BDB"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sidR="008D4C85" w:rsidRPr="00177AD2">
        <w:rPr>
          <w:rStyle w:val="Hyperlink"/>
          <w:b w:val="0"/>
          <w:sz w:val="18"/>
        </w:rPr>
        <w:t>polona.osrajnik@gov.si</w:t>
      </w:r>
    </w:hyperlink>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1</w:t>
        </w:r>
        <w:r w:rsidRPr="00363E63">
          <w:rPr>
            <w:color w:val="2B579A"/>
            <w:sz w:val="18"/>
            <w:shd w:val="clear" w:color="auto" w:fill="E6E6E6"/>
          </w:rPr>
          <w:fldChar w:fldCharType="end"/>
        </w:r>
      </w:sdtContent>
    </w:sdt>
  </w:p>
  <w:p w14:paraId="0AD7B56F" w14:textId="77777777" w:rsidR="00D45E5D" w:rsidRDefault="00D45E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50BAEE3D"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sidR="008D4C85" w:rsidRPr="00177AD2">
        <w:rPr>
          <w:rStyle w:val="Hyperlink"/>
          <w:b w:val="0"/>
          <w:sz w:val="18"/>
        </w:rPr>
        <w:t>polona.osrajnik@gov.si</w:t>
      </w:r>
    </w:hyperlink>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3</w:t>
        </w:r>
        <w:r w:rsidRPr="00363E63">
          <w:rPr>
            <w:color w:val="2B579A"/>
            <w:sz w:val="18"/>
            <w:shd w:val="clear" w:color="auto" w:fill="E6E6E6"/>
          </w:rPr>
          <w:fldChar w:fldCharType="end"/>
        </w:r>
      </w:sdtContent>
    </w:sdt>
  </w:p>
  <w:p w14:paraId="6DC813C1" w14:textId="77777777" w:rsidR="00D45E5D" w:rsidRDefault="00D45E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E7254" w:rsidRDefault="0074466E" w:rsidP="00FE7254">
    <w:pPr>
      <w:pStyle w:val="Footer"/>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Footer"/>
      <w:rPr>
        <w:rFonts w:cs="Helv"/>
        <w:b/>
        <w:bCs/>
        <w:color w:val="000000"/>
        <w:sz w:val="18"/>
        <w:szCs w:val="18"/>
      </w:rPr>
    </w:pPr>
  </w:p>
  <w:p w14:paraId="1B94B0CF" w14:textId="76006E9C"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sidR="008D4C85" w:rsidRPr="00177AD2">
        <w:rPr>
          <w:rStyle w:val="Hyperlink"/>
          <w:b w:val="0"/>
          <w:sz w:val="18"/>
        </w:rPr>
        <w:t>polona.osrajnik@gov.si</w:t>
      </w:r>
    </w:hyperlink>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4</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14068" w14:textId="77777777" w:rsidR="003544A3" w:rsidRDefault="003544A3" w:rsidP="0063497B">
      <w:pPr>
        <w:spacing w:line="240" w:lineRule="auto"/>
      </w:pPr>
      <w:r>
        <w:separator/>
      </w:r>
    </w:p>
  </w:footnote>
  <w:footnote w:type="continuationSeparator" w:id="0">
    <w:p w14:paraId="1766ECDB" w14:textId="77777777" w:rsidR="003544A3" w:rsidRDefault="003544A3" w:rsidP="0063497B">
      <w:pPr>
        <w:spacing w:line="240" w:lineRule="auto"/>
      </w:pPr>
      <w:r>
        <w:continuationSeparator/>
      </w:r>
    </w:p>
  </w:footnote>
  <w:footnote w:type="continuationNotice" w:id="1">
    <w:p w14:paraId="2B2A55E9" w14:textId="77777777" w:rsidR="003544A3" w:rsidRDefault="003544A3">
      <w:pPr>
        <w:spacing w:line="240" w:lineRule="auto"/>
      </w:pPr>
    </w:p>
  </w:footnote>
  <w:footnote w:id="2">
    <w:p w14:paraId="5195B5B7" w14:textId="77777777" w:rsidR="008D4C85" w:rsidRDefault="008D4C85" w:rsidP="008D4C85">
      <w:pPr>
        <w:pStyle w:val="FootnoteText"/>
      </w:pPr>
      <w:r>
        <w:rPr>
          <w:rStyle w:val="FootnoteReference"/>
        </w:rPr>
        <w:footnoteRef/>
      </w:r>
      <w:r>
        <w:t xml:space="preserve"> Detailed data by SITC sections are available until June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EEDA" w14:textId="4E1C83D9" w:rsidR="00182B9F" w:rsidRDefault="0072305B" w:rsidP="00B9411A">
    <w:pPr>
      <w:jc w:val="right"/>
    </w:pPr>
    <w:r>
      <w:rPr>
        <w:noProof/>
      </w:rPr>
      <w:drawing>
        <wp:anchor distT="0" distB="0" distL="114300" distR="114300" simplePos="0" relativeHeight="251660288" behindDoc="0" locked="0" layoutInCell="1" allowOverlap="1" wp14:anchorId="04282C4D" wp14:editId="67B47A50">
          <wp:simplePos x="0" y="0"/>
          <wp:positionH relativeFrom="column">
            <wp:posOffset>-224790</wp:posOffset>
          </wp:positionH>
          <wp:positionV relativeFrom="paragraph">
            <wp:posOffset>-12065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8D4C85">
      <w:t>13</w:t>
    </w:r>
    <w:r w:rsidR="00C72A04">
      <w:t xml:space="preserve"> </w:t>
    </w:r>
    <w:r w:rsidR="00B9411A">
      <w:t>September</w:t>
    </w:r>
    <w:r w:rsidR="00182B9F">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17BB30AA" w14:paraId="280594FE" w14:textId="77777777" w:rsidTr="17BB30AA">
      <w:tc>
        <w:tcPr>
          <w:tcW w:w="3210" w:type="dxa"/>
        </w:tcPr>
        <w:p w14:paraId="489271BA" w14:textId="7F42003F" w:rsidR="17BB30AA" w:rsidRDefault="17BB30AA" w:rsidP="17BB30AA">
          <w:pPr>
            <w:pStyle w:val="Header"/>
            <w:ind w:left="-115"/>
            <w:jc w:val="left"/>
          </w:pPr>
        </w:p>
      </w:tc>
      <w:tc>
        <w:tcPr>
          <w:tcW w:w="3210" w:type="dxa"/>
        </w:tcPr>
        <w:p w14:paraId="71B2986B" w14:textId="06A3FA9A" w:rsidR="17BB30AA" w:rsidRDefault="17BB30AA" w:rsidP="17BB30AA">
          <w:pPr>
            <w:pStyle w:val="Header"/>
            <w:jc w:val="center"/>
          </w:pPr>
        </w:p>
      </w:tc>
      <w:tc>
        <w:tcPr>
          <w:tcW w:w="3210" w:type="dxa"/>
        </w:tcPr>
        <w:p w14:paraId="0FF194A9" w14:textId="799CF756" w:rsidR="17BB30AA" w:rsidRDefault="17BB30AA" w:rsidP="17BB30AA">
          <w:pPr>
            <w:pStyle w:val="Header"/>
            <w:ind w:right="-115"/>
            <w:jc w:val="right"/>
          </w:pPr>
        </w:p>
      </w:tc>
    </w:tr>
  </w:tbl>
  <w:p w14:paraId="23F841BB" w14:textId="04A5C442" w:rsidR="009F6150" w:rsidRDefault="009F6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63E63" w:rsidRPr="004E2D3A" w:rsidRDefault="004E2D3A">
    <w:pPr>
      <w:pStyle w:val="Header"/>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6251"/>
    <w:rsid w:val="00044CD2"/>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07C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30CB"/>
    <w:rsid w:val="00255D1C"/>
    <w:rsid w:val="00256528"/>
    <w:rsid w:val="00260617"/>
    <w:rsid w:val="0026509A"/>
    <w:rsid w:val="00266D67"/>
    <w:rsid w:val="0027659E"/>
    <w:rsid w:val="00284780"/>
    <w:rsid w:val="002928AB"/>
    <w:rsid w:val="0029405F"/>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30E2F"/>
    <w:rsid w:val="00431EDD"/>
    <w:rsid w:val="004368FB"/>
    <w:rsid w:val="00443660"/>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45D45"/>
    <w:rsid w:val="00546DBF"/>
    <w:rsid w:val="005508E9"/>
    <w:rsid w:val="0055332B"/>
    <w:rsid w:val="00561C9A"/>
    <w:rsid w:val="00562308"/>
    <w:rsid w:val="00563ABF"/>
    <w:rsid w:val="00564B65"/>
    <w:rsid w:val="0056636E"/>
    <w:rsid w:val="00592EB2"/>
    <w:rsid w:val="005A36AC"/>
    <w:rsid w:val="005A3F5F"/>
    <w:rsid w:val="005A6A74"/>
    <w:rsid w:val="005B67A1"/>
    <w:rsid w:val="005C5A12"/>
    <w:rsid w:val="005D110B"/>
    <w:rsid w:val="005D2789"/>
    <w:rsid w:val="005D3B64"/>
    <w:rsid w:val="005D4938"/>
    <w:rsid w:val="005D5D51"/>
    <w:rsid w:val="005D6D2E"/>
    <w:rsid w:val="005D7820"/>
    <w:rsid w:val="005E0757"/>
    <w:rsid w:val="005E1743"/>
    <w:rsid w:val="005E4C4B"/>
    <w:rsid w:val="005F0F5B"/>
    <w:rsid w:val="005F5FF0"/>
    <w:rsid w:val="006020EE"/>
    <w:rsid w:val="006034D6"/>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F150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A0B59"/>
    <w:rsid w:val="007A6C35"/>
    <w:rsid w:val="007B074D"/>
    <w:rsid w:val="007B708A"/>
    <w:rsid w:val="007B7110"/>
    <w:rsid w:val="007C4B7A"/>
    <w:rsid w:val="007C5222"/>
    <w:rsid w:val="007D0791"/>
    <w:rsid w:val="007D4631"/>
    <w:rsid w:val="007E0425"/>
    <w:rsid w:val="007E77B8"/>
    <w:rsid w:val="007F1307"/>
    <w:rsid w:val="007F13BE"/>
    <w:rsid w:val="007F485F"/>
    <w:rsid w:val="007F64C4"/>
    <w:rsid w:val="00804742"/>
    <w:rsid w:val="008049AA"/>
    <w:rsid w:val="00812D81"/>
    <w:rsid w:val="00813F80"/>
    <w:rsid w:val="008149ED"/>
    <w:rsid w:val="00822375"/>
    <w:rsid w:val="00841052"/>
    <w:rsid w:val="008444D1"/>
    <w:rsid w:val="0084784F"/>
    <w:rsid w:val="008507B0"/>
    <w:rsid w:val="008541ED"/>
    <w:rsid w:val="00855CE5"/>
    <w:rsid w:val="00860582"/>
    <w:rsid w:val="008637AE"/>
    <w:rsid w:val="00863817"/>
    <w:rsid w:val="008646FF"/>
    <w:rsid w:val="008678A7"/>
    <w:rsid w:val="008713BF"/>
    <w:rsid w:val="00871E2C"/>
    <w:rsid w:val="00876109"/>
    <w:rsid w:val="0088498B"/>
    <w:rsid w:val="0088644B"/>
    <w:rsid w:val="00887650"/>
    <w:rsid w:val="00887D7E"/>
    <w:rsid w:val="0089056E"/>
    <w:rsid w:val="0089259B"/>
    <w:rsid w:val="00895CDB"/>
    <w:rsid w:val="008B077B"/>
    <w:rsid w:val="008B129E"/>
    <w:rsid w:val="008B3BA9"/>
    <w:rsid w:val="008C1F73"/>
    <w:rsid w:val="008D4C85"/>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3FE5"/>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0BCF"/>
    <w:rsid w:val="00AE6109"/>
    <w:rsid w:val="00AF2194"/>
    <w:rsid w:val="00AF3058"/>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51B6"/>
    <w:rsid w:val="00B47625"/>
    <w:rsid w:val="00B47E4D"/>
    <w:rsid w:val="00B52382"/>
    <w:rsid w:val="00B52F7E"/>
    <w:rsid w:val="00B613F5"/>
    <w:rsid w:val="00B61872"/>
    <w:rsid w:val="00B61B71"/>
    <w:rsid w:val="00B62D4B"/>
    <w:rsid w:val="00B647F7"/>
    <w:rsid w:val="00B7289B"/>
    <w:rsid w:val="00B738F6"/>
    <w:rsid w:val="00B73F94"/>
    <w:rsid w:val="00B74E00"/>
    <w:rsid w:val="00B752F4"/>
    <w:rsid w:val="00B82C8A"/>
    <w:rsid w:val="00B8300F"/>
    <w:rsid w:val="00B833CE"/>
    <w:rsid w:val="00B83AD6"/>
    <w:rsid w:val="00B84489"/>
    <w:rsid w:val="00B85474"/>
    <w:rsid w:val="00B933A2"/>
    <w:rsid w:val="00B9411A"/>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A3DDE"/>
    <w:rsid w:val="00CA7705"/>
    <w:rsid w:val="00CB0A14"/>
    <w:rsid w:val="00CB7467"/>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41892"/>
    <w:rsid w:val="00D45E5D"/>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F19"/>
    <w:rsid w:val="00EF7C1F"/>
    <w:rsid w:val="00F01471"/>
    <w:rsid w:val="00F13478"/>
    <w:rsid w:val="00F141C0"/>
    <w:rsid w:val="00F14A6E"/>
    <w:rsid w:val="00F16082"/>
    <w:rsid w:val="00F20C31"/>
    <w:rsid w:val="00F22D13"/>
    <w:rsid w:val="00F23F5F"/>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0FF6663"/>
    <w:rsid w:val="0EE520E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F644C1C"/>
    <w:rsid w:val="40E2C37D"/>
    <w:rsid w:val="41001C7D"/>
    <w:rsid w:val="41EAEF53"/>
    <w:rsid w:val="44C3E103"/>
    <w:rsid w:val="46038A48"/>
    <w:rsid w:val="46E33487"/>
    <w:rsid w:val="490DDEDB"/>
    <w:rsid w:val="4C16315E"/>
    <w:rsid w:val="4D9B90AA"/>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 w:type="character" w:customStyle="1" w:styleId="markedcontent">
    <w:name w:val="markedcontent"/>
    <w:basedOn w:val="DefaultParagraphFont"/>
    <w:rsid w:val="00C72A04"/>
  </w:style>
  <w:style w:type="table" w:customStyle="1" w:styleId="Tabelamrea1">
    <w:name w:val="Tabela – mreža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3">
    <w:name w:val="Tabela – mreža103"/>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4C85"/>
    <w:rPr>
      <w:color w:val="605E5C"/>
      <w:shd w:val="clear" w:color="auto" w:fill="E1DFDD"/>
    </w:rPr>
  </w:style>
  <w:style w:type="character" w:customStyle="1" w:styleId="normaltextrun">
    <w:name w:val="normaltextrun"/>
    <w:basedOn w:val="DefaultParagraphFont"/>
    <w:rsid w:val="008D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5CD6A-2CC2-4567-B4BF-5B4EFA0C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2021-09-14T08:35:00Z</dcterms:created>
  <dcterms:modified xsi:type="dcterms:W3CDTF">2021-09-14T08:35:00Z</dcterms:modified>
</cp:coreProperties>
</file>