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r>
        <w:t>CURRENT ECONOMIC TRENDS</w:t>
      </w:r>
    </w:p>
    <w:p w14:paraId="24CF31FF" w14:textId="77777777" w:rsidR="007442DA" w:rsidRDefault="007442DA" w:rsidP="007442DA">
      <w:pPr>
        <w:pStyle w:val="Naslov21"/>
      </w:pPr>
      <w:r>
        <w:t>27 September–1 October 2021</w:t>
      </w:r>
    </w:p>
    <w:p w14:paraId="01E93F83" w14:textId="77777777" w:rsidR="00C72A04" w:rsidRDefault="00C72A04" w:rsidP="00C72A04"/>
    <w:p w14:paraId="2C624303" w14:textId="77777777" w:rsidR="007442DA" w:rsidRDefault="007442DA" w:rsidP="007442DA">
      <w:pPr>
        <w:tabs>
          <w:tab w:val="left" w:pos="580"/>
        </w:tabs>
      </w:pPr>
      <w:r>
        <w:t xml:space="preserve">Year-on-year consumer price inflation edged up slightly to 2.4% in September. Inflation continues to be fuelled mainly by higher prices of petroleum products. Prices of durable goods and services are also gradually rising. Turnover in trade fell sharply in July in all three main segments, but preliminary data for August do not suggest that the negative trends will continue. Market services also saw less favourable trends in midsummer, with only tourism-related services continuing to show noticeable growth. </w:t>
      </w:r>
    </w:p>
    <w:p w14:paraId="734A63BD" w14:textId="77777777" w:rsidR="007442DA" w:rsidRDefault="007442DA" w:rsidP="007442DA">
      <w:pPr>
        <w:tabs>
          <w:tab w:val="left" w:pos="580"/>
        </w:tabs>
        <w:rPr>
          <w:rFonts w:eastAsia="Myriad Pro" w:cs="Myriad Pr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442DA" w:rsidRPr="007A0B59" w14:paraId="20E7C138" w14:textId="77777777" w:rsidTr="001D080E">
        <w:trPr>
          <w:trHeight w:val="207"/>
        </w:trPr>
        <w:tc>
          <w:tcPr>
            <w:tcW w:w="4819" w:type="dxa"/>
            <w:tcBorders>
              <w:bottom w:val="single" w:sz="4" w:space="0" w:color="auto"/>
            </w:tcBorders>
            <w:tcMar>
              <w:left w:w="0" w:type="dxa"/>
            </w:tcMar>
          </w:tcPr>
          <w:p w14:paraId="07E14273" w14:textId="77777777" w:rsidR="007442DA" w:rsidRPr="007A0B59" w:rsidRDefault="007442DA" w:rsidP="001D080E">
            <w:pPr>
              <w:pStyle w:val="Naslov31"/>
              <w:jc w:val="left"/>
            </w:pPr>
            <w:r>
              <w:t>Consumer prices, September 2021</w:t>
            </w:r>
          </w:p>
        </w:tc>
        <w:tc>
          <w:tcPr>
            <w:tcW w:w="4820" w:type="dxa"/>
            <w:gridSpan w:val="2"/>
            <w:tcBorders>
              <w:bottom w:val="single" w:sz="4" w:space="0" w:color="auto"/>
            </w:tcBorders>
          </w:tcPr>
          <w:p w14:paraId="67BEE1C2" w14:textId="77777777" w:rsidR="007442DA" w:rsidRPr="007A0B59" w:rsidRDefault="007442DA" w:rsidP="001D080E">
            <w:pPr>
              <w:pStyle w:val="Naslov31"/>
            </w:pPr>
          </w:p>
        </w:tc>
      </w:tr>
      <w:tr w:rsidR="007442DA" w:rsidRPr="00DF4F0B" w14:paraId="5FA17F89" w14:textId="77777777" w:rsidTr="001D080E">
        <w:trPr>
          <w:trHeight w:val="1134"/>
        </w:trPr>
        <w:tc>
          <w:tcPr>
            <w:tcW w:w="4982" w:type="dxa"/>
            <w:gridSpan w:val="2"/>
            <w:tcBorders>
              <w:top w:val="single" w:sz="4" w:space="0" w:color="auto"/>
            </w:tcBorders>
            <w:tcMar>
              <w:left w:w="0" w:type="dxa"/>
            </w:tcMar>
          </w:tcPr>
          <w:p w14:paraId="75EC50D7" w14:textId="70CE8EBC" w:rsidR="007442DA" w:rsidRDefault="007442DA" w:rsidP="001D080E">
            <w:pPr>
              <w:pStyle w:val="ListParagraph"/>
              <w:ind w:left="0"/>
            </w:pPr>
            <w:r>
              <w:rPr>
                <w:noProof/>
              </w:rPr>
              <w:drawing>
                <wp:inline distT="0" distB="0" distL="0" distR="0" wp14:anchorId="7D0CA1A2" wp14:editId="0A40BE3B">
                  <wp:extent cx="3186000" cy="270000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6000" cy="2700000"/>
                          </a:xfrm>
                          <a:prstGeom prst="rect">
                            <a:avLst/>
                          </a:prstGeom>
                          <a:noFill/>
                        </pic:spPr>
                      </pic:pic>
                    </a:graphicData>
                  </a:graphic>
                </wp:inline>
              </w:drawing>
            </w:r>
          </w:p>
        </w:tc>
        <w:tc>
          <w:tcPr>
            <w:tcW w:w="4657" w:type="dxa"/>
            <w:tcBorders>
              <w:top w:val="single" w:sz="4" w:space="0" w:color="auto"/>
            </w:tcBorders>
            <w:tcMar>
              <w:left w:w="284" w:type="dxa"/>
            </w:tcMar>
          </w:tcPr>
          <w:p w14:paraId="05E63D99" w14:textId="77777777" w:rsidR="007442DA" w:rsidRDefault="007442DA" w:rsidP="001D080E">
            <w:pPr>
              <w:tabs>
                <w:tab w:val="left" w:pos="580"/>
              </w:tabs>
              <w:rPr>
                <w:rFonts w:eastAsia="Myriad Pro" w:cs="Myriad Pro"/>
              </w:rPr>
            </w:pPr>
            <w:r>
              <w:rPr>
                <w:b/>
              </w:rPr>
              <w:t xml:space="preserve">Given the sharp rise in commodity prices and stronger price growth in tourism-related services, year-on-year consumer price inflation has gradually strengthened in recent months, reaching 2.4% in September. </w:t>
            </w:r>
            <w:r>
              <w:t>Half of the increase was due to higher prices of petroleum products, which rose by almost 30% year-on-year. In the face of rising commodity prices and supply chain bottlenecks, year-on-year growth in durable goods prices has continued to strengthen gradually, and at 2.9% was the highest in the past decade. Due to different seasonal developments in the clothing and footwear group, the prices of semi-durable goods fluctuated and were 0.6% lower year-on-year, after rising in the previous five months. Growth in services prices (1.2% year-on-year) continues to strengthen. This is also the result of higher year-on-year price growth in the restaurants and hotels group (5.2%), which we believe is also due to increased demand as a result of voucher redemption and high growth in overnight stays by foreign tourists. Food prices are still lagging behind the previous year's level, but the gap is narrowing from month to month.</w:t>
            </w:r>
          </w:p>
          <w:p w14:paraId="6CD5C2DD" w14:textId="77777777" w:rsidR="007442DA" w:rsidRPr="00DF4F0B" w:rsidRDefault="007442DA" w:rsidP="001D080E">
            <w:pPr>
              <w:rPr>
                <w:rStyle w:val="normaltextrun"/>
                <w:b/>
                <w:bCs/>
                <w:color w:val="000000" w:themeColor="text1"/>
              </w:rPr>
            </w:pPr>
          </w:p>
        </w:tc>
      </w:tr>
    </w:tbl>
    <w:p w14:paraId="51A6904C" w14:textId="77777777" w:rsidR="007442DA" w:rsidRDefault="007442DA" w:rsidP="007442DA">
      <w:pPr>
        <w:tabs>
          <w:tab w:val="left" w:pos="580"/>
        </w:tabs>
        <w:rPr>
          <w:rFonts w:eastAsia="Myriad Pro" w:cs="Myriad Pro"/>
        </w:rPr>
      </w:pPr>
    </w:p>
    <w:p w14:paraId="7DFA922A" w14:textId="77777777" w:rsidR="007442DA" w:rsidRDefault="007442DA" w:rsidP="007442DA">
      <w:pPr>
        <w:tabs>
          <w:tab w:val="left" w:pos="580"/>
        </w:tabs>
        <w:rPr>
          <w:rFonts w:eastAsia="Myriad Pro" w:cs="Myriad Pro"/>
        </w:rPr>
      </w:pPr>
    </w:p>
    <w:p w14:paraId="10C65E4E" w14:textId="77777777" w:rsidR="007442DA" w:rsidRDefault="007442DA" w:rsidP="007442DA">
      <w:pPr>
        <w:tabs>
          <w:tab w:val="left" w:pos="580"/>
        </w:tabs>
        <w:rPr>
          <w:rFonts w:eastAsia="Myriad Pro" w:cs="Myriad Pro"/>
        </w:rPr>
      </w:pPr>
    </w:p>
    <w:p w14:paraId="251C925B" w14:textId="77777777" w:rsidR="007442DA" w:rsidRDefault="007442DA" w:rsidP="007442DA">
      <w:pPr>
        <w:tabs>
          <w:tab w:val="left" w:pos="580"/>
        </w:tabs>
        <w:rPr>
          <w:rFonts w:eastAsia="Myriad Pro" w:cs="Myriad Pro"/>
        </w:rPr>
      </w:pPr>
    </w:p>
    <w:p w14:paraId="5427737E" w14:textId="77777777" w:rsidR="007442DA" w:rsidRPr="007D2361" w:rsidRDefault="007442DA" w:rsidP="007442DA">
      <w:pPr>
        <w:sectPr w:rsidR="007442DA" w:rsidRPr="007D2361"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442DA" w:rsidRPr="007A0B59" w14:paraId="7DB36993" w14:textId="77777777" w:rsidTr="001D080E">
        <w:trPr>
          <w:trHeight w:val="207"/>
        </w:trPr>
        <w:tc>
          <w:tcPr>
            <w:tcW w:w="4819" w:type="dxa"/>
            <w:tcBorders>
              <w:bottom w:val="single" w:sz="4" w:space="0" w:color="auto"/>
            </w:tcBorders>
            <w:tcMar>
              <w:left w:w="0" w:type="dxa"/>
            </w:tcMar>
          </w:tcPr>
          <w:p w14:paraId="088678BA" w14:textId="77777777" w:rsidR="007442DA" w:rsidRPr="007A0B59" w:rsidRDefault="007442DA" w:rsidP="001D080E">
            <w:pPr>
              <w:pStyle w:val="Naslov31"/>
              <w:jc w:val="left"/>
            </w:pPr>
            <w:r>
              <w:lastRenderedPageBreak/>
              <w:t>Trade, July 2021</w:t>
            </w:r>
          </w:p>
        </w:tc>
        <w:tc>
          <w:tcPr>
            <w:tcW w:w="4820" w:type="dxa"/>
            <w:gridSpan w:val="2"/>
            <w:tcBorders>
              <w:bottom w:val="single" w:sz="4" w:space="0" w:color="auto"/>
            </w:tcBorders>
          </w:tcPr>
          <w:p w14:paraId="29D223C8" w14:textId="77777777" w:rsidR="007442DA" w:rsidRPr="007A0B59" w:rsidRDefault="007442DA" w:rsidP="001D080E">
            <w:pPr>
              <w:pStyle w:val="Naslov31"/>
            </w:pPr>
          </w:p>
        </w:tc>
      </w:tr>
      <w:tr w:rsidR="007442DA" w:rsidRPr="00DF4F0B" w14:paraId="58C9ACB3" w14:textId="77777777" w:rsidTr="001D080E">
        <w:trPr>
          <w:trHeight w:val="1134"/>
        </w:trPr>
        <w:tc>
          <w:tcPr>
            <w:tcW w:w="4982" w:type="dxa"/>
            <w:gridSpan w:val="2"/>
            <w:tcBorders>
              <w:top w:val="single" w:sz="4" w:space="0" w:color="auto"/>
            </w:tcBorders>
            <w:tcMar>
              <w:left w:w="0" w:type="dxa"/>
            </w:tcMar>
          </w:tcPr>
          <w:p w14:paraId="66E615E6" w14:textId="7BA93191" w:rsidR="007442DA" w:rsidRDefault="007442DA" w:rsidP="001D080E">
            <w:pPr>
              <w:pStyle w:val="ListParagraph"/>
              <w:ind w:left="0"/>
            </w:pPr>
            <w:r>
              <w:rPr>
                <w:noProof/>
              </w:rPr>
              <w:drawing>
                <wp:inline distT="0" distB="0" distL="0" distR="0" wp14:anchorId="67D4E224" wp14:editId="24DF8AE1">
                  <wp:extent cx="3092400" cy="26208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620800"/>
                          </a:xfrm>
                          <a:prstGeom prst="rect">
                            <a:avLst/>
                          </a:prstGeom>
                          <a:noFill/>
                        </pic:spPr>
                      </pic:pic>
                    </a:graphicData>
                  </a:graphic>
                </wp:inline>
              </w:drawing>
            </w:r>
          </w:p>
        </w:tc>
        <w:tc>
          <w:tcPr>
            <w:tcW w:w="4657" w:type="dxa"/>
            <w:tcBorders>
              <w:top w:val="single" w:sz="4" w:space="0" w:color="auto"/>
            </w:tcBorders>
            <w:tcMar>
              <w:left w:w="284" w:type="dxa"/>
            </w:tcMar>
          </w:tcPr>
          <w:p w14:paraId="23E30F2B" w14:textId="77777777" w:rsidR="007442DA" w:rsidRPr="00DF4F0B" w:rsidRDefault="007442DA" w:rsidP="001D080E">
            <w:pPr>
              <w:rPr>
                <w:rStyle w:val="normaltextrun"/>
                <w:b/>
                <w:bCs/>
                <w:color w:val="000000" w:themeColor="text1"/>
              </w:rPr>
            </w:pPr>
            <w:r>
              <w:rPr>
                <w:rStyle w:val="normaltextrun"/>
                <w:b/>
                <w:color w:val="000000"/>
                <w:shd w:val="clear" w:color="auto" w:fill="FFFFFF"/>
              </w:rPr>
              <w:t>Turnover in trade fell sharply in July in all three main segments; preliminary data show it rose in August.</w:t>
            </w:r>
            <w:r>
              <w:rPr>
                <w:rStyle w:val="normaltextrun"/>
                <w:color w:val="000000"/>
                <w:shd w:val="clear" w:color="auto" w:fill="FFFFFF"/>
              </w:rPr>
              <w:t xml:space="preserve"> Turnover in </w:t>
            </w:r>
            <w:r>
              <w:rPr>
                <w:rStyle w:val="normaltextrun"/>
                <w:i/>
                <w:iCs/>
                <w:color w:val="000000"/>
                <w:shd w:val="clear" w:color="auto" w:fill="FFFFFF"/>
              </w:rPr>
              <w:t xml:space="preserve">wholesale trade </w:t>
            </w:r>
            <w:r>
              <w:rPr>
                <w:rStyle w:val="normaltextrun"/>
                <w:color w:val="000000"/>
                <w:shd w:val="clear" w:color="auto" w:fill="FFFFFF"/>
              </w:rPr>
              <w:t xml:space="preserve">fell the most; it fell for the fourth month in a row after rising sharply in the first quarter. Turnover was also down in the </w:t>
            </w:r>
            <w:r>
              <w:rPr>
                <w:rStyle w:val="normaltextrun"/>
                <w:i/>
                <w:iCs/>
                <w:color w:val="000000"/>
                <w:shd w:val="clear" w:color="auto" w:fill="FFFFFF"/>
              </w:rPr>
              <w:t>sale of motor vehicles</w:t>
            </w:r>
            <w:r>
              <w:rPr>
                <w:rStyle w:val="normaltextrun"/>
                <w:color w:val="000000"/>
                <w:shd w:val="clear" w:color="auto" w:fill="FFFFFF"/>
              </w:rPr>
              <w:t xml:space="preserve">. Nearly a third fewer new passenger cars were sold this July than in July 2020. </w:t>
            </w:r>
            <w:r>
              <w:rPr>
                <w:rStyle w:val="normaltextrun"/>
              </w:rPr>
              <w:t xml:space="preserve">Turnover in </w:t>
            </w:r>
            <w:r>
              <w:rPr>
                <w:rStyle w:val="normaltextrun"/>
                <w:i/>
                <w:iCs/>
              </w:rPr>
              <w:t>retail trade</w:t>
            </w:r>
            <w:r>
              <w:rPr>
                <w:rStyle w:val="normaltextrun"/>
              </w:rPr>
              <w:t xml:space="preserve"> was also down due to lower sales of non-food products. Still, this is the only one of the three main segments that remains higher than a year ago and compared to July </w:t>
            </w:r>
            <w:r>
              <w:rPr>
                <w:rStyle w:val="normaltextrun"/>
                <w:color w:val="000000"/>
                <w:shd w:val="clear" w:color="auto" w:fill="FFFFFF"/>
              </w:rPr>
              <w:t>2019. According to preliminary data, turnover in retail trade and in the sale of motor vehicles increased in August.</w:t>
            </w:r>
          </w:p>
        </w:tc>
      </w:tr>
    </w:tbl>
    <w:p w14:paraId="4BF34530" w14:textId="77777777" w:rsidR="007442DA" w:rsidRDefault="007442DA" w:rsidP="007442DA">
      <w:pPr>
        <w:spacing w:after="160" w:line="259" w:lineRule="auto"/>
        <w:jc w:val="left"/>
        <w:rPr>
          <w:b/>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442DA" w:rsidRPr="007A0B59" w14:paraId="3F82E495" w14:textId="77777777" w:rsidTr="001D080E">
        <w:trPr>
          <w:trHeight w:val="207"/>
        </w:trPr>
        <w:tc>
          <w:tcPr>
            <w:tcW w:w="4819" w:type="dxa"/>
            <w:tcBorders>
              <w:bottom w:val="single" w:sz="4" w:space="0" w:color="auto"/>
            </w:tcBorders>
            <w:tcMar>
              <w:left w:w="0" w:type="dxa"/>
            </w:tcMar>
          </w:tcPr>
          <w:p w14:paraId="4EB22D6F" w14:textId="77777777" w:rsidR="007442DA" w:rsidRPr="007A0B59" w:rsidRDefault="007442DA" w:rsidP="001D080E">
            <w:pPr>
              <w:pStyle w:val="Naslov31"/>
              <w:jc w:val="left"/>
            </w:pPr>
            <w:r>
              <w:t>Market services, July 2021</w:t>
            </w:r>
          </w:p>
        </w:tc>
        <w:tc>
          <w:tcPr>
            <w:tcW w:w="4820" w:type="dxa"/>
            <w:gridSpan w:val="2"/>
            <w:tcBorders>
              <w:bottom w:val="single" w:sz="4" w:space="0" w:color="auto"/>
            </w:tcBorders>
          </w:tcPr>
          <w:p w14:paraId="2485E3DA" w14:textId="77777777" w:rsidR="007442DA" w:rsidRPr="007A0B59" w:rsidRDefault="007442DA" w:rsidP="001D080E">
            <w:pPr>
              <w:pStyle w:val="Naslov31"/>
            </w:pPr>
          </w:p>
        </w:tc>
      </w:tr>
      <w:tr w:rsidR="007442DA" w:rsidRPr="00DF4F0B" w14:paraId="07C02050" w14:textId="77777777" w:rsidTr="001D080E">
        <w:trPr>
          <w:trHeight w:val="1134"/>
        </w:trPr>
        <w:tc>
          <w:tcPr>
            <w:tcW w:w="4982" w:type="dxa"/>
            <w:gridSpan w:val="2"/>
            <w:tcBorders>
              <w:top w:val="single" w:sz="4" w:space="0" w:color="auto"/>
            </w:tcBorders>
            <w:tcMar>
              <w:left w:w="0" w:type="dxa"/>
            </w:tcMar>
          </w:tcPr>
          <w:p w14:paraId="1B87FF6C" w14:textId="01BE69FC" w:rsidR="007442DA" w:rsidRDefault="007442DA" w:rsidP="001D080E">
            <w:pPr>
              <w:pStyle w:val="ListParagraph"/>
              <w:ind w:left="0"/>
            </w:pPr>
            <w:r>
              <w:rPr>
                <w:noProof/>
              </w:rPr>
              <w:drawing>
                <wp:inline distT="0" distB="0" distL="0" distR="0" wp14:anchorId="2D589CFF" wp14:editId="00F48A45">
                  <wp:extent cx="3092400" cy="2530800"/>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B5E9D2A" w14:textId="77777777" w:rsidR="007442DA" w:rsidRPr="00DF4F0B" w:rsidRDefault="007442DA" w:rsidP="001D080E">
            <w:pPr>
              <w:rPr>
                <w:rFonts w:eastAsia="Arial"/>
                <w:b/>
                <w:bCs/>
                <w:color w:val="D9D9D9" w:themeColor="background1" w:themeShade="D9"/>
              </w:rPr>
            </w:pPr>
            <w:r>
              <w:rPr>
                <w:b/>
              </w:rPr>
              <w:t xml:space="preserve">Real turnover in market services fell slightly in July, while growth continued, especially in tourism-related services. </w:t>
            </w:r>
            <w:r>
              <w:t xml:space="preserve">With a sharp increase in overnight stays by foreign tourists and a high number of overnight stays by domestic tourists boosted by the redemption of last year's and this year's vouchers, the highest increase in turnover was recorded in </w:t>
            </w:r>
            <w:r>
              <w:rPr>
                <w:i/>
                <w:iCs/>
              </w:rPr>
              <w:t>accommodation and food service activities</w:t>
            </w:r>
            <w:r>
              <w:t xml:space="preserve"> (by almost a quarter). In </w:t>
            </w:r>
            <w:r>
              <w:rPr>
                <w:i/>
                <w:iCs/>
              </w:rPr>
              <w:t>other business</w:t>
            </w:r>
            <w:r>
              <w:t xml:space="preserve"> activities, turnover rose by just under a tenth, with strong growth in travel agencies, while moderate growth continued in </w:t>
            </w:r>
            <w:r>
              <w:rPr>
                <w:i/>
                <w:iCs/>
              </w:rPr>
              <w:t>transportation</w:t>
            </w:r>
            <w:r>
              <w:t xml:space="preserve">, with </w:t>
            </w:r>
            <w:r>
              <w:rPr>
                <w:i/>
                <w:iCs/>
              </w:rPr>
              <w:t>storage</w:t>
            </w:r>
            <w:r>
              <w:t xml:space="preserve"> activity making the largest contribution.</w:t>
            </w:r>
            <w:r>
              <w:rPr>
                <w:color w:val="000000" w:themeColor="text1"/>
              </w:rPr>
              <w:t xml:space="preserve"> </w:t>
            </w:r>
            <w:r>
              <w:rPr>
                <w:i/>
                <w:iCs/>
              </w:rPr>
              <w:t>Professional and technical</w:t>
            </w:r>
            <w:r>
              <w:t xml:space="preserve"> activities saw a decline in turnover, driven by a fall in architectural services and </w:t>
            </w:r>
            <w:r>
              <w:rPr>
                <w:i/>
                <w:iCs/>
              </w:rPr>
              <w:t>information and communication</w:t>
            </w:r>
            <w:r>
              <w:t xml:space="preserve"> services, particularly computer services.</w:t>
            </w:r>
            <w:r>
              <w:rPr>
                <w:color w:val="000000" w:themeColor="text1"/>
              </w:rPr>
              <w:t xml:space="preserve"> </w:t>
            </w:r>
            <w:r>
              <w:t>Compared to the same period in 2019, turnover was significantly lower in only a few activities, namely travel agency activities, employment activities and motion picture, video and television programme production, sound recording and music publishing activities.</w:t>
            </w:r>
          </w:p>
        </w:tc>
      </w:tr>
    </w:tbl>
    <w:p w14:paraId="70A45E8C" w14:textId="77777777" w:rsidR="007442DA" w:rsidRDefault="007442DA" w:rsidP="007442DA">
      <w:pPr>
        <w:spacing w:after="160" w:line="259" w:lineRule="auto"/>
        <w:jc w:val="left"/>
        <w:rPr>
          <w:b/>
        </w:rPr>
      </w:pPr>
    </w:p>
    <w:p w14:paraId="6CCC179E" w14:textId="77777777" w:rsidR="007442DA" w:rsidRDefault="007442DA" w:rsidP="007442DA">
      <w:pPr>
        <w:spacing w:after="160" w:line="259" w:lineRule="auto"/>
        <w:jc w:val="left"/>
        <w:rPr>
          <w:b/>
        </w:rPr>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7442DA" w:rsidRPr="007A0B59" w14:paraId="3EE83133" w14:textId="77777777" w:rsidTr="001D080E">
        <w:trPr>
          <w:trHeight w:val="207"/>
        </w:trPr>
        <w:tc>
          <w:tcPr>
            <w:tcW w:w="4819" w:type="dxa"/>
            <w:tcBorders>
              <w:bottom w:val="single" w:sz="4" w:space="0" w:color="auto"/>
            </w:tcBorders>
            <w:tcMar>
              <w:left w:w="0" w:type="dxa"/>
            </w:tcMar>
          </w:tcPr>
          <w:p w14:paraId="6CB304DA" w14:textId="77777777" w:rsidR="007442DA" w:rsidRPr="007A0B59" w:rsidRDefault="007442DA" w:rsidP="001D080E">
            <w:pPr>
              <w:pStyle w:val="Naslov31"/>
              <w:jc w:val="left"/>
            </w:pPr>
            <w:r>
              <w:lastRenderedPageBreak/>
              <w:t>Bond, Q3 2021</w:t>
            </w:r>
          </w:p>
        </w:tc>
        <w:tc>
          <w:tcPr>
            <w:tcW w:w="4820" w:type="dxa"/>
            <w:gridSpan w:val="2"/>
            <w:tcBorders>
              <w:bottom w:val="single" w:sz="4" w:space="0" w:color="auto"/>
            </w:tcBorders>
          </w:tcPr>
          <w:p w14:paraId="2ACE1429" w14:textId="77777777" w:rsidR="007442DA" w:rsidRPr="007A0B59" w:rsidRDefault="007442DA" w:rsidP="001D080E">
            <w:pPr>
              <w:pStyle w:val="Naslov31"/>
            </w:pPr>
          </w:p>
        </w:tc>
      </w:tr>
      <w:tr w:rsidR="007442DA" w:rsidRPr="00DF4F0B" w14:paraId="520C19E6" w14:textId="77777777" w:rsidTr="001D080E">
        <w:trPr>
          <w:trHeight w:val="1134"/>
        </w:trPr>
        <w:tc>
          <w:tcPr>
            <w:tcW w:w="4982" w:type="dxa"/>
            <w:gridSpan w:val="2"/>
            <w:tcBorders>
              <w:top w:val="single" w:sz="4" w:space="0" w:color="auto"/>
            </w:tcBorders>
            <w:tcMar>
              <w:left w:w="0" w:type="dxa"/>
            </w:tcMar>
          </w:tcPr>
          <w:p w14:paraId="6CB4563B" w14:textId="518B3FA1" w:rsidR="007442DA" w:rsidRDefault="007442DA" w:rsidP="001D080E">
            <w:pPr>
              <w:pStyle w:val="ListParagraph"/>
              <w:ind w:left="0"/>
            </w:pPr>
            <w:r>
              <w:rPr>
                <w:noProof/>
              </w:rPr>
              <w:drawing>
                <wp:inline distT="0" distB="0" distL="0" distR="0" wp14:anchorId="4B96F67D" wp14:editId="6614EDBC">
                  <wp:extent cx="3096000" cy="2329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000" cy="2329200"/>
                          </a:xfrm>
                          <a:prstGeom prst="rect">
                            <a:avLst/>
                          </a:prstGeom>
                          <a:noFill/>
                        </pic:spPr>
                      </pic:pic>
                    </a:graphicData>
                  </a:graphic>
                </wp:inline>
              </w:drawing>
            </w:r>
          </w:p>
        </w:tc>
        <w:tc>
          <w:tcPr>
            <w:tcW w:w="4657" w:type="dxa"/>
            <w:tcBorders>
              <w:top w:val="single" w:sz="4" w:space="0" w:color="auto"/>
            </w:tcBorders>
            <w:tcMar>
              <w:left w:w="284" w:type="dxa"/>
            </w:tcMar>
          </w:tcPr>
          <w:p w14:paraId="5D5CF411" w14:textId="77777777" w:rsidR="007442DA" w:rsidRPr="00DF4F0B" w:rsidRDefault="007442DA" w:rsidP="001D080E">
            <w:pPr>
              <w:tabs>
                <w:tab w:val="left" w:pos="580"/>
              </w:tabs>
              <w:rPr>
                <w:rFonts w:eastAsia="Arial"/>
              </w:rPr>
            </w:pPr>
            <w:r w:rsidRPr="05141493">
              <w:rPr>
                <w:b/>
                <w:bCs/>
              </w:rPr>
              <w:t xml:space="preserve">The situation on euro area bond markets remained favourable in the third quarter. </w:t>
            </w:r>
            <w:r>
              <w:t>At the end of the period, the ECB opted to slow down the pace of its bond purchases under the PEPP programme. This, together with investors' expectations of higher inflation, led to an increase in the yield to maturity, which by the end of September had reached roughly the same level as in the months before the outbreak of the epidemic. The yield to maturity of the Slovenian bond was thus -0.02% in the third quarter. The spread to the German bond was 35 basis points, roughly the same as in the previous quarter.</w:t>
            </w:r>
          </w:p>
        </w:tc>
      </w:tr>
    </w:tbl>
    <w:p w14:paraId="354A71B5" w14:textId="77777777" w:rsidR="007442DA" w:rsidRDefault="007442DA" w:rsidP="007442DA">
      <w:pPr>
        <w:pStyle w:val="Naslov31"/>
        <w:jc w:val="left"/>
      </w:pPr>
    </w:p>
    <w:p w14:paraId="26D4A973" w14:textId="77777777" w:rsidR="00B9411A" w:rsidRDefault="00B9411A" w:rsidP="00C72A04">
      <w:pPr>
        <w:pStyle w:val="Naslov31"/>
        <w:jc w:val="left"/>
      </w:pPr>
    </w:p>
    <w:p w14:paraId="5C88636F" w14:textId="5660CF8D" w:rsidR="00C72A04" w:rsidRPr="00B9411A" w:rsidRDefault="00C72A04" w:rsidP="00B9411A">
      <w:pPr>
        <w:spacing w:after="160" w:line="259" w:lineRule="auto"/>
        <w:jc w:val="left"/>
        <w:rPr>
          <w:b/>
        </w:rPr>
      </w:pPr>
    </w:p>
    <w:p w14:paraId="36BF2D09" w14:textId="77777777" w:rsidR="002F7C7B" w:rsidRDefault="002F7C7B" w:rsidP="00804DA8">
      <w:pPr>
        <w:pStyle w:val="Naslov31"/>
        <w:jc w:val="left"/>
        <w:sectPr w:rsidR="002F7C7B" w:rsidSect="00182B9F">
          <w:headerReference w:type="default" r:id="rId16"/>
          <w:headerReference w:type="first" r:id="rId17"/>
          <w:pgSz w:w="11906" w:h="16838"/>
          <w:pgMar w:top="1134" w:right="1134" w:bottom="1021" w:left="1134" w:header="709" w:footer="397" w:gutter="0"/>
          <w:cols w:space="708"/>
          <w:titlePg/>
          <w:docGrid w:linePitch="360"/>
        </w:sectPr>
      </w:pPr>
    </w:p>
    <w:p w14:paraId="20CA59C5" w14:textId="6A427AD0" w:rsidR="00FE7254" w:rsidRPr="00FE7254" w:rsidRDefault="007442DA" w:rsidP="00DF3707">
      <w:pPr>
        <w:tabs>
          <w:tab w:val="left" w:pos="580"/>
        </w:tabs>
        <w:sectPr w:rsidR="00FE7254" w:rsidRPr="00FE7254" w:rsidSect="00363E63">
          <w:headerReference w:type="default" r:id="rId18"/>
          <w:footerReference w:type="default" r:id="rId19"/>
          <w:pgSz w:w="11906" w:h="16838"/>
          <w:pgMar w:top="1134" w:right="1134" w:bottom="1021" w:left="1134" w:header="709" w:footer="397" w:gutter="0"/>
          <w:cols w:space="708"/>
          <w:docGrid w:linePitch="360"/>
        </w:sectPr>
      </w:pPr>
      <w:r w:rsidRPr="007442DA">
        <w:rPr>
          <w:noProof/>
        </w:rPr>
        <w:lastRenderedPageBreak/>
        <w:drawing>
          <wp:inline distT="0" distB="0" distL="0" distR="0" wp14:anchorId="032ABE42" wp14:editId="175F219D">
            <wp:extent cx="6120130" cy="8384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384540"/>
                    </a:xfrm>
                    <a:prstGeom prst="rect">
                      <a:avLst/>
                    </a:prstGeom>
                    <a:noFill/>
                    <a:ln>
                      <a:noFill/>
                    </a:ln>
                  </pic:spPr>
                </pic:pic>
              </a:graphicData>
            </a:graphic>
          </wp:inline>
        </w:drawing>
      </w:r>
      <w:bookmarkStart w:id="0" w:name="_GoBack"/>
      <w:bookmarkEnd w:id="0"/>
    </w:p>
    <w:p w14:paraId="0DE2B070" w14:textId="000F250E" w:rsidR="002E69B6" w:rsidRPr="00887D7E" w:rsidRDefault="002E69B6" w:rsidP="001F51CD">
      <w:pPr>
        <w:tabs>
          <w:tab w:val="left" w:pos="580"/>
        </w:tabs>
      </w:pPr>
    </w:p>
    <w:sectPr w:rsidR="002E69B6" w:rsidRPr="00887D7E" w:rsidSect="00363E63">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3B2E1" w14:textId="77777777" w:rsidR="003544A3" w:rsidRDefault="003544A3" w:rsidP="0063497B">
      <w:pPr>
        <w:spacing w:line="240" w:lineRule="auto"/>
      </w:pPr>
      <w:r>
        <w:separator/>
      </w:r>
    </w:p>
  </w:endnote>
  <w:endnote w:type="continuationSeparator" w:id="0">
    <w:p w14:paraId="22F98C71" w14:textId="77777777" w:rsidR="003544A3" w:rsidRDefault="003544A3" w:rsidP="0063497B">
      <w:pPr>
        <w:spacing w:line="240" w:lineRule="auto"/>
      </w:pPr>
      <w:r>
        <w:continuationSeparator/>
      </w:r>
    </w:p>
  </w:endnote>
  <w:endnote w:type="continuationNotice" w:id="1">
    <w:p w14:paraId="067D1632" w14:textId="77777777" w:rsidR="003544A3" w:rsidRDefault="003544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0052E" w14:textId="77777777"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polona.osrajnik@gov.si</w:t>
      </w:r>
    </w:hyperlink>
    <w:r>
      <w:t xml:space="preserve"> </w:t>
    </w:r>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noProof/>
            <w:sz w:val="18"/>
          </w:rPr>
          <w:t>1</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1F98" w14:textId="77777777"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polona.osrajnik@gov.si</w:t>
      </w:r>
    </w:hyperlink>
    <w:r>
      <w:rPr>
        <w:b w:val="0"/>
        <w:sz w:val="18"/>
      </w:rPr>
      <w:t xml:space="preserve"> </w:t>
    </w:r>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noProof/>
            <w:sz w:val="18"/>
          </w:rPr>
          <w:t>2</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FE7254" w:rsidRDefault="0074466E" w:rsidP="00FE7254">
    <w:pPr>
      <w:pStyle w:val="Footer"/>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74466E" w:rsidRPr="00893FAF" w:rsidRDefault="0074466E" w:rsidP="00FE7254">
    <w:pPr>
      <w:pStyle w:val="Footer"/>
      <w:rPr>
        <w:rFonts w:cs="Helv"/>
        <w:b/>
        <w:bCs/>
        <w:color w:val="000000"/>
        <w:sz w:val="18"/>
        <w:szCs w:val="18"/>
      </w:rPr>
    </w:pPr>
  </w:p>
  <w:p w14:paraId="1B94B0CF" w14:textId="76006E9C" w:rsidR="00363E63" w:rsidRPr="00363E63" w:rsidRDefault="00363E63"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sidR="008D4C85" w:rsidRPr="00177AD2">
        <w:rPr>
          <w:rStyle w:val="Hyperlink"/>
          <w:b w:val="0"/>
          <w:sz w:val="18"/>
        </w:rPr>
        <w:t>polona.osrajnik@gov.si</w:t>
      </w:r>
    </w:hyperlink>
    <w:r>
      <w:rPr>
        <w:b w:val="0"/>
        <w:sz w:val="18"/>
      </w:rPr>
      <w:tab/>
    </w:r>
    <w:r>
      <w:rPr>
        <w:sz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4</w:t>
        </w:r>
        <w:r w:rsidRPr="00363E63">
          <w:rPr>
            <w:color w:val="2B579A"/>
            <w:sz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14068" w14:textId="77777777" w:rsidR="003544A3" w:rsidRDefault="003544A3" w:rsidP="0063497B">
      <w:pPr>
        <w:spacing w:line="240" w:lineRule="auto"/>
      </w:pPr>
      <w:r>
        <w:separator/>
      </w:r>
    </w:p>
  </w:footnote>
  <w:footnote w:type="continuationSeparator" w:id="0">
    <w:p w14:paraId="1766ECDB" w14:textId="77777777" w:rsidR="003544A3" w:rsidRDefault="003544A3" w:rsidP="0063497B">
      <w:pPr>
        <w:spacing w:line="240" w:lineRule="auto"/>
      </w:pPr>
      <w:r>
        <w:continuationSeparator/>
      </w:r>
    </w:p>
  </w:footnote>
  <w:footnote w:type="continuationNotice" w:id="1">
    <w:p w14:paraId="2B2A55E9" w14:textId="77777777" w:rsidR="003544A3" w:rsidRDefault="003544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737FC" w14:textId="41A5188B" w:rsidR="007442DA" w:rsidRDefault="007442DA" w:rsidP="00DE405E">
    <w:pPr>
      <w:jc w:val="right"/>
    </w:pPr>
    <w:r>
      <w:rPr>
        <w:noProof/>
      </w:rPr>
      <w:drawing>
        <wp:anchor distT="0" distB="0" distL="114300" distR="114300" simplePos="0" relativeHeight="251661312" behindDoc="0" locked="0" layoutInCell="1" allowOverlap="1" wp14:anchorId="0089BE65" wp14:editId="319BD0C6">
          <wp:simplePos x="0" y="0"/>
          <wp:positionH relativeFrom="column">
            <wp:posOffset>-369570</wp:posOffset>
          </wp:positionH>
          <wp:positionV relativeFrom="paragraph">
            <wp:posOffset>67945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4 October 2021</w:t>
    </w:r>
  </w:p>
  <w:p w14:paraId="7C3B808E" w14:textId="77777777" w:rsidR="007442DA" w:rsidRDefault="007442DA" w:rsidP="00DE405E">
    <w:pPr>
      <w:jc w:val="right"/>
    </w:pPr>
  </w:p>
  <w:p w14:paraId="11BFC8C4" w14:textId="77777777" w:rsidR="007442DA" w:rsidRDefault="007442DA" w:rsidP="00DE405E">
    <w:pPr>
      <w:jc w:val="right"/>
    </w:pPr>
  </w:p>
  <w:p w14:paraId="0585C061" w14:textId="77777777" w:rsidR="007442DA" w:rsidRDefault="007442DA"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7442DA" w14:paraId="16CC5D35" w14:textId="77777777" w:rsidTr="17BB30AA">
      <w:tc>
        <w:tcPr>
          <w:tcW w:w="3210" w:type="dxa"/>
        </w:tcPr>
        <w:p w14:paraId="652088AA" w14:textId="77777777" w:rsidR="007442DA" w:rsidRDefault="007442DA" w:rsidP="17BB30AA">
          <w:pPr>
            <w:pStyle w:val="Header"/>
            <w:ind w:left="-115"/>
            <w:jc w:val="left"/>
          </w:pPr>
        </w:p>
      </w:tc>
      <w:tc>
        <w:tcPr>
          <w:tcW w:w="3210" w:type="dxa"/>
        </w:tcPr>
        <w:p w14:paraId="2C27D6DF" w14:textId="77777777" w:rsidR="007442DA" w:rsidRDefault="007442DA" w:rsidP="17BB30AA">
          <w:pPr>
            <w:pStyle w:val="Header"/>
            <w:jc w:val="center"/>
          </w:pPr>
        </w:p>
      </w:tc>
      <w:tc>
        <w:tcPr>
          <w:tcW w:w="3210" w:type="dxa"/>
        </w:tcPr>
        <w:p w14:paraId="0F6AFF2F" w14:textId="77777777" w:rsidR="007442DA" w:rsidRDefault="007442DA" w:rsidP="17BB30AA">
          <w:pPr>
            <w:pStyle w:val="Header"/>
            <w:ind w:right="-115"/>
            <w:jc w:val="right"/>
          </w:pPr>
        </w:p>
      </w:tc>
    </w:tr>
  </w:tbl>
  <w:p w14:paraId="39207765" w14:textId="77777777" w:rsidR="007442DA" w:rsidRDefault="007442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363E63" w:rsidRPr="004E2D3A" w:rsidRDefault="004E2D3A">
    <w:pPr>
      <w:pStyle w:val="Header"/>
      <w:rPr>
        <w:b/>
        <w:bCs/>
      </w:rPr>
    </w:pPr>
    <w:r>
      <w:rPr>
        <w:b/>
      </w:rPr>
      <w:t>Table: Selected macroeconomic indicators for Slovenia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421F"/>
    <w:rsid w:val="00005262"/>
    <w:rsid w:val="00007553"/>
    <w:rsid w:val="00011EE3"/>
    <w:rsid w:val="00031C60"/>
    <w:rsid w:val="00036251"/>
    <w:rsid w:val="00044CD2"/>
    <w:rsid w:val="000664B8"/>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07C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34963"/>
    <w:rsid w:val="002350BD"/>
    <w:rsid w:val="00243593"/>
    <w:rsid w:val="00247CE0"/>
    <w:rsid w:val="00252943"/>
    <w:rsid w:val="002530CB"/>
    <w:rsid w:val="00255D1C"/>
    <w:rsid w:val="00256528"/>
    <w:rsid w:val="00260617"/>
    <w:rsid w:val="0026509A"/>
    <w:rsid w:val="00266D67"/>
    <w:rsid w:val="0027659E"/>
    <w:rsid w:val="00284780"/>
    <w:rsid w:val="002928AB"/>
    <w:rsid w:val="0029405F"/>
    <w:rsid w:val="00297D32"/>
    <w:rsid w:val="002A0C21"/>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47FD"/>
    <w:rsid w:val="00324AA8"/>
    <w:rsid w:val="00325138"/>
    <w:rsid w:val="003262BF"/>
    <w:rsid w:val="00333F21"/>
    <w:rsid w:val="00334D18"/>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2C5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27552"/>
    <w:rsid w:val="00431EDD"/>
    <w:rsid w:val="004368FB"/>
    <w:rsid w:val="00443660"/>
    <w:rsid w:val="00452589"/>
    <w:rsid w:val="00452804"/>
    <w:rsid w:val="00454892"/>
    <w:rsid w:val="00455C0C"/>
    <w:rsid w:val="004563B1"/>
    <w:rsid w:val="00464D01"/>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25F7"/>
    <w:rsid w:val="0052278B"/>
    <w:rsid w:val="00522C91"/>
    <w:rsid w:val="0052312F"/>
    <w:rsid w:val="00532F53"/>
    <w:rsid w:val="00534457"/>
    <w:rsid w:val="00545D45"/>
    <w:rsid w:val="00546DBF"/>
    <w:rsid w:val="005508E9"/>
    <w:rsid w:val="0055332B"/>
    <w:rsid w:val="00561C9A"/>
    <w:rsid w:val="00562308"/>
    <w:rsid w:val="00563ABF"/>
    <w:rsid w:val="00564B65"/>
    <w:rsid w:val="0056636E"/>
    <w:rsid w:val="00592EB2"/>
    <w:rsid w:val="005A36AC"/>
    <w:rsid w:val="005A3F5F"/>
    <w:rsid w:val="005A6A74"/>
    <w:rsid w:val="005B67A1"/>
    <w:rsid w:val="005C5A12"/>
    <w:rsid w:val="005D110B"/>
    <w:rsid w:val="005D2789"/>
    <w:rsid w:val="005D3B64"/>
    <w:rsid w:val="005D4938"/>
    <w:rsid w:val="005D5D51"/>
    <w:rsid w:val="005D7820"/>
    <w:rsid w:val="005E0757"/>
    <w:rsid w:val="005E1743"/>
    <w:rsid w:val="005E4C4B"/>
    <w:rsid w:val="005F0F5B"/>
    <w:rsid w:val="005F5FF0"/>
    <w:rsid w:val="006020EE"/>
    <w:rsid w:val="006034D6"/>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FD0"/>
    <w:rsid w:val="006E6211"/>
    <w:rsid w:val="006F1506"/>
    <w:rsid w:val="006F3DD0"/>
    <w:rsid w:val="006F43B2"/>
    <w:rsid w:val="006F67F3"/>
    <w:rsid w:val="007006A5"/>
    <w:rsid w:val="00701540"/>
    <w:rsid w:val="007016EF"/>
    <w:rsid w:val="007115FF"/>
    <w:rsid w:val="00711660"/>
    <w:rsid w:val="0072305B"/>
    <w:rsid w:val="00731B6F"/>
    <w:rsid w:val="007328FE"/>
    <w:rsid w:val="0073739E"/>
    <w:rsid w:val="007411B1"/>
    <w:rsid w:val="007421B2"/>
    <w:rsid w:val="007442DA"/>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87DFB"/>
    <w:rsid w:val="00790F4D"/>
    <w:rsid w:val="00793AB6"/>
    <w:rsid w:val="0079410F"/>
    <w:rsid w:val="007A0B59"/>
    <w:rsid w:val="007A6C35"/>
    <w:rsid w:val="007B074D"/>
    <w:rsid w:val="007B708A"/>
    <w:rsid w:val="007B7110"/>
    <w:rsid w:val="007C4B7A"/>
    <w:rsid w:val="007C5222"/>
    <w:rsid w:val="007D0791"/>
    <w:rsid w:val="007D4631"/>
    <w:rsid w:val="007E0425"/>
    <w:rsid w:val="007E77B8"/>
    <w:rsid w:val="007F1307"/>
    <w:rsid w:val="007F13BE"/>
    <w:rsid w:val="007F485F"/>
    <w:rsid w:val="007F64C4"/>
    <w:rsid w:val="00804742"/>
    <w:rsid w:val="008049AA"/>
    <w:rsid w:val="00812D81"/>
    <w:rsid w:val="00813F80"/>
    <w:rsid w:val="008149ED"/>
    <w:rsid w:val="00822375"/>
    <w:rsid w:val="00841052"/>
    <w:rsid w:val="008444D1"/>
    <w:rsid w:val="0084784F"/>
    <w:rsid w:val="008507B0"/>
    <w:rsid w:val="008541ED"/>
    <w:rsid w:val="00855CE5"/>
    <w:rsid w:val="00860582"/>
    <w:rsid w:val="008637AE"/>
    <w:rsid w:val="00863817"/>
    <w:rsid w:val="008646FF"/>
    <w:rsid w:val="008678A7"/>
    <w:rsid w:val="008713BF"/>
    <w:rsid w:val="00871E2C"/>
    <w:rsid w:val="00876109"/>
    <w:rsid w:val="0088498B"/>
    <w:rsid w:val="0088644B"/>
    <w:rsid w:val="00887650"/>
    <w:rsid w:val="00887D7E"/>
    <w:rsid w:val="0089056E"/>
    <w:rsid w:val="0089259B"/>
    <w:rsid w:val="00895CDB"/>
    <w:rsid w:val="008B077B"/>
    <w:rsid w:val="008B129E"/>
    <w:rsid w:val="008B3BA9"/>
    <w:rsid w:val="008C1F73"/>
    <w:rsid w:val="008D4C85"/>
    <w:rsid w:val="008D4EBF"/>
    <w:rsid w:val="008D52D0"/>
    <w:rsid w:val="008E2FB1"/>
    <w:rsid w:val="008E6740"/>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846"/>
    <w:rsid w:val="009A4299"/>
    <w:rsid w:val="009A6EC5"/>
    <w:rsid w:val="009B5FBC"/>
    <w:rsid w:val="009B7D53"/>
    <w:rsid w:val="009C0C09"/>
    <w:rsid w:val="009C0D03"/>
    <w:rsid w:val="009C53A4"/>
    <w:rsid w:val="009C7520"/>
    <w:rsid w:val="009D07FF"/>
    <w:rsid w:val="009D311B"/>
    <w:rsid w:val="009D55C7"/>
    <w:rsid w:val="009E5EC5"/>
    <w:rsid w:val="009E6771"/>
    <w:rsid w:val="009F5FEA"/>
    <w:rsid w:val="009F6150"/>
    <w:rsid w:val="009F6D5C"/>
    <w:rsid w:val="009F7732"/>
    <w:rsid w:val="00A03772"/>
    <w:rsid w:val="00A072AA"/>
    <w:rsid w:val="00A107AD"/>
    <w:rsid w:val="00A1277D"/>
    <w:rsid w:val="00A17CAB"/>
    <w:rsid w:val="00A20C9D"/>
    <w:rsid w:val="00A2267D"/>
    <w:rsid w:val="00A22E1A"/>
    <w:rsid w:val="00A237A0"/>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0BCF"/>
    <w:rsid w:val="00AE6109"/>
    <w:rsid w:val="00AF2194"/>
    <w:rsid w:val="00AF3058"/>
    <w:rsid w:val="00B00E5E"/>
    <w:rsid w:val="00B0168D"/>
    <w:rsid w:val="00B035D2"/>
    <w:rsid w:val="00B04494"/>
    <w:rsid w:val="00B067BC"/>
    <w:rsid w:val="00B11EE5"/>
    <w:rsid w:val="00B131DE"/>
    <w:rsid w:val="00B1448F"/>
    <w:rsid w:val="00B16752"/>
    <w:rsid w:val="00B17209"/>
    <w:rsid w:val="00B17781"/>
    <w:rsid w:val="00B20754"/>
    <w:rsid w:val="00B220A3"/>
    <w:rsid w:val="00B26E4F"/>
    <w:rsid w:val="00B34F30"/>
    <w:rsid w:val="00B35FFD"/>
    <w:rsid w:val="00B37DC2"/>
    <w:rsid w:val="00B4011D"/>
    <w:rsid w:val="00B427DC"/>
    <w:rsid w:val="00B451B6"/>
    <w:rsid w:val="00B47625"/>
    <w:rsid w:val="00B47E4D"/>
    <w:rsid w:val="00B52382"/>
    <w:rsid w:val="00B52F7E"/>
    <w:rsid w:val="00B613F5"/>
    <w:rsid w:val="00B61872"/>
    <w:rsid w:val="00B61B71"/>
    <w:rsid w:val="00B62D4B"/>
    <w:rsid w:val="00B647F7"/>
    <w:rsid w:val="00B7289B"/>
    <w:rsid w:val="00B738F6"/>
    <w:rsid w:val="00B73F94"/>
    <w:rsid w:val="00B74E00"/>
    <w:rsid w:val="00B752F4"/>
    <w:rsid w:val="00B82C8A"/>
    <w:rsid w:val="00B8300F"/>
    <w:rsid w:val="00B833CE"/>
    <w:rsid w:val="00B83AD6"/>
    <w:rsid w:val="00B84489"/>
    <w:rsid w:val="00B85474"/>
    <w:rsid w:val="00B933A2"/>
    <w:rsid w:val="00B9411A"/>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2A04"/>
    <w:rsid w:val="00C7435F"/>
    <w:rsid w:val="00C76B2C"/>
    <w:rsid w:val="00C80811"/>
    <w:rsid w:val="00C8534B"/>
    <w:rsid w:val="00CA3DDE"/>
    <w:rsid w:val="00CA7705"/>
    <w:rsid w:val="00CB0A14"/>
    <w:rsid w:val="00CB7467"/>
    <w:rsid w:val="00CB7F3D"/>
    <w:rsid w:val="00CC24A6"/>
    <w:rsid w:val="00CC35E0"/>
    <w:rsid w:val="00CC4832"/>
    <w:rsid w:val="00CC5657"/>
    <w:rsid w:val="00CE08C3"/>
    <w:rsid w:val="00CE1098"/>
    <w:rsid w:val="00CE675E"/>
    <w:rsid w:val="00CF2062"/>
    <w:rsid w:val="00CF6407"/>
    <w:rsid w:val="00CF6B31"/>
    <w:rsid w:val="00D024E5"/>
    <w:rsid w:val="00D15B95"/>
    <w:rsid w:val="00D220FE"/>
    <w:rsid w:val="00D22523"/>
    <w:rsid w:val="00D2363D"/>
    <w:rsid w:val="00D312B6"/>
    <w:rsid w:val="00D41892"/>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6065"/>
    <w:rsid w:val="00E47429"/>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B9"/>
    <w:rsid w:val="00EE6FBF"/>
    <w:rsid w:val="00EE7E6E"/>
    <w:rsid w:val="00EF2F19"/>
    <w:rsid w:val="00EF7C1F"/>
    <w:rsid w:val="00F01471"/>
    <w:rsid w:val="00F13478"/>
    <w:rsid w:val="00F141C0"/>
    <w:rsid w:val="00F14A6E"/>
    <w:rsid w:val="00F16082"/>
    <w:rsid w:val="00F20C31"/>
    <w:rsid w:val="00F22D13"/>
    <w:rsid w:val="00F23F5F"/>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30F6"/>
    <w:rsid w:val="00F9475B"/>
    <w:rsid w:val="00FA45E3"/>
    <w:rsid w:val="00FB064C"/>
    <w:rsid w:val="00FB5533"/>
    <w:rsid w:val="00FB5963"/>
    <w:rsid w:val="00FB5E33"/>
    <w:rsid w:val="00FC11F2"/>
    <w:rsid w:val="00FC30BC"/>
    <w:rsid w:val="00FC697A"/>
    <w:rsid w:val="00FE0670"/>
    <w:rsid w:val="00FE12B1"/>
    <w:rsid w:val="00FE38C6"/>
    <w:rsid w:val="00FE7254"/>
    <w:rsid w:val="00FE755B"/>
    <w:rsid w:val="00FF1B7D"/>
    <w:rsid w:val="00FF1B8C"/>
    <w:rsid w:val="00FF6663"/>
    <w:rsid w:val="0EE520E8"/>
    <w:rsid w:val="1394B156"/>
    <w:rsid w:val="15F3EBD7"/>
    <w:rsid w:val="175A116E"/>
    <w:rsid w:val="17BB30AA"/>
    <w:rsid w:val="1861DD19"/>
    <w:rsid w:val="19E74083"/>
    <w:rsid w:val="1CC8A607"/>
    <w:rsid w:val="200936E7"/>
    <w:rsid w:val="21894BE0"/>
    <w:rsid w:val="2514B017"/>
    <w:rsid w:val="2BE233F5"/>
    <w:rsid w:val="2D331F9D"/>
    <w:rsid w:val="2D3F1A77"/>
    <w:rsid w:val="31D25D35"/>
    <w:rsid w:val="3232BB50"/>
    <w:rsid w:val="3936E378"/>
    <w:rsid w:val="3E4BFB68"/>
    <w:rsid w:val="3F644C1C"/>
    <w:rsid w:val="40E2C37D"/>
    <w:rsid w:val="41001C7D"/>
    <w:rsid w:val="41EAEF53"/>
    <w:rsid w:val="44C3E103"/>
    <w:rsid w:val="46038A48"/>
    <w:rsid w:val="46E33487"/>
    <w:rsid w:val="490DDEDB"/>
    <w:rsid w:val="4C16315E"/>
    <w:rsid w:val="4D9B90AA"/>
    <w:rsid w:val="4E28FBBE"/>
    <w:rsid w:val="51CA5805"/>
    <w:rsid w:val="59466220"/>
    <w:rsid w:val="65774917"/>
    <w:rsid w:val="701566A2"/>
    <w:rsid w:val="70893F96"/>
    <w:rsid w:val="74BB45C0"/>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styleId="Mention">
    <w:name w:val="Mention"/>
    <w:basedOn w:val="DefaultParagraphFont"/>
    <w:uiPriority w:val="99"/>
    <w:unhideWhenUsed/>
    <w:rsid w:val="00744B8D"/>
    <w:rPr>
      <w:color w:val="2B579A"/>
      <w:shd w:val="clear" w:color="auto" w:fill="E6E6E6"/>
    </w:rPr>
  </w:style>
  <w:style w:type="character" w:customStyle="1" w:styleId="markedcontent">
    <w:name w:val="markedcontent"/>
    <w:basedOn w:val="DefaultParagraphFont"/>
    <w:rsid w:val="00C72A04"/>
  </w:style>
  <w:style w:type="table" w:customStyle="1" w:styleId="Tabelamrea1">
    <w:name w:val="Tabela – mreža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2">
    <w:name w:val="Tabela – mreža102"/>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3">
    <w:name w:val="Tabela – mreža103"/>
    <w:basedOn w:val="TableNormal"/>
    <w:next w:val="TableGrid"/>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D4C85"/>
    <w:rPr>
      <w:color w:val="605E5C"/>
      <w:shd w:val="clear" w:color="auto" w:fill="E1DFDD"/>
    </w:rPr>
  </w:style>
  <w:style w:type="character" w:customStyle="1" w:styleId="normaltextrun">
    <w:name w:val="normaltextrun"/>
    <w:basedOn w:val="DefaultParagraphFont"/>
    <w:rsid w:val="008D4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D4604-0B18-4538-B98B-548115BA0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2021-10-05T06:14:00Z</dcterms:created>
  <dcterms:modified xsi:type="dcterms:W3CDTF">2021-10-05T06:14:00Z</dcterms:modified>
</cp:coreProperties>
</file>