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1B992" w14:textId="77777777" w:rsidR="00C866CD" w:rsidRPr="00DE72F6" w:rsidRDefault="00C866CD" w:rsidP="00C866CD">
      <w:pPr>
        <w:pStyle w:val="Naslov11"/>
      </w:pPr>
      <w:r>
        <w:t>CURRENT ECONOMIC TRENDS</w:t>
      </w:r>
    </w:p>
    <w:p w14:paraId="069DD334" w14:textId="218444CB" w:rsidR="001D6793" w:rsidRDefault="00C866CD" w:rsidP="00C866CD">
      <w:pPr>
        <w:pStyle w:val="Naslov11"/>
      </w:pPr>
      <w:r>
        <w:rPr>
          <w:b w:val="0"/>
        </w:rPr>
        <w:t>14 June – 18 June</w:t>
      </w:r>
      <w:r>
        <w:t xml:space="preserve"> </w:t>
      </w:r>
    </w:p>
    <w:p w14:paraId="1823E87A" w14:textId="3C79DBF0" w:rsidR="00F444BF" w:rsidRDefault="00F444BF">
      <w:pPr>
        <w:rPr>
          <w:b/>
          <w:sz w:val="28"/>
          <w:szCs w:val="28"/>
          <w:highlight w:val="yellow"/>
        </w:rPr>
      </w:pPr>
    </w:p>
    <w:p w14:paraId="019D4F57" w14:textId="5356C9FA" w:rsidR="004F4AF9" w:rsidRPr="00D820DE" w:rsidRDefault="00653EB4" w:rsidP="00FE0670">
      <w:pPr>
        <w:tabs>
          <w:tab w:val="left" w:pos="580"/>
        </w:tabs>
      </w:pPr>
      <w:r>
        <w:t xml:space="preserve">Current indicators of economic activity show that in the second week of June, the volume of freight traffic on Slovenian motorways was very high, slightly exceeding the pre-crisis level of 2019. Electricity consumption was also slightly up year-on-year. However, it was slightly below the pre-crisis level, probably mainly due to reduced tourism activities. According to data on the fiscal verification of invoices, total turnover in the first half of June was already slightly above pre-crisis levels, while turnover in the services sector, where restrictions remained relatively high, continued to lag behind pre-crisis levels by more than half. The number of registered unemployed continued to fall sharply in June, and by </w:t>
      </w:r>
      <w:proofErr w:type="spellStart"/>
      <w:r>
        <w:t>mid June</w:t>
      </w:r>
      <w:proofErr w:type="spellEnd"/>
      <w:r>
        <w:t xml:space="preserve"> it was almost a fifth lower year-on-year, but still slightly higher than in June 2019.  After strengthening in the second half of last year, activity in the construction sector fell again, but remained higher than a year ago. </w:t>
      </w:r>
    </w:p>
    <w:p w14:paraId="5ACDCF50" w14:textId="562C3D7F" w:rsidR="00B47625" w:rsidRDefault="00B47625"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81"/>
        <w:gridCol w:w="2976"/>
      </w:tblGrid>
      <w:tr w:rsidR="00291EC8" w:rsidRPr="006C2117" w14:paraId="042E5939" w14:textId="77777777" w:rsidTr="00C21493">
        <w:trPr>
          <w:trHeight w:val="207"/>
        </w:trPr>
        <w:tc>
          <w:tcPr>
            <w:tcW w:w="6663" w:type="dxa"/>
            <w:gridSpan w:val="2"/>
            <w:tcBorders>
              <w:bottom w:val="single" w:sz="4" w:space="0" w:color="auto"/>
            </w:tcBorders>
            <w:tcMar>
              <w:left w:w="0" w:type="dxa"/>
            </w:tcMar>
          </w:tcPr>
          <w:p w14:paraId="1B57733D" w14:textId="77777777" w:rsidR="00291EC8" w:rsidRPr="006C2117" w:rsidRDefault="00291EC8" w:rsidP="009F6ADC">
            <w:pPr>
              <w:pStyle w:val="Naslov31"/>
              <w:jc w:val="left"/>
            </w:pPr>
            <w:r>
              <w:t>Traffic of electronically tolled vehicles on Slovenian motorways, June 2021</w:t>
            </w:r>
          </w:p>
        </w:tc>
        <w:tc>
          <w:tcPr>
            <w:tcW w:w="2976" w:type="dxa"/>
            <w:tcBorders>
              <w:bottom w:val="single" w:sz="4" w:space="0" w:color="auto"/>
            </w:tcBorders>
          </w:tcPr>
          <w:p w14:paraId="04EC9C21" w14:textId="77777777" w:rsidR="00291EC8" w:rsidRPr="006C2117" w:rsidRDefault="00291EC8" w:rsidP="009F6ADC">
            <w:pPr>
              <w:pStyle w:val="Naslov31"/>
            </w:pPr>
          </w:p>
        </w:tc>
      </w:tr>
      <w:tr w:rsidR="00291EC8" w:rsidRPr="00DF4F0B" w14:paraId="692937E9" w14:textId="77777777" w:rsidTr="009F6ADC">
        <w:trPr>
          <w:trHeight w:val="1134"/>
        </w:trPr>
        <w:tc>
          <w:tcPr>
            <w:tcW w:w="4982" w:type="dxa"/>
            <w:tcBorders>
              <w:top w:val="single" w:sz="4" w:space="0" w:color="auto"/>
            </w:tcBorders>
            <w:tcMar>
              <w:left w:w="0" w:type="dxa"/>
            </w:tcMar>
          </w:tcPr>
          <w:p w14:paraId="01219685" w14:textId="35F3C1BD" w:rsidR="00291EC8" w:rsidRDefault="00387B1B" w:rsidP="009F6ADC">
            <w:pPr>
              <w:pStyle w:val="ListParagraph"/>
              <w:ind w:left="0"/>
            </w:pPr>
            <w:r>
              <w:rPr>
                <w:noProof/>
              </w:rPr>
              <w:drawing>
                <wp:inline distT="0" distB="0" distL="0" distR="0" wp14:anchorId="0BCE3942" wp14:editId="635C3A96">
                  <wp:extent cx="3088800" cy="2530800"/>
                  <wp:effectExtent l="0" t="0" r="0" b="317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88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168E2624" w14:textId="7FC3EC28" w:rsidR="001B582D" w:rsidRPr="001B582D" w:rsidRDefault="001B582D" w:rsidP="001B582D">
            <w:r>
              <w:rPr>
                <w:b/>
              </w:rPr>
              <w:t>Freight traffic on Slovenian motorways in the second week of June was 23% higher than in the same period of last year and 3% higher than in the same period of 2019.</w:t>
            </w:r>
            <w:r>
              <w:t xml:space="preserve"> The volume of freight traffic again exceeded 22 million</w:t>
            </w:r>
            <w:r w:rsidR="008C0999">
              <w:rPr>
                <w:rStyle w:val="FootnoteReference"/>
              </w:rPr>
              <w:footnoteReference w:id="2"/>
            </w:r>
            <w:r>
              <w:t xml:space="preserve"> kilometres driven, reaching the third highest weekly measured value this year (last year it did not reach such a volume due to the epidemic). Year-on-year, the volume of domestic and foreign vehicle traffic increased by almost a quarter, but this was still mainly due to the lower volume of traffic in the same period last year during the first wave of the epidemic. Compared to the same week of the pre-crisis year 2019, it was 6% higher for domestic vehicles and 1% higher for foreign vehicles. </w:t>
            </w:r>
          </w:p>
          <w:p w14:paraId="00982DFF" w14:textId="77777777" w:rsidR="00291EC8" w:rsidRPr="00DF4F0B" w:rsidRDefault="00291EC8" w:rsidP="009F6ADC"/>
        </w:tc>
      </w:tr>
    </w:tbl>
    <w:p w14:paraId="584A0246" w14:textId="77777777" w:rsidR="00A669C4" w:rsidRDefault="00A669C4" w:rsidP="00026558">
      <w:pPr>
        <w:pStyle w:val="Naslov31"/>
        <w:jc w:val="left"/>
        <w:sectPr w:rsidR="00A669C4" w:rsidSect="00F444BF">
          <w:headerReference w:type="default" r:id="rId9"/>
          <w:footerReference w:type="default" r:id="rId10"/>
          <w:headerReference w:type="first" r:id="rId11"/>
          <w:footerReference w:type="first" r:id="rId12"/>
          <w:pgSz w:w="11906" w:h="16838"/>
          <w:pgMar w:top="1134" w:right="1134" w:bottom="1021" w:left="1134" w:header="709" w:footer="397" w:gutter="0"/>
          <w:cols w:space="708"/>
          <w:titlePg/>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026558" w:rsidRPr="006C2117" w14:paraId="30BEC8C6" w14:textId="77777777" w:rsidTr="002B6DD4">
        <w:trPr>
          <w:trHeight w:val="207"/>
        </w:trPr>
        <w:tc>
          <w:tcPr>
            <w:tcW w:w="4819" w:type="dxa"/>
            <w:tcBorders>
              <w:bottom w:val="single" w:sz="4" w:space="0" w:color="auto"/>
            </w:tcBorders>
            <w:tcMar>
              <w:left w:w="0" w:type="dxa"/>
            </w:tcMar>
          </w:tcPr>
          <w:p w14:paraId="2E66FA27" w14:textId="4C0C65C6" w:rsidR="00026558" w:rsidRPr="006C2117" w:rsidRDefault="00026558" w:rsidP="00026558">
            <w:pPr>
              <w:pStyle w:val="Naslov31"/>
              <w:jc w:val="left"/>
            </w:pPr>
            <w:r>
              <w:lastRenderedPageBreak/>
              <w:t>Electricity consumption, June 2021</w:t>
            </w:r>
          </w:p>
        </w:tc>
        <w:tc>
          <w:tcPr>
            <w:tcW w:w="4820" w:type="dxa"/>
            <w:gridSpan w:val="2"/>
            <w:tcBorders>
              <w:bottom w:val="single" w:sz="4" w:space="0" w:color="auto"/>
            </w:tcBorders>
          </w:tcPr>
          <w:p w14:paraId="3F97770B" w14:textId="77777777" w:rsidR="00026558" w:rsidRPr="006C2117" w:rsidRDefault="00026558" w:rsidP="00026558">
            <w:pPr>
              <w:pStyle w:val="Naslov31"/>
            </w:pPr>
          </w:p>
        </w:tc>
      </w:tr>
      <w:tr w:rsidR="00026558" w:rsidRPr="00DF4F0B" w14:paraId="37B2577F" w14:textId="77777777" w:rsidTr="002B6DD4">
        <w:trPr>
          <w:trHeight w:val="1134"/>
        </w:trPr>
        <w:tc>
          <w:tcPr>
            <w:tcW w:w="4982" w:type="dxa"/>
            <w:gridSpan w:val="2"/>
            <w:tcBorders>
              <w:top w:val="single" w:sz="4" w:space="0" w:color="auto"/>
            </w:tcBorders>
            <w:tcMar>
              <w:left w:w="0" w:type="dxa"/>
            </w:tcMar>
          </w:tcPr>
          <w:p w14:paraId="22291D5D" w14:textId="64174789" w:rsidR="00026558" w:rsidRDefault="000B3802" w:rsidP="00026558">
            <w:pPr>
              <w:pStyle w:val="ListParagraph"/>
              <w:ind w:left="0"/>
            </w:pPr>
            <w:r>
              <w:rPr>
                <w:noProof/>
              </w:rPr>
              <w:drawing>
                <wp:inline distT="0" distB="0" distL="0" distR="0" wp14:anchorId="1F761B37" wp14:editId="6C202E1B">
                  <wp:extent cx="3088800" cy="2530800"/>
                  <wp:effectExtent l="0" t="0" r="0" b="31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8800" cy="2530800"/>
                          </a:xfrm>
                          <a:prstGeom prst="rect">
                            <a:avLst/>
                          </a:prstGeom>
                          <a:noFill/>
                        </pic:spPr>
                      </pic:pic>
                    </a:graphicData>
                  </a:graphic>
                </wp:inline>
              </w:drawing>
            </w:r>
          </w:p>
        </w:tc>
        <w:tc>
          <w:tcPr>
            <w:tcW w:w="4657" w:type="dxa"/>
            <w:tcBorders>
              <w:top w:val="single" w:sz="4" w:space="0" w:color="auto"/>
            </w:tcBorders>
            <w:tcMar>
              <w:left w:w="284" w:type="dxa"/>
            </w:tcMar>
          </w:tcPr>
          <w:p w14:paraId="5E76CD34" w14:textId="6E65EC57" w:rsidR="00026558" w:rsidRPr="001521E5" w:rsidRDefault="00026558" w:rsidP="00026558">
            <w:r>
              <w:rPr>
                <w:b/>
              </w:rPr>
              <w:t>In the week between 7 and 11 June, electricity consumption was 3% higher than the same week in 2020, but 10% lower than the same week of the pre-crisis year 2019.</w:t>
            </w:r>
            <w:r>
              <w:rPr>
                <w:b/>
                <w:color w:val="FF0000"/>
              </w:rPr>
              <w:t xml:space="preserve"> </w:t>
            </w:r>
            <w:r>
              <w:t>The reason for the higher year-on-year consumption was in particular the low base of last year. However, despite the easing of a number of containment measures, consumption remained lower than before the crisis. Mainly due to the base effect, year-on-year higher consumption was also recorded in most of Slovenia’s main trading partners (around 7% in Italy, Germany and Croatia and 10% in France), except in Austria, where it remained the same as in the same period last year. Compared to the same week of 2019, consumption was down in Austria (4%), Italy (3%) and Germany (2%), while it was up in France (6%) and remained more or less unchanged in Croatia.</w:t>
            </w:r>
          </w:p>
          <w:p w14:paraId="1E582C90" w14:textId="6173E552" w:rsidR="00026558" w:rsidRPr="00DF4F0B" w:rsidRDefault="00026558" w:rsidP="00026558"/>
        </w:tc>
      </w:tr>
      <w:tr w:rsidR="00026558" w14:paraId="17E1B550" w14:textId="77777777" w:rsidTr="0058360C">
        <w:trPr>
          <w:trHeight w:val="207"/>
        </w:trPr>
        <w:tc>
          <w:tcPr>
            <w:tcW w:w="4819" w:type="dxa"/>
            <w:tcBorders>
              <w:bottom w:val="single" w:sz="4" w:space="0" w:color="auto"/>
            </w:tcBorders>
            <w:tcMar>
              <w:left w:w="0" w:type="dxa"/>
            </w:tcMar>
          </w:tcPr>
          <w:p w14:paraId="5789D990" w14:textId="77777777" w:rsidR="00026558" w:rsidRDefault="00026558" w:rsidP="00026558">
            <w:pPr>
              <w:pStyle w:val="Naslov31"/>
              <w:jc w:val="left"/>
            </w:pPr>
          </w:p>
          <w:p w14:paraId="74E10295" w14:textId="5728C296" w:rsidR="00026558" w:rsidRPr="006C2117" w:rsidRDefault="00F62CF3" w:rsidP="00026558">
            <w:pPr>
              <w:pStyle w:val="Naslov31"/>
              <w:jc w:val="left"/>
            </w:pPr>
            <w:r>
              <w:t>Wages, April 2021</w:t>
            </w:r>
          </w:p>
        </w:tc>
        <w:tc>
          <w:tcPr>
            <w:tcW w:w="4820" w:type="dxa"/>
            <w:gridSpan w:val="2"/>
            <w:tcBorders>
              <w:bottom w:val="single" w:sz="4" w:space="0" w:color="auto"/>
            </w:tcBorders>
          </w:tcPr>
          <w:p w14:paraId="772D173F" w14:textId="77777777" w:rsidR="00026558" w:rsidRPr="006C2117" w:rsidRDefault="00026558" w:rsidP="00026558">
            <w:pPr>
              <w:pStyle w:val="Naslov31"/>
            </w:pPr>
          </w:p>
        </w:tc>
      </w:tr>
      <w:tr w:rsidR="00026558" w14:paraId="03A45C4E" w14:textId="77777777" w:rsidTr="001B56E9">
        <w:trPr>
          <w:trHeight w:val="1134"/>
        </w:trPr>
        <w:tc>
          <w:tcPr>
            <w:tcW w:w="4982" w:type="dxa"/>
            <w:gridSpan w:val="2"/>
            <w:tcBorders>
              <w:top w:val="single" w:sz="4" w:space="0" w:color="auto"/>
            </w:tcBorders>
            <w:tcMar>
              <w:left w:w="0" w:type="dxa"/>
            </w:tcMar>
          </w:tcPr>
          <w:p w14:paraId="48F5876B" w14:textId="77C85189" w:rsidR="00026558" w:rsidRDefault="00320FA2" w:rsidP="00026558">
            <w:pPr>
              <w:pStyle w:val="ListParagraph"/>
              <w:ind w:left="0"/>
            </w:pPr>
            <w:r>
              <w:rPr>
                <w:noProof/>
              </w:rPr>
              <w:drawing>
                <wp:inline distT="0" distB="0" distL="0" distR="0" wp14:anchorId="25346F47" wp14:editId="5AECEE01">
                  <wp:extent cx="3092400" cy="25380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00" cy="2538000"/>
                          </a:xfrm>
                          <a:prstGeom prst="rect">
                            <a:avLst/>
                          </a:prstGeom>
                          <a:noFill/>
                        </pic:spPr>
                      </pic:pic>
                    </a:graphicData>
                  </a:graphic>
                </wp:inline>
              </w:drawing>
            </w:r>
          </w:p>
        </w:tc>
        <w:tc>
          <w:tcPr>
            <w:tcW w:w="4657" w:type="dxa"/>
            <w:tcBorders>
              <w:top w:val="single" w:sz="4" w:space="0" w:color="auto"/>
            </w:tcBorders>
            <w:tcMar>
              <w:left w:w="284" w:type="dxa"/>
            </w:tcMar>
          </w:tcPr>
          <w:p w14:paraId="0E58E70B" w14:textId="46C40AC7" w:rsidR="00026558" w:rsidRPr="00DF4F0B" w:rsidRDefault="006E755C" w:rsidP="00F62CF3">
            <w:r>
              <w:rPr>
                <w:b/>
                <w:color w:val="000000" w:themeColor="text1"/>
              </w:rPr>
              <w:t xml:space="preserve">After a strong year-on-year average wage growth in recent months, </w:t>
            </w:r>
            <w:r w:rsidR="009D4CC6">
              <w:rPr>
                <w:b/>
                <w:color w:val="000000" w:themeColor="text1"/>
              </w:rPr>
              <w:t>growth</w:t>
            </w:r>
            <w:r>
              <w:rPr>
                <w:b/>
                <w:color w:val="000000" w:themeColor="text1"/>
              </w:rPr>
              <w:t xml:space="preserve"> remained moderate in April (3%). </w:t>
            </w:r>
            <w:r>
              <w:rPr>
                <w:color w:val="000000" w:themeColor="text1"/>
              </w:rPr>
              <w:t xml:space="preserve">In the private sector it was lower (2%), partly due to the high growth in the same month of the previous year (base effect) caused by the introduction of crisis bonuses and the wage calculation methodology. In the public sector, on the other hand, growth remained relatively high (5.6%) despite the already high base last year (introduction of bonuses for hazardous working conditions and additional workload, as well as a bonus for work in crisis conditions in accordance with the collective agreement), </w:t>
            </w:r>
            <w:r>
              <w:rPr>
                <w:i/>
                <w:iCs/>
                <w:color w:val="000000" w:themeColor="text1"/>
              </w:rPr>
              <w:t>inter alia,</w:t>
            </w:r>
            <w:r>
              <w:rPr>
                <w:color w:val="000000" w:themeColor="text1"/>
              </w:rPr>
              <w:t xml:space="preserve"> due to the performance bonus introduced in the middle of last year.</w:t>
            </w:r>
            <w:r>
              <w:rPr>
                <w:b/>
                <w:color w:val="000000" w:themeColor="text1"/>
              </w:rPr>
              <w:t xml:space="preserve"> </w:t>
            </w:r>
          </w:p>
        </w:tc>
      </w:tr>
    </w:tbl>
    <w:p w14:paraId="76E2447D" w14:textId="77777777" w:rsidR="00CE270A" w:rsidRDefault="00CE270A" w:rsidP="00026558">
      <w:pPr>
        <w:pStyle w:val="Naslov31"/>
        <w:jc w:val="left"/>
        <w:sectPr w:rsidR="00CE270A" w:rsidSect="00F444BF">
          <w:headerReference w:type="default" r:id="rId15"/>
          <w:headerReference w:type="first" r:id="rId16"/>
          <w:pgSz w:w="11906" w:h="16838"/>
          <w:pgMar w:top="1134" w:right="1134" w:bottom="1021" w:left="1134" w:header="709" w:footer="397" w:gutter="0"/>
          <w:cols w:space="708"/>
          <w:titlePg/>
          <w:docGrid w:linePitch="360"/>
        </w:sectPr>
      </w:pP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E270A" w:rsidRPr="007A0B59" w14:paraId="4532F0EF" w14:textId="77777777" w:rsidTr="009F6ADC">
        <w:trPr>
          <w:trHeight w:val="207"/>
        </w:trPr>
        <w:tc>
          <w:tcPr>
            <w:tcW w:w="4819" w:type="dxa"/>
            <w:tcBorders>
              <w:bottom w:val="single" w:sz="4" w:space="0" w:color="auto"/>
            </w:tcBorders>
            <w:tcMar>
              <w:left w:w="0" w:type="dxa"/>
            </w:tcMar>
          </w:tcPr>
          <w:p w14:paraId="328B4C4C" w14:textId="40C0EAAA" w:rsidR="00CE270A" w:rsidRPr="007A0B59" w:rsidRDefault="00CE270A" w:rsidP="009F6ADC">
            <w:pPr>
              <w:pStyle w:val="Naslov31"/>
              <w:jc w:val="left"/>
            </w:pPr>
            <w:r>
              <w:lastRenderedPageBreak/>
              <w:t>Labour market, April–June 2021</w:t>
            </w:r>
          </w:p>
        </w:tc>
        <w:tc>
          <w:tcPr>
            <w:tcW w:w="4820" w:type="dxa"/>
            <w:gridSpan w:val="2"/>
            <w:tcBorders>
              <w:bottom w:val="single" w:sz="4" w:space="0" w:color="auto"/>
            </w:tcBorders>
          </w:tcPr>
          <w:p w14:paraId="24FAD10F" w14:textId="77777777" w:rsidR="00CE270A" w:rsidRPr="007A0B59" w:rsidRDefault="00CE270A" w:rsidP="009F6ADC">
            <w:pPr>
              <w:pStyle w:val="Naslov31"/>
            </w:pPr>
          </w:p>
        </w:tc>
      </w:tr>
      <w:tr w:rsidR="00CE270A" w:rsidRPr="00F16082" w14:paraId="081EE143" w14:textId="77777777" w:rsidTr="009F6ADC">
        <w:trPr>
          <w:trHeight w:val="1134"/>
        </w:trPr>
        <w:tc>
          <w:tcPr>
            <w:tcW w:w="4982" w:type="dxa"/>
            <w:gridSpan w:val="2"/>
            <w:tcBorders>
              <w:top w:val="single" w:sz="4" w:space="0" w:color="auto"/>
            </w:tcBorders>
            <w:tcMar>
              <w:left w:w="0" w:type="dxa"/>
            </w:tcMar>
          </w:tcPr>
          <w:p w14:paraId="4E51DB69" w14:textId="5F34FED3" w:rsidR="00CE270A" w:rsidRDefault="00356351" w:rsidP="009F6ADC">
            <w:pPr>
              <w:pStyle w:val="ListParagraph"/>
              <w:ind w:left="0"/>
            </w:pPr>
            <w:r>
              <w:rPr>
                <w:noProof/>
              </w:rPr>
              <w:drawing>
                <wp:inline distT="0" distB="0" distL="0" distR="0" wp14:anchorId="1F426130" wp14:editId="0F20DB7E">
                  <wp:extent cx="3088800" cy="2530800"/>
                  <wp:effectExtent l="0" t="0" r="0" b="317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8800" cy="2530800"/>
                          </a:xfrm>
                          <a:prstGeom prst="rect">
                            <a:avLst/>
                          </a:prstGeom>
                          <a:noFill/>
                        </pic:spPr>
                      </pic:pic>
                    </a:graphicData>
                  </a:graphic>
                </wp:inline>
              </w:drawing>
            </w:r>
          </w:p>
        </w:tc>
        <w:tc>
          <w:tcPr>
            <w:tcW w:w="4657" w:type="dxa"/>
            <w:tcBorders>
              <w:top w:val="single" w:sz="4" w:space="0" w:color="auto"/>
            </w:tcBorders>
            <w:tcMar>
              <w:left w:w="284" w:type="dxa"/>
            </w:tcMar>
          </w:tcPr>
          <w:p w14:paraId="355B3C23" w14:textId="70090A12" w:rsidR="00CE270A" w:rsidRPr="00F16082" w:rsidRDefault="000702AC" w:rsidP="00BA58E5">
            <w:pPr>
              <w:rPr>
                <w:bCs/>
                <w:color w:val="44546A" w:themeColor="text2"/>
              </w:rPr>
            </w:pPr>
            <w:r>
              <w:rPr>
                <w:b/>
              </w:rPr>
              <w:t xml:space="preserve">The number of registered unemployed persons continued to fall in the first half of June. </w:t>
            </w:r>
            <w:r>
              <w:t xml:space="preserve">The decline in the </w:t>
            </w:r>
            <w:r>
              <w:rPr>
                <w:i/>
                <w:iCs/>
              </w:rPr>
              <w:t>unemployment rate</w:t>
            </w:r>
            <w:r>
              <w:t xml:space="preserve"> strengthened slightly in May and this trend continued in the first half of June. In addition to seasonal influences, which were not significantly different from those in the pre-epidemic period, the decline was also related to the gradual relaxation of containment measures and the economic recovery. As of June 15, 72,508 people were unemployed, down 3.5% from the end of May and down about 19% from a year ago, according to </w:t>
            </w:r>
            <w:r w:rsidR="002630D1">
              <w:t xml:space="preserve">ESS </w:t>
            </w:r>
            <w:r>
              <w:t>unofficial (daily) dat</w:t>
            </w:r>
            <w:r w:rsidR="002630D1">
              <w:t>a</w:t>
            </w:r>
            <w:r>
              <w:t>. However, compared to June 2019, the number was about 2% higher. The</w:t>
            </w:r>
            <w:r>
              <w:rPr>
                <w:i/>
                <w:iCs/>
              </w:rPr>
              <w:t xml:space="preserve"> number of employed persons</w:t>
            </w:r>
            <w:r>
              <w:t xml:space="preserve"> was 1% higher in April than in the same month a year earlier, mainly due to the base effect (a sharp fall in April 2020 due to the outbreak of the epidemic). The year-on-year decline in employment continued to be the strongest in accommodation and food service activities and administrative and support service activities, i.e. the sectors most affected by the containment measures, while the largest increase was recorded in health and social work.</w:t>
            </w:r>
          </w:p>
        </w:tc>
      </w:tr>
    </w:tbl>
    <w:p w14:paraId="13FF69C1" w14:textId="77777777" w:rsidR="00CE270A" w:rsidRDefault="00CE270A" w:rsidP="00026558">
      <w:pPr>
        <w:pStyle w:val="Naslov31"/>
        <w:jc w:val="left"/>
      </w:pPr>
    </w:p>
    <w:p w14:paraId="4329B82C" w14:textId="77777777" w:rsidR="00CE270A" w:rsidRDefault="00CE270A" w:rsidP="00026558">
      <w:pPr>
        <w:pStyle w:val="Naslov31"/>
        <w:jc w:val="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026558" w:rsidRPr="006C2117" w14:paraId="3DC3453B" w14:textId="77777777" w:rsidTr="009F6ADC">
        <w:trPr>
          <w:trHeight w:val="207"/>
        </w:trPr>
        <w:tc>
          <w:tcPr>
            <w:tcW w:w="4819" w:type="dxa"/>
            <w:tcBorders>
              <w:bottom w:val="single" w:sz="4" w:space="0" w:color="auto"/>
            </w:tcBorders>
            <w:tcMar>
              <w:left w:w="0" w:type="dxa"/>
            </w:tcMar>
          </w:tcPr>
          <w:p w14:paraId="3C0662C6" w14:textId="696F4BB0" w:rsidR="00026558" w:rsidRPr="006C2117" w:rsidRDefault="00026558" w:rsidP="00026558">
            <w:pPr>
              <w:pStyle w:val="Naslov31"/>
              <w:jc w:val="left"/>
            </w:pPr>
            <w:r>
              <w:t>Fiscal verification of invoices, June 2021</w:t>
            </w:r>
          </w:p>
        </w:tc>
        <w:tc>
          <w:tcPr>
            <w:tcW w:w="4820" w:type="dxa"/>
            <w:gridSpan w:val="2"/>
            <w:tcBorders>
              <w:bottom w:val="single" w:sz="4" w:space="0" w:color="auto"/>
            </w:tcBorders>
          </w:tcPr>
          <w:p w14:paraId="5C081966" w14:textId="77777777" w:rsidR="00026558" w:rsidRPr="006C2117" w:rsidRDefault="00026558" w:rsidP="00026558">
            <w:pPr>
              <w:pStyle w:val="Naslov31"/>
            </w:pPr>
          </w:p>
        </w:tc>
      </w:tr>
      <w:tr w:rsidR="00026558" w:rsidRPr="00DF4F0B" w14:paraId="2776FF2B" w14:textId="77777777" w:rsidTr="009F6ADC">
        <w:trPr>
          <w:trHeight w:val="1134"/>
        </w:trPr>
        <w:tc>
          <w:tcPr>
            <w:tcW w:w="4982" w:type="dxa"/>
            <w:gridSpan w:val="2"/>
            <w:tcBorders>
              <w:top w:val="single" w:sz="4" w:space="0" w:color="auto"/>
            </w:tcBorders>
            <w:tcMar>
              <w:left w:w="0" w:type="dxa"/>
            </w:tcMar>
          </w:tcPr>
          <w:p w14:paraId="1319687F" w14:textId="570DC2E3" w:rsidR="00026558" w:rsidRDefault="00847C47" w:rsidP="00026558">
            <w:pPr>
              <w:pStyle w:val="ListParagraph"/>
              <w:ind w:left="0"/>
            </w:pPr>
            <w:r>
              <w:rPr>
                <w:noProof/>
              </w:rPr>
              <w:drawing>
                <wp:inline distT="0" distB="0" distL="0" distR="0" wp14:anchorId="27F11D45" wp14:editId="66188E08">
                  <wp:extent cx="3092400" cy="2527200"/>
                  <wp:effectExtent l="0" t="0" r="0" b="698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00" cy="2527200"/>
                          </a:xfrm>
                          <a:prstGeom prst="rect">
                            <a:avLst/>
                          </a:prstGeom>
                          <a:noFill/>
                        </pic:spPr>
                      </pic:pic>
                    </a:graphicData>
                  </a:graphic>
                </wp:inline>
              </w:drawing>
            </w:r>
          </w:p>
          <w:p w14:paraId="45FA7394" w14:textId="77777777" w:rsidR="00847C47" w:rsidRDefault="00847C47" w:rsidP="00026558">
            <w:pPr>
              <w:pStyle w:val="ListParagraph"/>
              <w:ind w:left="0"/>
            </w:pPr>
          </w:p>
          <w:p w14:paraId="0743C6D9" w14:textId="006E28A0" w:rsidR="00225628" w:rsidRDefault="00225628" w:rsidP="00026558">
            <w:pPr>
              <w:pStyle w:val="ListParagraph"/>
              <w:ind w:left="0"/>
            </w:pPr>
          </w:p>
        </w:tc>
        <w:tc>
          <w:tcPr>
            <w:tcW w:w="4657" w:type="dxa"/>
            <w:tcBorders>
              <w:top w:val="single" w:sz="4" w:space="0" w:color="auto"/>
            </w:tcBorders>
            <w:tcMar>
              <w:left w:w="284" w:type="dxa"/>
            </w:tcMar>
          </w:tcPr>
          <w:p w14:paraId="4E302136" w14:textId="51BDCD6E" w:rsidR="00026558" w:rsidRPr="00DF4F0B" w:rsidRDefault="00211F56" w:rsidP="00026558">
            <w:bookmarkStart w:id="0" w:name="_Hlk74898951"/>
            <w:r>
              <w:rPr>
                <w:b/>
              </w:rPr>
              <w:t xml:space="preserve">According to data on fiscal verification of invoices, turnover in the first two weeks of June was 8% higher year-on-year and 2% higher than in the same period of 2019. </w:t>
            </w:r>
            <w:r>
              <w:t>Year-on-year turnover growth slowed in most sectors. Turnover was actually lower in sectors that saw a large increase last June (such as motor vehicle sales).  In some sectors, particularly those related to tourism (accommodation, gambling and betting, travel agencies), year-on-year growth remained high due to a further easing of containment measures. Total turnover in the first two weeks of June was 2% higher than in the same period of 2019, which was mainly a result of growth in wholesale and retail trade. Turnover in services where restrictions were still relatively high (cultural and entertainment services, accommodation, gambling and betting), remained more than half lower than in the same period of 2019.</w:t>
            </w:r>
            <w:bookmarkEnd w:id="0"/>
          </w:p>
        </w:tc>
      </w:tr>
    </w:tbl>
    <w:p w14:paraId="46C9727E" w14:textId="77777777" w:rsidR="00692FA3" w:rsidRDefault="00692FA3" w:rsidP="0019277F">
      <w:pPr>
        <w:pStyle w:val="Naslov31"/>
        <w:jc w:val="left"/>
        <w:sectPr w:rsidR="00692FA3" w:rsidSect="00F444BF">
          <w:headerReference w:type="default" r:id="rId19"/>
          <w:pgSz w:w="11906" w:h="16838"/>
          <w:pgMar w:top="1134" w:right="1134" w:bottom="1021" w:left="1134" w:header="709" w:footer="397" w:gutter="0"/>
          <w:cols w:space="708"/>
          <w:titlePg/>
          <w:docGrid w:linePitch="360"/>
        </w:sectPr>
      </w:pP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4A7D92" w:rsidRPr="006C2117" w14:paraId="571CEB39" w14:textId="77777777" w:rsidTr="00334D18">
        <w:trPr>
          <w:trHeight w:val="207"/>
        </w:trPr>
        <w:tc>
          <w:tcPr>
            <w:tcW w:w="4819" w:type="dxa"/>
            <w:tcBorders>
              <w:bottom w:val="single" w:sz="4" w:space="0" w:color="auto"/>
            </w:tcBorders>
            <w:tcMar>
              <w:left w:w="0" w:type="dxa"/>
            </w:tcMar>
          </w:tcPr>
          <w:p w14:paraId="060D2E63" w14:textId="04170F30" w:rsidR="004A7D92" w:rsidRPr="006C2117" w:rsidRDefault="00B7289B" w:rsidP="00C45877">
            <w:pPr>
              <w:pStyle w:val="Naslov31"/>
              <w:jc w:val="left"/>
            </w:pPr>
            <w:r>
              <w:lastRenderedPageBreak/>
              <w:t>Construction, April 2021</w:t>
            </w:r>
          </w:p>
        </w:tc>
        <w:tc>
          <w:tcPr>
            <w:tcW w:w="4820" w:type="dxa"/>
            <w:gridSpan w:val="2"/>
            <w:tcBorders>
              <w:bottom w:val="single" w:sz="4" w:space="0" w:color="auto"/>
            </w:tcBorders>
          </w:tcPr>
          <w:p w14:paraId="42B93B18" w14:textId="77777777" w:rsidR="004A7D92" w:rsidRPr="006C2117" w:rsidRDefault="004A7D92" w:rsidP="00C45877">
            <w:pPr>
              <w:pStyle w:val="Naslov31"/>
            </w:pPr>
          </w:p>
        </w:tc>
      </w:tr>
      <w:tr w:rsidR="004A7D92" w:rsidRPr="00DF4F0B" w14:paraId="6046C58C" w14:textId="77777777" w:rsidTr="00334D18">
        <w:trPr>
          <w:trHeight w:val="1134"/>
        </w:trPr>
        <w:tc>
          <w:tcPr>
            <w:tcW w:w="4982" w:type="dxa"/>
            <w:gridSpan w:val="2"/>
            <w:tcBorders>
              <w:top w:val="single" w:sz="4" w:space="0" w:color="auto"/>
            </w:tcBorders>
            <w:tcMar>
              <w:left w:w="0" w:type="dxa"/>
            </w:tcMar>
          </w:tcPr>
          <w:p w14:paraId="0B78CBF1" w14:textId="3C7E0291" w:rsidR="004A7D92" w:rsidRDefault="000B3802" w:rsidP="00C45877">
            <w:pPr>
              <w:pStyle w:val="ListParagraph"/>
              <w:ind w:left="0"/>
            </w:pPr>
            <w:r>
              <w:rPr>
                <w:noProof/>
              </w:rPr>
              <w:drawing>
                <wp:inline distT="0" distB="0" distL="0" distR="0" wp14:anchorId="6C37FE71" wp14:editId="49354A78">
                  <wp:extent cx="3096000" cy="2530800"/>
                  <wp:effectExtent l="0" t="0" r="0" b="317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tcBorders>
              <w:top w:val="single" w:sz="4" w:space="0" w:color="auto"/>
            </w:tcBorders>
            <w:tcMar>
              <w:left w:w="284" w:type="dxa"/>
            </w:tcMar>
          </w:tcPr>
          <w:p w14:paraId="60F92FBA" w14:textId="1BD287A5" w:rsidR="00B63AF3" w:rsidRDefault="00B63AF3" w:rsidP="00B63AF3">
            <w:r>
              <w:rPr>
                <w:rStyle w:val="Strong"/>
              </w:rPr>
              <w:t xml:space="preserve">Construction activity slowed somewhat in April. </w:t>
            </w:r>
            <w:r>
              <w:t xml:space="preserve">The value of construction output fell by 3.4%. However, it was 6.5% higher than a year earlier. Compared with the previous month, construction activity fell in all segments and strengthened only in non-residential construction, where it had fallen sharply in previous months. Activity in this construction sector is also significantly lower this year than last year's average. Year-on-year, the outlook is best for residential construction (nearly 30% higher activity). Activity in civil-engineering and specialized construction is also higher than last year. Data on the number of contracts suggest that activity in non-residential construction will remain relatively low, while other segments, particularly civil-engineering and specialised construction activities, are likely to perform better. </w:t>
            </w:r>
          </w:p>
          <w:p w14:paraId="3434950C" w14:textId="3C400174" w:rsidR="008444D1" w:rsidRPr="00DF4F0B" w:rsidRDefault="008444D1" w:rsidP="00C45877"/>
        </w:tc>
      </w:tr>
      <w:tr w:rsidR="004A7D92" w:rsidRPr="006C2117" w14:paraId="224C68D5" w14:textId="77777777" w:rsidTr="00334D18">
        <w:trPr>
          <w:trHeight w:val="207"/>
        </w:trPr>
        <w:tc>
          <w:tcPr>
            <w:tcW w:w="4819" w:type="dxa"/>
            <w:tcBorders>
              <w:bottom w:val="single" w:sz="4" w:space="0" w:color="auto"/>
            </w:tcBorders>
            <w:tcMar>
              <w:left w:w="0" w:type="dxa"/>
            </w:tcMar>
          </w:tcPr>
          <w:p w14:paraId="6A4FF237" w14:textId="5155CA5A" w:rsidR="004A7D92" w:rsidRPr="006C2117" w:rsidRDefault="00FF1B8C" w:rsidP="00C45877">
            <w:pPr>
              <w:pStyle w:val="Naslov31"/>
              <w:jc w:val="left"/>
            </w:pPr>
            <w:r>
              <w:t>Current account, April 2021</w:t>
            </w:r>
          </w:p>
        </w:tc>
        <w:tc>
          <w:tcPr>
            <w:tcW w:w="4820" w:type="dxa"/>
            <w:gridSpan w:val="2"/>
            <w:tcBorders>
              <w:bottom w:val="single" w:sz="4" w:space="0" w:color="auto"/>
            </w:tcBorders>
          </w:tcPr>
          <w:p w14:paraId="180C1348" w14:textId="77777777" w:rsidR="004A7D92" w:rsidRPr="006C2117" w:rsidRDefault="004A7D92" w:rsidP="00C45877">
            <w:pPr>
              <w:pStyle w:val="Naslov31"/>
            </w:pPr>
          </w:p>
        </w:tc>
      </w:tr>
      <w:tr w:rsidR="004A7D92" w:rsidRPr="00DF4F0B" w14:paraId="72814E1E" w14:textId="77777777" w:rsidTr="00334D18">
        <w:trPr>
          <w:trHeight w:val="1134"/>
        </w:trPr>
        <w:tc>
          <w:tcPr>
            <w:tcW w:w="4982" w:type="dxa"/>
            <w:gridSpan w:val="2"/>
            <w:tcBorders>
              <w:top w:val="single" w:sz="4" w:space="0" w:color="auto"/>
            </w:tcBorders>
            <w:tcMar>
              <w:left w:w="0" w:type="dxa"/>
            </w:tcMar>
          </w:tcPr>
          <w:p w14:paraId="685E6547" w14:textId="54271274" w:rsidR="004A7D92" w:rsidRDefault="00320FA2" w:rsidP="00C45877">
            <w:pPr>
              <w:pStyle w:val="ListParagraph"/>
              <w:ind w:left="0"/>
            </w:pPr>
            <w:r>
              <w:rPr>
                <w:noProof/>
              </w:rPr>
              <w:drawing>
                <wp:inline distT="0" distB="0" distL="0" distR="0" wp14:anchorId="7B3F3D62" wp14:editId="79FBD184">
                  <wp:extent cx="3096000" cy="2566800"/>
                  <wp:effectExtent l="0" t="0" r="9525" b="508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6000" cy="2566800"/>
                          </a:xfrm>
                          <a:prstGeom prst="rect">
                            <a:avLst/>
                          </a:prstGeom>
                          <a:noFill/>
                        </pic:spPr>
                      </pic:pic>
                    </a:graphicData>
                  </a:graphic>
                </wp:inline>
              </w:drawing>
            </w:r>
          </w:p>
        </w:tc>
        <w:tc>
          <w:tcPr>
            <w:tcW w:w="4657" w:type="dxa"/>
            <w:tcBorders>
              <w:top w:val="single" w:sz="4" w:space="0" w:color="auto"/>
            </w:tcBorders>
            <w:tcMar>
              <w:left w:w="284" w:type="dxa"/>
            </w:tcMar>
          </w:tcPr>
          <w:p w14:paraId="6FA3A191" w14:textId="322F8DED" w:rsidR="004A7D92" w:rsidRDefault="003948DB" w:rsidP="00C45877">
            <w:r>
              <w:rPr>
                <w:b/>
              </w:rPr>
              <w:t>In April, the current account surplus was again higher year-on-year.</w:t>
            </w:r>
            <w:r>
              <w:t xml:space="preserve"> This is mainly due to the surplus of secondary income (a deficit was recorded last April), mainly due to more government funds received (social benefits from the EU budget). Due to the easing of containment measures, trade in services recovered after a year. The surplus in trade in services was again higher year-on-year, mainly due to a larger surplus in transport and travel services. The primary income deficit was lower in April than a year earlier, mainly due to lower net payments of interest on external debt. The surplus in trade in goods remained at a similar level as in April last year (EUR 168 million). The high year-on-year nominal growth in trade in goods in April was also the result of higher energy prices and the prices of other primary commodities, which have the largest impact on the import price growth. In April, export prices of goods rose by 1.8% year-on-year, while import prices rose by as much as 7% and the terms of merchandise trade deteriorated by 4.8%. The 12-month current account surplus remains high (EUR 3.4 billion; 7% of GDP).</w:t>
            </w:r>
          </w:p>
          <w:p w14:paraId="086053F3" w14:textId="77B180B5" w:rsidR="00B073D2" w:rsidRPr="00DF4F0B" w:rsidRDefault="00B073D2" w:rsidP="00C45877"/>
        </w:tc>
      </w:tr>
    </w:tbl>
    <w:p w14:paraId="09007057" w14:textId="77777777" w:rsidR="00EE6FBF" w:rsidRPr="00FE7254" w:rsidRDefault="00EE6FBF" w:rsidP="00EE6FBF">
      <w:pPr>
        <w:sectPr w:rsidR="00EE6FBF" w:rsidRPr="00FE7254" w:rsidSect="00187E14">
          <w:headerReference w:type="default" r:id="rId22"/>
          <w:pgSz w:w="11906" w:h="16838"/>
          <w:pgMar w:top="1134" w:right="1134" w:bottom="1021" w:left="1134" w:header="709" w:footer="397" w:gutter="0"/>
          <w:cols w:space="708"/>
          <w:docGrid w:linePitch="360"/>
        </w:sectPr>
      </w:pPr>
    </w:p>
    <w:p w14:paraId="0DE2B070" w14:textId="19D242B9" w:rsidR="002E69B6" w:rsidRPr="00887D7E" w:rsidRDefault="00EF6F04" w:rsidP="00EF6F04">
      <w:pPr>
        <w:tabs>
          <w:tab w:val="left" w:pos="580"/>
        </w:tabs>
      </w:pPr>
      <w:r>
        <w:rPr>
          <w:noProof/>
        </w:rPr>
        <w:lastRenderedPageBreak/>
        <w:drawing>
          <wp:inline distT="0" distB="0" distL="0" distR="0" wp14:anchorId="3256845B" wp14:editId="1DEEDFD1">
            <wp:extent cx="6120130" cy="8388350"/>
            <wp:effectExtent l="0" t="0" r="5080" b="317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8388350"/>
                    </a:xfrm>
                    <a:prstGeom prst="rect">
                      <a:avLst/>
                    </a:prstGeom>
                    <a:noFill/>
                    <a:ln>
                      <a:noFill/>
                    </a:ln>
                  </pic:spPr>
                </pic:pic>
              </a:graphicData>
            </a:graphic>
          </wp:inline>
        </w:drawing>
      </w:r>
    </w:p>
    <w:sectPr w:rsidR="002E69B6" w:rsidRPr="00887D7E" w:rsidSect="00363E63">
      <w:headerReference w:type="default" r:id="rId24"/>
      <w:footerReference w:type="default" r:id="rId25"/>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CB12C" w14:textId="77777777" w:rsidR="00B056B7" w:rsidRDefault="00B056B7" w:rsidP="0063497B">
      <w:pPr>
        <w:spacing w:line="240" w:lineRule="auto"/>
      </w:pPr>
      <w:r>
        <w:separator/>
      </w:r>
    </w:p>
  </w:endnote>
  <w:endnote w:type="continuationSeparator" w:id="0">
    <w:p w14:paraId="269E7874" w14:textId="77777777" w:rsidR="00B056B7" w:rsidRDefault="00B056B7" w:rsidP="0063497B">
      <w:pPr>
        <w:spacing w:line="240" w:lineRule="auto"/>
      </w:pPr>
      <w:r>
        <w:continuationSeparator/>
      </w:r>
    </w:p>
  </w:endnote>
  <w:endnote w:type="continuationNotice" w:id="1">
    <w:p w14:paraId="46370C6E" w14:textId="77777777" w:rsidR="00B056B7" w:rsidRDefault="00B056B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Arial"/>
    <w:panose1 w:val="020B0503030403020204"/>
    <w:charset w:val="00"/>
    <w:family w:val="swiss"/>
    <w:notTrueType/>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266C9" w14:textId="5DCEA80B" w:rsidR="00EE6FBF" w:rsidRPr="00363E63" w:rsidRDefault="001A10FD"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+386 1 478 10 04, e-mail: </w:t>
    </w:r>
    <w:hyperlink r:id="rId1" w:history="1">
      <w:r>
        <w:rPr>
          <w:rStyle w:val="Hyperlink"/>
          <w:b w:val="0"/>
          <w:sz w:val="18"/>
        </w:rPr>
        <w:t>matic.slapsak@gov.si</w:t>
      </w:r>
    </w:hyperlink>
    <w:r>
      <w:rPr>
        <w:b w:val="0"/>
        <w:sz w:val="18"/>
      </w:rPr>
      <w:tab/>
    </w:r>
    <w:r>
      <w:rPr>
        <w:sz w:val="18"/>
      </w:rPr>
      <w:t xml:space="preserve"> </w:t>
    </w:r>
    <w:sdt>
      <w:sdtPr>
        <w:rPr>
          <w:sz w:val="18"/>
          <w:szCs w:val="18"/>
        </w:rPr>
        <w:id w:val="-652685202"/>
        <w:docPartObj>
          <w:docPartGallery w:val="Page Numbers (Bottom of Page)"/>
          <w:docPartUnique/>
        </w:docPartObj>
      </w:sdtPr>
      <w:sdtEndPr/>
      <w:sdtContent>
        <w:r w:rsidR="00EE6FBF" w:rsidRPr="00363E63">
          <w:rPr>
            <w:sz w:val="18"/>
          </w:rPr>
          <w:fldChar w:fldCharType="begin"/>
        </w:r>
        <w:r w:rsidR="00EE6FBF" w:rsidRPr="00363E63">
          <w:rPr>
            <w:sz w:val="18"/>
          </w:rPr>
          <w:instrText>PAGE   \* MERGEFORMAT</w:instrText>
        </w:r>
        <w:r w:rsidR="00EE6FBF" w:rsidRPr="00363E63">
          <w:rPr>
            <w:sz w:val="18"/>
          </w:rPr>
          <w:fldChar w:fldCharType="separate"/>
        </w:r>
        <w:r w:rsidR="00EE6FBF">
          <w:rPr>
            <w:sz w:val="18"/>
          </w:rPr>
          <w:t>4</w:t>
        </w:r>
        <w:r w:rsidR="00EE6FBF"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6366" w14:textId="6A84C740" w:rsidR="00EE6FBF" w:rsidRPr="00363E63" w:rsidRDefault="00571A42"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+386 1 478 10 04, e-mail: </w:t>
    </w:r>
    <w:hyperlink r:id="rId1" w:history="1">
      <w:r>
        <w:rPr>
          <w:rStyle w:val="Hyperlink"/>
          <w:b w:val="0"/>
          <w:sz w:val="18"/>
        </w:rPr>
        <w:t>matic.slapsak@gov.si</w:t>
      </w:r>
    </w:hyperlink>
    <w:r>
      <w:rPr>
        <w:b w:val="0"/>
        <w:sz w:val="18"/>
      </w:rPr>
      <w:tab/>
    </w:r>
    <w:r>
      <w:rPr>
        <w:sz w:val="18"/>
      </w:rPr>
      <w:t xml:space="preserve"> </w:t>
    </w:r>
    <w:sdt>
      <w:sdtPr>
        <w:rPr>
          <w:sz w:val="18"/>
          <w:szCs w:val="18"/>
        </w:rPr>
        <w:id w:val="-89402759"/>
        <w:docPartObj>
          <w:docPartGallery w:val="Page Numbers (Bottom of Page)"/>
          <w:docPartUnique/>
        </w:docPartObj>
      </w:sdtPr>
      <w:sdtEndPr/>
      <w:sdtContent>
        <w:r w:rsidR="00EE6FBF" w:rsidRPr="00363E63">
          <w:rPr>
            <w:sz w:val="18"/>
          </w:rPr>
          <w:fldChar w:fldCharType="begin"/>
        </w:r>
        <w:r w:rsidR="00EE6FBF" w:rsidRPr="00363E63">
          <w:rPr>
            <w:sz w:val="18"/>
          </w:rPr>
          <w:instrText>PAGE   \* MERGEFORMAT</w:instrText>
        </w:r>
        <w:r w:rsidR="00EE6FBF" w:rsidRPr="00363E63">
          <w:rPr>
            <w:sz w:val="18"/>
          </w:rPr>
          <w:fldChar w:fldCharType="separate"/>
        </w:r>
        <w:r w:rsidR="00EE6FBF">
          <w:rPr>
            <w:sz w:val="18"/>
          </w:rPr>
          <w:t>1</w:t>
        </w:r>
        <w:r w:rsidR="00EE6FBF"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08A46" w14:textId="77777777" w:rsidR="00A506F1" w:rsidRDefault="00A506F1" w:rsidP="00A506F1">
    <w:pPr>
      <w:pStyle w:val="Naslov31"/>
      <w:tabs>
        <w:tab w:val="left" w:pos="7980"/>
        <w:tab w:val="right" w:pos="9638"/>
      </w:tabs>
      <w:spacing w:line="240" w:lineRule="auto"/>
      <w:rPr>
        <w:sz w:val="18"/>
        <w:szCs w:val="18"/>
      </w:rPr>
    </w:pPr>
    <w:r>
      <w:rPr>
        <w:sz w:val="18"/>
      </w:rPr>
      <w:t xml:space="preserve">The table format accessible to screen reader users can be found on the IMAD website among the appendices to the current graphs of the week (Selected macroeconomic indicators for euro area) </w:t>
    </w:r>
  </w:p>
  <w:p w14:paraId="13F57B4B" w14:textId="77777777" w:rsidR="00A506F1" w:rsidRDefault="00A506F1" w:rsidP="00A506F1">
    <w:pPr>
      <w:pStyle w:val="Naslov31"/>
      <w:tabs>
        <w:tab w:val="left" w:pos="7980"/>
        <w:tab w:val="right" w:pos="9638"/>
      </w:tabs>
      <w:spacing w:line="240" w:lineRule="auto"/>
      <w:jc w:val="left"/>
      <w:rPr>
        <w:sz w:val="18"/>
        <w:szCs w:val="18"/>
      </w:rPr>
    </w:pPr>
  </w:p>
  <w:p w14:paraId="1AB8EC9F" w14:textId="04D0EA4F" w:rsidR="00363E63" w:rsidRPr="00363E63" w:rsidRDefault="00A506F1" w:rsidP="00A506F1">
    <w:pPr>
      <w:pStyle w:val="Naslov31"/>
      <w:tabs>
        <w:tab w:val="right" w:pos="9638"/>
      </w:tabs>
      <w:spacing w:line="240" w:lineRule="auto"/>
      <w:jc w:val="left"/>
      <w:rPr>
        <w:b w:val="0"/>
        <w:sz w:val="18"/>
        <w:szCs w:val="18"/>
      </w:rPr>
    </w:pPr>
    <w:r>
      <w:rPr>
        <w:sz w:val="18"/>
      </w:rPr>
      <w:t>Extra information:</w:t>
    </w:r>
    <w:r>
      <w:rPr>
        <w:rStyle w:val="Naslov3Char"/>
        <w:b/>
        <w:sz w:val="18"/>
      </w:rPr>
      <w:t xml:space="preserve"> </w:t>
    </w:r>
    <w:r>
      <w:rPr>
        <w:b w:val="0"/>
        <w:sz w:val="18"/>
      </w:rPr>
      <w:t xml:space="preserve">phone: +386 1 478 10 04, e-mail: </w:t>
    </w:r>
    <w:hyperlink r:id="rId1" w:history="1">
      <w:r>
        <w:rPr>
          <w:rStyle w:val="Hyperlink"/>
          <w:b w:val="0"/>
          <w:sz w:val="18"/>
        </w:rPr>
        <w:t>matic.slapsak@gov.si</w:t>
      </w:r>
    </w:hyperlink>
    <w:r>
      <w:rPr>
        <w:b w:val="0"/>
        <w:sz w:val="18"/>
      </w:rPr>
      <w:tab/>
    </w:r>
    <w:r>
      <w:rPr>
        <w:sz w:val="18"/>
      </w:rPr>
      <w:t xml:space="preserve"> </w:t>
    </w:r>
    <w:sdt>
      <w:sdtPr>
        <w:rPr>
          <w:sz w:val="18"/>
          <w:szCs w:val="18"/>
        </w:rPr>
        <w:id w:val="-379318042"/>
        <w:docPartObj>
          <w:docPartGallery w:val="Page Numbers (Bottom of Page)"/>
          <w:docPartUnique/>
        </w:docPartObj>
      </w:sdtPr>
      <w:sdtContent>
        <w:r w:rsidRPr="00363E63">
          <w:rPr>
            <w:sz w:val="18"/>
          </w:rPr>
          <w:fldChar w:fldCharType="begin"/>
        </w:r>
        <w:r w:rsidRPr="00363E63">
          <w:rPr>
            <w:sz w:val="18"/>
          </w:rPr>
          <w:instrText>PAGE   \* MERGEFORMAT</w:instrText>
        </w:r>
        <w:r w:rsidRPr="00363E63">
          <w:rPr>
            <w:sz w:val="18"/>
          </w:rPr>
          <w:fldChar w:fldCharType="separate"/>
        </w:r>
        <w:r>
          <w:rPr>
            <w:sz w:val="18"/>
          </w:rPr>
          <w:t>5</w:t>
        </w:r>
        <w:r w:rsidRPr="00363E63">
          <w:rPr>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216C2" w14:textId="77777777" w:rsidR="00B056B7" w:rsidRDefault="00B056B7" w:rsidP="0063497B">
      <w:pPr>
        <w:spacing w:line="240" w:lineRule="auto"/>
      </w:pPr>
      <w:r>
        <w:separator/>
      </w:r>
    </w:p>
  </w:footnote>
  <w:footnote w:type="continuationSeparator" w:id="0">
    <w:p w14:paraId="4210D421" w14:textId="77777777" w:rsidR="00B056B7" w:rsidRDefault="00B056B7" w:rsidP="0063497B">
      <w:pPr>
        <w:spacing w:line="240" w:lineRule="auto"/>
      </w:pPr>
      <w:r>
        <w:continuationSeparator/>
      </w:r>
    </w:p>
  </w:footnote>
  <w:footnote w:type="continuationNotice" w:id="1">
    <w:p w14:paraId="0A328434" w14:textId="77777777" w:rsidR="00B056B7" w:rsidRDefault="00B056B7">
      <w:pPr>
        <w:spacing w:line="240" w:lineRule="auto"/>
      </w:pPr>
    </w:p>
  </w:footnote>
  <w:footnote w:id="2">
    <w:p w14:paraId="232953AA" w14:textId="04C2795C" w:rsidR="008C0999" w:rsidRDefault="008C0999">
      <w:pPr>
        <w:pStyle w:val="FootnoteText"/>
      </w:pPr>
      <w:r>
        <w:rPr>
          <w:rStyle w:val="FootnoteReference"/>
        </w:rPr>
        <w:footnoteRef/>
      </w:r>
      <w:r>
        <w:t xml:space="preserve"> This is a high volume that has been matched only a few times in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DCAB6FB" w14:paraId="681235F5" w14:textId="77777777" w:rsidTr="00F87311">
      <w:tc>
        <w:tcPr>
          <w:tcW w:w="3210" w:type="dxa"/>
        </w:tcPr>
        <w:p w14:paraId="5AA96FFF" w14:textId="1457CD4E" w:rsidR="0DCAB6FB" w:rsidRDefault="0DCAB6FB" w:rsidP="00F87311">
          <w:pPr>
            <w:pStyle w:val="Header"/>
            <w:ind w:left="-115"/>
            <w:jc w:val="left"/>
            <w:rPr>
              <w:rFonts w:eastAsia="Arial"/>
              <w:szCs w:val="20"/>
            </w:rPr>
          </w:pPr>
        </w:p>
      </w:tc>
      <w:tc>
        <w:tcPr>
          <w:tcW w:w="3210" w:type="dxa"/>
        </w:tcPr>
        <w:p w14:paraId="16DED597" w14:textId="4F449A21" w:rsidR="0DCAB6FB" w:rsidRDefault="0DCAB6FB" w:rsidP="00F87311">
          <w:pPr>
            <w:pStyle w:val="Header"/>
            <w:jc w:val="center"/>
            <w:rPr>
              <w:rFonts w:eastAsia="Arial"/>
              <w:szCs w:val="20"/>
            </w:rPr>
          </w:pPr>
        </w:p>
      </w:tc>
      <w:tc>
        <w:tcPr>
          <w:tcW w:w="3210" w:type="dxa"/>
        </w:tcPr>
        <w:p w14:paraId="55D1A8A5" w14:textId="78E2FECB" w:rsidR="0DCAB6FB" w:rsidRDefault="0DCAB6FB" w:rsidP="00F87311">
          <w:pPr>
            <w:pStyle w:val="Header"/>
            <w:ind w:right="-115"/>
            <w:jc w:val="right"/>
            <w:rPr>
              <w:rFonts w:eastAsia="Arial"/>
              <w:szCs w:val="20"/>
            </w:rPr>
          </w:pPr>
        </w:p>
      </w:tc>
    </w:tr>
  </w:tbl>
  <w:p w14:paraId="1FB80C37" w14:textId="38282BB7" w:rsidR="001A5828" w:rsidRDefault="001A58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4F4B2" w14:textId="2A908C79" w:rsidR="00EE6FBF" w:rsidRDefault="00C866CD" w:rsidP="00652795">
    <w:pPr>
      <w:jc w:val="right"/>
    </w:pPr>
    <w:r>
      <w:rPr>
        <w:noProof/>
      </w:rPr>
      <w:drawing>
        <wp:anchor distT="0" distB="0" distL="114300" distR="114300" simplePos="0" relativeHeight="251659264" behindDoc="0" locked="0" layoutInCell="1" allowOverlap="1" wp14:anchorId="6C0513DD" wp14:editId="19D80830">
          <wp:simplePos x="0" y="0"/>
          <wp:positionH relativeFrom="column">
            <wp:posOffset>0</wp:posOffset>
          </wp:positionH>
          <wp:positionV relativeFrom="paragraph">
            <wp:posOffset>156210</wp:posOffset>
          </wp:positionV>
          <wp:extent cx="1155700" cy="1002030"/>
          <wp:effectExtent l="0" t="0" r="6350" b="7620"/>
          <wp:wrapTopAndBottom/>
          <wp:docPr id="18"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t>21 June 2021</w:t>
    </w:r>
  </w:p>
  <w:p w14:paraId="3F1C33B8" w14:textId="77777777" w:rsidR="00EE6FBF" w:rsidRDefault="00EE6FBF" w:rsidP="00FE7254">
    <w:pPr>
      <w:jc w:val="right"/>
    </w:pPr>
  </w:p>
  <w:p w14:paraId="37F8F8A1" w14:textId="77777777" w:rsidR="00EE6FBF" w:rsidRDefault="00EE6FBF" w:rsidP="00FE7254">
    <w:pPr>
      <w:jc w:val="right"/>
    </w:pPr>
  </w:p>
  <w:p w14:paraId="656709B5" w14:textId="77777777" w:rsidR="00EE6FBF" w:rsidRDefault="00EE6FBF" w:rsidP="00FE7254">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DCAB6FB" w14:paraId="4DAE0ABD" w14:textId="77777777" w:rsidTr="00F87311">
      <w:tc>
        <w:tcPr>
          <w:tcW w:w="3210" w:type="dxa"/>
        </w:tcPr>
        <w:p w14:paraId="3726A0A3" w14:textId="4FC1676A" w:rsidR="0DCAB6FB" w:rsidRDefault="0DCAB6FB" w:rsidP="00F87311">
          <w:pPr>
            <w:pStyle w:val="Header"/>
            <w:ind w:left="-115"/>
            <w:jc w:val="left"/>
            <w:rPr>
              <w:rFonts w:eastAsia="Arial"/>
              <w:szCs w:val="20"/>
            </w:rPr>
          </w:pPr>
        </w:p>
      </w:tc>
      <w:tc>
        <w:tcPr>
          <w:tcW w:w="3210" w:type="dxa"/>
        </w:tcPr>
        <w:p w14:paraId="7B1B46C1" w14:textId="404FD6DE" w:rsidR="0DCAB6FB" w:rsidRDefault="0DCAB6FB" w:rsidP="00F87311">
          <w:pPr>
            <w:pStyle w:val="Header"/>
            <w:jc w:val="center"/>
            <w:rPr>
              <w:rFonts w:eastAsia="Arial"/>
              <w:szCs w:val="20"/>
            </w:rPr>
          </w:pPr>
        </w:p>
      </w:tc>
      <w:tc>
        <w:tcPr>
          <w:tcW w:w="3210" w:type="dxa"/>
        </w:tcPr>
        <w:p w14:paraId="62E4A8CD" w14:textId="366BDC02" w:rsidR="0DCAB6FB" w:rsidRDefault="0DCAB6FB" w:rsidP="00F87311">
          <w:pPr>
            <w:pStyle w:val="Header"/>
            <w:ind w:right="-115"/>
            <w:jc w:val="right"/>
            <w:rPr>
              <w:rFonts w:eastAsia="Arial"/>
              <w:szCs w:val="20"/>
            </w:rPr>
          </w:pPr>
        </w:p>
      </w:tc>
    </w:tr>
  </w:tbl>
  <w:p w14:paraId="5003D24C" w14:textId="4BFF6BB1" w:rsidR="001A5828" w:rsidRDefault="001A58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B8D2" w14:textId="77777777" w:rsidR="00A669C4" w:rsidRPr="00A669C4" w:rsidRDefault="00A669C4" w:rsidP="00A669C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DCAB6FB" w14:paraId="01CFC5A4" w14:textId="77777777" w:rsidTr="00F87311">
      <w:tc>
        <w:tcPr>
          <w:tcW w:w="3210" w:type="dxa"/>
        </w:tcPr>
        <w:p w14:paraId="2A9C7E62" w14:textId="2C872910" w:rsidR="0DCAB6FB" w:rsidRDefault="0DCAB6FB" w:rsidP="00F87311">
          <w:pPr>
            <w:pStyle w:val="Header"/>
            <w:ind w:left="-115"/>
            <w:jc w:val="left"/>
            <w:rPr>
              <w:rFonts w:eastAsia="Arial"/>
              <w:szCs w:val="20"/>
            </w:rPr>
          </w:pPr>
        </w:p>
      </w:tc>
      <w:tc>
        <w:tcPr>
          <w:tcW w:w="3210" w:type="dxa"/>
        </w:tcPr>
        <w:p w14:paraId="57372A19" w14:textId="3FE0E33E" w:rsidR="0DCAB6FB" w:rsidRDefault="0DCAB6FB" w:rsidP="00F87311">
          <w:pPr>
            <w:pStyle w:val="Header"/>
            <w:jc w:val="center"/>
            <w:rPr>
              <w:rFonts w:eastAsia="Arial"/>
              <w:szCs w:val="20"/>
            </w:rPr>
          </w:pPr>
        </w:p>
      </w:tc>
      <w:tc>
        <w:tcPr>
          <w:tcW w:w="3210" w:type="dxa"/>
        </w:tcPr>
        <w:p w14:paraId="108128FA" w14:textId="02DD2C84" w:rsidR="0DCAB6FB" w:rsidRDefault="0DCAB6FB" w:rsidP="00F87311">
          <w:pPr>
            <w:pStyle w:val="Header"/>
            <w:ind w:right="-115"/>
            <w:jc w:val="right"/>
            <w:rPr>
              <w:rFonts w:eastAsia="Arial"/>
              <w:szCs w:val="20"/>
            </w:rPr>
          </w:pPr>
        </w:p>
      </w:tc>
    </w:tr>
  </w:tbl>
  <w:p w14:paraId="319644AA" w14:textId="6710C362" w:rsidR="001A5828" w:rsidRDefault="001A582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DCAB6FB" w14:paraId="523F3F2A" w14:textId="77777777" w:rsidTr="00F87311">
      <w:tc>
        <w:tcPr>
          <w:tcW w:w="3210" w:type="dxa"/>
        </w:tcPr>
        <w:p w14:paraId="71BEDE04" w14:textId="74A730AE" w:rsidR="0DCAB6FB" w:rsidRDefault="0DCAB6FB" w:rsidP="00F87311">
          <w:pPr>
            <w:pStyle w:val="Header"/>
            <w:ind w:left="-115"/>
            <w:jc w:val="left"/>
            <w:rPr>
              <w:rFonts w:eastAsia="Arial"/>
              <w:szCs w:val="20"/>
            </w:rPr>
          </w:pPr>
        </w:p>
      </w:tc>
      <w:tc>
        <w:tcPr>
          <w:tcW w:w="3210" w:type="dxa"/>
        </w:tcPr>
        <w:p w14:paraId="30FE0020" w14:textId="122244D3" w:rsidR="0DCAB6FB" w:rsidRDefault="0DCAB6FB" w:rsidP="00F87311">
          <w:pPr>
            <w:pStyle w:val="Header"/>
            <w:jc w:val="center"/>
            <w:rPr>
              <w:rFonts w:eastAsia="Arial"/>
              <w:szCs w:val="20"/>
            </w:rPr>
          </w:pPr>
        </w:p>
      </w:tc>
      <w:tc>
        <w:tcPr>
          <w:tcW w:w="3210" w:type="dxa"/>
        </w:tcPr>
        <w:p w14:paraId="163A89D4" w14:textId="0BF594E8" w:rsidR="0DCAB6FB" w:rsidRDefault="0DCAB6FB" w:rsidP="00F87311">
          <w:pPr>
            <w:pStyle w:val="Header"/>
            <w:ind w:right="-115"/>
            <w:jc w:val="right"/>
            <w:rPr>
              <w:rFonts w:eastAsia="Arial"/>
              <w:szCs w:val="20"/>
            </w:rPr>
          </w:pPr>
        </w:p>
      </w:tc>
    </w:tr>
  </w:tbl>
  <w:p w14:paraId="19D3C9C5" w14:textId="6B206305" w:rsidR="001A5828" w:rsidRDefault="001A582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09F35" w14:textId="77777777" w:rsidR="00363E63" w:rsidRPr="00EF6F04" w:rsidRDefault="00363E63" w:rsidP="00EF6F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pt;height:13.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trackedChanges" w:enforcement="0"/>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2616"/>
    <w:rsid w:val="00005262"/>
    <w:rsid w:val="00011EE3"/>
    <w:rsid w:val="00017F89"/>
    <w:rsid w:val="000238A9"/>
    <w:rsid w:val="0002402D"/>
    <w:rsid w:val="000264DD"/>
    <w:rsid w:val="00026558"/>
    <w:rsid w:val="00031C60"/>
    <w:rsid w:val="00044CD2"/>
    <w:rsid w:val="00050FE8"/>
    <w:rsid w:val="000664B8"/>
    <w:rsid w:val="000702AC"/>
    <w:rsid w:val="000703C7"/>
    <w:rsid w:val="00070B6E"/>
    <w:rsid w:val="00073779"/>
    <w:rsid w:val="00075113"/>
    <w:rsid w:val="00077119"/>
    <w:rsid w:val="00077F13"/>
    <w:rsid w:val="00080155"/>
    <w:rsid w:val="00085B00"/>
    <w:rsid w:val="0008705D"/>
    <w:rsid w:val="00090222"/>
    <w:rsid w:val="000920B7"/>
    <w:rsid w:val="0009727A"/>
    <w:rsid w:val="000A06AB"/>
    <w:rsid w:val="000A0AA5"/>
    <w:rsid w:val="000A3AC8"/>
    <w:rsid w:val="000A5A42"/>
    <w:rsid w:val="000A7B01"/>
    <w:rsid w:val="000A7BDC"/>
    <w:rsid w:val="000B0162"/>
    <w:rsid w:val="000B3802"/>
    <w:rsid w:val="000B5043"/>
    <w:rsid w:val="000C6DD2"/>
    <w:rsid w:val="000D46BA"/>
    <w:rsid w:val="000D7202"/>
    <w:rsid w:val="000E6E7A"/>
    <w:rsid w:val="000E7850"/>
    <w:rsid w:val="000F7453"/>
    <w:rsid w:val="000F7605"/>
    <w:rsid w:val="000F79AF"/>
    <w:rsid w:val="001014E8"/>
    <w:rsid w:val="00101EB1"/>
    <w:rsid w:val="001118AE"/>
    <w:rsid w:val="00112035"/>
    <w:rsid w:val="001133D0"/>
    <w:rsid w:val="00114A03"/>
    <w:rsid w:val="00115E8D"/>
    <w:rsid w:val="00117484"/>
    <w:rsid w:val="001202DF"/>
    <w:rsid w:val="001218D3"/>
    <w:rsid w:val="00121A18"/>
    <w:rsid w:val="00123D52"/>
    <w:rsid w:val="001333E9"/>
    <w:rsid w:val="00133E20"/>
    <w:rsid w:val="00137532"/>
    <w:rsid w:val="00140468"/>
    <w:rsid w:val="0015222B"/>
    <w:rsid w:val="00154495"/>
    <w:rsid w:val="00157B7D"/>
    <w:rsid w:val="001615E9"/>
    <w:rsid w:val="00161FAB"/>
    <w:rsid w:val="00165271"/>
    <w:rsid w:val="00165908"/>
    <w:rsid w:val="00173B28"/>
    <w:rsid w:val="001750C3"/>
    <w:rsid w:val="00175631"/>
    <w:rsid w:val="00176B13"/>
    <w:rsid w:val="00180DE2"/>
    <w:rsid w:val="001811EC"/>
    <w:rsid w:val="001869C2"/>
    <w:rsid w:val="0018798B"/>
    <w:rsid w:val="00187E14"/>
    <w:rsid w:val="001907C7"/>
    <w:rsid w:val="0019138D"/>
    <w:rsid w:val="00193BED"/>
    <w:rsid w:val="001A0C98"/>
    <w:rsid w:val="001A10FD"/>
    <w:rsid w:val="001A5828"/>
    <w:rsid w:val="001A701F"/>
    <w:rsid w:val="001A7530"/>
    <w:rsid w:val="001B2855"/>
    <w:rsid w:val="001B56E9"/>
    <w:rsid w:val="001B582D"/>
    <w:rsid w:val="001B6AE7"/>
    <w:rsid w:val="001D1127"/>
    <w:rsid w:val="001D2F99"/>
    <w:rsid w:val="001D542D"/>
    <w:rsid w:val="001D6793"/>
    <w:rsid w:val="001E3E73"/>
    <w:rsid w:val="001E75CC"/>
    <w:rsid w:val="001F2324"/>
    <w:rsid w:val="001F51CD"/>
    <w:rsid w:val="00201434"/>
    <w:rsid w:val="002055F5"/>
    <w:rsid w:val="00211F56"/>
    <w:rsid w:val="00225099"/>
    <w:rsid w:val="00225628"/>
    <w:rsid w:val="00234963"/>
    <w:rsid w:val="0024185C"/>
    <w:rsid w:val="00243593"/>
    <w:rsid w:val="00254D3B"/>
    <w:rsid w:val="00255D1C"/>
    <w:rsid w:val="00257D51"/>
    <w:rsid w:val="00261874"/>
    <w:rsid w:val="002630D1"/>
    <w:rsid w:val="0026509A"/>
    <w:rsid w:val="00280704"/>
    <w:rsid w:val="00282148"/>
    <w:rsid w:val="00286EAA"/>
    <w:rsid w:val="002909FA"/>
    <w:rsid w:val="00291EC8"/>
    <w:rsid w:val="002928AB"/>
    <w:rsid w:val="0029405F"/>
    <w:rsid w:val="00294F8A"/>
    <w:rsid w:val="002A0916"/>
    <w:rsid w:val="002A0C21"/>
    <w:rsid w:val="002B2898"/>
    <w:rsid w:val="002B4319"/>
    <w:rsid w:val="002B4C3A"/>
    <w:rsid w:val="002B5361"/>
    <w:rsid w:val="002B5B96"/>
    <w:rsid w:val="002C50DD"/>
    <w:rsid w:val="002D2BB3"/>
    <w:rsid w:val="002D2C05"/>
    <w:rsid w:val="002D46EF"/>
    <w:rsid w:val="002E5515"/>
    <w:rsid w:val="002E69B6"/>
    <w:rsid w:val="002E6FAD"/>
    <w:rsid w:val="003004F7"/>
    <w:rsid w:val="00300B2B"/>
    <w:rsid w:val="00306767"/>
    <w:rsid w:val="00312D09"/>
    <w:rsid w:val="00313A1C"/>
    <w:rsid w:val="00320FA2"/>
    <w:rsid w:val="00325138"/>
    <w:rsid w:val="003266AB"/>
    <w:rsid w:val="003307B1"/>
    <w:rsid w:val="00334C48"/>
    <w:rsid w:val="00334D18"/>
    <w:rsid w:val="003518B6"/>
    <w:rsid w:val="00354C63"/>
    <w:rsid w:val="00356351"/>
    <w:rsid w:val="00356E56"/>
    <w:rsid w:val="00357289"/>
    <w:rsid w:val="00363E63"/>
    <w:rsid w:val="00366166"/>
    <w:rsid w:val="00370A94"/>
    <w:rsid w:val="00384458"/>
    <w:rsid w:val="00384C19"/>
    <w:rsid w:val="00387B1B"/>
    <w:rsid w:val="003948DB"/>
    <w:rsid w:val="003953F6"/>
    <w:rsid w:val="003A49D8"/>
    <w:rsid w:val="003A4BCD"/>
    <w:rsid w:val="003A7B3C"/>
    <w:rsid w:val="003B658A"/>
    <w:rsid w:val="003C03EC"/>
    <w:rsid w:val="003C31C7"/>
    <w:rsid w:val="003C392C"/>
    <w:rsid w:val="003C614E"/>
    <w:rsid w:val="003C6AE4"/>
    <w:rsid w:val="003D111B"/>
    <w:rsid w:val="003D4FB5"/>
    <w:rsid w:val="003D6F43"/>
    <w:rsid w:val="003E5AE3"/>
    <w:rsid w:val="003E6355"/>
    <w:rsid w:val="003E7A19"/>
    <w:rsid w:val="003F2BEF"/>
    <w:rsid w:val="003F3CCC"/>
    <w:rsid w:val="003F3F33"/>
    <w:rsid w:val="00404870"/>
    <w:rsid w:val="0040719E"/>
    <w:rsid w:val="00416D1B"/>
    <w:rsid w:val="0042166D"/>
    <w:rsid w:val="00425874"/>
    <w:rsid w:val="00431EDD"/>
    <w:rsid w:val="004368FB"/>
    <w:rsid w:val="00452589"/>
    <w:rsid w:val="00452804"/>
    <w:rsid w:val="00455C0C"/>
    <w:rsid w:val="004563B1"/>
    <w:rsid w:val="00456ACD"/>
    <w:rsid w:val="00464D01"/>
    <w:rsid w:val="004675B6"/>
    <w:rsid w:val="004701D7"/>
    <w:rsid w:val="00473642"/>
    <w:rsid w:val="00473A92"/>
    <w:rsid w:val="00474E8F"/>
    <w:rsid w:val="00477274"/>
    <w:rsid w:val="004850BC"/>
    <w:rsid w:val="00485F72"/>
    <w:rsid w:val="004867FD"/>
    <w:rsid w:val="00490B52"/>
    <w:rsid w:val="0049445F"/>
    <w:rsid w:val="004970E5"/>
    <w:rsid w:val="004A5CA7"/>
    <w:rsid w:val="004A7D92"/>
    <w:rsid w:val="004B2F43"/>
    <w:rsid w:val="004B763F"/>
    <w:rsid w:val="004D05BC"/>
    <w:rsid w:val="004D28ED"/>
    <w:rsid w:val="004E2D3A"/>
    <w:rsid w:val="004E6E21"/>
    <w:rsid w:val="004F00B8"/>
    <w:rsid w:val="004F235B"/>
    <w:rsid w:val="004F4AF9"/>
    <w:rsid w:val="0050097B"/>
    <w:rsid w:val="00501166"/>
    <w:rsid w:val="00503921"/>
    <w:rsid w:val="00505B07"/>
    <w:rsid w:val="00505D39"/>
    <w:rsid w:val="00513B09"/>
    <w:rsid w:val="0051754A"/>
    <w:rsid w:val="005325BC"/>
    <w:rsid w:val="00532F53"/>
    <w:rsid w:val="00534457"/>
    <w:rsid w:val="005441C0"/>
    <w:rsid w:val="005441CC"/>
    <w:rsid w:val="00544847"/>
    <w:rsid w:val="00545D45"/>
    <w:rsid w:val="00546DBF"/>
    <w:rsid w:val="005508E9"/>
    <w:rsid w:val="00555BA2"/>
    <w:rsid w:val="00561C9A"/>
    <w:rsid w:val="00564B65"/>
    <w:rsid w:val="005651CC"/>
    <w:rsid w:val="00567093"/>
    <w:rsid w:val="00571A42"/>
    <w:rsid w:val="00592EB2"/>
    <w:rsid w:val="00593406"/>
    <w:rsid w:val="005A36AC"/>
    <w:rsid w:val="005B59D6"/>
    <w:rsid w:val="005C5A21"/>
    <w:rsid w:val="005D4B4F"/>
    <w:rsid w:val="005E66E6"/>
    <w:rsid w:val="005E6A9C"/>
    <w:rsid w:val="005F0F5B"/>
    <w:rsid w:val="00603D7E"/>
    <w:rsid w:val="00607AB7"/>
    <w:rsid w:val="006164C4"/>
    <w:rsid w:val="00621593"/>
    <w:rsid w:val="00622458"/>
    <w:rsid w:val="006269CE"/>
    <w:rsid w:val="00627583"/>
    <w:rsid w:val="00632DC6"/>
    <w:rsid w:val="0063497B"/>
    <w:rsid w:val="00640A44"/>
    <w:rsid w:val="006439A6"/>
    <w:rsid w:val="00650921"/>
    <w:rsid w:val="00652795"/>
    <w:rsid w:val="00653EB4"/>
    <w:rsid w:val="00653FDA"/>
    <w:rsid w:val="00663944"/>
    <w:rsid w:val="00671853"/>
    <w:rsid w:val="00675D0C"/>
    <w:rsid w:val="0068202F"/>
    <w:rsid w:val="0068576B"/>
    <w:rsid w:val="006875F1"/>
    <w:rsid w:val="00692FA3"/>
    <w:rsid w:val="006965FC"/>
    <w:rsid w:val="006A2CED"/>
    <w:rsid w:val="006A4028"/>
    <w:rsid w:val="006A6820"/>
    <w:rsid w:val="006B5F12"/>
    <w:rsid w:val="006C2117"/>
    <w:rsid w:val="006C3619"/>
    <w:rsid w:val="006C623E"/>
    <w:rsid w:val="006D1801"/>
    <w:rsid w:val="006D1DD4"/>
    <w:rsid w:val="006D50A8"/>
    <w:rsid w:val="006D7946"/>
    <w:rsid w:val="006E1C81"/>
    <w:rsid w:val="006E755C"/>
    <w:rsid w:val="006F14AA"/>
    <w:rsid w:val="006F2158"/>
    <w:rsid w:val="006F43B2"/>
    <w:rsid w:val="006F49E9"/>
    <w:rsid w:val="006F67F3"/>
    <w:rsid w:val="007016EF"/>
    <w:rsid w:val="00701AFB"/>
    <w:rsid w:val="0070263C"/>
    <w:rsid w:val="00711660"/>
    <w:rsid w:val="00724AF1"/>
    <w:rsid w:val="00731B6F"/>
    <w:rsid w:val="0073739E"/>
    <w:rsid w:val="007411B1"/>
    <w:rsid w:val="00743658"/>
    <w:rsid w:val="00743D6A"/>
    <w:rsid w:val="0074452D"/>
    <w:rsid w:val="0074466E"/>
    <w:rsid w:val="00746833"/>
    <w:rsid w:val="007514DB"/>
    <w:rsid w:val="00762390"/>
    <w:rsid w:val="0076576A"/>
    <w:rsid w:val="00766C8E"/>
    <w:rsid w:val="00773616"/>
    <w:rsid w:val="007760D3"/>
    <w:rsid w:val="007770B5"/>
    <w:rsid w:val="00781698"/>
    <w:rsid w:val="00781A81"/>
    <w:rsid w:val="007839AD"/>
    <w:rsid w:val="00790B01"/>
    <w:rsid w:val="00790F4D"/>
    <w:rsid w:val="0079410F"/>
    <w:rsid w:val="007965D5"/>
    <w:rsid w:val="007A0B59"/>
    <w:rsid w:val="007A6C35"/>
    <w:rsid w:val="007B074D"/>
    <w:rsid w:val="007B708A"/>
    <w:rsid w:val="007B7110"/>
    <w:rsid w:val="007C3E32"/>
    <w:rsid w:val="007C4B7A"/>
    <w:rsid w:val="007D0791"/>
    <w:rsid w:val="007D1145"/>
    <w:rsid w:val="007D37A0"/>
    <w:rsid w:val="007E12D6"/>
    <w:rsid w:val="007E77B8"/>
    <w:rsid w:val="007F0D3D"/>
    <w:rsid w:val="007F0F87"/>
    <w:rsid w:val="007F1307"/>
    <w:rsid w:val="007F13BE"/>
    <w:rsid w:val="007F76D0"/>
    <w:rsid w:val="008019CA"/>
    <w:rsid w:val="0080305F"/>
    <w:rsid w:val="00804742"/>
    <w:rsid w:val="008049AA"/>
    <w:rsid w:val="00812D81"/>
    <w:rsid w:val="00813F80"/>
    <w:rsid w:val="0081665C"/>
    <w:rsid w:val="00822375"/>
    <w:rsid w:val="00831669"/>
    <w:rsid w:val="008425D1"/>
    <w:rsid w:val="008444D1"/>
    <w:rsid w:val="0084784F"/>
    <w:rsid w:val="00847C47"/>
    <w:rsid w:val="008507B0"/>
    <w:rsid w:val="0085793F"/>
    <w:rsid w:val="00860582"/>
    <w:rsid w:val="008637AE"/>
    <w:rsid w:val="00863817"/>
    <w:rsid w:val="008646FF"/>
    <w:rsid w:val="008673EE"/>
    <w:rsid w:val="008678A7"/>
    <w:rsid w:val="0087075D"/>
    <w:rsid w:val="008713BF"/>
    <w:rsid w:val="00873892"/>
    <w:rsid w:val="0088498B"/>
    <w:rsid w:val="00887D7E"/>
    <w:rsid w:val="0089056E"/>
    <w:rsid w:val="0089259B"/>
    <w:rsid w:val="008A5C8B"/>
    <w:rsid w:val="008B077B"/>
    <w:rsid w:val="008C0999"/>
    <w:rsid w:val="008C3E02"/>
    <w:rsid w:val="008D16C9"/>
    <w:rsid w:val="008E2510"/>
    <w:rsid w:val="008E47B9"/>
    <w:rsid w:val="008E4BE8"/>
    <w:rsid w:val="008E629C"/>
    <w:rsid w:val="00901826"/>
    <w:rsid w:val="00907FF3"/>
    <w:rsid w:val="00910265"/>
    <w:rsid w:val="009130E0"/>
    <w:rsid w:val="00914026"/>
    <w:rsid w:val="00923945"/>
    <w:rsid w:val="009345E2"/>
    <w:rsid w:val="0093604B"/>
    <w:rsid w:val="00941651"/>
    <w:rsid w:val="00942126"/>
    <w:rsid w:val="00946C4C"/>
    <w:rsid w:val="0095067C"/>
    <w:rsid w:val="00952784"/>
    <w:rsid w:val="00952DED"/>
    <w:rsid w:val="00954546"/>
    <w:rsid w:val="00955244"/>
    <w:rsid w:val="00956D7D"/>
    <w:rsid w:val="00961FFD"/>
    <w:rsid w:val="0098633D"/>
    <w:rsid w:val="009916BC"/>
    <w:rsid w:val="009918B9"/>
    <w:rsid w:val="0099356E"/>
    <w:rsid w:val="009A1E12"/>
    <w:rsid w:val="009A2846"/>
    <w:rsid w:val="009A2F1E"/>
    <w:rsid w:val="009A63C7"/>
    <w:rsid w:val="009B4991"/>
    <w:rsid w:val="009C0197"/>
    <w:rsid w:val="009C5404"/>
    <w:rsid w:val="009D311B"/>
    <w:rsid w:val="009D4CC6"/>
    <w:rsid w:val="009D55C7"/>
    <w:rsid w:val="009E3093"/>
    <w:rsid w:val="009F11F2"/>
    <w:rsid w:val="009F7268"/>
    <w:rsid w:val="009F7732"/>
    <w:rsid w:val="00A03772"/>
    <w:rsid w:val="00A05AD8"/>
    <w:rsid w:val="00A05D2F"/>
    <w:rsid w:val="00A072AA"/>
    <w:rsid w:val="00A107AD"/>
    <w:rsid w:val="00A138F0"/>
    <w:rsid w:val="00A17CAB"/>
    <w:rsid w:val="00A22E1A"/>
    <w:rsid w:val="00A30CE9"/>
    <w:rsid w:val="00A3590F"/>
    <w:rsid w:val="00A35FCE"/>
    <w:rsid w:val="00A42839"/>
    <w:rsid w:val="00A46CFE"/>
    <w:rsid w:val="00A50665"/>
    <w:rsid w:val="00A506F1"/>
    <w:rsid w:val="00A536F2"/>
    <w:rsid w:val="00A616EC"/>
    <w:rsid w:val="00A61B9E"/>
    <w:rsid w:val="00A63DAB"/>
    <w:rsid w:val="00A669C4"/>
    <w:rsid w:val="00A7050D"/>
    <w:rsid w:val="00A71C27"/>
    <w:rsid w:val="00A752BD"/>
    <w:rsid w:val="00A831DA"/>
    <w:rsid w:val="00A8329F"/>
    <w:rsid w:val="00A8621D"/>
    <w:rsid w:val="00A91D52"/>
    <w:rsid w:val="00AA0417"/>
    <w:rsid w:val="00AA09CD"/>
    <w:rsid w:val="00AA1F25"/>
    <w:rsid w:val="00AA3992"/>
    <w:rsid w:val="00AA53A5"/>
    <w:rsid w:val="00AB0C65"/>
    <w:rsid w:val="00AB4BAB"/>
    <w:rsid w:val="00AB63FB"/>
    <w:rsid w:val="00AB7E03"/>
    <w:rsid w:val="00AC0189"/>
    <w:rsid w:val="00AC328B"/>
    <w:rsid w:val="00AC3405"/>
    <w:rsid w:val="00AC477E"/>
    <w:rsid w:val="00AC5C46"/>
    <w:rsid w:val="00AC60B2"/>
    <w:rsid w:val="00AD068B"/>
    <w:rsid w:val="00AF2194"/>
    <w:rsid w:val="00AF3058"/>
    <w:rsid w:val="00AF46D4"/>
    <w:rsid w:val="00B00E5E"/>
    <w:rsid w:val="00B0168D"/>
    <w:rsid w:val="00B056B7"/>
    <w:rsid w:val="00B073D2"/>
    <w:rsid w:val="00B11EE5"/>
    <w:rsid w:val="00B131DE"/>
    <w:rsid w:val="00B201B4"/>
    <w:rsid w:val="00B20F52"/>
    <w:rsid w:val="00B220A3"/>
    <w:rsid w:val="00B33AD0"/>
    <w:rsid w:val="00B34F30"/>
    <w:rsid w:val="00B35F90"/>
    <w:rsid w:val="00B35FFD"/>
    <w:rsid w:val="00B427DC"/>
    <w:rsid w:val="00B451B6"/>
    <w:rsid w:val="00B47625"/>
    <w:rsid w:val="00B52F7E"/>
    <w:rsid w:val="00B60E53"/>
    <w:rsid w:val="00B61872"/>
    <w:rsid w:val="00B61B71"/>
    <w:rsid w:val="00B62D4B"/>
    <w:rsid w:val="00B63AF3"/>
    <w:rsid w:val="00B7289B"/>
    <w:rsid w:val="00B738F6"/>
    <w:rsid w:val="00B74E00"/>
    <w:rsid w:val="00B8300F"/>
    <w:rsid w:val="00B833CE"/>
    <w:rsid w:val="00B83AD6"/>
    <w:rsid w:val="00B84489"/>
    <w:rsid w:val="00B93742"/>
    <w:rsid w:val="00B942BF"/>
    <w:rsid w:val="00B95659"/>
    <w:rsid w:val="00B96874"/>
    <w:rsid w:val="00BA034E"/>
    <w:rsid w:val="00BA58E5"/>
    <w:rsid w:val="00BB6DF6"/>
    <w:rsid w:val="00BD1240"/>
    <w:rsid w:val="00BD1C70"/>
    <w:rsid w:val="00BD4175"/>
    <w:rsid w:val="00BE5A88"/>
    <w:rsid w:val="00BE6D7C"/>
    <w:rsid w:val="00BE75B5"/>
    <w:rsid w:val="00BF2574"/>
    <w:rsid w:val="00C153F9"/>
    <w:rsid w:val="00C21493"/>
    <w:rsid w:val="00C22B80"/>
    <w:rsid w:val="00C317BB"/>
    <w:rsid w:val="00C31AC6"/>
    <w:rsid w:val="00C33770"/>
    <w:rsid w:val="00C34CE5"/>
    <w:rsid w:val="00C373DB"/>
    <w:rsid w:val="00C436B2"/>
    <w:rsid w:val="00C4393E"/>
    <w:rsid w:val="00C52613"/>
    <w:rsid w:val="00C56454"/>
    <w:rsid w:val="00C61830"/>
    <w:rsid w:val="00C6351F"/>
    <w:rsid w:val="00C65B3C"/>
    <w:rsid w:val="00C7435F"/>
    <w:rsid w:val="00C75B61"/>
    <w:rsid w:val="00C80811"/>
    <w:rsid w:val="00C866CD"/>
    <w:rsid w:val="00C97521"/>
    <w:rsid w:val="00CB0A14"/>
    <w:rsid w:val="00CB4119"/>
    <w:rsid w:val="00CB7467"/>
    <w:rsid w:val="00CB7F83"/>
    <w:rsid w:val="00CC1323"/>
    <w:rsid w:val="00CC2838"/>
    <w:rsid w:val="00CD2C61"/>
    <w:rsid w:val="00CE1098"/>
    <w:rsid w:val="00CE11AE"/>
    <w:rsid w:val="00CE2096"/>
    <w:rsid w:val="00CE270A"/>
    <w:rsid w:val="00CF2062"/>
    <w:rsid w:val="00CF46F5"/>
    <w:rsid w:val="00CF6407"/>
    <w:rsid w:val="00D024E5"/>
    <w:rsid w:val="00D03FE3"/>
    <w:rsid w:val="00D040E2"/>
    <w:rsid w:val="00D13611"/>
    <w:rsid w:val="00D17C4C"/>
    <w:rsid w:val="00D210A8"/>
    <w:rsid w:val="00D2251D"/>
    <w:rsid w:val="00D22523"/>
    <w:rsid w:val="00D2363D"/>
    <w:rsid w:val="00D312B6"/>
    <w:rsid w:val="00D32907"/>
    <w:rsid w:val="00D32EB0"/>
    <w:rsid w:val="00D40911"/>
    <w:rsid w:val="00D441C9"/>
    <w:rsid w:val="00D5159E"/>
    <w:rsid w:val="00D5264A"/>
    <w:rsid w:val="00D552DA"/>
    <w:rsid w:val="00D74B2A"/>
    <w:rsid w:val="00D820DE"/>
    <w:rsid w:val="00D94466"/>
    <w:rsid w:val="00DA27A8"/>
    <w:rsid w:val="00DA45DB"/>
    <w:rsid w:val="00DB06CC"/>
    <w:rsid w:val="00DB1C32"/>
    <w:rsid w:val="00DB3AEE"/>
    <w:rsid w:val="00DB4CCA"/>
    <w:rsid w:val="00DD3CAB"/>
    <w:rsid w:val="00DD4C10"/>
    <w:rsid w:val="00DE2EA9"/>
    <w:rsid w:val="00DE31D8"/>
    <w:rsid w:val="00DE4ACB"/>
    <w:rsid w:val="00DE72F6"/>
    <w:rsid w:val="00DF29B0"/>
    <w:rsid w:val="00DF3707"/>
    <w:rsid w:val="00DF4F0B"/>
    <w:rsid w:val="00E001FF"/>
    <w:rsid w:val="00E021F0"/>
    <w:rsid w:val="00E02749"/>
    <w:rsid w:val="00E02848"/>
    <w:rsid w:val="00E02ACF"/>
    <w:rsid w:val="00E0363E"/>
    <w:rsid w:val="00E07D86"/>
    <w:rsid w:val="00E10F17"/>
    <w:rsid w:val="00E129A1"/>
    <w:rsid w:val="00E13E2C"/>
    <w:rsid w:val="00E226DD"/>
    <w:rsid w:val="00E267D2"/>
    <w:rsid w:val="00E34BE0"/>
    <w:rsid w:val="00E46065"/>
    <w:rsid w:val="00E53C39"/>
    <w:rsid w:val="00E64A57"/>
    <w:rsid w:val="00E67674"/>
    <w:rsid w:val="00E74DE0"/>
    <w:rsid w:val="00E7791D"/>
    <w:rsid w:val="00E82095"/>
    <w:rsid w:val="00E90611"/>
    <w:rsid w:val="00E90811"/>
    <w:rsid w:val="00EA45BB"/>
    <w:rsid w:val="00EA7439"/>
    <w:rsid w:val="00EB5C25"/>
    <w:rsid w:val="00EC70A7"/>
    <w:rsid w:val="00ED1E16"/>
    <w:rsid w:val="00ED31AC"/>
    <w:rsid w:val="00EE43E1"/>
    <w:rsid w:val="00EE6FBF"/>
    <w:rsid w:val="00EE7E6E"/>
    <w:rsid w:val="00EF01FA"/>
    <w:rsid w:val="00EF11FD"/>
    <w:rsid w:val="00EF3449"/>
    <w:rsid w:val="00EF6F04"/>
    <w:rsid w:val="00F13478"/>
    <w:rsid w:val="00F14A6E"/>
    <w:rsid w:val="00F15CE6"/>
    <w:rsid w:val="00F16082"/>
    <w:rsid w:val="00F20C31"/>
    <w:rsid w:val="00F37D43"/>
    <w:rsid w:val="00F409C1"/>
    <w:rsid w:val="00F41E1A"/>
    <w:rsid w:val="00F43935"/>
    <w:rsid w:val="00F43F6C"/>
    <w:rsid w:val="00F444BF"/>
    <w:rsid w:val="00F47B15"/>
    <w:rsid w:val="00F50BC2"/>
    <w:rsid w:val="00F52F6D"/>
    <w:rsid w:val="00F545EF"/>
    <w:rsid w:val="00F62CF3"/>
    <w:rsid w:val="00F64410"/>
    <w:rsid w:val="00F64F2F"/>
    <w:rsid w:val="00F65156"/>
    <w:rsid w:val="00F6635B"/>
    <w:rsid w:val="00F66E1B"/>
    <w:rsid w:val="00F72C51"/>
    <w:rsid w:val="00F73963"/>
    <w:rsid w:val="00F807C6"/>
    <w:rsid w:val="00F8375E"/>
    <w:rsid w:val="00F83E8C"/>
    <w:rsid w:val="00F87311"/>
    <w:rsid w:val="00F930F6"/>
    <w:rsid w:val="00F9475B"/>
    <w:rsid w:val="00F9590A"/>
    <w:rsid w:val="00FA45E3"/>
    <w:rsid w:val="00FA4F4E"/>
    <w:rsid w:val="00FA626D"/>
    <w:rsid w:val="00FA7842"/>
    <w:rsid w:val="00FB064C"/>
    <w:rsid w:val="00FB5533"/>
    <w:rsid w:val="00FB5E33"/>
    <w:rsid w:val="00FC64C5"/>
    <w:rsid w:val="00FC780A"/>
    <w:rsid w:val="00FD360F"/>
    <w:rsid w:val="00FE0670"/>
    <w:rsid w:val="00FE12B1"/>
    <w:rsid w:val="00FE722F"/>
    <w:rsid w:val="00FE7254"/>
    <w:rsid w:val="00FF1B7D"/>
    <w:rsid w:val="00FF1B8C"/>
    <w:rsid w:val="00FF1C0D"/>
    <w:rsid w:val="00FF777A"/>
    <w:rsid w:val="0DCAB6FB"/>
    <w:rsid w:val="3EED19C4"/>
    <w:rsid w:val="6A672EA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styleId="UnresolvedMention">
    <w:name w:val="Unresolved Mention"/>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114A03"/>
    <w:rPr>
      <w:sz w:val="16"/>
      <w:szCs w:val="16"/>
    </w:rPr>
  </w:style>
  <w:style w:type="paragraph" w:styleId="CommentText">
    <w:name w:val="annotation text"/>
    <w:basedOn w:val="Normal"/>
    <w:link w:val="CommentTextChar"/>
    <w:uiPriority w:val="99"/>
    <w:semiHidden/>
    <w:unhideWhenUsed/>
    <w:rsid w:val="00114A03"/>
    <w:pPr>
      <w:spacing w:line="240" w:lineRule="auto"/>
    </w:pPr>
    <w:rPr>
      <w:szCs w:val="20"/>
    </w:rPr>
  </w:style>
  <w:style w:type="character" w:customStyle="1" w:styleId="CommentTextChar">
    <w:name w:val="Comment Text Char"/>
    <w:basedOn w:val="DefaultParagraphFont"/>
    <w:link w:val="CommentText"/>
    <w:uiPriority w:val="99"/>
    <w:semiHidden/>
    <w:rsid w:val="00114A03"/>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114A03"/>
    <w:rPr>
      <w:b/>
      <w:bCs/>
    </w:rPr>
  </w:style>
  <w:style w:type="character" w:customStyle="1" w:styleId="CommentSubjectChar">
    <w:name w:val="Comment Subject Char"/>
    <w:basedOn w:val="CommentTextChar"/>
    <w:link w:val="CommentSubject"/>
    <w:uiPriority w:val="99"/>
    <w:semiHidden/>
    <w:rsid w:val="00114A03"/>
    <w:rPr>
      <w:rFonts w:ascii="Myriad Pro" w:hAnsi="Myriad Pro"/>
      <w:b/>
      <w:bCs/>
      <w:sz w:val="20"/>
      <w:szCs w:val="20"/>
    </w:rPr>
  </w:style>
  <w:style w:type="paragraph" w:styleId="Revision">
    <w:name w:val="Revision"/>
    <w:hidden/>
    <w:uiPriority w:val="99"/>
    <w:semiHidden/>
    <w:rsid w:val="00B11EE5"/>
    <w:pPr>
      <w:spacing w:after="0" w:line="240" w:lineRule="auto"/>
    </w:pPr>
    <w:rPr>
      <w:rFonts w:ascii="Myriad Pro" w:hAnsi="Myriad Pro"/>
      <w:sz w:val="20"/>
    </w:rPr>
  </w:style>
  <w:style w:type="character" w:styleId="Strong">
    <w:name w:val="Strong"/>
    <w:basedOn w:val="DefaultParagraphFont"/>
    <w:uiPriority w:val="22"/>
    <w:qFormat/>
    <w:rsid w:val="00FF1B8C"/>
    <w:rPr>
      <w:b/>
      <w:bCs/>
    </w:rPr>
  </w:style>
  <w:style w:type="character" w:styleId="Emphasis">
    <w:name w:val="Emphasis"/>
    <w:basedOn w:val="DefaultParagraphFont"/>
    <w:uiPriority w:val="20"/>
    <w:qFormat/>
    <w:rsid w:val="00592E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emf"/><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eader" Target="header6.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EA258-4D4F-40E8-8417-3CAF17639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1125</Words>
  <Characters>6418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2021-06-21T12:54:00Z</dcterms:created>
  <dcterms:modified xsi:type="dcterms:W3CDTF">2021-06-21T12:54:00Z</dcterms:modified>
</cp:coreProperties>
</file>