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06C83359" w:rsidR="001D6793" w:rsidRPr="00DE72F6" w:rsidRDefault="001D6793" w:rsidP="001D6793">
      <w:pPr>
        <w:pStyle w:val="Naslov11"/>
      </w:pPr>
      <w:r w:rsidRPr="00DE72F6">
        <w:t>TEKOČA GOSPODARSKA GIBANJA</w:t>
      </w:r>
      <w:r w:rsidR="00286EAA">
        <w:t xml:space="preserve"> </w:t>
      </w:r>
    </w:p>
    <w:p w14:paraId="069DD334" w14:textId="3C79DBF0" w:rsidR="001D6793" w:rsidRDefault="00FA45E3" w:rsidP="001D6793">
      <w:pPr>
        <w:pStyle w:val="Naslov21"/>
      </w:pPr>
      <w:r>
        <w:t xml:space="preserve">od </w:t>
      </w:r>
      <w:r w:rsidR="00011EE3">
        <w:t>14</w:t>
      </w:r>
      <w:r w:rsidR="001D6793">
        <w:t xml:space="preserve">. do </w:t>
      </w:r>
      <w:r w:rsidR="00863817">
        <w:t>1</w:t>
      </w:r>
      <w:r w:rsidR="00011EE3">
        <w:t>8</w:t>
      </w:r>
      <w:r w:rsidR="001D6793">
        <w:t xml:space="preserve">. </w:t>
      </w:r>
      <w:r w:rsidR="00863817">
        <w:t>junija</w:t>
      </w:r>
      <w:r w:rsidR="001D6793">
        <w:t xml:space="preserve"> 20</w:t>
      </w:r>
      <w:r w:rsidR="009A2846">
        <w:t>21</w:t>
      </w:r>
    </w:p>
    <w:p w14:paraId="1823E87A" w14:textId="3C79DBF0" w:rsidR="00F444BF" w:rsidRDefault="00F444BF">
      <w:pPr>
        <w:rPr>
          <w:b/>
          <w:sz w:val="28"/>
          <w:szCs w:val="28"/>
          <w:highlight w:val="yellow"/>
        </w:rPr>
      </w:pPr>
    </w:p>
    <w:p w14:paraId="019D4F57" w14:textId="602FC590" w:rsidR="004F4AF9" w:rsidRPr="00D820DE" w:rsidRDefault="00653EB4" w:rsidP="00FE0670">
      <w:pPr>
        <w:tabs>
          <w:tab w:val="left" w:pos="580"/>
        </w:tabs>
      </w:pPr>
      <w:r>
        <w:t>Aktualni kazalniki</w:t>
      </w:r>
      <w:r w:rsidR="0080305F">
        <w:t xml:space="preserve"> gospodarske aktivnosti</w:t>
      </w:r>
      <w:r>
        <w:t xml:space="preserve"> kažejo, da je bil v </w:t>
      </w:r>
      <w:r w:rsidR="00593406" w:rsidRPr="00D820DE">
        <w:t>drugem tednu j</w:t>
      </w:r>
      <w:r w:rsidR="00622458" w:rsidRPr="00D820DE">
        <w:t>unija</w:t>
      </w:r>
      <w:r w:rsidR="00DB4CCA" w:rsidRPr="00D820DE">
        <w:t xml:space="preserve"> </w:t>
      </w:r>
      <w:r w:rsidR="003C6AE4" w:rsidRPr="00D820DE">
        <w:t>obseg p</w:t>
      </w:r>
      <w:r w:rsidR="00663944" w:rsidRPr="00D820DE">
        <w:t>romet</w:t>
      </w:r>
      <w:r w:rsidR="003C6AE4" w:rsidRPr="00D820DE">
        <w:t>a tovornih vozil po slovenskih avtocestah</w:t>
      </w:r>
      <w:r w:rsidR="005F0F5B" w:rsidRPr="00D820DE">
        <w:t xml:space="preserve"> </w:t>
      </w:r>
      <w:r w:rsidR="00593406" w:rsidRPr="00D820DE">
        <w:t xml:space="preserve">zelo </w:t>
      </w:r>
      <w:r w:rsidR="005F0F5B" w:rsidRPr="00D820DE">
        <w:t xml:space="preserve">visok in je </w:t>
      </w:r>
      <w:r w:rsidR="00593406" w:rsidRPr="00D820DE">
        <w:t>nekoliko presegel obseg</w:t>
      </w:r>
      <w:r w:rsidR="005F0F5B" w:rsidRPr="00D820DE">
        <w:t xml:space="preserve"> </w:t>
      </w:r>
      <w:r w:rsidR="00112035">
        <w:t xml:space="preserve">iz </w:t>
      </w:r>
      <w:proofErr w:type="spellStart"/>
      <w:r w:rsidR="005F0F5B" w:rsidRPr="00D820DE">
        <w:t>predkriznega</w:t>
      </w:r>
      <w:proofErr w:type="spellEnd"/>
      <w:r w:rsidR="005F0F5B" w:rsidRPr="00D820DE">
        <w:t xml:space="preserve"> leta 2019</w:t>
      </w:r>
      <w:r w:rsidR="00BD1C70" w:rsidRPr="00D820DE">
        <w:t>.</w:t>
      </w:r>
      <w:r w:rsidR="005F0F5B" w:rsidRPr="00D820DE">
        <w:t xml:space="preserve"> </w:t>
      </w:r>
      <w:r w:rsidR="00BD1C70" w:rsidRPr="00D820DE">
        <w:t>T</w:t>
      </w:r>
      <w:r w:rsidR="005F0F5B" w:rsidRPr="00D820DE">
        <w:t xml:space="preserve">udi poraba elektrike je bila medletno </w:t>
      </w:r>
      <w:r w:rsidR="00FA626D">
        <w:t xml:space="preserve">nekoliko </w:t>
      </w:r>
      <w:r w:rsidR="005F0F5B" w:rsidRPr="00D820DE">
        <w:t>višja</w:t>
      </w:r>
      <w:r w:rsidR="00B833CE" w:rsidRPr="00D820DE">
        <w:t xml:space="preserve">, a je </w:t>
      </w:r>
      <w:r w:rsidR="00513B09" w:rsidRPr="00D820DE">
        <w:t xml:space="preserve">verjetno </w:t>
      </w:r>
      <w:r w:rsidR="009130E0" w:rsidRPr="00D820DE">
        <w:t xml:space="preserve">predvsem </w:t>
      </w:r>
      <w:r w:rsidR="00513B09" w:rsidRPr="00D820DE">
        <w:t xml:space="preserve">zaradi okrnjenega delovanja turističnega dela gospodarstva </w:t>
      </w:r>
      <w:r w:rsidR="00B833CE" w:rsidRPr="00D820DE">
        <w:t xml:space="preserve">zaostajala za </w:t>
      </w:r>
      <w:proofErr w:type="spellStart"/>
      <w:r w:rsidR="00B833CE" w:rsidRPr="00D820DE">
        <w:t>predkrizno</w:t>
      </w:r>
      <w:proofErr w:type="spellEnd"/>
      <w:r w:rsidR="00B833CE" w:rsidRPr="00D820DE">
        <w:t>.</w:t>
      </w:r>
      <w:r w:rsidR="005F0F5B" w:rsidRPr="00D820DE">
        <w:t xml:space="preserve"> </w:t>
      </w:r>
      <w:r w:rsidR="009F11F2">
        <w:t>S</w:t>
      </w:r>
      <w:r w:rsidR="007F76D0" w:rsidRPr="00D820DE">
        <w:t xml:space="preserve">kupna </w:t>
      </w:r>
      <w:r w:rsidR="005C5A21" w:rsidRPr="00D820DE">
        <w:t>prodaja</w:t>
      </w:r>
      <w:r w:rsidR="00CE11AE">
        <w:t xml:space="preserve"> po podatkih o davčnem potrjevanju računov</w:t>
      </w:r>
      <w:r w:rsidR="005C5A21" w:rsidRPr="00D820DE">
        <w:t xml:space="preserve"> </w:t>
      </w:r>
      <w:r w:rsidR="009F11F2">
        <w:t xml:space="preserve">je bila v prvi polovici junija </w:t>
      </w:r>
      <w:r w:rsidR="005C5A21" w:rsidRPr="00D820DE">
        <w:t xml:space="preserve">že malenkost višja </w:t>
      </w:r>
      <w:r w:rsidR="0049445F" w:rsidRPr="00D820DE">
        <w:t xml:space="preserve">od </w:t>
      </w:r>
      <w:proofErr w:type="spellStart"/>
      <w:r w:rsidR="0049445F" w:rsidRPr="00D820DE">
        <w:t>pre</w:t>
      </w:r>
      <w:r w:rsidR="00D40911">
        <w:t>d</w:t>
      </w:r>
      <w:r w:rsidR="0049445F" w:rsidRPr="00D820DE">
        <w:t>krizne</w:t>
      </w:r>
      <w:proofErr w:type="spellEnd"/>
      <w:r w:rsidR="007F76D0" w:rsidRPr="00D820DE">
        <w:t>, v delu storitev, kjer so omejitve poslovanja ostale relativno visoke</w:t>
      </w:r>
      <w:r w:rsidR="009F11F2">
        <w:t>,</w:t>
      </w:r>
      <w:r w:rsidR="007F76D0" w:rsidRPr="00D820DE">
        <w:t xml:space="preserve"> </w:t>
      </w:r>
      <w:r w:rsidR="007965D5" w:rsidRPr="00D820DE">
        <w:t xml:space="preserve">pa </w:t>
      </w:r>
      <w:r w:rsidR="00474E8F">
        <w:t xml:space="preserve">je </w:t>
      </w:r>
      <w:r w:rsidR="00640A44">
        <w:t xml:space="preserve">za </w:t>
      </w:r>
      <w:proofErr w:type="spellStart"/>
      <w:r w:rsidR="00640A44">
        <w:t>predkrizno</w:t>
      </w:r>
      <w:proofErr w:type="spellEnd"/>
      <w:r w:rsidR="00640A44">
        <w:t xml:space="preserve"> ravnjo</w:t>
      </w:r>
      <w:r w:rsidR="00474E8F">
        <w:t xml:space="preserve"> </w:t>
      </w:r>
      <w:r w:rsidR="007965D5" w:rsidRPr="00D820DE">
        <w:t xml:space="preserve">še </w:t>
      </w:r>
      <w:r w:rsidR="007F76D0" w:rsidRPr="00D820DE">
        <w:t xml:space="preserve">naprej </w:t>
      </w:r>
      <w:r w:rsidR="007965D5" w:rsidRPr="00D820DE">
        <w:t>zaostaj</w:t>
      </w:r>
      <w:r w:rsidR="00766C8E" w:rsidRPr="00D820DE">
        <w:t>a</w:t>
      </w:r>
      <w:r w:rsidR="00474E8F">
        <w:t>la</w:t>
      </w:r>
      <w:r w:rsidR="00766C8E" w:rsidRPr="00D820DE">
        <w:t xml:space="preserve"> </w:t>
      </w:r>
      <w:r w:rsidR="007F76D0" w:rsidRPr="00D820DE">
        <w:t>za več kot polovico</w:t>
      </w:r>
      <w:r w:rsidR="00766C8E" w:rsidRPr="00D820DE">
        <w:t xml:space="preserve">. </w:t>
      </w:r>
      <w:r w:rsidR="00FE0670" w:rsidRPr="00D820DE">
        <w:t xml:space="preserve">Število registriranih brezposelnih </w:t>
      </w:r>
      <w:r w:rsidR="00B74E00" w:rsidRPr="00D820DE">
        <w:t xml:space="preserve">se </w:t>
      </w:r>
      <w:r w:rsidR="00FE0670" w:rsidRPr="00D820DE">
        <w:t>je</w:t>
      </w:r>
      <w:r w:rsidR="005441C0">
        <w:t xml:space="preserve"> </w:t>
      </w:r>
      <w:r w:rsidR="00ED31AC">
        <w:t>v juniju</w:t>
      </w:r>
      <w:r w:rsidR="002E5515">
        <w:t xml:space="preserve"> </w:t>
      </w:r>
      <w:r w:rsidR="00B60E53">
        <w:t>nada</w:t>
      </w:r>
      <w:r w:rsidR="001907C7">
        <w:t>lje</w:t>
      </w:r>
      <w:r w:rsidR="00201434">
        <w:t xml:space="preserve"> </w:t>
      </w:r>
      <w:r w:rsidR="005441C0">
        <w:t>izraziteje</w:t>
      </w:r>
      <w:r w:rsidR="001907C7">
        <w:t xml:space="preserve"> znižalo, sredi junija je bilo </w:t>
      </w:r>
      <w:r w:rsidR="001907C7" w:rsidRPr="00B7682B">
        <w:t>medletno za skoraj petino nižje</w:t>
      </w:r>
      <w:r w:rsidR="001907C7">
        <w:t>, a še malenkost višje kot junija</w:t>
      </w:r>
      <w:r w:rsidR="003F3F33" w:rsidRPr="00D820DE">
        <w:t xml:space="preserve"> leta 2019</w:t>
      </w:r>
      <w:r w:rsidR="001907C7">
        <w:t>.</w:t>
      </w:r>
      <w:r w:rsidR="00B201B4" w:rsidRPr="00B201B4">
        <w:t xml:space="preserve"> </w:t>
      </w:r>
      <w:r w:rsidR="00B201B4" w:rsidRPr="00D820DE">
        <w:t xml:space="preserve">Gradbena aktivnost se je po krepitvi v drugi polovici lanskega leta </w:t>
      </w:r>
      <w:r w:rsidR="00B201B4">
        <w:t>spet</w:t>
      </w:r>
      <w:r w:rsidR="00B201B4" w:rsidRPr="00D820DE">
        <w:t xml:space="preserve"> znižala, a </w:t>
      </w:r>
      <w:r w:rsidR="00B201B4">
        <w:t xml:space="preserve">je </w:t>
      </w:r>
      <w:r w:rsidR="00B201B4" w:rsidRPr="00D820DE">
        <w:t>osta</w:t>
      </w:r>
      <w:r w:rsidR="00B201B4">
        <w:t>l</w:t>
      </w:r>
      <w:r w:rsidR="00B201B4" w:rsidRPr="00D820DE">
        <w:t xml:space="preserve">a višja kot pred letom. </w:t>
      </w:r>
    </w:p>
    <w:p w14:paraId="5ACDCF50" w14:textId="562C3D7F" w:rsidR="00B47625" w:rsidRDefault="00B47625"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389"/>
        <w:gridCol w:w="2268"/>
      </w:tblGrid>
      <w:tr w:rsidR="00291EC8" w:rsidRPr="006C2117" w14:paraId="042E5939" w14:textId="77777777" w:rsidTr="004E3953">
        <w:trPr>
          <w:trHeight w:val="207"/>
        </w:trPr>
        <w:tc>
          <w:tcPr>
            <w:tcW w:w="7371" w:type="dxa"/>
            <w:gridSpan w:val="2"/>
            <w:tcBorders>
              <w:bottom w:val="single" w:sz="4" w:space="0" w:color="auto"/>
            </w:tcBorders>
            <w:tcMar>
              <w:left w:w="0" w:type="dxa"/>
            </w:tcMar>
          </w:tcPr>
          <w:p w14:paraId="1B57733D" w14:textId="77777777" w:rsidR="00291EC8" w:rsidRPr="006C2117" w:rsidRDefault="00291EC8" w:rsidP="009F6ADC">
            <w:pPr>
              <w:pStyle w:val="Naslov31"/>
              <w:jc w:val="left"/>
            </w:pPr>
            <w:r w:rsidRPr="009A2846">
              <w:t xml:space="preserve">Promet elektronsko </w:t>
            </w:r>
            <w:proofErr w:type="spellStart"/>
            <w:r w:rsidRPr="009A2846">
              <w:t>cestninjenih</w:t>
            </w:r>
            <w:proofErr w:type="spellEnd"/>
            <w:r w:rsidRPr="009A2846">
              <w:t xml:space="preserve"> vozil na slovenskih avtocestah, </w:t>
            </w:r>
            <w:r>
              <w:t>junij</w:t>
            </w:r>
            <w:r w:rsidRPr="009A2846">
              <w:t xml:space="preserve"> 2021</w:t>
            </w:r>
          </w:p>
        </w:tc>
        <w:tc>
          <w:tcPr>
            <w:tcW w:w="2268" w:type="dxa"/>
            <w:tcBorders>
              <w:bottom w:val="single" w:sz="4" w:space="0" w:color="auto"/>
            </w:tcBorders>
          </w:tcPr>
          <w:p w14:paraId="04EC9C21" w14:textId="77777777" w:rsidR="00291EC8" w:rsidRPr="006C2117" w:rsidRDefault="00291EC8" w:rsidP="009F6ADC">
            <w:pPr>
              <w:pStyle w:val="Naslov31"/>
            </w:pPr>
          </w:p>
        </w:tc>
      </w:tr>
      <w:tr w:rsidR="00291EC8" w:rsidRPr="00DF4F0B" w14:paraId="692937E9" w14:textId="77777777" w:rsidTr="009F6ADC">
        <w:trPr>
          <w:trHeight w:val="1134"/>
        </w:trPr>
        <w:tc>
          <w:tcPr>
            <w:tcW w:w="4982" w:type="dxa"/>
            <w:tcBorders>
              <w:top w:val="single" w:sz="4" w:space="0" w:color="auto"/>
            </w:tcBorders>
            <w:tcMar>
              <w:left w:w="0" w:type="dxa"/>
            </w:tcMar>
          </w:tcPr>
          <w:p w14:paraId="01219685" w14:textId="33481CD8" w:rsidR="00291EC8" w:rsidRDefault="00A50665" w:rsidP="009F6ADC">
            <w:pPr>
              <w:pStyle w:val="ListParagraph"/>
              <w:ind w:left="0"/>
            </w:pPr>
            <w:r>
              <w:rPr>
                <w:noProof/>
              </w:rPr>
              <w:drawing>
                <wp:inline distT="0" distB="0" distL="0" distR="0" wp14:anchorId="71B53365" wp14:editId="70876474">
                  <wp:extent cx="3096000" cy="2394000"/>
                  <wp:effectExtent l="0" t="0" r="9525"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394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68E2624" w14:textId="7FC3EC28" w:rsidR="001B582D" w:rsidRPr="001B582D" w:rsidRDefault="001B582D" w:rsidP="001B582D">
            <w:r w:rsidRPr="00D820DE">
              <w:rPr>
                <w:b/>
              </w:rPr>
              <w:t>Promet tovornih vozil na slovenskih avtocestah</w:t>
            </w:r>
            <w:r w:rsidR="002E5515">
              <w:rPr>
                <w:b/>
              </w:rPr>
              <w:t xml:space="preserve"> </w:t>
            </w:r>
            <w:r w:rsidRPr="00D820DE">
              <w:rPr>
                <w:b/>
              </w:rPr>
              <w:t>je bil v drugem tednu junija medletno večji za 23</w:t>
            </w:r>
            <w:r>
              <w:rPr>
                <w:b/>
              </w:rPr>
              <w:t> </w:t>
            </w:r>
            <w:r w:rsidRPr="00D820DE">
              <w:rPr>
                <w:b/>
              </w:rPr>
              <w:t>%, v primerjavi z enakim obdobjem leta 2019 pa za 3</w:t>
            </w:r>
            <w:r w:rsidR="00BA58E5">
              <w:rPr>
                <w:b/>
              </w:rPr>
              <w:t> </w:t>
            </w:r>
            <w:r w:rsidRPr="00D820DE">
              <w:rPr>
                <w:b/>
              </w:rPr>
              <w:t>%.</w:t>
            </w:r>
            <w:r w:rsidRPr="001B582D">
              <w:t xml:space="preserve"> Obseg prometa tovornih vozil je ponovno presegel 22 mio</w:t>
            </w:r>
            <w:r w:rsidR="008C0999">
              <w:rPr>
                <w:rStyle w:val="FootnoteReference"/>
              </w:rPr>
              <w:footnoteReference w:id="2"/>
            </w:r>
            <w:r w:rsidRPr="001B582D">
              <w:t xml:space="preserve"> prevoženih kilometrov in </w:t>
            </w:r>
            <w:r w:rsidR="000D46BA" w:rsidRPr="001B582D">
              <w:t xml:space="preserve">bil </w:t>
            </w:r>
            <w:r w:rsidRPr="001B582D">
              <w:t xml:space="preserve">tako tretji najvišji tedensko merjen letos (lani zaradi epidemije tolikšnega obsega ni dosegel). </w:t>
            </w:r>
            <w:r w:rsidR="00A61B9E">
              <w:t>Medletno</w:t>
            </w:r>
            <w:r w:rsidRPr="001B582D">
              <w:t xml:space="preserve"> je bil promet domačih in tujih vozil večji skoraj za četrtino, kar je še vedno predvsem posledica manjšega prometa v enakem obdobju lani v prvem valu epidemije. Pri domačih vozilih je bil v primerjavi z enakim tednom </w:t>
            </w:r>
            <w:proofErr w:type="spellStart"/>
            <w:r w:rsidRPr="001B582D">
              <w:t>predkriznega</w:t>
            </w:r>
            <w:proofErr w:type="spellEnd"/>
            <w:r w:rsidRPr="001B582D">
              <w:t xml:space="preserve"> leta 2019 višji za 6 %, pri tujih pa za 1 %. </w:t>
            </w:r>
          </w:p>
          <w:p w14:paraId="00982DFF" w14:textId="77777777" w:rsidR="00291EC8" w:rsidRPr="00DF4F0B" w:rsidRDefault="00291EC8" w:rsidP="009F6ADC"/>
        </w:tc>
      </w:tr>
    </w:tbl>
    <w:p w14:paraId="584A0246" w14:textId="77777777" w:rsidR="00A669C4" w:rsidRDefault="00A669C4" w:rsidP="00026558">
      <w:pPr>
        <w:pStyle w:val="Naslov31"/>
        <w:jc w:val="left"/>
        <w:sectPr w:rsidR="00A669C4" w:rsidSect="00F444BF">
          <w:headerReference w:type="default" r:id="rId9"/>
          <w:footerReference w:type="default" r:id="rId10"/>
          <w:headerReference w:type="first" r:id="rId11"/>
          <w:footerReference w:type="first" r:id="rId12"/>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6558" w:rsidRPr="006C2117" w14:paraId="30BEC8C6" w14:textId="77777777" w:rsidTr="002B6DD4">
        <w:trPr>
          <w:trHeight w:val="207"/>
        </w:trPr>
        <w:tc>
          <w:tcPr>
            <w:tcW w:w="4819" w:type="dxa"/>
            <w:tcBorders>
              <w:bottom w:val="single" w:sz="4" w:space="0" w:color="auto"/>
            </w:tcBorders>
            <w:tcMar>
              <w:left w:w="0" w:type="dxa"/>
            </w:tcMar>
          </w:tcPr>
          <w:p w14:paraId="2E66FA27" w14:textId="4C0C65C6" w:rsidR="00026558" w:rsidRPr="006C2117" w:rsidRDefault="00026558" w:rsidP="00026558">
            <w:pPr>
              <w:pStyle w:val="Naslov31"/>
              <w:jc w:val="left"/>
            </w:pPr>
            <w:r w:rsidRPr="00044CD2">
              <w:lastRenderedPageBreak/>
              <w:t xml:space="preserve">Poraba elektrike, </w:t>
            </w:r>
            <w:r>
              <w:t xml:space="preserve">junij </w:t>
            </w:r>
            <w:r w:rsidRPr="00524CAA">
              <w:t>202</w:t>
            </w:r>
            <w:r>
              <w:t>1</w:t>
            </w:r>
          </w:p>
        </w:tc>
        <w:tc>
          <w:tcPr>
            <w:tcW w:w="4820" w:type="dxa"/>
            <w:gridSpan w:val="2"/>
            <w:tcBorders>
              <w:bottom w:val="single" w:sz="4" w:space="0" w:color="auto"/>
            </w:tcBorders>
          </w:tcPr>
          <w:p w14:paraId="3F97770B" w14:textId="77777777" w:rsidR="00026558" w:rsidRPr="006C2117" w:rsidRDefault="00026558" w:rsidP="00026558">
            <w:pPr>
              <w:pStyle w:val="Naslov31"/>
            </w:pPr>
          </w:p>
        </w:tc>
      </w:tr>
      <w:tr w:rsidR="00026558" w:rsidRPr="00DF4F0B" w14:paraId="37B2577F" w14:textId="77777777" w:rsidTr="002B6DD4">
        <w:trPr>
          <w:trHeight w:val="1134"/>
        </w:trPr>
        <w:tc>
          <w:tcPr>
            <w:tcW w:w="4982" w:type="dxa"/>
            <w:gridSpan w:val="2"/>
            <w:tcBorders>
              <w:top w:val="single" w:sz="4" w:space="0" w:color="auto"/>
            </w:tcBorders>
            <w:tcMar>
              <w:left w:w="0" w:type="dxa"/>
            </w:tcMar>
          </w:tcPr>
          <w:p w14:paraId="22291D5D" w14:textId="04889495" w:rsidR="00026558" w:rsidRDefault="00555BA2" w:rsidP="00026558">
            <w:pPr>
              <w:pStyle w:val="ListParagraph"/>
              <w:ind w:left="0"/>
            </w:pPr>
            <w:r>
              <w:rPr>
                <w:noProof/>
              </w:rPr>
              <w:drawing>
                <wp:inline distT="0" distB="0" distL="0" distR="0" wp14:anchorId="63C50B82" wp14:editId="06B8C59D">
                  <wp:extent cx="3117600" cy="2412000"/>
                  <wp:effectExtent l="0" t="0" r="6985"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600" cy="2412000"/>
                          </a:xfrm>
                          <a:prstGeom prst="rect">
                            <a:avLst/>
                          </a:prstGeom>
                          <a:noFill/>
                        </pic:spPr>
                      </pic:pic>
                    </a:graphicData>
                  </a:graphic>
                </wp:inline>
              </w:drawing>
            </w:r>
          </w:p>
        </w:tc>
        <w:tc>
          <w:tcPr>
            <w:tcW w:w="4657" w:type="dxa"/>
            <w:tcBorders>
              <w:top w:val="single" w:sz="4" w:space="0" w:color="auto"/>
            </w:tcBorders>
            <w:tcMar>
              <w:left w:w="284" w:type="dxa"/>
            </w:tcMar>
          </w:tcPr>
          <w:p w14:paraId="5E76CD34" w14:textId="6E65EC57" w:rsidR="00026558" w:rsidRPr="001521E5" w:rsidRDefault="00026558" w:rsidP="00026558">
            <w:r>
              <w:rPr>
                <w:b/>
                <w:bCs/>
              </w:rPr>
              <w:t xml:space="preserve">Poraba elektrike je bila v tednu med 7. in 11. junijem medletno večja za 3 %, za istim tednom </w:t>
            </w:r>
            <w:proofErr w:type="spellStart"/>
            <w:r>
              <w:rPr>
                <w:b/>
                <w:bCs/>
              </w:rPr>
              <w:t>predkriznega</w:t>
            </w:r>
            <w:proofErr w:type="spellEnd"/>
            <w:r>
              <w:rPr>
                <w:b/>
                <w:bCs/>
              </w:rPr>
              <w:t xml:space="preserve"> leta 2019 pa je zaostajala za 10 %</w:t>
            </w:r>
            <w:r w:rsidRPr="00E220DD">
              <w:rPr>
                <w:b/>
                <w:bCs/>
              </w:rPr>
              <w:t>.</w:t>
            </w:r>
            <w:r>
              <w:rPr>
                <w:b/>
                <w:bCs/>
                <w:color w:val="FF0000"/>
              </w:rPr>
              <w:t xml:space="preserve"> </w:t>
            </w:r>
            <w:r w:rsidRPr="00374D1E">
              <w:t xml:space="preserve">Razlog za medletno večjo porabo je </w:t>
            </w:r>
            <w:r>
              <w:t xml:space="preserve">zlasti </w:t>
            </w:r>
            <w:r w:rsidRPr="00374D1E">
              <w:t>nizka la</w:t>
            </w:r>
            <w:r>
              <w:t>nska</w:t>
            </w:r>
            <w:r w:rsidRPr="00374D1E">
              <w:t xml:space="preserve"> osnova, </w:t>
            </w:r>
            <w:r>
              <w:t xml:space="preserve">poraba pa je bila ob sicer že sproščenih številnih zajezitvenih ukrepih še vedno manjša od </w:t>
            </w:r>
            <w:proofErr w:type="spellStart"/>
            <w:r>
              <w:t>predkrizne</w:t>
            </w:r>
            <w:proofErr w:type="spellEnd"/>
            <w:r w:rsidRPr="00EE006E">
              <w:t xml:space="preserve">. </w:t>
            </w:r>
            <w:r>
              <w:t>Predvsem zaradi učinka osnove je bila poraba medletno večja tudi v večini</w:t>
            </w:r>
            <w:r w:rsidRPr="00FB73DD">
              <w:t xml:space="preserve"> naš</w:t>
            </w:r>
            <w:r>
              <w:t>ih</w:t>
            </w:r>
            <w:r w:rsidRPr="00FB73DD">
              <w:t xml:space="preserve"> najpomembnejš</w:t>
            </w:r>
            <w:r>
              <w:t>ih</w:t>
            </w:r>
            <w:r w:rsidRPr="00FB73DD">
              <w:t xml:space="preserve"> trgovinsk</w:t>
            </w:r>
            <w:r>
              <w:t>ih partneric (v Italiji, Nemčiji in na Hrvaškem okoli 7 %, v Franciji 10</w:t>
            </w:r>
            <w:r w:rsidR="001811EC">
              <w:t> </w:t>
            </w:r>
            <w:r>
              <w:t>%), razen v Avstriji, kjer je bila enaka lanski v tem času. Glede na primerljivi teden leta 2019 so manjšo porabo beležile Avstrija (4 %), Italija (3 %), in Nemčija (2 %), v Franciji je bila večja za 6 %, na Hrvaškem pa približno enaka takratni.</w:t>
            </w:r>
          </w:p>
          <w:p w14:paraId="1E582C90" w14:textId="6173E552" w:rsidR="00026558" w:rsidRPr="00DF4F0B" w:rsidRDefault="00026558" w:rsidP="00026558"/>
        </w:tc>
      </w:tr>
      <w:tr w:rsidR="00026558" w14:paraId="17E1B550" w14:textId="77777777" w:rsidTr="0058360C">
        <w:trPr>
          <w:trHeight w:val="207"/>
        </w:trPr>
        <w:tc>
          <w:tcPr>
            <w:tcW w:w="4819" w:type="dxa"/>
            <w:tcBorders>
              <w:bottom w:val="single" w:sz="4" w:space="0" w:color="auto"/>
            </w:tcBorders>
            <w:tcMar>
              <w:left w:w="0" w:type="dxa"/>
            </w:tcMar>
          </w:tcPr>
          <w:p w14:paraId="5789D990" w14:textId="77777777" w:rsidR="00026558" w:rsidRDefault="00026558" w:rsidP="00026558">
            <w:pPr>
              <w:pStyle w:val="Naslov31"/>
              <w:jc w:val="left"/>
            </w:pPr>
          </w:p>
          <w:p w14:paraId="74E10295" w14:textId="5728C296" w:rsidR="00026558" w:rsidRPr="006C2117" w:rsidRDefault="00F62CF3" w:rsidP="00026558">
            <w:pPr>
              <w:pStyle w:val="Naslov31"/>
              <w:jc w:val="left"/>
            </w:pPr>
            <w:r>
              <w:t>Plače</w:t>
            </w:r>
            <w:r w:rsidR="00026558" w:rsidRPr="00044CD2">
              <w:t xml:space="preserve">, </w:t>
            </w:r>
            <w:r w:rsidR="00075113">
              <w:t xml:space="preserve">april </w:t>
            </w:r>
            <w:r w:rsidR="00026558" w:rsidRPr="00524CAA">
              <w:t>202</w:t>
            </w:r>
            <w:r w:rsidR="00026558">
              <w:t>1</w:t>
            </w:r>
          </w:p>
        </w:tc>
        <w:tc>
          <w:tcPr>
            <w:tcW w:w="4820" w:type="dxa"/>
            <w:gridSpan w:val="2"/>
            <w:tcBorders>
              <w:bottom w:val="single" w:sz="4" w:space="0" w:color="auto"/>
            </w:tcBorders>
          </w:tcPr>
          <w:p w14:paraId="772D173F" w14:textId="77777777" w:rsidR="00026558" w:rsidRPr="006C2117" w:rsidRDefault="00026558" w:rsidP="00026558">
            <w:pPr>
              <w:pStyle w:val="Naslov31"/>
            </w:pPr>
          </w:p>
        </w:tc>
      </w:tr>
      <w:tr w:rsidR="00026558" w14:paraId="03A45C4E" w14:textId="77777777" w:rsidTr="001B56E9">
        <w:trPr>
          <w:trHeight w:val="1134"/>
        </w:trPr>
        <w:tc>
          <w:tcPr>
            <w:tcW w:w="4982" w:type="dxa"/>
            <w:gridSpan w:val="2"/>
            <w:tcBorders>
              <w:top w:val="single" w:sz="4" w:space="0" w:color="auto"/>
            </w:tcBorders>
            <w:tcMar>
              <w:left w:w="0" w:type="dxa"/>
            </w:tcMar>
          </w:tcPr>
          <w:p w14:paraId="48F5876B" w14:textId="251AF508" w:rsidR="00026558" w:rsidRDefault="00026558" w:rsidP="00026558">
            <w:pPr>
              <w:pStyle w:val="ListParagraph"/>
              <w:ind w:left="0"/>
            </w:pPr>
            <w:r>
              <w:rPr>
                <w:noProof/>
              </w:rPr>
              <w:drawing>
                <wp:inline distT="0" distB="0" distL="0" distR="0" wp14:anchorId="1636F34C" wp14:editId="552077B6">
                  <wp:extent cx="3085200" cy="2530800"/>
                  <wp:effectExtent l="0" t="0" r="127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5200" cy="25308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76904768" w:rsidR="00026558" w:rsidRPr="00DF4F0B" w:rsidRDefault="006E755C" w:rsidP="00F62CF3">
            <w:r w:rsidRPr="008262A8">
              <w:rPr>
                <w:b/>
                <w:color w:val="000000" w:themeColor="text1"/>
              </w:rPr>
              <w:t xml:space="preserve">Po visoki medletni rasti povprečne plače v preteklih mesecih, je ta aprila ostala zmerna (3 %). </w:t>
            </w:r>
            <w:r w:rsidRPr="008262A8">
              <w:rPr>
                <w:color w:val="000000" w:themeColor="text1"/>
              </w:rPr>
              <w:t xml:space="preserve">Nižja </w:t>
            </w:r>
            <w:r w:rsidR="003B658A">
              <w:rPr>
                <w:color w:val="000000" w:themeColor="text1"/>
              </w:rPr>
              <w:t>je bila</w:t>
            </w:r>
            <w:r w:rsidRPr="008262A8">
              <w:rPr>
                <w:color w:val="000000" w:themeColor="text1"/>
              </w:rPr>
              <w:t xml:space="preserve"> v zasebnem sektorju (2 </w:t>
            </w:r>
            <w:r w:rsidRPr="3EED19C4">
              <w:rPr>
                <w:color w:val="000000" w:themeColor="text1"/>
              </w:rPr>
              <w:t>%)</w:t>
            </w:r>
            <w:r w:rsidR="004675B6">
              <w:rPr>
                <w:color w:val="000000" w:themeColor="text1"/>
              </w:rPr>
              <w:t>, kar</w:t>
            </w:r>
            <w:r w:rsidRPr="008262A8">
              <w:rPr>
                <w:color w:val="000000" w:themeColor="text1"/>
              </w:rPr>
              <w:t xml:space="preserve"> </w:t>
            </w:r>
            <w:r w:rsidR="00DE31D8">
              <w:rPr>
                <w:color w:val="000000" w:themeColor="text1"/>
              </w:rPr>
              <w:t xml:space="preserve">je </w:t>
            </w:r>
            <w:r w:rsidRPr="008262A8">
              <w:rPr>
                <w:color w:val="000000" w:themeColor="text1"/>
              </w:rPr>
              <w:t>povezan</w:t>
            </w:r>
            <w:r w:rsidR="004675B6">
              <w:rPr>
                <w:color w:val="000000" w:themeColor="text1"/>
              </w:rPr>
              <w:t>o</w:t>
            </w:r>
            <w:r w:rsidRPr="008262A8">
              <w:rPr>
                <w:color w:val="000000" w:themeColor="text1"/>
              </w:rPr>
              <w:t xml:space="preserve"> z visoko ravnjo v enakem mesecu lani (učinek osnove) zaradi začetka izplačevanj</w:t>
            </w:r>
            <w:r>
              <w:rPr>
                <w:color w:val="000000" w:themeColor="text1"/>
              </w:rPr>
              <w:t>a</w:t>
            </w:r>
            <w:r w:rsidRPr="008262A8">
              <w:rPr>
                <w:color w:val="000000" w:themeColor="text1"/>
              </w:rPr>
              <w:t xml:space="preserve"> kriznih dodatkov in metodologije izračuna plač. V javnem sektorju </w:t>
            </w:r>
            <w:r>
              <w:rPr>
                <w:color w:val="000000" w:themeColor="text1"/>
              </w:rPr>
              <w:t xml:space="preserve">pa </w:t>
            </w:r>
            <w:r w:rsidRPr="008262A8">
              <w:rPr>
                <w:color w:val="000000" w:themeColor="text1"/>
              </w:rPr>
              <w:t xml:space="preserve">je rast </w:t>
            </w:r>
            <w:r>
              <w:rPr>
                <w:color w:val="000000" w:themeColor="text1"/>
              </w:rPr>
              <w:t xml:space="preserve">ostala </w:t>
            </w:r>
            <w:r w:rsidR="00743658">
              <w:rPr>
                <w:color w:val="000000" w:themeColor="text1"/>
              </w:rPr>
              <w:t xml:space="preserve">razmeroma </w:t>
            </w:r>
            <w:r>
              <w:rPr>
                <w:color w:val="000000" w:themeColor="text1"/>
              </w:rPr>
              <w:t xml:space="preserve">visoka (5,6 %), </w:t>
            </w:r>
            <w:r w:rsidRPr="008262A8">
              <w:rPr>
                <w:color w:val="000000" w:themeColor="text1"/>
              </w:rPr>
              <w:t xml:space="preserve">kljub </w:t>
            </w:r>
            <w:r>
              <w:rPr>
                <w:color w:val="000000" w:themeColor="text1"/>
              </w:rPr>
              <w:t>že visoki lanski osnovi (</w:t>
            </w:r>
            <w:r w:rsidRPr="008262A8">
              <w:rPr>
                <w:color w:val="000000" w:themeColor="text1"/>
              </w:rPr>
              <w:t>začetek izplačevanja dodatka za nevarnost in posebne obremenitve ter dodatka za delo v rizičnih razmerah po kolektivni pogodbi)</w:t>
            </w:r>
            <w:r w:rsidR="00CC1323">
              <w:rPr>
                <w:color w:val="000000" w:themeColor="text1"/>
              </w:rPr>
              <w:t>,</w:t>
            </w:r>
            <w:r w:rsidR="002E5515">
              <w:rPr>
                <w:color w:val="000000" w:themeColor="text1"/>
              </w:rPr>
              <w:t xml:space="preserve"> </w:t>
            </w:r>
            <w:r w:rsidR="00CC1323">
              <w:rPr>
                <w:color w:val="000000" w:themeColor="text1"/>
              </w:rPr>
              <w:t>n</w:t>
            </w:r>
            <w:r w:rsidRPr="008262A8">
              <w:rPr>
                <w:color w:val="000000" w:themeColor="text1"/>
              </w:rPr>
              <w:t xml:space="preserve">a </w:t>
            </w:r>
            <w:r w:rsidR="00CC1323">
              <w:rPr>
                <w:color w:val="000000" w:themeColor="text1"/>
              </w:rPr>
              <w:t>kar</w:t>
            </w:r>
            <w:r>
              <w:rPr>
                <w:color w:val="000000" w:themeColor="text1"/>
              </w:rPr>
              <w:t xml:space="preserve"> </w:t>
            </w:r>
            <w:r w:rsidRPr="008262A8">
              <w:rPr>
                <w:color w:val="000000" w:themeColor="text1"/>
              </w:rPr>
              <w:t xml:space="preserve">je vplivala </w:t>
            </w:r>
            <w:r w:rsidR="004A5CA7">
              <w:rPr>
                <w:color w:val="000000" w:themeColor="text1"/>
              </w:rPr>
              <w:t>tudi</w:t>
            </w:r>
            <w:r w:rsidRPr="008262A8">
              <w:rPr>
                <w:color w:val="000000" w:themeColor="text1"/>
              </w:rPr>
              <w:t xml:space="preserve"> delovna uspešnost, ki se je začela izplačevati sredi lanskega leta</w:t>
            </w:r>
            <w:r w:rsidR="004A5CA7">
              <w:rPr>
                <w:color w:val="000000" w:themeColor="text1"/>
              </w:rPr>
              <w:t>.</w:t>
            </w:r>
            <w:r w:rsidRPr="008262A8">
              <w:rPr>
                <w:b/>
                <w:color w:val="000000" w:themeColor="text1"/>
              </w:rPr>
              <w:t xml:space="preserve"> </w:t>
            </w:r>
          </w:p>
        </w:tc>
      </w:tr>
    </w:tbl>
    <w:p w14:paraId="76E2447D" w14:textId="77777777" w:rsidR="00CE270A" w:rsidRDefault="00CE270A" w:rsidP="00026558">
      <w:pPr>
        <w:pStyle w:val="Naslov31"/>
        <w:jc w:val="left"/>
        <w:sectPr w:rsidR="00CE270A" w:rsidSect="00F444BF">
          <w:headerReference w:type="default" r:id="rId15"/>
          <w:headerReference w:type="first" r:id="rId16"/>
          <w:pgSz w:w="11906" w:h="16838"/>
          <w:pgMar w:top="1134" w:right="1134" w:bottom="1021" w:left="1134" w:header="709" w:footer="397" w:gutter="0"/>
          <w:cols w:space="708"/>
          <w:titlePg/>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E270A" w:rsidRPr="007A0B59" w14:paraId="4532F0EF" w14:textId="77777777" w:rsidTr="009F6ADC">
        <w:trPr>
          <w:trHeight w:val="207"/>
        </w:trPr>
        <w:tc>
          <w:tcPr>
            <w:tcW w:w="4819" w:type="dxa"/>
            <w:tcBorders>
              <w:bottom w:val="single" w:sz="4" w:space="0" w:color="auto"/>
            </w:tcBorders>
            <w:tcMar>
              <w:left w:w="0" w:type="dxa"/>
            </w:tcMar>
          </w:tcPr>
          <w:p w14:paraId="328B4C4C" w14:textId="40C0EAAA" w:rsidR="00CE270A" w:rsidRPr="007A0B59" w:rsidRDefault="00CE270A" w:rsidP="009F6ADC">
            <w:pPr>
              <w:pStyle w:val="Naslov31"/>
              <w:jc w:val="left"/>
            </w:pPr>
            <w:r>
              <w:lastRenderedPageBreak/>
              <w:t>Trg dela</w:t>
            </w:r>
            <w:r w:rsidRPr="003C03EC">
              <w:t>,</w:t>
            </w:r>
            <w:r>
              <w:t xml:space="preserve"> april–</w:t>
            </w:r>
            <w:r w:rsidRPr="003C03EC">
              <w:t>junij 202</w:t>
            </w:r>
          </w:p>
        </w:tc>
        <w:tc>
          <w:tcPr>
            <w:tcW w:w="4820" w:type="dxa"/>
            <w:gridSpan w:val="2"/>
            <w:tcBorders>
              <w:bottom w:val="single" w:sz="4" w:space="0" w:color="auto"/>
            </w:tcBorders>
          </w:tcPr>
          <w:p w14:paraId="24FAD10F" w14:textId="77777777" w:rsidR="00CE270A" w:rsidRPr="007A0B59" w:rsidRDefault="00CE270A" w:rsidP="009F6ADC">
            <w:pPr>
              <w:pStyle w:val="Naslov31"/>
            </w:pPr>
          </w:p>
        </w:tc>
      </w:tr>
      <w:tr w:rsidR="00CE270A" w:rsidRPr="00F16082" w14:paraId="081EE143" w14:textId="77777777" w:rsidTr="009F6ADC">
        <w:trPr>
          <w:trHeight w:val="1134"/>
        </w:trPr>
        <w:tc>
          <w:tcPr>
            <w:tcW w:w="4982" w:type="dxa"/>
            <w:gridSpan w:val="2"/>
            <w:tcBorders>
              <w:top w:val="single" w:sz="4" w:space="0" w:color="auto"/>
            </w:tcBorders>
            <w:tcMar>
              <w:left w:w="0" w:type="dxa"/>
            </w:tcMar>
          </w:tcPr>
          <w:p w14:paraId="4E51DB69" w14:textId="34E0C9D4" w:rsidR="00CE270A" w:rsidRDefault="00544847" w:rsidP="009F6ADC">
            <w:pPr>
              <w:pStyle w:val="ListParagraph"/>
              <w:ind w:left="0"/>
            </w:pPr>
            <w:r>
              <w:rPr>
                <w:noProof/>
              </w:rPr>
              <w:drawing>
                <wp:inline distT="0" distB="0" distL="0" distR="0" wp14:anchorId="6C057B3A" wp14:editId="2EAB9AA4">
                  <wp:extent cx="3092400" cy="2527200"/>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p>
        </w:tc>
        <w:tc>
          <w:tcPr>
            <w:tcW w:w="4657" w:type="dxa"/>
            <w:tcBorders>
              <w:top w:val="single" w:sz="4" w:space="0" w:color="auto"/>
            </w:tcBorders>
            <w:tcMar>
              <w:left w:w="284" w:type="dxa"/>
            </w:tcMar>
          </w:tcPr>
          <w:p w14:paraId="355B3C23" w14:textId="4A96E5C0" w:rsidR="00CE270A" w:rsidRPr="00F16082" w:rsidRDefault="000702AC" w:rsidP="00BA58E5">
            <w:pPr>
              <w:rPr>
                <w:bCs/>
                <w:color w:val="44546A" w:themeColor="text2"/>
              </w:rPr>
            </w:pPr>
            <w:r w:rsidRPr="00E57F5C">
              <w:rPr>
                <w:b/>
                <w:bCs/>
              </w:rPr>
              <w:t xml:space="preserve">Število registriranih brezposelnih je v prvi polovici </w:t>
            </w:r>
            <w:r>
              <w:rPr>
                <w:b/>
                <w:bCs/>
              </w:rPr>
              <w:t>junija</w:t>
            </w:r>
            <w:r w:rsidRPr="00E57F5C">
              <w:rPr>
                <w:b/>
                <w:bCs/>
              </w:rPr>
              <w:t xml:space="preserve"> nadalje upadlo.</w:t>
            </w:r>
            <w:r>
              <w:rPr>
                <w:b/>
                <w:bCs/>
              </w:rPr>
              <w:t xml:space="preserve"> </w:t>
            </w:r>
            <w:r w:rsidRPr="00E57F5C">
              <w:rPr>
                <w:bCs/>
              </w:rPr>
              <w:t xml:space="preserve">Maja se je upad </w:t>
            </w:r>
            <w:r w:rsidRPr="00AA0417">
              <w:rPr>
                <w:bCs/>
                <w:i/>
              </w:rPr>
              <w:t>števila brezposelnih</w:t>
            </w:r>
            <w:r w:rsidRPr="00E57F5C">
              <w:rPr>
                <w:bCs/>
              </w:rPr>
              <w:t xml:space="preserve"> še nekoliko okrepil, takšno gibanje pa se je nadaljevalo tudi v </w:t>
            </w:r>
            <w:r>
              <w:rPr>
                <w:bCs/>
              </w:rPr>
              <w:t xml:space="preserve">prvi polovici </w:t>
            </w:r>
            <w:r w:rsidRPr="00E57F5C">
              <w:rPr>
                <w:bCs/>
              </w:rPr>
              <w:t>junija. Ob sezonskih vplivih, ki letos niso bistveno odstopali od obdobja pred epidemijo, zmanjševanje števila brezposelnih povezujemo s postopnim sproščanjem zajezitvenih ukrepov in gospodarskim okrevanjem.</w:t>
            </w:r>
            <w:r>
              <w:rPr>
                <w:bCs/>
              </w:rPr>
              <w:t xml:space="preserve"> 15.</w:t>
            </w:r>
            <w:r w:rsidRPr="00E57F5C">
              <w:rPr>
                <w:bCs/>
              </w:rPr>
              <w:t xml:space="preserve"> </w:t>
            </w:r>
            <w:r>
              <w:rPr>
                <w:bCs/>
              </w:rPr>
              <w:t>junija</w:t>
            </w:r>
            <w:r w:rsidRPr="00E57F5C">
              <w:rPr>
                <w:bCs/>
              </w:rPr>
              <w:t xml:space="preserve"> je bilo</w:t>
            </w:r>
            <w:r>
              <w:rPr>
                <w:bCs/>
              </w:rPr>
              <w:t xml:space="preserve"> </w:t>
            </w:r>
            <w:r w:rsidRPr="006D56B7">
              <w:rPr>
                <w:bCs/>
              </w:rPr>
              <w:t>po neuradnih (dnevnih) podatkih ZRSZ</w:t>
            </w:r>
            <w:r w:rsidR="002E5515">
              <w:rPr>
                <w:bCs/>
              </w:rPr>
              <w:t xml:space="preserve"> </w:t>
            </w:r>
            <w:r w:rsidRPr="00E57F5C">
              <w:rPr>
                <w:bCs/>
              </w:rPr>
              <w:t>brezposelnih 7</w:t>
            </w:r>
            <w:r>
              <w:rPr>
                <w:bCs/>
              </w:rPr>
              <w:t>2.508</w:t>
            </w:r>
            <w:r w:rsidRPr="00E57F5C">
              <w:rPr>
                <w:bCs/>
              </w:rPr>
              <w:t xml:space="preserve"> oseb, kar je </w:t>
            </w:r>
            <w:r>
              <w:rPr>
                <w:bCs/>
              </w:rPr>
              <w:t>3,5</w:t>
            </w:r>
            <w:r w:rsidRPr="00E57F5C">
              <w:rPr>
                <w:bCs/>
              </w:rPr>
              <w:t xml:space="preserve"> % manj kot konec </w:t>
            </w:r>
            <w:r>
              <w:rPr>
                <w:bCs/>
              </w:rPr>
              <w:t>maj</w:t>
            </w:r>
            <w:r w:rsidRPr="00E57F5C">
              <w:rPr>
                <w:bCs/>
              </w:rPr>
              <w:t xml:space="preserve">a in </w:t>
            </w:r>
            <w:r>
              <w:rPr>
                <w:bCs/>
              </w:rPr>
              <w:t>okoli 19</w:t>
            </w:r>
            <w:r w:rsidRPr="00E57F5C">
              <w:rPr>
                <w:bCs/>
              </w:rPr>
              <w:t xml:space="preserve"> % manj kot pred letom. V primerjavi </w:t>
            </w:r>
            <w:r>
              <w:rPr>
                <w:bCs/>
              </w:rPr>
              <w:t>z junijem</w:t>
            </w:r>
            <w:r w:rsidRPr="00E57F5C">
              <w:rPr>
                <w:bCs/>
              </w:rPr>
              <w:t xml:space="preserve"> leta 2019 pa je bilo za </w:t>
            </w:r>
            <w:r>
              <w:rPr>
                <w:bCs/>
              </w:rPr>
              <w:t>okoli 2</w:t>
            </w:r>
            <w:r w:rsidRPr="00E57F5C">
              <w:rPr>
                <w:bCs/>
              </w:rPr>
              <w:t xml:space="preserve"> % višje. </w:t>
            </w:r>
            <w:r w:rsidRPr="00AA0417">
              <w:rPr>
                <w:bCs/>
                <w:i/>
              </w:rPr>
              <w:t>Število delovno aktivnih</w:t>
            </w:r>
            <w:r w:rsidRPr="00E57F5C">
              <w:rPr>
                <w:bCs/>
              </w:rPr>
              <w:t xml:space="preserve"> je bilo </w:t>
            </w:r>
            <w:r>
              <w:rPr>
                <w:bCs/>
              </w:rPr>
              <w:t>aprila</w:t>
            </w:r>
            <w:r w:rsidRPr="00E57F5C">
              <w:rPr>
                <w:bCs/>
              </w:rPr>
              <w:t xml:space="preserve"> medletno </w:t>
            </w:r>
            <w:r>
              <w:rPr>
                <w:bCs/>
              </w:rPr>
              <w:t>višje</w:t>
            </w:r>
            <w:r w:rsidRPr="00E57F5C">
              <w:rPr>
                <w:bCs/>
              </w:rPr>
              <w:t xml:space="preserve"> za </w:t>
            </w:r>
            <w:r>
              <w:rPr>
                <w:bCs/>
              </w:rPr>
              <w:t>1</w:t>
            </w:r>
            <w:r w:rsidRPr="00E57F5C">
              <w:rPr>
                <w:bCs/>
              </w:rPr>
              <w:t xml:space="preserve"> %, </w:t>
            </w:r>
            <w:r>
              <w:rPr>
                <w:bCs/>
              </w:rPr>
              <w:t xml:space="preserve">kar je </w:t>
            </w:r>
            <w:r w:rsidRPr="00E57F5C">
              <w:rPr>
                <w:bCs/>
              </w:rPr>
              <w:t xml:space="preserve">predvsem </w:t>
            </w:r>
            <w:r>
              <w:rPr>
                <w:bCs/>
              </w:rPr>
              <w:t>posledica</w:t>
            </w:r>
            <w:r w:rsidRPr="00E57F5C">
              <w:rPr>
                <w:bCs/>
              </w:rPr>
              <w:t xml:space="preserve"> učinka osnove (močno zmanjšanje </w:t>
            </w:r>
            <w:r>
              <w:rPr>
                <w:bCs/>
              </w:rPr>
              <w:t>aprila</w:t>
            </w:r>
            <w:r w:rsidRPr="00E57F5C">
              <w:rPr>
                <w:bCs/>
              </w:rPr>
              <w:t xml:space="preserve"> lani ob izbruhu epidemije). </w:t>
            </w:r>
            <w:r>
              <w:rPr>
                <w:bCs/>
              </w:rPr>
              <w:t>M</w:t>
            </w:r>
            <w:r w:rsidRPr="00E57F5C">
              <w:rPr>
                <w:bCs/>
              </w:rPr>
              <w:t xml:space="preserve">edletni upad zaposlenosti </w:t>
            </w:r>
            <w:r w:rsidR="0008705D">
              <w:rPr>
                <w:bCs/>
              </w:rPr>
              <w:t xml:space="preserve">pa </w:t>
            </w:r>
            <w:r w:rsidRPr="00E57F5C">
              <w:rPr>
                <w:bCs/>
              </w:rPr>
              <w:t xml:space="preserve">je ostal </w:t>
            </w:r>
            <w:r w:rsidR="00A831DA">
              <w:rPr>
                <w:bCs/>
              </w:rPr>
              <w:t xml:space="preserve">najvišji </w:t>
            </w:r>
            <w:r w:rsidRPr="00E57F5C">
              <w:rPr>
                <w:bCs/>
              </w:rPr>
              <w:t>v gostinstvu in drugih raznovrstnih dejavnostih, ki so jih zajezitveni ukrepi najbolj prizadeli, v zdravstvu in socialnem varstvu pa se je zaposlenost najbolj povišala</w:t>
            </w:r>
            <w:r>
              <w:rPr>
                <w:bCs/>
              </w:rPr>
              <w:t>.</w:t>
            </w:r>
          </w:p>
        </w:tc>
      </w:tr>
    </w:tbl>
    <w:p w14:paraId="13FF69C1" w14:textId="77777777" w:rsidR="00CE270A" w:rsidRDefault="00CE270A" w:rsidP="00026558">
      <w:pPr>
        <w:pStyle w:val="Naslov31"/>
        <w:jc w:val="left"/>
      </w:pPr>
    </w:p>
    <w:p w14:paraId="4329B82C" w14:textId="77777777" w:rsidR="00CE270A" w:rsidRDefault="00CE270A" w:rsidP="00026558">
      <w:pPr>
        <w:pStyle w:val="Naslov31"/>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6558" w:rsidRPr="006C2117" w14:paraId="3DC3453B" w14:textId="77777777" w:rsidTr="009F6ADC">
        <w:trPr>
          <w:trHeight w:val="207"/>
        </w:trPr>
        <w:tc>
          <w:tcPr>
            <w:tcW w:w="4819" w:type="dxa"/>
            <w:tcBorders>
              <w:bottom w:val="single" w:sz="4" w:space="0" w:color="auto"/>
            </w:tcBorders>
            <w:tcMar>
              <w:left w:w="0" w:type="dxa"/>
            </w:tcMar>
          </w:tcPr>
          <w:p w14:paraId="3C0662C6" w14:textId="696F4BB0" w:rsidR="00026558" w:rsidRPr="006C2117" w:rsidRDefault="00026558" w:rsidP="00026558">
            <w:pPr>
              <w:pStyle w:val="Naslov31"/>
              <w:jc w:val="left"/>
            </w:pPr>
            <w:r>
              <w:t>Davčno potrjevanje računov</w:t>
            </w:r>
            <w:r w:rsidRPr="001D1127">
              <w:t xml:space="preserve">, </w:t>
            </w:r>
            <w:r>
              <w:t xml:space="preserve">junij </w:t>
            </w:r>
            <w:r w:rsidRPr="001D1127">
              <w:t>2021</w:t>
            </w:r>
          </w:p>
        </w:tc>
        <w:tc>
          <w:tcPr>
            <w:tcW w:w="4820" w:type="dxa"/>
            <w:gridSpan w:val="2"/>
            <w:tcBorders>
              <w:bottom w:val="single" w:sz="4" w:space="0" w:color="auto"/>
            </w:tcBorders>
          </w:tcPr>
          <w:p w14:paraId="5C081966" w14:textId="77777777" w:rsidR="00026558" w:rsidRPr="006C2117" w:rsidRDefault="00026558" w:rsidP="00026558">
            <w:pPr>
              <w:pStyle w:val="Naslov31"/>
            </w:pPr>
          </w:p>
        </w:tc>
      </w:tr>
      <w:tr w:rsidR="00026558" w:rsidRPr="00DF4F0B" w14:paraId="2776FF2B" w14:textId="77777777" w:rsidTr="009F6ADC">
        <w:trPr>
          <w:trHeight w:val="1134"/>
        </w:trPr>
        <w:tc>
          <w:tcPr>
            <w:tcW w:w="4982" w:type="dxa"/>
            <w:gridSpan w:val="2"/>
            <w:tcBorders>
              <w:top w:val="single" w:sz="4" w:space="0" w:color="auto"/>
            </w:tcBorders>
            <w:tcMar>
              <w:left w:w="0" w:type="dxa"/>
            </w:tcMar>
          </w:tcPr>
          <w:p w14:paraId="1319687F" w14:textId="3F5BEE79" w:rsidR="00026558" w:rsidRDefault="00026558" w:rsidP="00026558">
            <w:pPr>
              <w:pStyle w:val="ListParagraph"/>
              <w:ind w:left="0"/>
            </w:pPr>
          </w:p>
          <w:p w14:paraId="0743C6D9" w14:textId="061A66E3" w:rsidR="00225628" w:rsidRDefault="00E267D2" w:rsidP="00026558">
            <w:pPr>
              <w:pStyle w:val="ListParagraph"/>
              <w:ind w:left="0"/>
            </w:pPr>
            <w:r>
              <w:rPr>
                <w:noProof/>
              </w:rPr>
              <w:drawing>
                <wp:inline distT="0" distB="0" distL="0" distR="0" wp14:anchorId="03CBFE2C" wp14:editId="3DE9C80A">
                  <wp:extent cx="3146400" cy="24084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6400" cy="2408400"/>
                          </a:xfrm>
                          <a:prstGeom prst="rect">
                            <a:avLst/>
                          </a:prstGeom>
                          <a:noFill/>
                        </pic:spPr>
                      </pic:pic>
                    </a:graphicData>
                  </a:graphic>
                </wp:inline>
              </w:drawing>
            </w:r>
          </w:p>
        </w:tc>
        <w:tc>
          <w:tcPr>
            <w:tcW w:w="4657" w:type="dxa"/>
            <w:tcBorders>
              <w:top w:val="single" w:sz="4" w:space="0" w:color="auto"/>
            </w:tcBorders>
            <w:tcMar>
              <w:left w:w="284" w:type="dxa"/>
            </w:tcMar>
          </w:tcPr>
          <w:p w14:paraId="4E302136" w14:textId="51BDCD6E" w:rsidR="00026558" w:rsidRPr="00DF4F0B" w:rsidRDefault="00211F56" w:rsidP="00026558">
            <w:bookmarkStart w:id="0" w:name="_Hlk74898951"/>
            <w:r w:rsidRPr="00ED2ED2">
              <w:rPr>
                <w:b/>
                <w:bCs/>
              </w:rPr>
              <w:t xml:space="preserve">Po podatkih o </w:t>
            </w:r>
            <w:r w:rsidRPr="00220AAA">
              <w:rPr>
                <w:b/>
                <w:bCs/>
              </w:rPr>
              <w:t>davčnem potrjevanju računov</w:t>
            </w:r>
            <w:r>
              <w:rPr>
                <w:b/>
                <w:bCs/>
              </w:rPr>
              <w:t xml:space="preserve"> je bila prodaja v prvih dveh tednih junija medletno večja </w:t>
            </w:r>
            <w:r w:rsidRPr="00F61F91">
              <w:rPr>
                <w:b/>
                <w:bCs/>
              </w:rPr>
              <w:t>za 8 %, glede na enako obdobje leta 2019 pa za 2 %</w:t>
            </w:r>
            <w:r>
              <w:rPr>
                <w:b/>
                <w:bCs/>
              </w:rPr>
              <w:t xml:space="preserve">. </w:t>
            </w:r>
            <w:r>
              <w:rPr>
                <w:bCs/>
              </w:rPr>
              <w:t>V večini panog se je medletna rast u</w:t>
            </w:r>
            <w:r w:rsidR="00F15CE6">
              <w:rPr>
                <w:bCs/>
              </w:rPr>
              <w:t>počasnila</w:t>
            </w:r>
            <w:r>
              <w:rPr>
                <w:bCs/>
              </w:rPr>
              <w:t xml:space="preserve"> oz. je bila prodaja celo manjša v panogah, kjer so lani junija dosegli veliko povečanje (npr. v trgovini z motornimi vozili). V nekaterih, predvsem </w:t>
            </w:r>
            <w:r w:rsidRPr="00F32A2F">
              <w:rPr>
                <w:bCs/>
              </w:rPr>
              <w:t>s turizmom povezanih panogah</w:t>
            </w:r>
            <w:r>
              <w:rPr>
                <w:bCs/>
              </w:rPr>
              <w:t xml:space="preserve"> (nastanitvene dejavnosti, prirejanje iger na srečo, dejavnost potovalnih agencij), pa se je o</w:t>
            </w:r>
            <w:r w:rsidRPr="00F32A2F">
              <w:rPr>
                <w:bCs/>
              </w:rPr>
              <w:t xml:space="preserve">b dodatnem sproščanju </w:t>
            </w:r>
            <w:r>
              <w:rPr>
                <w:bCs/>
              </w:rPr>
              <w:t xml:space="preserve">zajezitvenih </w:t>
            </w:r>
            <w:r w:rsidRPr="00F32A2F">
              <w:rPr>
                <w:bCs/>
              </w:rPr>
              <w:t>ukrepov ohranila visoka medletna rast</w:t>
            </w:r>
            <w:r>
              <w:rPr>
                <w:bCs/>
              </w:rPr>
              <w:t xml:space="preserve">. Celotna prodaja je bila v prvih dveh tednih junija za 2 % višja kot v enakem obdobju leta 2019, na kar so vplivale predvsem rasti v trgovini na debelo in na drobno. Prodaja v delu storitev, kjer so omejitve poslovanja ostale relativno visoke (kulturne, razvedrilne in </w:t>
            </w:r>
            <w:r w:rsidR="00EF01FA">
              <w:rPr>
                <w:bCs/>
              </w:rPr>
              <w:t xml:space="preserve">nastanitvene </w:t>
            </w:r>
            <w:r>
              <w:rPr>
                <w:bCs/>
              </w:rPr>
              <w:t>storitve, prirejanje iger na srečo), pa je bila še naprej za več kot polovico nižja kot v istem obdobju 2019.</w:t>
            </w:r>
            <w:bookmarkEnd w:id="0"/>
          </w:p>
        </w:tc>
      </w:tr>
    </w:tbl>
    <w:p w14:paraId="46C9727E" w14:textId="77777777" w:rsidR="00692FA3" w:rsidRDefault="00692FA3" w:rsidP="0019277F">
      <w:pPr>
        <w:pStyle w:val="Naslov31"/>
        <w:jc w:val="left"/>
        <w:sectPr w:rsidR="00692FA3" w:rsidSect="00F444BF">
          <w:headerReference w:type="default" r:id="rId19"/>
          <w:pgSz w:w="11906" w:h="16838"/>
          <w:pgMar w:top="1134" w:right="1134" w:bottom="1021" w:left="1134" w:header="709" w:footer="397" w:gutter="0"/>
          <w:cols w:space="708"/>
          <w:titlePg/>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A7D92" w:rsidRPr="006C2117" w14:paraId="571CEB39" w14:textId="77777777" w:rsidTr="00334D18">
        <w:trPr>
          <w:trHeight w:val="207"/>
        </w:trPr>
        <w:tc>
          <w:tcPr>
            <w:tcW w:w="4819" w:type="dxa"/>
            <w:tcBorders>
              <w:bottom w:val="single" w:sz="4" w:space="0" w:color="auto"/>
            </w:tcBorders>
            <w:tcMar>
              <w:left w:w="0" w:type="dxa"/>
            </w:tcMar>
          </w:tcPr>
          <w:p w14:paraId="060D2E63" w14:textId="04170F30" w:rsidR="004A7D92" w:rsidRPr="006C2117" w:rsidRDefault="00B7289B" w:rsidP="00C45877">
            <w:pPr>
              <w:pStyle w:val="Naslov31"/>
              <w:jc w:val="left"/>
            </w:pPr>
            <w:r>
              <w:lastRenderedPageBreak/>
              <w:t>Gradbeništvo</w:t>
            </w:r>
            <w:r w:rsidR="004A7D92" w:rsidRPr="001D1127">
              <w:t xml:space="preserve">, </w:t>
            </w:r>
            <w:r w:rsidR="00B83AD6" w:rsidRPr="001D1127">
              <w:t>april</w:t>
            </w:r>
            <w:r w:rsidR="004A7D92" w:rsidRPr="001D1127">
              <w:t xml:space="preserve"> 2021</w:t>
            </w:r>
          </w:p>
        </w:tc>
        <w:tc>
          <w:tcPr>
            <w:tcW w:w="4820" w:type="dxa"/>
            <w:gridSpan w:val="2"/>
            <w:tcBorders>
              <w:bottom w:val="single" w:sz="4" w:space="0" w:color="auto"/>
            </w:tcBorders>
          </w:tcPr>
          <w:p w14:paraId="42B93B18" w14:textId="77777777" w:rsidR="004A7D92" w:rsidRPr="006C2117" w:rsidRDefault="004A7D92" w:rsidP="00C45877">
            <w:pPr>
              <w:pStyle w:val="Naslov31"/>
            </w:pPr>
          </w:p>
        </w:tc>
      </w:tr>
      <w:tr w:rsidR="004A7D92" w:rsidRPr="00DF4F0B" w14:paraId="6046C58C" w14:textId="77777777" w:rsidTr="00334D18">
        <w:trPr>
          <w:trHeight w:val="1134"/>
        </w:trPr>
        <w:tc>
          <w:tcPr>
            <w:tcW w:w="4982" w:type="dxa"/>
            <w:gridSpan w:val="2"/>
            <w:tcBorders>
              <w:top w:val="single" w:sz="4" w:space="0" w:color="auto"/>
            </w:tcBorders>
            <w:tcMar>
              <w:left w:w="0" w:type="dxa"/>
            </w:tcMar>
          </w:tcPr>
          <w:p w14:paraId="0B78CBF1" w14:textId="555904D0" w:rsidR="004A7D92" w:rsidRDefault="00D17C4C" w:rsidP="00C45877">
            <w:pPr>
              <w:pStyle w:val="ListParagraph"/>
              <w:ind w:left="0"/>
            </w:pPr>
            <w:r>
              <w:rPr>
                <w:noProof/>
              </w:rPr>
              <w:drawing>
                <wp:inline distT="0" distB="0" distL="0" distR="0" wp14:anchorId="7F3C0D1B" wp14:editId="531A84CA">
                  <wp:extent cx="3088800" cy="2530800"/>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60F92FBA" w14:textId="1BD287A5" w:rsidR="00B63AF3" w:rsidRDefault="00B63AF3" w:rsidP="00B63AF3">
            <w:r>
              <w:rPr>
                <w:rStyle w:val="Strong"/>
              </w:rPr>
              <w:t xml:space="preserve">Gradbena aktivnost se je aprila nekoliko znižala. </w:t>
            </w:r>
            <w:r>
              <w:t>Vrednost opravljenih del se je znižala za 3,4 %, a bila za 6,5 % višj</w:t>
            </w:r>
            <w:r w:rsidR="00404870">
              <w:t>a</w:t>
            </w:r>
            <w:r>
              <w:t xml:space="preserve"> kot pred letom. Na mesečni ravni se je aktivnost znižala v vseh segmentih gradbeništva, okrepila se je le v gradnji </w:t>
            </w:r>
            <w:proofErr w:type="spellStart"/>
            <w:r>
              <w:t>nestanovanjskih</w:t>
            </w:r>
            <w:proofErr w:type="spellEnd"/>
            <w:r>
              <w:t xml:space="preserve"> stavb, kjer pa se je v predhodnih mesecih močno znižala. V tem segmentu gradbeništva je aktivnost letos tudi precej nižja kot v povprečju lanskega leta. V </w:t>
            </w:r>
            <w:r w:rsidR="00C65B3C">
              <w:t>medletni</w:t>
            </w:r>
            <w:r>
              <w:t xml:space="preserve"> primerjavi najbolje kaže gradnji stanovanjskih stavb (skoraj 30</w:t>
            </w:r>
            <w:r w:rsidR="003C392C">
              <w:t> </w:t>
            </w:r>
            <w:r>
              <w:t xml:space="preserve">% višja aktivnost), višja kot lani pa je aktivnost tudi v gradnji inženirskih objektov in specializiranih gradbenih delih. Podatki o pogodbah nakazujejo, da se bo relativno nizka aktivnost v gradnji </w:t>
            </w:r>
            <w:proofErr w:type="spellStart"/>
            <w:r>
              <w:t>nestanovanjskih</w:t>
            </w:r>
            <w:proofErr w:type="spellEnd"/>
            <w:r>
              <w:t xml:space="preserve"> stavb nadaljevala, bolje pa kaže predvsem gradnji inženirskih objektov in specializiranim gradbenih delom. </w:t>
            </w:r>
          </w:p>
          <w:p w14:paraId="3434950C" w14:textId="3C400174" w:rsidR="008444D1" w:rsidRPr="00DF4F0B" w:rsidRDefault="008444D1" w:rsidP="00C45877"/>
        </w:tc>
      </w:tr>
      <w:tr w:rsidR="004A7D92" w:rsidRPr="006C2117" w14:paraId="224C68D5" w14:textId="77777777" w:rsidTr="00334D18">
        <w:trPr>
          <w:trHeight w:val="207"/>
        </w:trPr>
        <w:tc>
          <w:tcPr>
            <w:tcW w:w="4819" w:type="dxa"/>
            <w:tcBorders>
              <w:bottom w:val="single" w:sz="4" w:space="0" w:color="auto"/>
            </w:tcBorders>
            <w:tcMar>
              <w:left w:w="0" w:type="dxa"/>
            </w:tcMar>
          </w:tcPr>
          <w:p w14:paraId="6A4FF237" w14:textId="5155CA5A" w:rsidR="004A7D92" w:rsidRPr="006C2117" w:rsidRDefault="00FF1B8C" w:rsidP="00C45877">
            <w:pPr>
              <w:pStyle w:val="Naslov31"/>
              <w:jc w:val="left"/>
            </w:pPr>
            <w:r>
              <w:t>Tekoči ra</w:t>
            </w:r>
            <w:r w:rsidR="00592EB2">
              <w:t>č</w:t>
            </w:r>
            <w:r>
              <w:t>un</w:t>
            </w:r>
            <w:r w:rsidR="004A7D92" w:rsidRPr="007B708A">
              <w:t xml:space="preserve">, </w:t>
            </w:r>
            <w:r w:rsidR="002928AB" w:rsidRPr="007B708A">
              <w:t>april</w:t>
            </w:r>
            <w:r w:rsidR="004A7D92" w:rsidRPr="007B708A">
              <w:t xml:space="preserve"> 2021</w:t>
            </w:r>
          </w:p>
        </w:tc>
        <w:tc>
          <w:tcPr>
            <w:tcW w:w="4820" w:type="dxa"/>
            <w:gridSpan w:val="2"/>
            <w:tcBorders>
              <w:bottom w:val="single" w:sz="4" w:space="0" w:color="auto"/>
            </w:tcBorders>
          </w:tcPr>
          <w:p w14:paraId="180C1348" w14:textId="77777777" w:rsidR="004A7D92" w:rsidRPr="006C2117" w:rsidRDefault="004A7D92" w:rsidP="00C45877">
            <w:pPr>
              <w:pStyle w:val="Naslov31"/>
            </w:pPr>
          </w:p>
        </w:tc>
      </w:tr>
      <w:tr w:rsidR="004A7D92" w:rsidRPr="00DF4F0B" w14:paraId="72814E1E" w14:textId="77777777" w:rsidTr="00334D18">
        <w:trPr>
          <w:trHeight w:val="1134"/>
        </w:trPr>
        <w:tc>
          <w:tcPr>
            <w:tcW w:w="4982" w:type="dxa"/>
            <w:gridSpan w:val="2"/>
            <w:tcBorders>
              <w:top w:val="single" w:sz="4" w:space="0" w:color="auto"/>
            </w:tcBorders>
            <w:tcMar>
              <w:left w:w="0" w:type="dxa"/>
            </w:tcMar>
          </w:tcPr>
          <w:p w14:paraId="685E6547" w14:textId="1638C26F" w:rsidR="004A7D92" w:rsidRDefault="005651CC" w:rsidP="00C45877">
            <w:pPr>
              <w:pStyle w:val="ListParagraph"/>
              <w:ind w:left="0"/>
            </w:pPr>
            <w:r>
              <w:rPr>
                <w:noProof/>
              </w:rPr>
              <w:drawing>
                <wp:inline distT="0" distB="0" distL="0" distR="0" wp14:anchorId="42AB8480" wp14:editId="1A87CC22">
                  <wp:extent cx="3092400" cy="2527200"/>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p>
        </w:tc>
        <w:tc>
          <w:tcPr>
            <w:tcW w:w="4657" w:type="dxa"/>
            <w:tcBorders>
              <w:top w:val="single" w:sz="4" w:space="0" w:color="auto"/>
            </w:tcBorders>
            <w:tcMar>
              <w:left w:w="284" w:type="dxa"/>
            </w:tcMar>
          </w:tcPr>
          <w:p w14:paraId="6FA3A191" w14:textId="322F8DED" w:rsidR="004A7D92" w:rsidRDefault="003948DB" w:rsidP="00C45877">
            <w:r w:rsidRPr="00D820DE">
              <w:rPr>
                <w:b/>
              </w:rPr>
              <w:t>Presežek tekočega računa je bil aprila znova medletno višji.</w:t>
            </w:r>
            <w:r w:rsidRPr="003948DB">
              <w:t xml:space="preserve"> K temu je največ prispeval presežek sekundarnih dohodkov (aprila lani so izkazovali primanjkljaj), večinoma zaradi več prejetih sredstev državnega sektorja (socialnih prejemkov iz proračuna EU). Ob sproščanju zajezitvenih ukrepov je storitvena menjava po letu dni okrevala. Storitveni presežek je bil aprila znova medletno višji, predvsem zaradi rasti presežka pri transportnih storitvah in potovanjih. Primanjkljaj primarnih dohodkov je bil aprila medletno nižji, predvsem zaradi manjših neto plačil obresti na zunanji dolg.</w:t>
            </w:r>
            <w:r w:rsidR="002E5515">
              <w:t xml:space="preserve"> </w:t>
            </w:r>
            <w:r w:rsidRPr="003948DB">
              <w:t>Blagovni presežek je ostal na podobni ravni kot aprila lani (168 mio EUR). Visoka aprilska medletna nominalna rast blagovne menjave je tudi posledica višjih cen energentov in cen ostalih primarnih surovin, ki najbolj vplivajo na rast uvoznih cen. Aprila so bile izvozne cene blaga medletno višje za 1,8 %, uvozne pa kar za 7 %, pogoji menjave blaga so se zato poslabšali za 4,8 %. Dvanajstmesečni presežek tekočega računa plačilne bilance ostaja visok (3,4 mrd EUR;</w:t>
            </w:r>
            <w:r w:rsidR="002E5515">
              <w:t xml:space="preserve"> </w:t>
            </w:r>
            <w:r w:rsidRPr="003948DB">
              <w:t>7 % BDP</w:t>
            </w:r>
            <w:r w:rsidR="00790B01">
              <w:t>)</w:t>
            </w:r>
            <w:r w:rsidRPr="003948DB">
              <w:t>.</w:t>
            </w:r>
          </w:p>
          <w:p w14:paraId="086053F3" w14:textId="77B180B5" w:rsidR="00B073D2" w:rsidRPr="00DF4F0B" w:rsidRDefault="00B073D2" w:rsidP="00C45877"/>
        </w:tc>
      </w:tr>
    </w:tbl>
    <w:p w14:paraId="659EC19E" w14:textId="77777777" w:rsidR="004A7D92" w:rsidRDefault="004A7D92" w:rsidP="004A7D92"/>
    <w:p w14:paraId="64C231E1" w14:textId="77777777" w:rsidR="00EE6FBF" w:rsidRDefault="00EE6FBF" w:rsidP="00EE6FBF"/>
    <w:p w14:paraId="09007057" w14:textId="77777777" w:rsidR="00EE6FBF" w:rsidRPr="00FE7254" w:rsidRDefault="00EE6FBF" w:rsidP="00EE6FBF">
      <w:pPr>
        <w:sectPr w:rsidR="00EE6FBF" w:rsidRPr="00FE7254" w:rsidSect="00187E14">
          <w:headerReference w:type="default" r:id="rId22"/>
          <w:pgSz w:w="11906" w:h="16838"/>
          <w:pgMar w:top="1134" w:right="1134" w:bottom="1021" w:left="1134" w:header="709" w:footer="397" w:gutter="0"/>
          <w:cols w:space="708"/>
          <w:docGrid w:linePitch="360"/>
        </w:sectPr>
      </w:pPr>
    </w:p>
    <w:p w14:paraId="20CA59C5" w14:textId="060C1EA4" w:rsidR="00FE7254" w:rsidRPr="00FE7254" w:rsidRDefault="007F0F87" w:rsidP="00DF3707">
      <w:pPr>
        <w:tabs>
          <w:tab w:val="left" w:pos="580"/>
        </w:tabs>
        <w:sectPr w:rsidR="00FE7254" w:rsidRPr="00FE7254" w:rsidSect="00363E63">
          <w:headerReference w:type="default" r:id="rId23"/>
          <w:footerReference w:type="default" r:id="rId24"/>
          <w:pgSz w:w="11906" w:h="16838"/>
          <w:pgMar w:top="1134" w:right="1134" w:bottom="1021" w:left="1134" w:header="709" w:footer="397" w:gutter="0"/>
          <w:cols w:space="708"/>
          <w:docGrid w:linePitch="360"/>
        </w:sectPr>
      </w:pPr>
      <w:r w:rsidRPr="007F0F87">
        <w:rPr>
          <w:noProof/>
        </w:rPr>
        <w:lastRenderedPageBreak/>
        <w:drawing>
          <wp:inline distT="0" distB="0" distL="0" distR="0" wp14:anchorId="59AD9137" wp14:editId="69BD7FDB">
            <wp:extent cx="6120130" cy="9027018"/>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9027018"/>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7"/>
      <w:footerReference w:type="default" r:id="rId2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BF9AE" w14:textId="77777777" w:rsidR="00D441C9" w:rsidRDefault="00D441C9" w:rsidP="0063497B">
      <w:pPr>
        <w:spacing w:line="240" w:lineRule="auto"/>
      </w:pPr>
      <w:r>
        <w:separator/>
      </w:r>
    </w:p>
  </w:endnote>
  <w:endnote w:type="continuationSeparator" w:id="0">
    <w:p w14:paraId="1F569441" w14:textId="77777777" w:rsidR="00D441C9" w:rsidRDefault="00D441C9" w:rsidP="0063497B">
      <w:pPr>
        <w:spacing w:line="240" w:lineRule="auto"/>
      </w:pPr>
      <w:r>
        <w:continuationSeparator/>
      </w:r>
    </w:p>
  </w:endnote>
  <w:endnote w:type="continuationNotice" w:id="1">
    <w:p w14:paraId="3A0D5B96" w14:textId="77777777" w:rsidR="00D441C9" w:rsidRDefault="00D441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77777777" w:rsidR="00EE6FBF" w:rsidRPr="00363E63" w:rsidRDefault="00EE6FB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5B0943">
        <w:rPr>
          <w:rStyle w:val="Hyperlink"/>
          <w:b w:val="0"/>
          <w:sz w:val="18"/>
          <w:szCs w:val="18"/>
        </w:rPr>
        <w:t>matic.slapsak@gov.si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4</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72DF3E81" w:rsidR="00EE6FBF" w:rsidRPr="00363E63" w:rsidRDefault="00EE6FB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DB3AEE" w:rsidRPr="00B20F5B">
        <w:rPr>
          <w:rStyle w:val="Hyperlink"/>
          <w:b w:val="0"/>
          <w:sz w:val="18"/>
          <w:szCs w:val="18"/>
        </w:rPr>
        <w:t>matic.slapsak@gov.si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13D48B46"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DB3AEE" w:rsidRPr="00B20F5B">
        <w:rPr>
          <w:rStyle w:val="Hyperlink"/>
          <w:b w:val="0"/>
          <w:sz w:val="18"/>
          <w:szCs w:val="18"/>
        </w:rPr>
        <w:t>matic.slapsak@gov.si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2FF10" w14:textId="77777777" w:rsidR="00D441C9" w:rsidRDefault="00D441C9" w:rsidP="0063497B">
      <w:pPr>
        <w:spacing w:line="240" w:lineRule="auto"/>
      </w:pPr>
      <w:r>
        <w:separator/>
      </w:r>
    </w:p>
  </w:footnote>
  <w:footnote w:type="continuationSeparator" w:id="0">
    <w:p w14:paraId="73B04EA5" w14:textId="77777777" w:rsidR="00D441C9" w:rsidRDefault="00D441C9" w:rsidP="0063497B">
      <w:pPr>
        <w:spacing w:line="240" w:lineRule="auto"/>
      </w:pPr>
      <w:r>
        <w:continuationSeparator/>
      </w:r>
    </w:p>
  </w:footnote>
  <w:footnote w:type="continuationNotice" w:id="1">
    <w:p w14:paraId="3E9A98E7" w14:textId="77777777" w:rsidR="00D441C9" w:rsidRDefault="00D441C9">
      <w:pPr>
        <w:spacing w:line="240" w:lineRule="auto"/>
      </w:pPr>
    </w:p>
  </w:footnote>
  <w:footnote w:id="2">
    <w:p w14:paraId="232953AA" w14:textId="04C2795C" w:rsidR="008C0999" w:rsidRDefault="008C0999">
      <w:pPr>
        <w:pStyle w:val="FootnoteText"/>
      </w:pPr>
      <w:r>
        <w:rPr>
          <w:rStyle w:val="FootnoteReference"/>
        </w:rPr>
        <w:footnoteRef/>
      </w:r>
      <w:r>
        <w:t xml:space="preserve"> Gre z</w:t>
      </w:r>
      <w:r w:rsidR="00257D51">
        <w:t>a</w:t>
      </w:r>
      <w:r>
        <w:t xml:space="preserve"> visok obseg, ki je bil v</w:t>
      </w:r>
      <w:r w:rsidR="00257D51">
        <w:t xml:space="preserve"> letu 2019 dosežen le nekajkrat.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681235F5" w14:textId="77777777" w:rsidTr="00F87311">
      <w:tc>
        <w:tcPr>
          <w:tcW w:w="3210" w:type="dxa"/>
        </w:tcPr>
        <w:p w14:paraId="5AA96FFF" w14:textId="1457CD4E" w:rsidR="0DCAB6FB" w:rsidRDefault="0DCAB6FB" w:rsidP="00F87311">
          <w:pPr>
            <w:pStyle w:val="Header"/>
            <w:ind w:left="-115"/>
            <w:jc w:val="left"/>
            <w:rPr>
              <w:rFonts w:eastAsia="Arial"/>
              <w:szCs w:val="20"/>
            </w:rPr>
          </w:pPr>
        </w:p>
      </w:tc>
      <w:tc>
        <w:tcPr>
          <w:tcW w:w="3210" w:type="dxa"/>
        </w:tcPr>
        <w:p w14:paraId="16DED597" w14:textId="4F449A21" w:rsidR="0DCAB6FB" w:rsidRDefault="0DCAB6FB" w:rsidP="00F87311">
          <w:pPr>
            <w:pStyle w:val="Header"/>
            <w:jc w:val="center"/>
            <w:rPr>
              <w:rFonts w:eastAsia="Arial"/>
              <w:szCs w:val="20"/>
            </w:rPr>
          </w:pPr>
        </w:p>
      </w:tc>
      <w:tc>
        <w:tcPr>
          <w:tcW w:w="3210" w:type="dxa"/>
        </w:tcPr>
        <w:p w14:paraId="55D1A8A5" w14:textId="78E2FECB" w:rsidR="0DCAB6FB" w:rsidRDefault="0DCAB6FB" w:rsidP="00F87311">
          <w:pPr>
            <w:pStyle w:val="Header"/>
            <w:ind w:right="-115"/>
            <w:jc w:val="right"/>
            <w:rPr>
              <w:rFonts w:eastAsia="Arial"/>
              <w:szCs w:val="20"/>
            </w:rPr>
          </w:pPr>
        </w:p>
      </w:tc>
    </w:tr>
  </w:tbl>
  <w:p w14:paraId="1FB80C37" w14:textId="38282BB7" w:rsidR="001A5828" w:rsidRDefault="001A5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F4B2" w14:textId="47E22A57" w:rsidR="00EE6FBF" w:rsidRDefault="00EE6FBF" w:rsidP="00652795">
    <w:pPr>
      <w:jc w:val="right"/>
    </w:pPr>
    <w:r w:rsidRPr="0029405F">
      <w:rPr>
        <w:noProof/>
        <w:lang w:eastAsia="sl-SI"/>
      </w:rPr>
      <w:drawing>
        <wp:anchor distT="0" distB="0" distL="114300" distR="114300" simplePos="0" relativeHeight="251658752" behindDoc="0" locked="0" layoutInCell="1" allowOverlap="1" wp14:anchorId="3C1951D8" wp14:editId="32658E88">
          <wp:simplePos x="0" y="0"/>
          <wp:positionH relativeFrom="column">
            <wp:posOffset>-361950</wp:posOffset>
          </wp:positionH>
          <wp:positionV relativeFrom="paragraph">
            <wp:posOffset>62865</wp:posOffset>
          </wp:positionV>
          <wp:extent cx="1259840" cy="1002030"/>
          <wp:effectExtent l="0" t="0" r="0" b="7620"/>
          <wp:wrapTopAndBottom/>
          <wp:docPr id="15"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011EE3">
      <w:t>21</w:t>
    </w:r>
    <w:r>
      <w:t>. junij 2021</w:t>
    </w:r>
  </w:p>
  <w:p w14:paraId="3F1C33B8" w14:textId="77777777" w:rsidR="00EE6FBF" w:rsidRDefault="00EE6FBF" w:rsidP="00FE7254">
    <w:pPr>
      <w:jc w:val="right"/>
    </w:pPr>
  </w:p>
  <w:p w14:paraId="37F8F8A1" w14:textId="77777777" w:rsidR="00EE6FBF" w:rsidRDefault="00EE6FBF" w:rsidP="00FE7254">
    <w:pPr>
      <w:jc w:val="right"/>
    </w:pPr>
  </w:p>
  <w:p w14:paraId="656709B5" w14:textId="77777777" w:rsidR="00EE6FBF" w:rsidRDefault="00EE6FBF" w:rsidP="00FE725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4DAE0ABD" w14:textId="77777777" w:rsidTr="00F87311">
      <w:tc>
        <w:tcPr>
          <w:tcW w:w="3210" w:type="dxa"/>
        </w:tcPr>
        <w:p w14:paraId="3726A0A3" w14:textId="4FC1676A" w:rsidR="0DCAB6FB" w:rsidRDefault="0DCAB6FB" w:rsidP="00F87311">
          <w:pPr>
            <w:pStyle w:val="Header"/>
            <w:ind w:left="-115"/>
            <w:jc w:val="left"/>
            <w:rPr>
              <w:rFonts w:eastAsia="Arial"/>
              <w:szCs w:val="20"/>
            </w:rPr>
          </w:pPr>
        </w:p>
      </w:tc>
      <w:tc>
        <w:tcPr>
          <w:tcW w:w="3210" w:type="dxa"/>
        </w:tcPr>
        <w:p w14:paraId="7B1B46C1" w14:textId="404FD6DE" w:rsidR="0DCAB6FB" w:rsidRDefault="0DCAB6FB" w:rsidP="00F87311">
          <w:pPr>
            <w:pStyle w:val="Header"/>
            <w:jc w:val="center"/>
            <w:rPr>
              <w:rFonts w:eastAsia="Arial"/>
              <w:szCs w:val="20"/>
            </w:rPr>
          </w:pPr>
        </w:p>
      </w:tc>
      <w:tc>
        <w:tcPr>
          <w:tcW w:w="3210" w:type="dxa"/>
        </w:tcPr>
        <w:p w14:paraId="62E4A8CD" w14:textId="366BDC02" w:rsidR="0DCAB6FB" w:rsidRDefault="0DCAB6FB" w:rsidP="00F87311">
          <w:pPr>
            <w:pStyle w:val="Header"/>
            <w:ind w:right="-115"/>
            <w:jc w:val="right"/>
            <w:rPr>
              <w:rFonts w:eastAsia="Arial"/>
              <w:szCs w:val="20"/>
            </w:rPr>
          </w:pPr>
        </w:p>
      </w:tc>
    </w:tr>
  </w:tbl>
  <w:p w14:paraId="5003D24C" w14:textId="4BFF6BB1" w:rsidR="001A5828" w:rsidRDefault="001A58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B8D2" w14:textId="77777777" w:rsidR="00A669C4" w:rsidRPr="00A669C4" w:rsidRDefault="00A669C4" w:rsidP="00A669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01CFC5A4" w14:textId="77777777" w:rsidTr="00F87311">
      <w:tc>
        <w:tcPr>
          <w:tcW w:w="3210" w:type="dxa"/>
        </w:tcPr>
        <w:p w14:paraId="2A9C7E62" w14:textId="2C872910" w:rsidR="0DCAB6FB" w:rsidRDefault="0DCAB6FB" w:rsidP="00F87311">
          <w:pPr>
            <w:pStyle w:val="Header"/>
            <w:ind w:left="-115"/>
            <w:jc w:val="left"/>
            <w:rPr>
              <w:rFonts w:eastAsia="Arial"/>
              <w:szCs w:val="20"/>
            </w:rPr>
          </w:pPr>
        </w:p>
      </w:tc>
      <w:tc>
        <w:tcPr>
          <w:tcW w:w="3210" w:type="dxa"/>
        </w:tcPr>
        <w:p w14:paraId="57372A19" w14:textId="3FE0E33E" w:rsidR="0DCAB6FB" w:rsidRDefault="0DCAB6FB" w:rsidP="00F87311">
          <w:pPr>
            <w:pStyle w:val="Header"/>
            <w:jc w:val="center"/>
            <w:rPr>
              <w:rFonts w:eastAsia="Arial"/>
              <w:szCs w:val="20"/>
            </w:rPr>
          </w:pPr>
        </w:p>
      </w:tc>
      <w:tc>
        <w:tcPr>
          <w:tcW w:w="3210" w:type="dxa"/>
        </w:tcPr>
        <w:p w14:paraId="108128FA" w14:textId="02DD2C84" w:rsidR="0DCAB6FB" w:rsidRDefault="0DCAB6FB" w:rsidP="00F87311">
          <w:pPr>
            <w:pStyle w:val="Header"/>
            <w:ind w:right="-115"/>
            <w:jc w:val="right"/>
            <w:rPr>
              <w:rFonts w:eastAsia="Arial"/>
              <w:szCs w:val="20"/>
            </w:rPr>
          </w:pPr>
        </w:p>
      </w:tc>
    </w:tr>
  </w:tbl>
  <w:p w14:paraId="319644AA" w14:textId="6710C362" w:rsidR="001A5828" w:rsidRDefault="001A58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523F3F2A" w14:textId="77777777" w:rsidTr="00F87311">
      <w:tc>
        <w:tcPr>
          <w:tcW w:w="3210" w:type="dxa"/>
        </w:tcPr>
        <w:p w14:paraId="71BEDE04" w14:textId="74A730AE" w:rsidR="0DCAB6FB" w:rsidRDefault="0DCAB6FB" w:rsidP="00F87311">
          <w:pPr>
            <w:pStyle w:val="Header"/>
            <w:ind w:left="-115"/>
            <w:jc w:val="left"/>
            <w:rPr>
              <w:rFonts w:eastAsia="Arial"/>
              <w:szCs w:val="20"/>
            </w:rPr>
          </w:pPr>
        </w:p>
      </w:tc>
      <w:tc>
        <w:tcPr>
          <w:tcW w:w="3210" w:type="dxa"/>
        </w:tcPr>
        <w:p w14:paraId="30FE0020" w14:textId="122244D3" w:rsidR="0DCAB6FB" w:rsidRDefault="0DCAB6FB" w:rsidP="00F87311">
          <w:pPr>
            <w:pStyle w:val="Header"/>
            <w:jc w:val="center"/>
            <w:rPr>
              <w:rFonts w:eastAsia="Arial"/>
              <w:szCs w:val="20"/>
            </w:rPr>
          </w:pPr>
        </w:p>
      </w:tc>
      <w:tc>
        <w:tcPr>
          <w:tcW w:w="3210" w:type="dxa"/>
        </w:tcPr>
        <w:p w14:paraId="163A89D4" w14:textId="0BF594E8" w:rsidR="0DCAB6FB" w:rsidRDefault="0DCAB6FB" w:rsidP="00F87311">
          <w:pPr>
            <w:pStyle w:val="Header"/>
            <w:ind w:right="-115"/>
            <w:jc w:val="right"/>
            <w:rPr>
              <w:rFonts w:eastAsia="Arial"/>
              <w:szCs w:val="20"/>
            </w:rPr>
          </w:pPr>
        </w:p>
      </w:tc>
    </w:tr>
  </w:tbl>
  <w:p w14:paraId="19D3C9C5" w14:textId="6B206305" w:rsidR="001A5828" w:rsidRDefault="001A58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363E63" w:rsidRPr="004E2D3A" w:rsidRDefault="004E2D3A">
    <w:pPr>
      <w:pStyle w:val="Header"/>
      <w:rPr>
        <w:b/>
        <w:bCs/>
      </w:rPr>
    </w:pPr>
    <w:r w:rsidRPr="001750C3">
      <w:rPr>
        <w:b/>
        <w:bCs/>
      </w:rPr>
      <w:t>Tabela: izbrani makroekonomski kazalci za Slovenijo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616"/>
    <w:rsid w:val="00005262"/>
    <w:rsid w:val="00011EE3"/>
    <w:rsid w:val="00017F89"/>
    <w:rsid w:val="000238A9"/>
    <w:rsid w:val="0002402D"/>
    <w:rsid w:val="000264DD"/>
    <w:rsid w:val="00026558"/>
    <w:rsid w:val="00031C60"/>
    <w:rsid w:val="00044CD2"/>
    <w:rsid w:val="00050FE8"/>
    <w:rsid w:val="000664B8"/>
    <w:rsid w:val="000702AC"/>
    <w:rsid w:val="000703C7"/>
    <w:rsid w:val="00070B6E"/>
    <w:rsid w:val="00073779"/>
    <w:rsid w:val="00075113"/>
    <w:rsid w:val="00077119"/>
    <w:rsid w:val="00077F13"/>
    <w:rsid w:val="00080155"/>
    <w:rsid w:val="00085B00"/>
    <w:rsid w:val="0008705D"/>
    <w:rsid w:val="00090222"/>
    <w:rsid w:val="000920B7"/>
    <w:rsid w:val="0009727A"/>
    <w:rsid w:val="000A06AB"/>
    <w:rsid w:val="000A0AA5"/>
    <w:rsid w:val="000A3AC8"/>
    <w:rsid w:val="000A5A42"/>
    <w:rsid w:val="000A7B01"/>
    <w:rsid w:val="000A7BDC"/>
    <w:rsid w:val="000B0162"/>
    <w:rsid w:val="000B5043"/>
    <w:rsid w:val="000C5B3B"/>
    <w:rsid w:val="000C6DD2"/>
    <w:rsid w:val="000D46BA"/>
    <w:rsid w:val="000D7202"/>
    <w:rsid w:val="000E6E7A"/>
    <w:rsid w:val="000E7850"/>
    <w:rsid w:val="000F7605"/>
    <w:rsid w:val="000F79AF"/>
    <w:rsid w:val="001014E8"/>
    <w:rsid w:val="00101EB1"/>
    <w:rsid w:val="001118AE"/>
    <w:rsid w:val="00112035"/>
    <w:rsid w:val="001133D0"/>
    <w:rsid w:val="00114A03"/>
    <w:rsid w:val="00115E8D"/>
    <w:rsid w:val="00117484"/>
    <w:rsid w:val="001202DF"/>
    <w:rsid w:val="001218D3"/>
    <w:rsid w:val="00121A18"/>
    <w:rsid w:val="00123D52"/>
    <w:rsid w:val="001333E9"/>
    <w:rsid w:val="00133E20"/>
    <w:rsid w:val="00137532"/>
    <w:rsid w:val="00140468"/>
    <w:rsid w:val="0015222B"/>
    <w:rsid w:val="00154495"/>
    <w:rsid w:val="00157B7D"/>
    <w:rsid w:val="001615E9"/>
    <w:rsid w:val="00161FAB"/>
    <w:rsid w:val="00165271"/>
    <w:rsid w:val="00165908"/>
    <w:rsid w:val="00173B28"/>
    <w:rsid w:val="001750C3"/>
    <w:rsid w:val="00175631"/>
    <w:rsid w:val="00176B13"/>
    <w:rsid w:val="00180DE2"/>
    <w:rsid w:val="001811EC"/>
    <w:rsid w:val="0018798B"/>
    <w:rsid w:val="00187E14"/>
    <w:rsid w:val="001907C7"/>
    <w:rsid w:val="0019138D"/>
    <w:rsid w:val="00193BED"/>
    <w:rsid w:val="001A0C98"/>
    <w:rsid w:val="001A5828"/>
    <w:rsid w:val="001A701F"/>
    <w:rsid w:val="001A7530"/>
    <w:rsid w:val="001B2855"/>
    <w:rsid w:val="001B56E9"/>
    <w:rsid w:val="001B582D"/>
    <w:rsid w:val="001B6AE7"/>
    <w:rsid w:val="001D1127"/>
    <w:rsid w:val="001D2F99"/>
    <w:rsid w:val="001D542D"/>
    <w:rsid w:val="001D6793"/>
    <w:rsid w:val="001E3E73"/>
    <w:rsid w:val="001E75CC"/>
    <w:rsid w:val="001F2324"/>
    <w:rsid w:val="001F51CD"/>
    <w:rsid w:val="00201434"/>
    <w:rsid w:val="002055F5"/>
    <w:rsid w:val="00211F56"/>
    <w:rsid w:val="00225099"/>
    <w:rsid w:val="00225628"/>
    <w:rsid w:val="00234963"/>
    <w:rsid w:val="0024185C"/>
    <w:rsid w:val="00243593"/>
    <w:rsid w:val="00254D3B"/>
    <w:rsid w:val="00255D1C"/>
    <w:rsid w:val="00257D51"/>
    <w:rsid w:val="00261874"/>
    <w:rsid w:val="0026509A"/>
    <w:rsid w:val="00280704"/>
    <w:rsid w:val="00282148"/>
    <w:rsid w:val="00286EAA"/>
    <w:rsid w:val="00291EC8"/>
    <w:rsid w:val="002928AB"/>
    <w:rsid w:val="0029405F"/>
    <w:rsid w:val="00294F8A"/>
    <w:rsid w:val="002A0916"/>
    <w:rsid w:val="002A0C21"/>
    <w:rsid w:val="002B2898"/>
    <w:rsid w:val="002B4319"/>
    <w:rsid w:val="002B4C3A"/>
    <w:rsid w:val="002B5361"/>
    <w:rsid w:val="002B5B96"/>
    <w:rsid w:val="002C50DD"/>
    <w:rsid w:val="002D2BB3"/>
    <w:rsid w:val="002D2C05"/>
    <w:rsid w:val="002D46EF"/>
    <w:rsid w:val="002E5515"/>
    <w:rsid w:val="002E69B6"/>
    <w:rsid w:val="002E6FAD"/>
    <w:rsid w:val="003004F7"/>
    <w:rsid w:val="00300B2B"/>
    <w:rsid w:val="00306767"/>
    <w:rsid w:val="00312D09"/>
    <w:rsid w:val="00313A1C"/>
    <w:rsid w:val="00325138"/>
    <w:rsid w:val="003266AB"/>
    <w:rsid w:val="003307B1"/>
    <w:rsid w:val="00334C48"/>
    <w:rsid w:val="00334D18"/>
    <w:rsid w:val="003518B6"/>
    <w:rsid w:val="00354C63"/>
    <w:rsid w:val="00356E56"/>
    <w:rsid w:val="00357289"/>
    <w:rsid w:val="00363E63"/>
    <w:rsid w:val="00366166"/>
    <w:rsid w:val="00370A94"/>
    <w:rsid w:val="00384458"/>
    <w:rsid w:val="00384C19"/>
    <w:rsid w:val="003948DB"/>
    <w:rsid w:val="003953F6"/>
    <w:rsid w:val="003A49D8"/>
    <w:rsid w:val="003A4BCD"/>
    <w:rsid w:val="003A7B3C"/>
    <w:rsid w:val="003B658A"/>
    <w:rsid w:val="003C03EC"/>
    <w:rsid w:val="003C31C7"/>
    <w:rsid w:val="003C392C"/>
    <w:rsid w:val="003C614E"/>
    <w:rsid w:val="003C6AE4"/>
    <w:rsid w:val="003D111B"/>
    <w:rsid w:val="003D4FB5"/>
    <w:rsid w:val="003D6F43"/>
    <w:rsid w:val="003E5AE3"/>
    <w:rsid w:val="003E6355"/>
    <w:rsid w:val="003E7A19"/>
    <w:rsid w:val="003F2BEF"/>
    <w:rsid w:val="003F3CCC"/>
    <w:rsid w:val="003F3F33"/>
    <w:rsid w:val="00404870"/>
    <w:rsid w:val="0040719E"/>
    <w:rsid w:val="00416D1B"/>
    <w:rsid w:val="0042166D"/>
    <w:rsid w:val="00425874"/>
    <w:rsid w:val="00431EDD"/>
    <w:rsid w:val="004368FB"/>
    <w:rsid w:val="00452589"/>
    <w:rsid w:val="00452804"/>
    <w:rsid w:val="00455C0C"/>
    <w:rsid w:val="004563B1"/>
    <w:rsid w:val="00456ACD"/>
    <w:rsid w:val="00464D01"/>
    <w:rsid w:val="004675B6"/>
    <w:rsid w:val="004701D7"/>
    <w:rsid w:val="00473642"/>
    <w:rsid w:val="00473A92"/>
    <w:rsid w:val="00474E8F"/>
    <w:rsid w:val="00477274"/>
    <w:rsid w:val="004850BC"/>
    <w:rsid w:val="00485F72"/>
    <w:rsid w:val="004867FD"/>
    <w:rsid w:val="00490B52"/>
    <w:rsid w:val="0049445F"/>
    <w:rsid w:val="004970E5"/>
    <w:rsid w:val="004A5CA7"/>
    <w:rsid w:val="004A7D92"/>
    <w:rsid w:val="004B2F43"/>
    <w:rsid w:val="004B763F"/>
    <w:rsid w:val="004D05BC"/>
    <w:rsid w:val="004D28ED"/>
    <w:rsid w:val="004E2D3A"/>
    <w:rsid w:val="004E3953"/>
    <w:rsid w:val="004E6E21"/>
    <w:rsid w:val="004F00B8"/>
    <w:rsid w:val="004F235B"/>
    <w:rsid w:val="004F4AF9"/>
    <w:rsid w:val="0050097B"/>
    <w:rsid w:val="00501166"/>
    <w:rsid w:val="00503921"/>
    <w:rsid w:val="00505B07"/>
    <w:rsid w:val="00505D39"/>
    <w:rsid w:val="00513B09"/>
    <w:rsid w:val="005325BC"/>
    <w:rsid w:val="00532F53"/>
    <w:rsid w:val="00534457"/>
    <w:rsid w:val="005441C0"/>
    <w:rsid w:val="005441CC"/>
    <w:rsid w:val="00544847"/>
    <w:rsid w:val="00545D45"/>
    <w:rsid w:val="00546DBF"/>
    <w:rsid w:val="005508E9"/>
    <w:rsid w:val="00555BA2"/>
    <w:rsid w:val="00561C9A"/>
    <w:rsid w:val="00564B65"/>
    <w:rsid w:val="005651CC"/>
    <w:rsid w:val="00567093"/>
    <w:rsid w:val="00592EB2"/>
    <w:rsid w:val="00593406"/>
    <w:rsid w:val="005A36AC"/>
    <w:rsid w:val="005B59D6"/>
    <w:rsid w:val="005C5A21"/>
    <w:rsid w:val="005D4B4F"/>
    <w:rsid w:val="005E66E6"/>
    <w:rsid w:val="005E6A9C"/>
    <w:rsid w:val="005F0F5B"/>
    <w:rsid w:val="00603D7E"/>
    <w:rsid w:val="006164C4"/>
    <w:rsid w:val="00621593"/>
    <w:rsid w:val="00622458"/>
    <w:rsid w:val="006269CE"/>
    <w:rsid w:val="00627583"/>
    <w:rsid w:val="00632DC6"/>
    <w:rsid w:val="0063497B"/>
    <w:rsid w:val="00640A44"/>
    <w:rsid w:val="006439A6"/>
    <w:rsid w:val="00650921"/>
    <w:rsid w:val="00652795"/>
    <w:rsid w:val="00653EB4"/>
    <w:rsid w:val="00653FDA"/>
    <w:rsid w:val="00663944"/>
    <w:rsid w:val="00671853"/>
    <w:rsid w:val="00675D0C"/>
    <w:rsid w:val="0068202F"/>
    <w:rsid w:val="0068576B"/>
    <w:rsid w:val="006875F1"/>
    <w:rsid w:val="00692FA3"/>
    <w:rsid w:val="006965FC"/>
    <w:rsid w:val="006A2CED"/>
    <w:rsid w:val="006A4028"/>
    <w:rsid w:val="006A6820"/>
    <w:rsid w:val="006B5F12"/>
    <w:rsid w:val="006C2117"/>
    <w:rsid w:val="006C3619"/>
    <w:rsid w:val="006C623E"/>
    <w:rsid w:val="006D1801"/>
    <w:rsid w:val="006D1DD4"/>
    <w:rsid w:val="006D50A8"/>
    <w:rsid w:val="006D7946"/>
    <w:rsid w:val="006E1C81"/>
    <w:rsid w:val="006E755C"/>
    <w:rsid w:val="006F14AA"/>
    <w:rsid w:val="006F2158"/>
    <w:rsid w:val="006F43B2"/>
    <w:rsid w:val="006F67F3"/>
    <w:rsid w:val="007016EF"/>
    <w:rsid w:val="00701AFB"/>
    <w:rsid w:val="0070263C"/>
    <w:rsid w:val="00711660"/>
    <w:rsid w:val="00724AF1"/>
    <w:rsid w:val="00731B6F"/>
    <w:rsid w:val="0073739E"/>
    <w:rsid w:val="007411B1"/>
    <w:rsid w:val="00743658"/>
    <w:rsid w:val="00743D6A"/>
    <w:rsid w:val="0074452D"/>
    <w:rsid w:val="0074466E"/>
    <w:rsid w:val="00746833"/>
    <w:rsid w:val="00762390"/>
    <w:rsid w:val="0076576A"/>
    <w:rsid w:val="00766C8E"/>
    <w:rsid w:val="00773616"/>
    <w:rsid w:val="007760D3"/>
    <w:rsid w:val="007770B5"/>
    <w:rsid w:val="00781A81"/>
    <w:rsid w:val="007839AD"/>
    <w:rsid w:val="00790B01"/>
    <w:rsid w:val="00790F4D"/>
    <w:rsid w:val="0079410F"/>
    <w:rsid w:val="007965D5"/>
    <w:rsid w:val="007A0B59"/>
    <w:rsid w:val="007A6C35"/>
    <w:rsid w:val="007B074D"/>
    <w:rsid w:val="007B708A"/>
    <w:rsid w:val="007B7110"/>
    <w:rsid w:val="007C3E32"/>
    <w:rsid w:val="007C4B7A"/>
    <w:rsid w:val="007D0791"/>
    <w:rsid w:val="007D1145"/>
    <w:rsid w:val="007D37A0"/>
    <w:rsid w:val="007E12D6"/>
    <w:rsid w:val="007E77B8"/>
    <w:rsid w:val="007F0D3D"/>
    <w:rsid w:val="007F0F87"/>
    <w:rsid w:val="007F1307"/>
    <w:rsid w:val="007F13BE"/>
    <w:rsid w:val="007F76D0"/>
    <w:rsid w:val="008019CA"/>
    <w:rsid w:val="0080305F"/>
    <w:rsid w:val="00804742"/>
    <w:rsid w:val="008049AA"/>
    <w:rsid w:val="00812D81"/>
    <w:rsid w:val="00813F80"/>
    <w:rsid w:val="0081665C"/>
    <w:rsid w:val="00822375"/>
    <w:rsid w:val="00831669"/>
    <w:rsid w:val="008425D1"/>
    <w:rsid w:val="008444D1"/>
    <w:rsid w:val="0084784F"/>
    <w:rsid w:val="008507B0"/>
    <w:rsid w:val="0085793F"/>
    <w:rsid w:val="00860582"/>
    <w:rsid w:val="008637AE"/>
    <w:rsid w:val="00863817"/>
    <w:rsid w:val="008646FF"/>
    <w:rsid w:val="008673EE"/>
    <w:rsid w:val="008678A7"/>
    <w:rsid w:val="0087075D"/>
    <w:rsid w:val="008713BF"/>
    <w:rsid w:val="00873892"/>
    <w:rsid w:val="0088498B"/>
    <w:rsid w:val="00887D7E"/>
    <w:rsid w:val="0089056E"/>
    <w:rsid w:val="0089259B"/>
    <w:rsid w:val="008A5C8B"/>
    <w:rsid w:val="008B077B"/>
    <w:rsid w:val="008C0999"/>
    <w:rsid w:val="008C3E02"/>
    <w:rsid w:val="008D16C9"/>
    <w:rsid w:val="008E2510"/>
    <w:rsid w:val="008E47B9"/>
    <w:rsid w:val="008E4BE8"/>
    <w:rsid w:val="008E629C"/>
    <w:rsid w:val="00901826"/>
    <w:rsid w:val="00907FF3"/>
    <w:rsid w:val="00910265"/>
    <w:rsid w:val="009130E0"/>
    <w:rsid w:val="00914026"/>
    <w:rsid w:val="00915C47"/>
    <w:rsid w:val="00923945"/>
    <w:rsid w:val="009345E2"/>
    <w:rsid w:val="0093604B"/>
    <w:rsid w:val="00941651"/>
    <w:rsid w:val="00942126"/>
    <w:rsid w:val="00946C4C"/>
    <w:rsid w:val="0095067C"/>
    <w:rsid w:val="00952784"/>
    <w:rsid w:val="00952DED"/>
    <w:rsid w:val="00954546"/>
    <w:rsid w:val="00955244"/>
    <w:rsid w:val="00956D7D"/>
    <w:rsid w:val="00961FFD"/>
    <w:rsid w:val="0098633D"/>
    <w:rsid w:val="009916BC"/>
    <w:rsid w:val="009918B9"/>
    <w:rsid w:val="0099356E"/>
    <w:rsid w:val="009A1E12"/>
    <w:rsid w:val="009A2846"/>
    <w:rsid w:val="009A2F1E"/>
    <w:rsid w:val="009A63C7"/>
    <w:rsid w:val="009B4991"/>
    <w:rsid w:val="009C0197"/>
    <w:rsid w:val="009C5404"/>
    <w:rsid w:val="009D311B"/>
    <w:rsid w:val="009D55C7"/>
    <w:rsid w:val="009F11F2"/>
    <w:rsid w:val="009F7268"/>
    <w:rsid w:val="009F7732"/>
    <w:rsid w:val="00A03772"/>
    <w:rsid w:val="00A05AD8"/>
    <w:rsid w:val="00A05D2F"/>
    <w:rsid w:val="00A072AA"/>
    <w:rsid w:val="00A107AD"/>
    <w:rsid w:val="00A138F0"/>
    <w:rsid w:val="00A17CAB"/>
    <w:rsid w:val="00A22E1A"/>
    <w:rsid w:val="00A30CE9"/>
    <w:rsid w:val="00A3590F"/>
    <w:rsid w:val="00A35FCE"/>
    <w:rsid w:val="00A42839"/>
    <w:rsid w:val="00A46CFE"/>
    <w:rsid w:val="00A50665"/>
    <w:rsid w:val="00A536F2"/>
    <w:rsid w:val="00A616EC"/>
    <w:rsid w:val="00A61B9E"/>
    <w:rsid w:val="00A63DAB"/>
    <w:rsid w:val="00A669C4"/>
    <w:rsid w:val="00A7050D"/>
    <w:rsid w:val="00A71C27"/>
    <w:rsid w:val="00A752BD"/>
    <w:rsid w:val="00A831DA"/>
    <w:rsid w:val="00A8329F"/>
    <w:rsid w:val="00A8621D"/>
    <w:rsid w:val="00A91D52"/>
    <w:rsid w:val="00AA0417"/>
    <w:rsid w:val="00AA09CD"/>
    <w:rsid w:val="00AA1F25"/>
    <w:rsid w:val="00AA3992"/>
    <w:rsid w:val="00AA53A5"/>
    <w:rsid w:val="00AB0C65"/>
    <w:rsid w:val="00AB4BAB"/>
    <w:rsid w:val="00AB63FB"/>
    <w:rsid w:val="00AB7E03"/>
    <w:rsid w:val="00AC0189"/>
    <w:rsid w:val="00AC328B"/>
    <w:rsid w:val="00AC3405"/>
    <w:rsid w:val="00AC477E"/>
    <w:rsid w:val="00AC5C46"/>
    <w:rsid w:val="00AC60B2"/>
    <w:rsid w:val="00AD068B"/>
    <w:rsid w:val="00AF2194"/>
    <w:rsid w:val="00AF3058"/>
    <w:rsid w:val="00AF46D4"/>
    <w:rsid w:val="00B00E5E"/>
    <w:rsid w:val="00B0168D"/>
    <w:rsid w:val="00B073D2"/>
    <w:rsid w:val="00B11EE5"/>
    <w:rsid w:val="00B131DE"/>
    <w:rsid w:val="00B201B4"/>
    <w:rsid w:val="00B20F52"/>
    <w:rsid w:val="00B220A3"/>
    <w:rsid w:val="00B33AD0"/>
    <w:rsid w:val="00B34F30"/>
    <w:rsid w:val="00B35F90"/>
    <w:rsid w:val="00B35FFD"/>
    <w:rsid w:val="00B427DC"/>
    <w:rsid w:val="00B451B6"/>
    <w:rsid w:val="00B47625"/>
    <w:rsid w:val="00B52F7E"/>
    <w:rsid w:val="00B60E53"/>
    <w:rsid w:val="00B61872"/>
    <w:rsid w:val="00B61B71"/>
    <w:rsid w:val="00B62D4B"/>
    <w:rsid w:val="00B63AF3"/>
    <w:rsid w:val="00B7289B"/>
    <w:rsid w:val="00B738F6"/>
    <w:rsid w:val="00B74E00"/>
    <w:rsid w:val="00B8300F"/>
    <w:rsid w:val="00B833CE"/>
    <w:rsid w:val="00B83AD6"/>
    <w:rsid w:val="00B84489"/>
    <w:rsid w:val="00B93742"/>
    <w:rsid w:val="00B942BF"/>
    <w:rsid w:val="00B95659"/>
    <w:rsid w:val="00B96874"/>
    <w:rsid w:val="00BA034E"/>
    <w:rsid w:val="00BA58E5"/>
    <w:rsid w:val="00BB6DF6"/>
    <w:rsid w:val="00BD1C70"/>
    <w:rsid w:val="00BD4175"/>
    <w:rsid w:val="00BE5A88"/>
    <w:rsid w:val="00BE6D7C"/>
    <w:rsid w:val="00BE75B5"/>
    <w:rsid w:val="00BF2574"/>
    <w:rsid w:val="00C153F9"/>
    <w:rsid w:val="00C22B80"/>
    <w:rsid w:val="00C317BB"/>
    <w:rsid w:val="00C31AC6"/>
    <w:rsid w:val="00C33770"/>
    <w:rsid w:val="00C34CE5"/>
    <w:rsid w:val="00C373DB"/>
    <w:rsid w:val="00C436B2"/>
    <w:rsid w:val="00C4393E"/>
    <w:rsid w:val="00C52613"/>
    <w:rsid w:val="00C56454"/>
    <w:rsid w:val="00C61830"/>
    <w:rsid w:val="00C6351F"/>
    <w:rsid w:val="00C65B3C"/>
    <w:rsid w:val="00C7435F"/>
    <w:rsid w:val="00C75B61"/>
    <w:rsid w:val="00C80811"/>
    <w:rsid w:val="00C97521"/>
    <w:rsid w:val="00CB0A14"/>
    <w:rsid w:val="00CB4119"/>
    <w:rsid w:val="00CB7467"/>
    <w:rsid w:val="00CB7F83"/>
    <w:rsid w:val="00CC1323"/>
    <w:rsid w:val="00CC2838"/>
    <w:rsid w:val="00CD2C61"/>
    <w:rsid w:val="00CE1098"/>
    <w:rsid w:val="00CE11AE"/>
    <w:rsid w:val="00CE270A"/>
    <w:rsid w:val="00CF2062"/>
    <w:rsid w:val="00CF46F5"/>
    <w:rsid w:val="00CF6407"/>
    <w:rsid w:val="00D024E5"/>
    <w:rsid w:val="00D03FE3"/>
    <w:rsid w:val="00D040E2"/>
    <w:rsid w:val="00D13611"/>
    <w:rsid w:val="00D17C4C"/>
    <w:rsid w:val="00D210A8"/>
    <w:rsid w:val="00D2251D"/>
    <w:rsid w:val="00D22523"/>
    <w:rsid w:val="00D2363D"/>
    <w:rsid w:val="00D312B6"/>
    <w:rsid w:val="00D32907"/>
    <w:rsid w:val="00D32EB0"/>
    <w:rsid w:val="00D40911"/>
    <w:rsid w:val="00D441C9"/>
    <w:rsid w:val="00D5159E"/>
    <w:rsid w:val="00D5264A"/>
    <w:rsid w:val="00D552DA"/>
    <w:rsid w:val="00D74B2A"/>
    <w:rsid w:val="00D820DE"/>
    <w:rsid w:val="00D94466"/>
    <w:rsid w:val="00DA27A8"/>
    <w:rsid w:val="00DA45DB"/>
    <w:rsid w:val="00DB06CC"/>
    <w:rsid w:val="00DB1C32"/>
    <w:rsid w:val="00DB3AEE"/>
    <w:rsid w:val="00DB4CCA"/>
    <w:rsid w:val="00DD3CAB"/>
    <w:rsid w:val="00DD4C10"/>
    <w:rsid w:val="00DE2EA9"/>
    <w:rsid w:val="00DE31D8"/>
    <w:rsid w:val="00DE4ACB"/>
    <w:rsid w:val="00DE72F6"/>
    <w:rsid w:val="00DF29B0"/>
    <w:rsid w:val="00DF3707"/>
    <w:rsid w:val="00DF4F0B"/>
    <w:rsid w:val="00E001FF"/>
    <w:rsid w:val="00E021F0"/>
    <w:rsid w:val="00E02749"/>
    <w:rsid w:val="00E02848"/>
    <w:rsid w:val="00E02ACF"/>
    <w:rsid w:val="00E0363E"/>
    <w:rsid w:val="00E07D86"/>
    <w:rsid w:val="00E10F17"/>
    <w:rsid w:val="00E129A1"/>
    <w:rsid w:val="00E13E2C"/>
    <w:rsid w:val="00E226DD"/>
    <w:rsid w:val="00E267D2"/>
    <w:rsid w:val="00E34BE0"/>
    <w:rsid w:val="00E46065"/>
    <w:rsid w:val="00E53C39"/>
    <w:rsid w:val="00E64A57"/>
    <w:rsid w:val="00E67674"/>
    <w:rsid w:val="00E74DE0"/>
    <w:rsid w:val="00E7791D"/>
    <w:rsid w:val="00E82095"/>
    <w:rsid w:val="00E90611"/>
    <w:rsid w:val="00E90811"/>
    <w:rsid w:val="00EA45BB"/>
    <w:rsid w:val="00EA7439"/>
    <w:rsid w:val="00EB5C25"/>
    <w:rsid w:val="00EC70A7"/>
    <w:rsid w:val="00ED1E16"/>
    <w:rsid w:val="00ED31AC"/>
    <w:rsid w:val="00EE43E1"/>
    <w:rsid w:val="00EE6FBF"/>
    <w:rsid w:val="00EE7E6E"/>
    <w:rsid w:val="00EF01FA"/>
    <w:rsid w:val="00EF11FD"/>
    <w:rsid w:val="00EF3449"/>
    <w:rsid w:val="00F13478"/>
    <w:rsid w:val="00F14A6E"/>
    <w:rsid w:val="00F15CE6"/>
    <w:rsid w:val="00F16082"/>
    <w:rsid w:val="00F20C31"/>
    <w:rsid w:val="00F37D43"/>
    <w:rsid w:val="00F409C1"/>
    <w:rsid w:val="00F41E1A"/>
    <w:rsid w:val="00F43935"/>
    <w:rsid w:val="00F43F6C"/>
    <w:rsid w:val="00F444BF"/>
    <w:rsid w:val="00F47B15"/>
    <w:rsid w:val="00F50BC2"/>
    <w:rsid w:val="00F52F6D"/>
    <w:rsid w:val="00F545EF"/>
    <w:rsid w:val="00F62CF3"/>
    <w:rsid w:val="00F64410"/>
    <w:rsid w:val="00F64F2F"/>
    <w:rsid w:val="00F65156"/>
    <w:rsid w:val="00F6635B"/>
    <w:rsid w:val="00F66E1B"/>
    <w:rsid w:val="00F72C51"/>
    <w:rsid w:val="00F73963"/>
    <w:rsid w:val="00F807C6"/>
    <w:rsid w:val="00F8375E"/>
    <w:rsid w:val="00F83E8C"/>
    <w:rsid w:val="00F87311"/>
    <w:rsid w:val="00F930F6"/>
    <w:rsid w:val="00F9475B"/>
    <w:rsid w:val="00FA45E3"/>
    <w:rsid w:val="00FA4F4E"/>
    <w:rsid w:val="00FA626D"/>
    <w:rsid w:val="00FA7842"/>
    <w:rsid w:val="00FB064C"/>
    <w:rsid w:val="00FB5533"/>
    <w:rsid w:val="00FB5E33"/>
    <w:rsid w:val="00FC64C5"/>
    <w:rsid w:val="00FC780A"/>
    <w:rsid w:val="00FD360F"/>
    <w:rsid w:val="00FE0670"/>
    <w:rsid w:val="00FE12B1"/>
    <w:rsid w:val="00FE722F"/>
    <w:rsid w:val="00FE7254"/>
    <w:rsid w:val="00FF1B7D"/>
    <w:rsid w:val="00FF1B8C"/>
    <w:rsid w:val="00FF1C0D"/>
    <w:rsid w:val="00FF777A"/>
    <w:rsid w:val="0DCAB6FB"/>
    <w:rsid w:val="3EED19C4"/>
    <w:rsid w:val="6A672E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2D81A-4FC8-423A-B0C8-EE664F56A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2021-06-21T07:50:00Z</dcterms:created>
  <dcterms:modified xsi:type="dcterms:W3CDTF">2021-06-21T07:50:00Z</dcterms:modified>
</cp:coreProperties>
</file>