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bookmarkStart w:id="0" w:name="_GoBack"/>
      <w:bookmarkEnd w:id="0"/>
      <w:r>
        <w:t>CURRENT ECONOMIC TRENDS</w:t>
      </w:r>
    </w:p>
    <w:p w14:paraId="069DD334" w14:textId="01FA78B7" w:rsidR="001D6793" w:rsidRDefault="00FA45E3" w:rsidP="001D6793">
      <w:pPr>
        <w:pStyle w:val="Naslov21"/>
      </w:pPr>
      <w:r>
        <w:t>19–23 July 2021</w:t>
      </w:r>
    </w:p>
    <w:p w14:paraId="6FBC1E05" w14:textId="77777777" w:rsidR="00DF4F0B" w:rsidRDefault="00DF4F0B"/>
    <w:p w14:paraId="71B26440" w14:textId="1A3E23AF" w:rsidR="00522C91" w:rsidRPr="00266D67" w:rsidRDefault="0063083D" w:rsidP="00522C91">
      <w:pPr>
        <w:tabs>
          <w:tab w:val="left" w:pos="580"/>
        </w:tabs>
      </w:pPr>
      <w:r>
        <w:t>Freight traffic volumes on Slovenian motorways remained at a relatively high level in mid-July, close to those of the same period in 2019. With the gradual strengthening of activity in the tourism sector, electricity consumption approached the level of the same period in 2019. The value of the sentiment indicator deteriorated slightly in July, but remained well above last year's average and close to the 2019 level in all indicators, mainly due to the release of containment measures in recent months. The growth in Slovenian industrial producer prices continued to rise sharply in June, reaching its highest level in the last decade mainly due to higher commodity prices. In May, average wage growth was again relatively high, in particular due to high growth in the public sector.</w:t>
      </w:r>
    </w:p>
    <w:p w14:paraId="5ACDCF50" w14:textId="6E20A6EF" w:rsidR="00B47625" w:rsidRDefault="00B47625"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DD0FD9" w:rsidRPr="006C2117" w14:paraId="4668D359" w14:textId="77777777" w:rsidTr="31D25D35">
        <w:trPr>
          <w:trHeight w:val="207"/>
        </w:trPr>
        <w:tc>
          <w:tcPr>
            <w:tcW w:w="4819" w:type="dxa"/>
            <w:tcBorders>
              <w:bottom w:val="single" w:sz="4" w:space="0" w:color="auto"/>
            </w:tcBorders>
            <w:tcMar>
              <w:left w:w="0" w:type="dxa"/>
            </w:tcMar>
          </w:tcPr>
          <w:p w14:paraId="06488321" w14:textId="3DBFC14A" w:rsidR="00DD0FD9" w:rsidRPr="006C2117" w:rsidRDefault="00DD0FD9" w:rsidP="00804DA8">
            <w:pPr>
              <w:pStyle w:val="Naslov31"/>
              <w:jc w:val="left"/>
            </w:pPr>
            <w:r>
              <w:t>Economic sentiment, June 2021</w:t>
            </w:r>
          </w:p>
        </w:tc>
        <w:tc>
          <w:tcPr>
            <w:tcW w:w="4820" w:type="dxa"/>
            <w:gridSpan w:val="2"/>
            <w:tcBorders>
              <w:bottom w:val="single" w:sz="4" w:space="0" w:color="auto"/>
            </w:tcBorders>
          </w:tcPr>
          <w:p w14:paraId="26DB4EC0" w14:textId="77777777" w:rsidR="00DD0FD9" w:rsidRPr="006C2117" w:rsidRDefault="00DD0FD9" w:rsidP="00804DA8">
            <w:pPr>
              <w:pStyle w:val="Naslov31"/>
            </w:pPr>
          </w:p>
        </w:tc>
      </w:tr>
      <w:tr w:rsidR="00DD0FD9" w:rsidRPr="00DF4F0B" w14:paraId="2814186C" w14:textId="77777777" w:rsidTr="31D25D35">
        <w:trPr>
          <w:trHeight w:val="1134"/>
        </w:trPr>
        <w:tc>
          <w:tcPr>
            <w:tcW w:w="4982" w:type="dxa"/>
            <w:gridSpan w:val="2"/>
            <w:tcBorders>
              <w:top w:val="single" w:sz="4" w:space="0" w:color="auto"/>
            </w:tcBorders>
            <w:tcMar>
              <w:left w:w="0" w:type="dxa"/>
            </w:tcMar>
          </w:tcPr>
          <w:p w14:paraId="3D472597" w14:textId="322B9F74" w:rsidR="00615D5B" w:rsidRDefault="005225F7" w:rsidP="00804DA8">
            <w:pPr>
              <w:pStyle w:val="ListParagraph"/>
              <w:ind w:left="0"/>
            </w:pPr>
            <w:r>
              <w:rPr>
                <w:noProof/>
              </w:rPr>
              <w:drawing>
                <wp:inline distT="0" distB="0" distL="0" distR="0" wp14:anchorId="7D100254" wp14:editId="4E910679">
                  <wp:extent cx="3092400" cy="2530800"/>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3E80CEA1" w14:textId="6F4072D3" w:rsidR="00DD0FD9" w:rsidRDefault="00DD0FD9" w:rsidP="00804DA8">
            <w:pPr>
              <w:pStyle w:val="ListParagraph"/>
              <w:ind w:left="0"/>
            </w:pPr>
          </w:p>
        </w:tc>
        <w:tc>
          <w:tcPr>
            <w:tcW w:w="4657" w:type="dxa"/>
            <w:tcBorders>
              <w:top w:val="single" w:sz="4" w:space="0" w:color="auto"/>
            </w:tcBorders>
            <w:tcMar>
              <w:left w:w="284" w:type="dxa"/>
            </w:tcMar>
          </w:tcPr>
          <w:p w14:paraId="5251D2E2" w14:textId="4357898F" w:rsidR="00C411E2" w:rsidRPr="00DF4F0B" w:rsidRDefault="008B3BA9" w:rsidP="00BD1996">
            <w:r w:rsidRPr="31D25D35">
              <w:rPr>
                <w:b/>
                <w:bCs/>
              </w:rPr>
              <w:t xml:space="preserve">In July, the value of the sentiment indicator deteriorated slightly. </w:t>
            </w:r>
            <w:r>
              <w:t xml:space="preserve">On a monthly basis, confidence in trade and services fell to May’s levels after rising </w:t>
            </w:r>
            <w:r w:rsidR="74BB45C0">
              <w:t>June</w:t>
            </w:r>
            <w:r>
              <w:t xml:space="preserve"> due to the release of measures. Confidence in construction, manufacturing and among consumers also fell slightly. After rising to last March's level in May, consumer confidence has </w:t>
            </w:r>
            <w:r w:rsidR="41EAEF53">
              <w:t>remained unchanged</w:t>
            </w:r>
            <w:r>
              <w:t xml:space="preserve"> for the past three months. Consumers are particularly concerned about the future economic situation. However, across all indicators, it was well above last year's average and around 2019 levels due to the gradual release of containment measures in May and June.</w:t>
            </w:r>
            <w:r w:rsidRPr="31D25D35">
              <w:rPr>
                <w:b/>
                <w:bCs/>
              </w:rPr>
              <w:t xml:space="preserve"> </w:t>
            </w:r>
          </w:p>
        </w:tc>
      </w:tr>
    </w:tbl>
    <w:p w14:paraId="4609D51C" w14:textId="77777777" w:rsidR="002F7C7B" w:rsidRDefault="002F7C7B" w:rsidP="002B6DD4">
      <w:pPr>
        <w:pStyle w:val="Naslov31"/>
        <w:jc w:val="left"/>
        <w:sectPr w:rsidR="002F7C7B"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B84489" w:rsidRPr="006C2117" w14:paraId="30BEC8C6" w14:textId="77777777" w:rsidTr="1CC8A607">
        <w:trPr>
          <w:trHeight w:val="207"/>
        </w:trPr>
        <w:tc>
          <w:tcPr>
            <w:tcW w:w="6663" w:type="dxa"/>
            <w:gridSpan w:val="2"/>
            <w:tcBorders>
              <w:bottom w:val="single" w:sz="4" w:space="0" w:color="auto"/>
            </w:tcBorders>
            <w:tcMar>
              <w:left w:w="0" w:type="dxa"/>
            </w:tcMar>
          </w:tcPr>
          <w:p w14:paraId="2E66FA27" w14:textId="0B023557" w:rsidR="00B84489" w:rsidRPr="006C2117" w:rsidRDefault="00B84489" w:rsidP="002B6DD4">
            <w:pPr>
              <w:pStyle w:val="Naslov31"/>
              <w:jc w:val="left"/>
            </w:pPr>
            <w:r>
              <w:lastRenderedPageBreak/>
              <w:t>Traffic of electronically tolled vehicles on Slovenian motorways, July 2021</w:t>
            </w:r>
          </w:p>
        </w:tc>
        <w:tc>
          <w:tcPr>
            <w:tcW w:w="2976" w:type="dxa"/>
            <w:tcBorders>
              <w:bottom w:val="single" w:sz="4" w:space="0" w:color="auto"/>
            </w:tcBorders>
          </w:tcPr>
          <w:p w14:paraId="3F97770B" w14:textId="77777777" w:rsidR="00B84489" w:rsidRPr="006C2117" w:rsidRDefault="00B84489" w:rsidP="002B6DD4">
            <w:pPr>
              <w:pStyle w:val="Naslov31"/>
            </w:pPr>
          </w:p>
        </w:tc>
      </w:tr>
      <w:tr w:rsidR="00B84489" w:rsidRPr="00DF4F0B" w14:paraId="37B2577F" w14:textId="77777777" w:rsidTr="1CC8A607">
        <w:trPr>
          <w:trHeight w:val="1134"/>
        </w:trPr>
        <w:tc>
          <w:tcPr>
            <w:tcW w:w="4982" w:type="dxa"/>
            <w:tcBorders>
              <w:top w:val="single" w:sz="4" w:space="0" w:color="auto"/>
            </w:tcBorders>
            <w:tcMar>
              <w:left w:w="0" w:type="dxa"/>
            </w:tcMar>
          </w:tcPr>
          <w:p w14:paraId="22291D5D" w14:textId="67F969FB" w:rsidR="00B84489" w:rsidRDefault="00FF6663" w:rsidP="65774917">
            <w:pPr>
              <w:pStyle w:val="ListParagraph"/>
              <w:ind w:left="0"/>
              <w:rPr>
                <w:rFonts w:eastAsia="Arial"/>
                <w:szCs w:val="20"/>
              </w:rPr>
            </w:pPr>
            <w:r>
              <w:rPr>
                <w:noProof/>
              </w:rPr>
              <w:drawing>
                <wp:inline distT="0" distB="0" distL="0" distR="0" wp14:anchorId="1EAA6C24" wp14:editId="6663B892">
                  <wp:extent cx="3092400" cy="2534400"/>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60DD8684" w14:textId="7BB44A2B" w:rsidR="00B84489" w:rsidRPr="00DF4F0B" w:rsidRDefault="2D331F9D" w:rsidP="65774917">
            <w:pPr>
              <w:spacing w:line="240" w:lineRule="atLeast"/>
            </w:pPr>
            <w:r>
              <w:rPr>
                <w:b/>
              </w:rPr>
              <w:t>Freight traffic on Slovenian motorways in the third week of July was 8% higher than in the same period last year and the same as in the same period of 2019.</w:t>
            </w:r>
            <w:r>
              <w:t xml:space="preserve"> The significant year-on-year increase is still mainly due to the low base, namely lower traffic volume in the same period last year after the first wave of the epidemic. The volume of freight traffic was relatively high</w:t>
            </w:r>
            <w:r w:rsidR="00961808">
              <w:rPr>
                <w:rStyle w:val="FootnoteReference"/>
              </w:rPr>
              <w:footnoteReference w:id="2"/>
            </w:r>
            <w:r>
              <w:t xml:space="preserve"> in the third week of July, as it was in the previous two weeks of July, and as high as it was in the same week in 2019 (with a slightly higher share of domestic vehicles). </w:t>
            </w:r>
          </w:p>
          <w:p w14:paraId="3CC00C3F" w14:textId="399B5685" w:rsidR="00B84489" w:rsidRPr="00DF4F0B" w:rsidRDefault="00B84489" w:rsidP="002F7C7B">
            <w:pPr>
              <w:spacing w:line="240" w:lineRule="atLeast"/>
            </w:pPr>
            <w:r>
              <w:br/>
            </w:r>
            <w:r>
              <w:br/>
            </w:r>
          </w:p>
          <w:p w14:paraId="03E49CDB" w14:textId="2F3D7B81" w:rsidR="00B84489" w:rsidRPr="00DF4F0B" w:rsidRDefault="00B84489" w:rsidP="65774917">
            <w:pPr>
              <w:spacing w:line="240" w:lineRule="atLeast"/>
            </w:pPr>
          </w:p>
          <w:p w14:paraId="1E582C90" w14:textId="4D77BF40" w:rsidR="00B84489" w:rsidRPr="00DF4F0B" w:rsidRDefault="00B84489" w:rsidP="65774917">
            <w:pPr>
              <w:spacing w:line="240" w:lineRule="atLeast"/>
              <w:rPr>
                <w:rFonts w:eastAsia="Arial"/>
                <w:szCs w:val="20"/>
              </w:rPr>
            </w:pPr>
          </w:p>
        </w:tc>
      </w:tr>
      <w:tr w:rsidR="00363E63" w14:paraId="17E1B550" w14:textId="77777777" w:rsidTr="1CC8A607">
        <w:trPr>
          <w:trHeight w:val="207"/>
        </w:trPr>
        <w:tc>
          <w:tcPr>
            <w:tcW w:w="6663" w:type="dxa"/>
            <w:gridSpan w:val="2"/>
            <w:tcBorders>
              <w:bottom w:val="single" w:sz="4" w:space="0" w:color="auto"/>
            </w:tcBorders>
            <w:tcMar>
              <w:left w:w="0" w:type="dxa"/>
            </w:tcMar>
          </w:tcPr>
          <w:p w14:paraId="74E10295" w14:textId="41B95204" w:rsidR="00363E63" w:rsidRPr="006C2117" w:rsidRDefault="009A2846" w:rsidP="00731B6F">
            <w:pPr>
              <w:pStyle w:val="Naslov31"/>
              <w:jc w:val="left"/>
            </w:pPr>
            <w:r>
              <w:t>Electricity consumption, July 2021</w:t>
            </w:r>
          </w:p>
        </w:tc>
        <w:tc>
          <w:tcPr>
            <w:tcW w:w="2976" w:type="dxa"/>
            <w:tcBorders>
              <w:bottom w:val="single" w:sz="4" w:space="0" w:color="auto"/>
            </w:tcBorders>
          </w:tcPr>
          <w:p w14:paraId="772D173F" w14:textId="77777777" w:rsidR="00363E63" w:rsidRPr="006C2117" w:rsidRDefault="00363E63" w:rsidP="0058360C">
            <w:pPr>
              <w:pStyle w:val="Naslov31"/>
            </w:pPr>
          </w:p>
        </w:tc>
      </w:tr>
      <w:tr w:rsidR="00363E63" w14:paraId="03A45C4E" w14:textId="77777777" w:rsidTr="1CC8A607">
        <w:trPr>
          <w:trHeight w:val="1134"/>
        </w:trPr>
        <w:tc>
          <w:tcPr>
            <w:tcW w:w="4982" w:type="dxa"/>
            <w:tcBorders>
              <w:top w:val="single" w:sz="4" w:space="0" w:color="auto"/>
            </w:tcBorders>
            <w:tcMar>
              <w:left w:w="0" w:type="dxa"/>
            </w:tcMar>
          </w:tcPr>
          <w:p w14:paraId="09449EDF" w14:textId="282BD4BB" w:rsidR="00363E63" w:rsidRDefault="007D4631" w:rsidP="0058360C">
            <w:pPr>
              <w:pStyle w:val="ListParagraph"/>
              <w:ind w:left="0"/>
            </w:pPr>
            <w:r>
              <w:rPr>
                <w:noProof/>
              </w:rPr>
              <w:drawing>
                <wp:inline distT="0" distB="0" distL="0" distR="0" wp14:anchorId="1380E005" wp14:editId="348CD889">
                  <wp:extent cx="3092400" cy="2530800"/>
                  <wp:effectExtent l="0" t="0" r="0" b="317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73567A4A" w14:textId="77777777" w:rsidR="00B067BC" w:rsidRDefault="00B067BC" w:rsidP="0058360C">
            <w:pPr>
              <w:pStyle w:val="ListParagraph"/>
              <w:ind w:left="0"/>
            </w:pPr>
          </w:p>
          <w:p w14:paraId="48F5876B" w14:textId="136AF4F9" w:rsidR="00B067BC" w:rsidRDefault="00B067BC" w:rsidP="0058360C">
            <w:pPr>
              <w:pStyle w:val="ListParagraph"/>
              <w:ind w:left="0"/>
            </w:pPr>
          </w:p>
        </w:tc>
        <w:tc>
          <w:tcPr>
            <w:tcW w:w="4657" w:type="dxa"/>
            <w:gridSpan w:val="2"/>
            <w:tcBorders>
              <w:top w:val="single" w:sz="4" w:space="0" w:color="auto"/>
            </w:tcBorders>
            <w:tcMar>
              <w:left w:w="284" w:type="dxa"/>
            </w:tcMar>
          </w:tcPr>
          <w:p w14:paraId="7390D53F" w14:textId="6AF8C8A6" w:rsidR="00AB6631" w:rsidRPr="00AB6631" w:rsidRDefault="00AB6631" w:rsidP="1CC8A607">
            <w:r w:rsidRPr="1CC8A607">
              <w:rPr>
                <w:b/>
                <w:bCs/>
              </w:rPr>
              <w:t xml:space="preserve">In the week between 12 and 16 July, electricity consumption was 4% higher year-on-year, but 2 % lower than the same week in 2019. </w:t>
            </w:r>
            <w:r>
              <w:t xml:space="preserve">The reason for the higher year-on-year consumption is mainly due to the low base of last year, and the gap with the same week in 2019 narrowed further, mainly due to higher activity in the tourism sector.  </w:t>
            </w:r>
            <w:r w:rsidR="3E4BFB68">
              <w:t xml:space="preserve">Particularly due to </w:t>
            </w:r>
            <w:r>
              <w:t>the base effect, higher year-on-year consumption was also recorded in most of Slovenia’s main trading partners (2% in Austria, 4% in Germany and around 9% in Italy and Croatia), except in France, where it remained the same. Also compared to the same week of 2019, most of partner countries recorded the same (Germany) or higher consumption (Austria and Italy by 2%, Croatia by 6%), with the exception of France (-6%).</w:t>
            </w:r>
          </w:p>
          <w:p w14:paraId="0E58E70B" w14:textId="6B4D065E" w:rsidR="00363E63" w:rsidRPr="001A3C37" w:rsidRDefault="00363E63" w:rsidP="00297D32">
            <w:pPr>
              <w:rPr>
                <w:color w:val="44546A" w:themeColor="text2"/>
              </w:rPr>
            </w:pPr>
          </w:p>
        </w:tc>
      </w:tr>
    </w:tbl>
    <w:p w14:paraId="36BF2D09" w14:textId="77777777" w:rsidR="002F7C7B" w:rsidRDefault="002F7C7B" w:rsidP="00804DA8">
      <w:pPr>
        <w:pStyle w:val="Naslov31"/>
        <w:jc w:val="left"/>
        <w:sectPr w:rsidR="002F7C7B" w:rsidSect="00182B9F">
          <w:headerReference w:type="default" r:id="rId15"/>
          <w:headerReference w:type="first" r:id="rId16"/>
          <w:pgSz w:w="11906" w:h="16838"/>
          <w:pgMar w:top="1134" w:right="1134" w:bottom="1021" w:left="1134" w:header="709" w:footer="397" w:gutter="0"/>
          <w:cols w:space="708"/>
          <w:titlePg/>
          <w:docGrid w:linePitch="360"/>
        </w:sect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1255"/>
        <w:gridCol w:w="3402"/>
      </w:tblGrid>
      <w:tr w:rsidR="00793AB6" w:rsidRPr="006C2117" w14:paraId="6E869D8B" w14:textId="77777777" w:rsidTr="46E33487">
        <w:trPr>
          <w:trHeight w:val="207"/>
        </w:trPr>
        <w:tc>
          <w:tcPr>
            <w:tcW w:w="6237" w:type="dxa"/>
            <w:gridSpan w:val="3"/>
            <w:tcBorders>
              <w:bottom w:val="single" w:sz="4" w:space="0" w:color="auto"/>
            </w:tcBorders>
            <w:tcMar>
              <w:left w:w="0" w:type="dxa"/>
            </w:tcMar>
          </w:tcPr>
          <w:p w14:paraId="15D5400C" w14:textId="2EDCD075" w:rsidR="00793AB6" w:rsidRPr="006C2117" w:rsidRDefault="00793AB6" w:rsidP="00804DA8">
            <w:pPr>
              <w:pStyle w:val="Naslov31"/>
              <w:jc w:val="left"/>
            </w:pPr>
            <w:r>
              <w:lastRenderedPageBreak/>
              <w:t>Slovenian industrial producer prices, May 2021</w:t>
            </w:r>
          </w:p>
        </w:tc>
        <w:tc>
          <w:tcPr>
            <w:tcW w:w="3402" w:type="dxa"/>
            <w:tcBorders>
              <w:bottom w:val="single" w:sz="4" w:space="0" w:color="auto"/>
            </w:tcBorders>
          </w:tcPr>
          <w:p w14:paraId="3106D784" w14:textId="1B135CB0" w:rsidR="00793AB6" w:rsidRPr="006C2117" w:rsidRDefault="00793AB6" w:rsidP="00804DA8">
            <w:pPr>
              <w:pStyle w:val="Naslov31"/>
            </w:pPr>
          </w:p>
        </w:tc>
      </w:tr>
      <w:tr w:rsidR="00793AB6" w:rsidRPr="00DF4F0B" w14:paraId="0252BEE3" w14:textId="77777777" w:rsidTr="46E33487">
        <w:trPr>
          <w:trHeight w:val="1134"/>
        </w:trPr>
        <w:tc>
          <w:tcPr>
            <w:tcW w:w="4982" w:type="dxa"/>
            <w:gridSpan w:val="2"/>
            <w:tcBorders>
              <w:top w:val="single" w:sz="4" w:space="0" w:color="auto"/>
            </w:tcBorders>
            <w:tcMar>
              <w:left w:w="0" w:type="dxa"/>
            </w:tcMar>
          </w:tcPr>
          <w:p w14:paraId="1E1F5033" w14:textId="747ECF26" w:rsidR="009339A9" w:rsidRDefault="00454892" w:rsidP="00804DA8">
            <w:pPr>
              <w:pStyle w:val="ListParagraph"/>
              <w:ind w:left="0"/>
              <w:rPr>
                <w:noProof/>
              </w:rPr>
            </w:pPr>
            <w:r>
              <w:rPr>
                <w:noProof/>
              </w:rPr>
              <w:drawing>
                <wp:inline distT="0" distB="0" distL="0" distR="0" wp14:anchorId="381BB169" wp14:editId="3FDDE2C2">
                  <wp:extent cx="3092400" cy="2530800"/>
                  <wp:effectExtent l="0" t="0" r="0" b="31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3D56DF59" w14:textId="728C1DEF" w:rsidR="00793AB6" w:rsidRDefault="00793AB6" w:rsidP="00804DA8">
            <w:pPr>
              <w:pStyle w:val="ListParagraph"/>
              <w:ind w:left="0"/>
            </w:pPr>
          </w:p>
        </w:tc>
        <w:tc>
          <w:tcPr>
            <w:tcW w:w="4657" w:type="dxa"/>
            <w:gridSpan w:val="2"/>
            <w:tcBorders>
              <w:top w:val="single" w:sz="4" w:space="0" w:color="auto"/>
            </w:tcBorders>
            <w:tcMar>
              <w:left w:w="284" w:type="dxa"/>
            </w:tcMar>
          </w:tcPr>
          <w:p w14:paraId="48C32AEE" w14:textId="1F80ADD4" w:rsidR="00793AB6" w:rsidRPr="000F52F0" w:rsidRDefault="200936E7" w:rsidP="65774917">
            <w:pPr>
              <w:rPr>
                <w:rFonts w:eastAsia="Arial"/>
                <w:szCs w:val="20"/>
              </w:rPr>
            </w:pPr>
            <w:r>
              <w:rPr>
                <w:b/>
              </w:rPr>
              <w:t xml:space="preserve">Year-on-year growth in Slovenian industrial producer prices continued to increase significantly in June, reaching 4.8%, the highest level in the last decade. </w:t>
            </w:r>
            <w:r>
              <w:t>Prices in the domestic market continued to rise faster year-on-year (5.1%), while price growth in foreign markets was only slightly lower (4.6%). Compared with May, it almost doubled and was largely the result of stronger price growth of Slovenian industrial producer prices in euro area markets, while price growth in non-euro area markets was moderate. The recovery of economic activity is driving price growth of commodities (7%), which remain the largest contributor to overall growth. Price growth of investment goods is also picking up (6%). Year-on-year growth in consumer goods prices on the domestic and foreign markets also strengthened in June, reaching 1.1%, the highest level since April last year.</w:t>
            </w:r>
          </w:p>
        </w:tc>
      </w:tr>
      <w:tr w:rsidR="00D809F4" w14:paraId="5481165D" w14:textId="77777777" w:rsidTr="46E33487">
        <w:trPr>
          <w:trHeight w:val="207"/>
        </w:trPr>
        <w:tc>
          <w:tcPr>
            <w:tcW w:w="4819" w:type="dxa"/>
            <w:tcBorders>
              <w:bottom w:val="single" w:sz="4" w:space="0" w:color="auto"/>
            </w:tcBorders>
            <w:tcMar>
              <w:left w:w="0" w:type="dxa"/>
            </w:tcMar>
          </w:tcPr>
          <w:p w14:paraId="549A1411" w14:textId="581EFEAB" w:rsidR="00D809F4" w:rsidRPr="00F657FF" w:rsidRDefault="007421B2" w:rsidP="00804DA8">
            <w:pPr>
              <w:pStyle w:val="Naslov31"/>
              <w:jc w:val="left"/>
              <w:rPr>
                <w:highlight w:val="yellow"/>
              </w:rPr>
            </w:pPr>
            <w:r>
              <w:t>Wages, May 2021</w:t>
            </w:r>
          </w:p>
        </w:tc>
        <w:tc>
          <w:tcPr>
            <w:tcW w:w="4820" w:type="dxa"/>
            <w:gridSpan w:val="3"/>
            <w:tcBorders>
              <w:bottom w:val="single" w:sz="4" w:space="0" w:color="auto"/>
            </w:tcBorders>
          </w:tcPr>
          <w:p w14:paraId="3600B734" w14:textId="77777777" w:rsidR="00D809F4" w:rsidRPr="00F657FF" w:rsidRDefault="00D809F4" w:rsidP="00804DA8">
            <w:pPr>
              <w:pStyle w:val="Naslov31"/>
              <w:rPr>
                <w:highlight w:val="yellow"/>
              </w:rPr>
            </w:pPr>
          </w:p>
        </w:tc>
      </w:tr>
      <w:tr w:rsidR="00D809F4" w14:paraId="31DA4A51" w14:textId="77777777" w:rsidTr="46E33487">
        <w:trPr>
          <w:trHeight w:val="1134"/>
        </w:trPr>
        <w:tc>
          <w:tcPr>
            <w:tcW w:w="4982" w:type="dxa"/>
            <w:gridSpan w:val="2"/>
            <w:tcBorders>
              <w:top w:val="single" w:sz="4" w:space="0" w:color="auto"/>
            </w:tcBorders>
            <w:tcMar>
              <w:left w:w="0" w:type="dxa"/>
            </w:tcMar>
          </w:tcPr>
          <w:p w14:paraId="7743CAC5" w14:textId="35276354" w:rsidR="00D809F4" w:rsidRPr="00F657FF" w:rsidRDefault="00454892" w:rsidP="00804DA8">
            <w:pPr>
              <w:pStyle w:val="ListParagraph"/>
              <w:ind w:left="0"/>
              <w:rPr>
                <w:highlight w:val="yellow"/>
              </w:rPr>
            </w:pPr>
            <w:r>
              <w:rPr>
                <w:noProof/>
              </w:rPr>
              <w:drawing>
                <wp:inline distT="0" distB="0" distL="0" distR="0" wp14:anchorId="29DAA25D" wp14:editId="431A4D21">
                  <wp:extent cx="3092400" cy="2530800"/>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C5AC8E9" w14:textId="2BF6E907" w:rsidR="00D809F4" w:rsidRPr="002A5AC0" w:rsidRDefault="4D9B90AA" w:rsidP="00786C42">
            <w:pPr>
              <w:rPr>
                <w:rFonts w:eastAsia="Myriad Pro" w:cs="Myriad Pro"/>
                <w:color w:val="000000" w:themeColor="text1"/>
              </w:rPr>
            </w:pPr>
            <w:r>
              <w:rPr>
                <w:b/>
                <w:color w:val="000000" w:themeColor="text1"/>
              </w:rPr>
              <w:t xml:space="preserve">After a moderate increase in April, year-on-year growth of average wages was relatively high again in May (6.1%), mainly in the public sector. </w:t>
            </w:r>
            <w:r>
              <w:rPr>
                <w:color w:val="000000" w:themeColor="text1"/>
              </w:rPr>
              <w:t>Growth in the public sector reached 13.4% despite the already high base last year (payment of bonuses for hazardous working conditions and additional workload, as well as a bonus for work in crisis conditions in accordance with the collective agreement), due to the high level of bonuses paid in May and the resumption of payments for work performance in the middle of last year after their payment had been frozen for several years. In the private sector, average wage in May was 2.4% higher year-on-year. The relatively low year-on-year growth is related to the high growth in the same month of 2020 (base effect) caused by the payment of crisis bonuses and the methodology used to calculate wages.</w:t>
            </w:r>
          </w:p>
        </w:tc>
      </w:tr>
    </w:tbl>
    <w:p w14:paraId="388D6FA8" w14:textId="1C4A3F57" w:rsidR="004D28ED" w:rsidRDefault="004D28ED" w:rsidP="00C45877">
      <w:pPr>
        <w:pStyle w:val="Naslov31"/>
        <w:jc w:val="left"/>
        <w:sectPr w:rsidR="004D28ED" w:rsidSect="00182B9F">
          <w:pgSz w:w="11906" w:h="16838"/>
          <w:pgMar w:top="1134" w:right="1134" w:bottom="1021" w:left="1134" w:header="709" w:footer="397" w:gutter="0"/>
          <w:cols w:space="708"/>
          <w:titlePg/>
          <w:docGrid w:linePitch="360"/>
        </w:sectPr>
      </w:pPr>
    </w:p>
    <w:p w14:paraId="20CA59C5" w14:textId="1CBC80FE" w:rsidR="00FE7254" w:rsidRPr="00FE7254" w:rsidRDefault="00C8534B" w:rsidP="00DF3707">
      <w:pPr>
        <w:tabs>
          <w:tab w:val="left" w:pos="580"/>
        </w:tabs>
        <w:sectPr w:rsidR="00FE7254" w:rsidRPr="00FE7254" w:rsidSect="00363E63">
          <w:headerReference w:type="default" r:id="rId19"/>
          <w:footerReference w:type="default" r:id="rId20"/>
          <w:pgSz w:w="11906" w:h="16838"/>
          <w:pgMar w:top="1134" w:right="1134" w:bottom="1021" w:left="1134" w:header="709" w:footer="397" w:gutter="0"/>
          <w:cols w:space="708"/>
          <w:docGrid w:linePitch="360"/>
        </w:sectPr>
      </w:pPr>
      <w:r>
        <w:rPr>
          <w:noProof/>
        </w:rPr>
        <w:lastRenderedPageBreak/>
        <w:drawing>
          <wp:inline distT="0" distB="0" distL="0" distR="0" wp14:anchorId="06AD4481" wp14:editId="64534823">
            <wp:extent cx="6120130" cy="838835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8388350"/>
                    </a:xfrm>
                    <a:prstGeom prst="rect">
                      <a:avLst/>
                    </a:prstGeom>
                    <a:noFill/>
                    <a:ln>
                      <a:noFill/>
                    </a:ln>
                  </pic:spPr>
                </pic:pic>
              </a:graphicData>
            </a:graphic>
          </wp:inline>
        </w:drawing>
      </w:r>
    </w:p>
    <w:p w14:paraId="0DE2B070" w14:textId="77777777" w:rsidR="002E69B6" w:rsidRPr="00887D7E" w:rsidRDefault="00363E63" w:rsidP="001F51CD">
      <w:pPr>
        <w:tabs>
          <w:tab w:val="left" w:pos="580"/>
        </w:tabs>
      </w:pPr>
      <w:r>
        <w:rPr>
          <w:noProof/>
          <w:color w:val="2B579A"/>
          <w:shd w:val="clear" w:color="auto" w:fill="E6E6E6"/>
        </w:rPr>
        <w:lastRenderedPageBreak/>
        <w:drawing>
          <wp:inline distT="0" distB="0" distL="0" distR="0" wp14:anchorId="4FCD0891" wp14:editId="5C299993">
            <wp:extent cx="6078854"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6078854" cy="8598195"/>
                    </a:xfrm>
                    <a:prstGeom prst="rect">
                      <a:avLst/>
                    </a:prstGeom>
                  </pic:spPr>
                </pic:pic>
              </a:graphicData>
            </a:graphic>
          </wp:inline>
        </w:drawing>
      </w:r>
    </w:p>
    <w:sectPr w:rsidR="002E69B6" w:rsidRPr="00887D7E" w:rsidSect="00363E63">
      <w:headerReference w:type="default" r:id="rId23"/>
      <w:footerReference w:type="default" r:id="rId24"/>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533B3" w16cex:dateUtc="2021-07-23T10:25:00Z"/>
  <w16cex:commentExtensible w16cex:durableId="24A53343" w16cex:dateUtc="2021-07-23T10: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3B2E1" w14:textId="77777777" w:rsidR="003544A3" w:rsidRDefault="003544A3" w:rsidP="0063497B">
      <w:pPr>
        <w:spacing w:line="240" w:lineRule="auto"/>
      </w:pPr>
      <w:r>
        <w:separator/>
      </w:r>
    </w:p>
  </w:endnote>
  <w:endnote w:type="continuationSeparator" w:id="0">
    <w:p w14:paraId="22F98C71" w14:textId="77777777" w:rsidR="003544A3" w:rsidRDefault="003544A3" w:rsidP="0063497B">
      <w:pPr>
        <w:spacing w:line="240" w:lineRule="auto"/>
      </w:pPr>
      <w:r>
        <w:continuationSeparator/>
      </w:r>
    </w:p>
  </w:endnote>
  <w:endnote w:type="continuationNotice" w:id="1">
    <w:p w14:paraId="067D1632" w14:textId="77777777" w:rsidR="003544A3" w:rsidRDefault="003544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77777777"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1</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1A614216"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3</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FE7254" w:rsidRDefault="0074466E" w:rsidP="00FE7254">
    <w:pPr>
      <w:pStyle w:val="Footer"/>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74466E" w:rsidRPr="00893FAF" w:rsidRDefault="0074466E" w:rsidP="00FE7254">
    <w:pPr>
      <w:pStyle w:val="Footer"/>
      <w:rPr>
        <w:rFonts w:cs="Helv"/>
        <w:b/>
        <w:bCs/>
        <w:color w:val="000000"/>
        <w:sz w:val="18"/>
        <w:szCs w:val="18"/>
      </w:rPr>
    </w:pPr>
  </w:p>
  <w:p w14:paraId="1B94B0CF" w14:textId="7172DFEC" w:rsidR="00363E63" w:rsidRPr="00363E63" w:rsidRDefault="00363E63"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4</w:t>
        </w:r>
        <w:r w:rsidRPr="00363E63">
          <w:rPr>
            <w:color w:val="2B579A"/>
            <w:sz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14068" w14:textId="77777777" w:rsidR="003544A3" w:rsidRDefault="003544A3" w:rsidP="0063497B">
      <w:pPr>
        <w:spacing w:line="240" w:lineRule="auto"/>
      </w:pPr>
      <w:r>
        <w:separator/>
      </w:r>
    </w:p>
  </w:footnote>
  <w:footnote w:type="continuationSeparator" w:id="0">
    <w:p w14:paraId="1766ECDB" w14:textId="77777777" w:rsidR="003544A3" w:rsidRDefault="003544A3" w:rsidP="0063497B">
      <w:pPr>
        <w:spacing w:line="240" w:lineRule="auto"/>
      </w:pPr>
      <w:r>
        <w:continuationSeparator/>
      </w:r>
    </w:p>
  </w:footnote>
  <w:footnote w:type="continuationNotice" w:id="1">
    <w:p w14:paraId="2B2A55E9" w14:textId="77777777" w:rsidR="003544A3" w:rsidRDefault="003544A3">
      <w:pPr>
        <w:spacing w:line="240" w:lineRule="auto"/>
      </w:pPr>
    </w:p>
  </w:footnote>
  <w:footnote w:id="2">
    <w:p w14:paraId="022CEB2E" w14:textId="01028843" w:rsidR="00961808" w:rsidRDefault="00961808" w:rsidP="00961808">
      <w:pPr>
        <w:pStyle w:val="FootnoteText"/>
      </w:pPr>
      <w:r>
        <w:rPr>
          <w:rStyle w:val="FootnoteReference"/>
        </w:rPr>
        <w:footnoteRef/>
      </w:r>
      <w:r>
        <w:t xml:space="preserve"> With 21.3 million kilometres driven, the record value of over 22 million was not achieved, as the volume of traffic in summer is very high also due to the increased number of passenger cars.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B674" w14:textId="5DE1A80F" w:rsidR="00182B9F" w:rsidRDefault="0072305B" w:rsidP="00182B9F">
    <w:pPr>
      <w:jc w:val="right"/>
    </w:pPr>
    <w:r>
      <w:rPr>
        <w:noProof/>
      </w:rPr>
      <w:drawing>
        <wp:anchor distT="0" distB="0" distL="114300" distR="114300" simplePos="0" relativeHeight="251660288" behindDoc="0" locked="0" layoutInCell="1" allowOverlap="1" wp14:anchorId="04282C4D" wp14:editId="67B47A50">
          <wp:simplePos x="0" y="0"/>
          <wp:positionH relativeFrom="column">
            <wp:posOffset>-224790</wp:posOffset>
          </wp:positionH>
          <wp:positionV relativeFrom="paragraph">
            <wp:posOffset>-12065</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182B9F">
      <w:t>26 July 2021</w:t>
    </w:r>
  </w:p>
  <w:p w14:paraId="3B7C37F6" w14:textId="77777777" w:rsidR="00182B9F" w:rsidRDefault="00182B9F" w:rsidP="00182B9F">
    <w:pPr>
      <w:jc w:val="right"/>
    </w:pPr>
  </w:p>
  <w:p w14:paraId="277BBE92" w14:textId="3CAFD018" w:rsidR="00182B9F" w:rsidRDefault="00182B9F" w:rsidP="00182B9F">
    <w:pPr>
      <w:jc w:val="right"/>
    </w:pPr>
  </w:p>
  <w:p w14:paraId="3FCEEEDA" w14:textId="77777777" w:rsidR="00182B9F" w:rsidRDefault="00182B9F" w:rsidP="00182B9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17BB30AA" w14:paraId="280594FE" w14:textId="77777777" w:rsidTr="17BB30AA">
      <w:tc>
        <w:tcPr>
          <w:tcW w:w="3210" w:type="dxa"/>
        </w:tcPr>
        <w:p w14:paraId="489271BA" w14:textId="7F42003F" w:rsidR="17BB30AA" w:rsidRDefault="17BB30AA" w:rsidP="17BB30AA">
          <w:pPr>
            <w:pStyle w:val="Header"/>
            <w:ind w:left="-115"/>
            <w:jc w:val="left"/>
          </w:pPr>
        </w:p>
      </w:tc>
      <w:tc>
        <w:tcPr>
          <w:tcW w:w="3210" w:type="dxa"/>
        </w:tcPr>
        <w:p w14:paraId="71B2986B" w14:textId="06A3FA9A" w:rsidR="17BB30AA" w:rsidRDefault="17BB30AA" w:rsidP="17BB30AA">
          <w:pPr>
            <w:pStyle w:val="Header"/>
            <w:jc w:val="center"/>
          </w:pPr>
        </w:p>
      </w:tc>
      <w:tc>
        <w:tcPr>
          <w:tcW w:w="3210" w:type="dxa"/>
        </w:tcPr>
        <w:p w14:paraId="0FF194A9" w14:textId="799CF756" w:rsidR="17BB30AA" w:rsidRDefault="17BB30AA" w:rsidP="17BB30AA">
          <w:pPr>
            <w:pStyle w:val="Header"/>
            <w:ind w:right="-115"/>
            <w:jc w:val="right"/>
          </w:pPr>
        </w:p>
      </w:tc>
    </w:tr>
  </w:tbl>
  <w:p w14:paraId="23F841BB" w14:textId="04A5C442" w:rsidR="009F6150" w:rsidRDefault="009F61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363E63" w:rsidRPr="004E2D3A" w:rsidRDefault="004E2D3A">
    <w:pPr>
      <w:pStyle w:val="Header"/>
      <w:rPr>
        <w:b/>
        <w:bCs/>
      </w:rPr>
    </w:pPr>
    <w:r>
      <w:rPr>
        <w:b/>
      </w:rPr>
      <w:t>Table: Selected macroeconomic indicators for Slovenia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421F"/>
    <w:rsid w:val="00005262"/>
    <w:rsid w:val="00007553"/>
    <w:rsid w:val="00011EE3"/>
    <w:rsid w:val="00031C60"/>
    <w:rsid w:val="00036251"/>
    <w:rsid w:val="00044CD2"/>
    <w:rsid w:val="000664B8"/>
    <w:rsid w:val="000703C7"/>
    <w:rsid w:val="00070B6E"/>
    <w:rsid w:val="00077119"/>
    <w:rsid w:val="0007776B"/>
    <w:rsid w:val="00077F13"/>
    <w:rsid w:val="00082208"/>
    <w:rsid w:val="000920B7"/>
    <w:rsid w:val="000A06AB"/>
    <w:rsid w:val="000A3AC8"/>
    <w:rsid w:val="000A5A42"/>
    <w:rsid w:val="000A7B01"/>
    <w:rsid w:val="000A7BDC"/>
    <w:rsid w:val="000B0162"/>
    <w:rsid w:val="000B374A"/>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D1127"/>
    <w:rsid w:val="001D6793"/>
    <w:rsid w:val="001E16E8"/>
    <w:rsid w:val="001E20C7"/>
    <w:rsid w:val="001E3E73"/>
    <w:rsid w:val="001E52B8"/>
    <w:rsid w:val="001F51CD"/>
    <w:rsid w:val="001F5C72"/>
    <w:rsid w:val="00201EAA"/>
    <w:rsid w:val="002055F5"/>
    <w:rsid w:val="00234963"/>
    <w:rsid w:val="002350BD"/>
    <w:rsid w:val="00243593"/>
    <w:rsid w:val="00247CE0"/>
    <w:rsid w:val="00252943"/>
    <w:rsid w:val="00255D1C"/>
    <w:rsid w:val="00256528"/>
    <w:rsid w:val="00260617"/>
    <w:rsid w:val="0026509A"/>
    <w:rsid w:val="00266D67"/>
    <w:rsid w:val="0027659E"/>
    <w:rsid w:val="00284780"/>
    <w:rsid w:val="002928AB"/>
    <w:rsid w:val="0029405F"/>
    <w:rsid w:val="00297D32"/>
    <w:rsid w:val="002A0C21"/>
    <w:rsid w:val="002A5AC0"/>
    <w:rsid w:val="002A6C94"/>
    <w:rsid w:val="002B07FA"/>
    <w:rsid w:val="002B2898"/>
    <w:rsid w:val="002B4319"/>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4F7"/>
    <w:rsid w:val="00300B2B"/>
    <w:rsid w:val="00306767"/>
    <w:rsid w:val="00311364"/>
    <w:rsid w:val="00312D09"/>
    <w:rsid w:val="00321BE5"/>
    <w:rsid w:val="003247FD"/>
    <w:rsid w:val="00324AA8"/>
    <w:rsid w:val="00325138"/>
    <w:rsid w:val="003262BF"/>
    <w:rsid w:val="00333F21"/>
    <w:rsid w:val="00334D18"/>
    <w:rsid w:val="003474FD"/>
    <w:rsid w:val="003518B6"/>
    <w:rsid w:val="003544A3"/>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614E"/>
    <w:rsid w:val="003C6AE4"/>
    <w:rsid w:val="003C7FC6"/>
    <w:rsid w:val="003D111B"/>
    <w:rsid w:val="003D1766"/>
    <w:rsid w:val="003D1A76"/>
    <w:rsid w:val="003D4FB5"/>
    <w:rsid w:val="003D6F43"/>
    <w:rsid w:val="003E11F5"/>
    <w:rsid w:val="003E3B68"/>
    <w:rsid w:val="003E7A19"/>
    <w:rsid w:val="003F046B"/>
    <w:rsid w:val="003F0778"/>
    <w:rsid w:val="003F3F33"/>
    <w:rsid w:val="00404EC7"/>
    <w:rsid w:val="0040719E"/>
    <w:rsid w:val="0040765B"/>
    <w:rsid w:val="00410DF6"/>
    <w:rsid w:val="004143E5"/>
    <w:rsid w:val="00416D1B"/>
    <w:rsid w:val="00417008"/>
    <w:rsid w:val="0042166D"/>
    <w:rsid w:val="00425874"/>
    <w:rsid w:val="00431EDD"/>
    <w:rsid w:val="004368FB"/>
    <w:rsid w:val="00443660"/>
    <w:rsid w:val="00452589"/>
    <w:rsid w:val="00452804"/>
    <w:rsid w:val="00454892"/>
    <w:rsid w:val="00455C0C"/>
    <w:rsid w:val="004563B1"/>
    <w:rsid w:val="00464D01"/>
    <w:rsid w:val="00472608"/>
    <w:rsid w:val="00473642"/>
    <w:rsid w:val="00473A92"/>
    <w:rsid w:val="00477274"/>
    <w:rsid w:val="00480AAD"/>
    <w:rsid w:val="004845F1"/>
    <w:rsid w:val="004850BC"/>
    <w:rsid w:val="00485483"/>
    <w:rsid w:val="00485F72"/>
    <w:rsid w:val="0049183B"/>
    <w:rsid w:val="00491F55"/>
    <w:rsid w:val="004970E5"/>
    <w:rsid w:val="004A0410"/>
    <w:rsid w:val="004A758A"/>
    <w:rsid w:val="004A7D92"/>
    <w:rsid w:val="004D2590"/>
    <w:rsid w:val="004D28ED"/>
    <w:rsid w:val="004E2D3A"/>
    <w:rsid w:val="004E3278"/>
    <w:rsid w:val="004F4AF9"/>
    <w:rsid w:val="0050091F"/>
    <w:rsid w:val="00500B50"/>
    <w:rsid w:val="00503921"/>
    <w:rsid w:val="00505D39"/>
    <w:rsid w:val="00513887"/>
    <w:rsid w:val="00513B09"/>
    <w:rsid w:val="005225F7"/>
    <w:rsid w:val="0052278B"/>
    <w:rsid w:val="00522C91"/>
    <w:rsid w:val="0052312F"/>
    <w:rsid w:val="00532F53"/>
    <w:rsid w:val="00534457"/>
    <w:rsid w:val="00545D45"/>
    <w:rsid w:val="00546DBF"/>
    <w:rsid w:val="005508E9"/>
    <w:rsid w:val="0055332B"/>
    <w:rsid w:val="00561C9A"/>
    <w:rsid w:val="00562308"/>
    <w:rsid w:val="00563ABF"/>
    <w:rsid w:val="00564B65"/>
    <w:rsid w:val="0056636E"/>
    <w:rsid w:val="00592EB2"/>
    <w:rsid w:val="005A36AC"/>
    <w:rsid w:val="005A3F5F"/>
    <w:rsid w:val="005A6A74"/>
    <w:rsid w:val="005B67A1"/>
    <w:rsid w:val="005C0FB1"/>
    <w:rsid w:val="005C5A12"/>
    <w:rsid w:val="005D110B"/>
    <w:rsid w:val="005D2789"/>
    <w:rsid w:val="005D3B64"/>
    <w:rsid w:val="005D4938"/>
    <w:rsid w:val="005D5D51"/>
    <w:rsid w:val="005D7820"/>
    <w:rsid w:val="005E0757"/>
    <w:rsid w:val="005E1743"/>
    <w:rsid w:val="005E4C4B"/>
    <w:rsid w:val="005F0F5B"/>
    <w:rsid w:val="005F5FF0"/>
    <w:rsid w:val="006020EE"/>
    <w:rsid w:val="00611EE7"/>
    <w:rsid w:val="00615D5B"/>
    <w:rsid w:val="0062213B"/>
    <w:rsid w:val="006269CE"/>
    <w:rsid w:val="00627F83"/>
    <w:rsid w:val="0063083D"/>
    <w:rsid w:val="006313EB"/>
    <w:rsid w:val="00632DC6"/>
    <w:rsid w:val="0063497B"/>
    <w:rsid w:val="006439A6"/>
    <w:rsid w:val="006443E7"/>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5FD0"/>
    <w:rsid w:val="006E6211"/>
    <w:rsid w:val="006F1506"/>
    <w:rsid w:val="006F3DD0"/>
    <w:rsid w:val="006F43B2"/>
    <w:rsid w:val="006F67F3"/>
    <w:rsid w:val="007006A5"/>
    <w:rsid w:val="00701540"/>
    <w:rsid w:val="007016EF"/>
    <w:rsid w:val="007115FF"/>
    <w:rsid w:val="00711660"/>
    <w:rsid w:val="0072305B"/>
    <w:rsid w:val="00731B6F"/>
    <w:rsid w:val="007328FE"/>
    <w:rsid w:val="0073739E"/>
    <w:rsid w:val="007411B1"/>
    <w:rsid w:val="007421B2"/>
    <w:rsid w:val="0074452D"/>
    <w:rsid w:val="0074466E"/>
    <w:rsid w:val="00744B8D"/>
    <w:rsid w:val="00746833"/>
    <w:rsid w:val="0074688F"/>
    <w:rsid w:val="007475BA"/>
    <w:rsid w:val="00750C16"/>
    <w:rsid w:val="00751DB7"/>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90F4D"/>
    <w:rsid w:val="00793AB6"/>
    <w:rsid w:val="0079410F"/>
    <w:rsid w:val="007A0B59"/>
    <w:rsid w:val="007A6C35"/>
    <w:rsid w:val="007B074D"/>
    <w:rsid w:val="007B708A"/>
    <w:rsid w:val="007B7110"/>
    <w:rsid w:val="007C4B7A"/>
    <w:rsid w:val="007C5222"/>
    <w:rsid w:val="007D0791"/>
    <w:rsid w:val="007D4631"/>
    <w:rsid w:val="007E0425"/>
    <w:rsid w:val="007E77B8"/>
    <w:rsid w:val="007F1307"/>
    <w:rsid w:val="007F13BE"/>
    <w:rsid w:val="007F485F"/>
    <w:rsid w:val="007F64C4"/>
    <w:rsid w:val="00804742"/>
    <w:rsid w:val="008049AA"/>
    <w:rsid w:val="00812D81"/>
    <w:rsid w:val="00813F80"/>
    <w:rsid w:val="008149ED"/>
    <w:rsid w:val="00822375"/>
    <w:rsid w:val="00841052"/>
    <w:rsid w:val="008444D1"/>
    <w:rsid w:val="0084784F"/>
    <w:rsid w:val="008507B0"/>
    <w:rsid w:val="008541ED"/>
    <w:rsid w:val="00855CE5"/>
    <w:rsid w:val="00860582"/>
    <w:rsid w:val="008637AE"/>
    <w:rsid w:val="00863817"/>
    <w:rsid w:val="008646FF"/>
    <w:rsid w:val="008678A7"/>
    <w:rsid w:val="008713BF"/>
    <w:rsid w:val="00871E2C"/>
    <w:rsid w:val="00876109"/>
    <w:rsid w:val="0088498B"/>
    <w:rsid w:val="0088644B"/>
    <w:rsid w:val="00887D7E"/>
    <w:rsid w:val="0089056E"/>
    <w:rsid w:val="0089259B"/>
    <w:rsid w:val="00895CDB"/>
    <w:rsid w:val="008B077B"/>
    <w:rsid w:val="008B129E"/>
    <w:rsid w:val="008B3BA9"/>
    <w:rsid w:val="008C1F73"/>
    <w:rsid w:val="008D4EBF"/>
    <w:rsid w:val="008D52D0"/>
    <w:rsid w:val="008E2FB1"/>
    <w:rsid w:val="008E6740"/>
    <w:rsid w:val="00901826"/>
    <w:rsid w:val="00905AB9"/>
    <w:rsid w:val="00905AC5"/>
    <w:rsid w:val="009065AE"/>
    <w:rsid w:val="00910265"/>
    <w:rsid w:val="009130E0"/>
    <w:rsid w:val="00914026"/>
    <w:rsid w:val="009235A1"/>
    <w:rsid w:val="009339A9"/>
    <w:rsid w:val="009345E2"/>
    <w:rsid w:val="00935704"/>
    <w:rsid w:val="0093604B"/>
    <w:rsid w:val="00941651"/>
    <w:rsid w:val="0094265C"/>
    <w:rsid w:val="00946C4C"/>
    <w:rsid w:val="0095067C"/>
    <w:rsid w:val="009523CC"/>
    <w:rsid w:val="00952784"/>
    <w:rsid w:val="00954546"/>
    <w:rsid w:val="009554F7"/>
    <w:rsid w:val="00956D7D"/>
    <w:rsid w:val="00961808"/>
    <w:rsid w:val="0097679D"/>
    <w:rsid w:val="0098633D"/>
    <w:rsid w:val="0098677D"/>
    <w:rsid w:val="009916BC"/>
    <w:rsid w:val="009918B9"/>
    <w:rsid w:val="0099433F"/>
    <w:rsid w:val="00994AF5"/>
    <w:rsid w:val="009A08FF"/>
    <w:rsid w:val="009A1E12"/>
    <w:rsid w:val="009A2846"/>
    <w:rsid w:val="009A4299"/>
    <w:rsid w:val="009A6EC5"/>
    <w:rsid w:val="009B5FBC"/>
    <w:rsid w:val="009B7D53"/>
    <w:rsid w:val="009C0C09"/>
    <w:rsid w:val="009C0D03"/>
    <w:rsid w:val="009C53A4"/>
    <w:rsid w:val="009C7520"/>
    <w:rsid w:val="009D07FF"/>
    <w:rsid w:val="009D311B"/>
    <w:rsid w:val="009D55C7"/>
    <w:rsid w:val="009E5EC5"/>
    <w:rsid w:val="009E6771"/>
    <w:rsid w:val="009F6150"/>
    <w:rsid w:val="009F6D5C"/>
    <w:rsid w:val="009F7732"/>
    <w:rsid w:val="00A03772"/>
    <w:rsid w:val="00A072AA"/>
    <w:rsid w:val="00A107AD"/>
    <w:rsid w:val="00A1277D"/>
    <w:rsid w:val="00A17CAB"/>
    <w:rsid w:val="00A20C9D"/>
    <w:rsid w:val="00A2267D"/>
    <w:rsid w:val="00A22E1A"/>
    <w:rsid w:val="00A237A0"/>
    <w:rsid w:val="00A35FCE"/>
    <w:rsid w:val="00A42839"/>
    <w:rsid w:val="00A44E09"/>
    <w:rsid w:val="00A46CFE"/>
    <w:rsid w:val="00A5236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6109"/>
    <w:rsid w:val="00AF2194"/>
    <w:rsid w:val="00AF3058"/>
    <w:rsid w:val="00B00E5E"/>
    <w:rsid w:val="00B0168D"/>
    <w:rsid w:val="00B035D2"/>
    <w:rsid w:val="00B04494"/>
    <w:rsid w:val="00B067BC"/>
    <w:rsid w:val="00B11EE5"/>
    <w:rsid w:val="00B131DE"/>
    <w:rsid w:val="00B1448F"/>
    <w:rsid w:val="00B16752"/>
    <w:rsid w:val="00B17209"/>
    <w:rsid w:val="00B17781"/>
    <w:rsid w:val="00B20754"/>
    <w:rsid w:val="00B220A3"/>
    <w:rsid w:val="00B26E4F"/>
    <w:rsid w:val="00B34F30"/>
    <w:rsid w:val="00B35FFD"/>
    <w:rsid w:val="00B37DC2"/>
    <w:rsid w:val="00B4011D"/>
    <w:rsid w:val="00B427DC"/>
    <w:rsid w:val="00B451B6"/>
    <w:rsid w:val="00B47625"/>
    <w:rsid w:val="00B47E4D"/>
    <w:rsid w:val="00B52382"/>
    <w:rsid w:val="00B52F7E"/>
    <w:rsid w:val="00B613F5"/>
    <w:rsid w:val="00B61872"/>
    <w:rsid w:val="00B61B71"/>
    <w:rsid w:val="00B62D4B"/>
    <w:rsid w:val="00B7289B"/>
    <w:rsid w:val="00B738F6"/>
    <w:rsid w:val="00B73F94"/>
    <w:rsid w:val="00B74E00"/>
    <w:rsid w:val="00B752F4"/>
    <w:rsid w:val="00B82C8A"/>
    <w:rsid w:val="00B8300F"/>
    <w:rsid w:val="00B833CE"/>
    <w:rsid w:val="00B83AD6"/>
    <w:rsid w:val="00B84489"/>
    <w:rsid w:val="00B85474"/>
    <w:rsid w:val="00B933A2"/>
    <w:rsid w:val="00B95659"/>
    <w:rsid w:val="00B96874"/>
    <w:rsid w:val="00B97DC1"/>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435F"/>
    <w:rsid w:val="00C76B2C"/>
    <w:rsid w:val="00C80811"/>
    <w:rsid w:val="00C8534B"/>
    <w:rsid w:val="00CA3DDE"/>
    <w:rsid w:val="00CA7705"/>
    <w:rsid w:val="00CB0A14"/>
    <w:rsid w:val="00CB7467"/>
    <w:rsid w:val="00CC24A6"/>
    <w:rsid w:val="00CC35E0"/>
    <w:rsid w:val="00CC4832"/>
    <w:rsid w:val="00CC5657"/>
    <w:rsid w:val="00CE08C3"/>
    <w:rsid w:val="00CE1098"/>
    <w:rsid w:val="00CE675E"/>
    <w:rsid w:val="00CF2062"/>
    <w:rsid w:val="00CF6407"/>
    <w:rsid w:val="00CF6B31"/>
    <w:rsid w:val="00D024E5"/>
    <w:rsid w:val="00D15B95"/>
    <w:rsid w:val="00D220FE"/>
    <w:rsid w:val="00D22523"/>
    <w:rsid w:val="00D2363D"/>
    <w:rsid w:val="00D312B6"/>
    <w:rsid w:val="00D41892"/>
    <w:rsid w:val="00D467B8"/>
    <w:rsid w:val="00D5264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D4D48"/>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20829"/>
    <w:rsid w:val="00E226DD"/>
    <w:rsid w:val="00E22B34"/>
    <w:rsid w:val="00E31874"/>
    <w:rsid w:val="00E353DC"/>
    <w:rsid w:val="00E356BF"/>
    <w:rsid w:val="00E41968"/>
    <w:rsid w:val="00E46065"/>
    <w:rsid w:val="00E47429"/>
    <w:rsid w:val="00E65941"/>
    <w:rsid w:val="00E67674"/>
    <w:rsid w:val="00E717CC"/>
    <w:rsid w:val="00E732D2"/>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1E16"/>
    <w:rsid w:val="00ED798C"/>
    <w:rsid w:val="00EE36B9"/>
    <w:rsid w:val="00EE6FBF"/>
    <w:rsid w:val="00EE7E6E"/>
    <w:rsid w:val="00EF2F19"/>
    <w:rsid w:val="00EF7C1F"/>
    <w:rsid w:val="00F01471"/>
    <w:rsid w:val="00F13478"/>
    <w:rsid w:val="00F141C0"/>
    <w:rsid w:val="00F14A6E"/>
    <w:rsid w:val="00F16082"/>
    <w:rsid w:val="00F20C31"/>
    <w:rsid w:val="00F22D13"/>
    <w:rsid w:val="00F23F5F"/>
    <w:rsid w:val="00F30F36"/>
    <w:rsid w:val="00F31F83"/>
    <w:rsid w:val="00F3399B"/>
    <w:rsid w:val="00F36A74"/>
    <w:rsid w:val="00F40852"/>
    <w:rsid w:val="00F409C1"/>
    <w:rsid w:val="00F41E1A"/>
    <w:rsid w:val="00F43F6C"/>
    <w:rsid w:val="00F47B15"/>
    <w:rsid w:val="00F50BC2"/>
    <w:rsid w:val="00F51A69"/>
    <w:rsid w:val="00F52F6D"/>
    <w:rsid w:val="00F545EF"/>
    <w:rsid w:val="00F56A46"/>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930F6"/>
    <w:rsid w:val="00F9475B"/>
    <w:rsid w:val="00FA45E3"/>
    <w:rsid w:val="00FB064C"/>
    <w:rsid w:val="00FB5533"/>
    <w:rsid w:val="00FB5963"/>
    <w:rsid w:val="00FB5E33"/>
    <w:rsid w:val="00FC11F2"/>
    <w:rsid w:val="00FC30BC"/>
    <w:rsid w:val="00FC697A"/>
    <w:rsid w:val="00FE0670"/>
    <w:rsid w:val="00FE12B1"/>
    <w:rsid w:val="00FE38C6"/>
    <w:rsid w:val="00FE7254"/>
    <w:rsid w:val="00FE755B"/>
    <w:rsid w:val="00FF1B7D"/>
    <w:rsid w:val="00FF1B8C"/>
    <w:rsid w:val="00FF35E2"/>
    <w:rsid w:val="00FF6663"/>
    <w:rsid w:val="0EE520E8"/>
    <w:rsid w:val="1394B156"/>
    <w:rsid w:val="15F3EBD7"/>
    <w:rsid w:val="175A116E"/>
    <w:rsid w:val="17BB30AA"/>
    <w:rsid w:val="1861DD19"/>
    <w:rsid w:val="19E74083"/>
    <w:rsid w:val="1CC8A607"/>
    <w:rsid w:val="200936E7"/>
    <w:rsid w:val="21894BE0"/>
    <w:rsid w:val="2514B017"/>
    <w:rsid w:val="2BE233F5"/>
    <w:rsid w:val="2D331F9D"/>
    <w:rsid w:val="2D3F1A77"/>
    <w:rsid w:val="31D25D35"/>
    <w:rsid w:val="3232BB50"/>
    <w:rsid w:val="3936E378"/>
    <w:rsid w:val="3E4BFB68"/>
    <w:rsid w:val="3F644C1C"/>
    <w:rsid w:val="40E2C37D"/>
    <w:rsid w:val="41001C7D"/>
    <w:rsid w:val="41EAEF53"/>
    <w:rsid w:val="44C3E103"/>
    <w:rsid w:val="46038A48"/>
    <w:rsid w:val="46E33487"/>
    <w:rsid w:val="490DDEDB"/>
    <w:rsid w:val="4C16315E"/>
    <w:rsid w:val="4D9B90AA"/>
    <w:rsid w:val="4E28FBBE"/>
    <w:rsid w:val="51CA5805"/>
    <w:rsid w:val="59466220"/>
    <w:rsid w:val="65774917"/>
    <w:rsid w:val="701566A2"/>
    <w:rsid w:val="70893F96"/>
    <w:rsid w:val="74BB45C0"/>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styleId="Mention">
    <w:name w:val="Mention"/>
    <w:basedOn w:val="DefaultParagraphFont"/>
    <w:uiPriority w:val="99"/>
    <w:unhideWhenUsed/>
    <w:rsid w:val="00744B8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9.jpg"/><Relationship Id="rId30"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04BC0-5DAF-4920-950E-49539B687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707</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2021-07-27T11:40:00Z</dcterms:created>
  <dcterms:modified xsi:type="dcterms:W3CDTF">2021-07-27T11:40:00Z</dcterms:modified>
</cp:coreProperties>
</file>