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DE72F6" w:rsidRDefault="001D6793" w:rsidP="001D6793">
      <w:pPr>
        <w:pStyle w:val="Naslov11"/>
      </w:pPr>
      <w:r>
        <w:t>CURRENT ECONOMIC TRENDS</w:t>
      </w:r>
    </w:p>
    <w:p w14:paraId="069DD334" w14:textId="27C0AF5C" w:rsidR="001D6793" w:rsidRDefault="00FA45E3" w:rsidP="001D6793">
      <w:pPr>
        <w:pStyle w:val="Naslov21"/>
      </w:pPr>
      <w:r>
        <w:t>28 June–2 July 2021</w:t>
      </w:r>
    </w:p>
    <w:p w14:paraId="0ABDC38E" w14:textId="77777777" w:rsidR="00726389" w:rsidRDefault="00726389" w:rsidP="00DD7563"/>
    <w:p w14:paraId="0474A7BC" w14:textId="7ECB610A" w:rsidR="00DD7563" w:rsidRPr="00814FB0" w:rsidRDefault="00F02D30" w:rsidP="00DD7563">
      <w:pPr>
        <w:rPr>
          <w:color w:val="44546A" w:themeColor="text2"/>
        </w:rPr>
      </w:pPr>
      <w:r>
        <w:t xml:space="preserve">According to data on the fiscal verification of invoices, total turnover in the second half of June was higher than in the same period of 2019, while turnover in services where certain restrictions on activity were still in place, continued to lag significantly behind this level. Inflation fell slightly in June and the year-on-year price growth was mainly driven by higher energy prices. Freight traffic volumes on Slovenian motorways and electricity consumption remained at high levels in the fourth week of June, close to comparable 2019 levels. </w:t>
      </w:r>
    </w:p>
    <w:p w14:paraId="7D436DC0" w14:textId="70D69517" w:rsidR="00434CAB" w:rsidRDefault="00434CAB" w:rsidP="00264263">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34CAB" w:rsidRPr="006C2117" w14:paraId="536B7C7A" w14:textId="77777777" w:rsidTr="4B2F59BD">
        <w:trPr>
          <w:trHeight w:val="207"/>
        </w:trPr>
        <w:tc>
          <w:tcPr>
            <w:tcW w:w="4819" w:type="dxa"/>
            <w:tcBorders>
              <w:bottom w:val="single" w:sz="4" w:space="0" w:color="auto"/>
            </w:tcBorders>
            <w:tcMar>
              <w:left w:w="0" w:type="dxa"/>
            </w:tcMar>
          </w:tcPr>
          <w:p w14:paraId="7395699F" w14:textId="33759DFE" w:rsidR="00434CAB" w:rsidRPr="006C2117" w:rsidRDefault="00434CAB" w:rsidP="00E150F1">
            <w:pPr>
              <w:pStyle w:val="Naslov31"/>
              <w:jc w:val="left"/>
            </w:pPr>
            <w:r>
              <w:t xml:space="preserve">Consumer prices, June 2021 </w:t>
            </w:r>
          </w:p>
        </w:tc>
        <w:tc>
          <w:tcPr>
            <w:tcW w:w="4820" w:type="dxa"/>
            <w:gridSpan w:val="2"/>
            <w:tcBorders>
              <w:bottom w:val="single" w:sz="4" w:space="0" w:color="auto"/>
            </w:tcBorders>
          </w:tcPr>
          <w:p w14:paraId="4601F046" w14:textId="77777777" w:rsidR="00434CAB" w:rsidRPr="006C2117" w:rsidRDefault="00434CAB" w:rsidP="0052749F">
            <w:pPr>
              <w:pStyle w:val="Naslov31"/>
            </w:pPr>
          </w:p>
        </w:tc>
      </w:tr>
      <w:tr w:rsidR="00434CAB" w:rsidRPr="00DF4F0B" w14:paraId="57E6AAC0" w14:textId="77777777" w:rsidTr="4B2F59BD">
        <w:trPr>
          <w:trHeight w:val="1134"/>
        </w:trPr>
        <w:tc>
          <w:tcPr>
            <w:tcW w:w="4982" w:type="dxa"/>
            <w:gridSpan w:val="2"/>
            <w:tcBorders>
              <w:top w:val="single" w:sz="4" w:space="0" w:color="auto"/>
            </w:tcBorders>
            <w:tcMar>
              <w:left w:w="0" w:type="dxa"/>
            </w:tcMar>
          </w:tcPr>
          <w:p w14:paraId="2C824705" w14:textId="38839E40" w:rsidR="009C138C" w:rsidRDefault="00F3273D" w:rsidP="0052749F">
            <w:pPr>
              <w:pStyle w:val="Odstavekseznama"/>
              <w:ind w:left="0"/>
            </w:pPr>
            <w:r>
              <w:rPr>
                <w:noProof/>
              </w:rPr>
              <w:drawing>
                <wp:inline distT="0" distB="0" distL="0" distR="0" wp14:anchorId="16F10543" wp14:editId="2C5ADEA9">
                  <wp:extent cx="3096000" cy="2530800"/>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p w14:paraId="5D93465C" w14:textId="22486FFA" w:rsidR="00434CAB" w:rsidRDefault="00434CAB" w:rsidP="0052749F">
            <w:pPr>
              <w:pStyle w:val="Odstavekseznama"/>
              <w:ind w:left="0"/>
            </w:pPr>
          </w:p>
        </w:tc>
        <w:tc>
          <w:tcPr>
            <w:tcW w:w="4657" w:type="dxa"/>
            <w:tcBorders>
              <w:top w:val="single" w:sz="4" w:space="0" w:color="auto"/>
            </w:tcBorders>
            <w:tcMar>
              <w:left w:w="284" w:type="dxa"/>
            </w:tcMar>
          </w:tcPr>
          <w:p w14:paraId="75FF22CB" w14:textId="2CCAD56D" w:rsidR="00434CAB" w:rsidRPr="00DF4F0B" w:rsidRDefault="00525222">
            <w:r>
              <w:rPr>
                <w:b/>
              </w:rPr>
              <w:t xml:space="preserve">Consumer price growth slowed slightly in June to 1.4%. </w:t>
            </w:r>
            <w:r>
              <w:t>The contribution from energy prices, which, with a high year-on-year increase in the prices of petroleum products (by almost a quarter), contribute the most to current inflation (1 pp), decreased significantly in June.</w:t>
            </w:r>
            <w:r>
              <w:rPr>
                <w:b/>
              </w:rPr>
              <w:t xml:space="preserve"> </w:t>
            </w:r>
            <w:r>
              <w:t>This is due to the increase in electricity prices last June (base effect), when the measure of temporary exemption from the payment of contributions for households, introduced during the first wave of the epidemic, expired. The year-on-year increase in prices for semi-durable goods remained broadly unchanged in June (1.7%), while the month-on-month growth in durable consumer prices almost halved (0.9% year-on-year). The prices of food and services remain lower year-on-year, but are gradually approaching last year's levels.</w:t>
            </w:r>
          </w:p>
        </w:tc>
      </w:tr>
    </w:tbl>
    <w:p w14:paraId="73227FC6" w14:textId="2F085EC7" w:rsidR="00434CAB" w:rsidRDefault="00434CAB" w:rsidP="00264263">
      <w:pPr>
        <w:tabs>
          <w:tab w:val="left" w:pos="580"/>
        </w:tabs>
      </w:pPr>
    </w:p>
    <w:p w14:paraId="33AA12FB" w14:textId="77777777" w:rsidR="00EB2919" w:rsidRDefault="00EB2919" w:rsidP="002B6DD4">
      <w:pPr>
        <w:pStyle w:val="Naslov31"/>
        <w:jc w:val="left"/>
        <w:sectPr w:rsidR="00EB2919" w:rsidSect="00EC5815">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021" w:left="1134" w:header="709" w:footer="397" w:gutter="0"/>
          <w:cols w:space="708"/>
          <w:titlePg/>
          <w:docGrid w:linePitch="360"/>
        </w:sect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B84489" w:rsidRPr="006C2117" w14:paraId="30BEC8C6" w14:textId="77777777" w:rsidTr="4B2F59BD">
        <w:trPr>
          <w:trHeight w:val="207"/>
        </w:trPr>
        <w:tc>
          <w:tcPr>
            <w:tcW w:w="6663" w:type="dxa"/>
            <w:gridSpan w:val="2"/>
            <w:tcBorders>
              <w:bottom w:val="single" w:sz="4" w:space="0" w:color="auto"/>
            </w:tcBorders>
            <w:tcMar>
              <w:left w:w="0" w:type="dxa"/>
            </w:tcMar>
          </w:tcPr>
          <w:p w14:paraId="2E66FA27" w14:textId="05EEC28B" w:rsidR="00B84489" w:rsidRPr="006C2117" w:rsidRDefault="00B84489" w:rsidP="002B6DD4">
            <w:pPr>
              <w:pStyle w:val="Naslov31"/>
              <w:jc w:val="left"/>
            </w:pPr>
            <w:r>
              <w:lastRenderedPageBreak/>
              <w:t>Traffic of electronically tolled vehicles on Slovenian motorways, June 2021</w:t>
            </w:r>
          </w:p>
        </w:tc>
        <w:tc>
          <w:tcPr>
            <w:tcW w:w="2976" w:type="dxa"/>
            <w:tcBorders>
              <w:bottom w:val="single" w:sz="4" w:space="0" w:color="auto"/>
            </w:tcBorders>
          </w:tcPr>
          <w:p w14:paraId="3F97770B" w14:textId="0A7B651E" w:rsidR="00B84489" w:rsidRPr="006C2117" w:rsidRDefault="00B84489" w:rsidP="002B6DD4">
            <w:pPr>
              <w:pStyle w:val="Naslov31"/>
            </w:pPr>
          </w:p>
        </w:tc>
      </w:tr>
      <w:tr w:rsidR="00B84489" w:rsidRPr="00DF4F0B" w14:paraId="37B2577F" w14:textId="77777777" w:rsidTr="4B2F59BD">
        <w:trPr>
          <w:trHeight w:val="1134"/>
        </w:trPr>
        <w:tc>
          <w:tcPr>
            <w:tcW w:w="4982" w:type="dxa"/>
            <w:tcBorders>
              <w:top w:val="single" w:sz="4" w:space="0" w:color="auto"/>
            </w:tcBorders>
            <w:tcMar>
              <w:left w:w="0" w:type="dxa"/>
            </w:tcMar>
          </w:tcPr>
          <w:p w14:paraId="2222B545" w14:textId="577CC7C6" w:rsidR="00FE4146" w:rsidRDefault="00C56A47" w:rsidP="002B6DD4">
            <w:pPr>
              <w:pStyle w:val="Odstavekseznama"/>
              <w:ind w:left="0"/>
              <w:rPr>
                <w:noProof/>
              </w:rPr>
            </w:pPr>
            <w:r>
              <w:rPr>
                <w:noProof/>
              </w:rPr>
              <w:drawing>
                <wp:inline distT="0" distB="0" distL="0" distR="0" wp14:anchorId="7AAA32FB" wp14:editId="6908EB4B">
                  <wp:extent cx="3121200" cy="2592000"/>
                  <wp:effectExtent l="0" t="0" r="317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1200" cy="2592000"/>
                          </a:xfrm>
                          <a:prstGeom prst="rect">
                            <a:avLst/>
                          </a:prstGeom>
                          <a:noFill/>
                        </pic:spPr>
                      </pic:pic>
                    </a:graphicData>
                  </a:graphic>
                </wp:inline>
              </w:drawing>
            </w:r>
          </w:p>
          <w:p w14:paraId="22291D5D" w14:textId="079E626D" w:rsidR="00B84489" w:rsidRDefault="00B84489" w:rsidP="002B6DD4">
            <w:pPr>
              <w:pStyle w:val="Odstavekseznama"/>
              <w:ind w:left="0"/>
            </w:pPr>
          </w:p>
        </w:tc>
        <w:tc>
          <w:tcPr>
            <w:tcW w:w="4657" w:type="dxa"/>
            <w:gridSpan w:val="2"/>
            <w:tcBorders>
              <w:top w:val="single" w:sz="4" w:space="0" w:color="auto"/>
            </w:tcBorders>
            <w:tcMar>
              <w:left w:w="284" w:type="dxa"/>
            </w:tcMar>
          </w:tcPr>
          <w:p w14:paraId="1E582C90" w14:textId="1D1D3AFB" w:rsidR="00B84489" w:rsidRPr="00DF4F0B" w:rsidRDefault="00A52B64" w:rsidP="00814FB0">
            <w:pPr>
              <w:spacing w:line="240" w:lineRule="atLeast"/>
            </w:pPr>
            <w:r>
              <w:rPr>
                <w:b/>
              </w:rPr>
              <w:t>Freight traffic on Slovenian motorways in the fourth week of June was 14% higher than in the same period of last year and slightly lower as in the same week of 2019.</w:t>
            </w:r>
            <w:r>
              <w:t xml:space="preserve"> The volume of freight traffic was one tenth lower than in the previous very busy week due to the Statehood Day on Friday. The significant year-on-year higher levels are still mainly due to the lower traffic volume in the same period last year after the first wave of the epidemic. Compared to the same week in 2019, the volume of domestic vehicle traffic was 5% higher and the volume of foreign vehicle traffic was 4% lower, but the share of foreign vehicle traffic was about the same as the average share in the pre-crisis year, at just over 60%.</w:t>
            </w:r>
          </w:p>
        </w:tc>
      </w:tr>
      <w:tr w:rsidR="00363E63" w14:paraId="17E1B550" w14:textId="77777777" w:rsidTr="4B2F59BD">
        <w:trPr>
          <w:trHeight w:val="207"/>
        </w:trPr>
        <w:tc>
          <w:tcPr>
            <w:tcW w:w="6663" w:type="dxa"/>
            <w:gridSpan w:val="2"/>
            <w:tcBorders>
              <w:bottom w:val="single" w:sz="4" w:space="0" w:color="auto"/>
            </w:tcBorders>
            <w:tcMar>
              <w:left w:w="0" w:type="dxa"/>
            </w:tcMar>
          </w:tcPr>
          <w:p w14:paraId="590646DE" w14:textId="77777777" w:rsidR="00EB2919" w:rsidRDefault="00EB2919" w:rsidP="00731B6F">
            <w:pPr>
              <w:pStyle w:val="Naslov31"/>
              <w:jc w:val="left"/>
            </w:pPr>
          </w:p>
          <w:p w14:paraId="74E10295" w14:textId="32BAF68C" w:rsidR="00363E63" w:rsidRPr="006C2117" w:rsidRDefault="009A2846" w:rsidP="00E150F1">
            <w:pPr>
              <w:pStyle w:val="Naslov31"/>
              <w:jc w:val="left"/>
            </w:pPr>
            <w:r>
              <w:t>Electricity consumption, June 2021</w:t>
            </w:r>
          </w:p>
        </w:tc>
        <w:tc>
          <w:tcPr>
            <w:tcW w:w="2976" w:type="dxa"/>
            <w:tcBorders>
              <w:bottom w:val="single" w:sz="4" w:space="0" w:color="auto"/>
            </w:tcBorders>
          </w:tcPr>
          <w:p w14:paraId="772D173F" w14:textId="77777777" w:rsidR="00363E63" w:rsidRPr="006C2117" w:rsidRDefault="00363E63" w:rsidP="0058360C">
            <w:pPr>
              <w:pStyle w:val="Naslov31"/>
            </w:pPr>
          </w:p>
        </w:tc>
      </w:tr>
      <w:tr w:rsidR="00363E63" w14:paraId="03A45C4E" w14:textId="77777777" w:rsidTr="4B2F59BD">
        <w:trPr>
          <w:trHeight w:val="1134"/>
        </w:trPr>
        <w:tc>
          <w:tcPr>
            <w:tcW w:w="4982" w:type="dxa"/>
            <w:tcBorders>
              <w:top w:val="single" w:sz="4" w:space="0" w:color="auto"/>
            </w:tcBorders>
            <w:tcMar>
              <w:left w:w="0" w:type="dxa"/>
            </w:tcMar>
          </w:tcPr>
          <w:p w14:paraId="2E2729D9" w14:textId="6DDA895D" w:rsidR="00FD2730" w:rsidRDefault="00C63902" w:rsidP="0058360C">
            <w:pPr>
              <w:pStyle w:val="Odstavekseznama"/>
              <w:ind w:left="0"/>
            </w:pPr>
            <w:r>
              <w:rPr>
                <w:noProof/>
              </w:rPr>
              <w:drawing>
                <wp:inline distT="0" distB="0" distL="0" distR="0" wp14:anchorId="73D4A626" wp14:editId="3FF6F944">
                  <wp:extent cx="3088800" cy="2530800"/>
                  <wp:effectExtent l="0" t="0" r="0"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8800" cy="2530800"/>
                          </a:xfrm>
                          <a:prstGeom prst="rect">
                            <a:avLst/>
                          </a:prstGeom>
                          <a:noFill/>
                        </pic:spPr>
                      </pic:pic>
                    </a:graphicData>
                  </a:graphic>
                </wp:inline>
              </w:drawing>
            </w:r>
          </w:p>
          <w:p w14:paraId="48F5876B" w14:textId="2D70C6D9" w:rsidR="00363E63" w:rsidRDefault="00363E63" w:rsidP="0058360C">
            <w:pPr>
              <w:pStyle w:val="Odstavekseznama"/>
              <w:ind w:left="0"/>
            </w:pPr>
          </w:p>
        </w:tc>
        <w:tc>
          <w:tcPr>
            <w:tcW w:w="4657" w:type="dxa"/>
            <w:gridSpan w:val="2"/>
            <w:tcBorders>
              <w:top w:val="single" w:sz="4" w:space="0" w:color="auto"/>
            </w:tcBorders>
            <w:tcMar>
              <w:left w:w="284" w:type="dxa"/>
            </w:tcMar>
          </w:tcPr>
          <w:p w14:paraId="22B4E11E" w14:textId="09A40899" w:rsidR="00933679" w:rsidRPr="0092632B" w:rsidRDefault="00933679" w:rsidP="00933679">
            <w:r>
              <w:rPr>
                <w:b/>
              </w:rPr>
              <w:t xml:space="preserve">In the week between 21 and 25 June, electricity consumption was 14% higher than the same week in 2020 and 1% higher than the same week of the pre-crisis year 2019. </w:t>
            </w:r>
            <w:r>
              <w:t>We estimate that the reason for a slightly higher spending than before the crisis is primarily the timing of the Statehood Day in 2019, and the reason for the higher year-on-year spending is the combination of the holiday timing and the low base in 2020.  Particularly due to the base effect, year-on-year higher consumption was also recorded in the majority of Slovenia’s main trading partners (from 1% in Austria to 14% in Italy), except in France, where it was 2% lower. Compared to the same week of 2019, all partner countries recorded lower consumption, Austria by 2%, France and Croatia by 6%, Italy by 4% and Germany by 1%.</w:t>
            </w:r>
          </w:p>
          <w:p w14:paraId="0E58E70B" w14:textId="475BEC92" w:rsidR="00363E63" w:rsidRPr="00814FB0" w:rsidRDefault="00363E63" w:rsidP="0058360C"/>
        </w:tc>
      </w:tr>
    </w:tbl>
    <w:p w14:paraId="6E4BD375" w14:textId="77777777" w:rsidR="00EB2919" w:rsidRDefault="00EB2919" w:rsidP="00804DA8">
      <w:pPr>
        <w:pStyle w:val="Naslov31"/>
        <w:jc w:val="left"/>
        <w:sectPr w:rsidR="00EB2919" w:rsidSect="00187E14">
          <w:headerReference w:type="first" r:id="rId20"/>
          <w:pgSz w:w="11906" w:h="16838"/>
          <w:pgMar w:top="1134" w:right="1134" w:bottom="1021" w:left="1134" w:header="709" w:footer="397" w:gutter="0"/>
          <w:cols w:space="708"/>
          <w:docGrid w:linePitch="360"/>
        </w:sect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E5FD0" w:rsidRPr="007A0B59" w14:paraId="064A87F6" w14:textId="77777777" w:rsidTr="4B2F59BD">
        <w:trPr>
          <w:trHeight w:val="207"/>
        </w:trPr>
        <w:tc>
          <w:tcPr>
            <w:tcW w:w="4819" w:type="dxa"/>
            <w:tcBorders>
              <w:bottom w:val="single" w:sz="4" w:space="0" w:color="auto"/>
            </w:tcBorders>
            <w:tcMar>
              <w:left w:w="0" w:type="dxa"/>
            </w:tcMar>
          </w:tcPr>
          <w:p w14:paraId="09F9B236" w14:textId="02FE8C8A" w:rsidR="006E5FD0" w:rsidRPr="007A0B59" w:rsidRDefault="006E5FD0" w:rsidP="00E150F1">
            <w:pPr>
              <w:pStyle w:val="Naslov31"/>
              <w:jc w:val="left"/>
            </w:pPr>
            <w:r>
              <w:lastRenderedPageBreak/>
              <w:t>Trade, April 2021</w:t>
            </w:r>
          </w:p>
        </w:tc>
        <w:tc>
          <w:tcPr>
            <w:tcW w:w="4820" w:type="dxa"/>
            <w:gridSpan w:val="2"/>
            <w:tcBorders>
              <w:bottom w:val="single" w:sz="4" w:space="0" w:color="auto"/>
            </w:tcBorders>
          </w:tcPr>
          <w:p w14:paraId="4B36899F" w14:textId="77777777" w:rsidR="006E5FD0" w:rsidRPr="007A0B59" w:rsidRDefault="006E5FD0" w:rsidP="00804DA8">
            <w:pPr>
              <w:pStyle w:val="Naslov31"/>
            </w:pPr>
          </w:p>
        </w:tc>
      </w:tr>
      <w:tr w:rsidR="006E5FD0" w:rsidRPr="00DF4F0B" w14:paraId="288D5855" w14:textId="77777777" w:rsidTr="4B2F59BD">
        <w:trPr>
          <w:trHeight w:val="1134"/>
        </w:trPr>
        <w:tc>
          <w:tcPr>
            <w:tcW w:w="4982" w:type="dxa"/>
            <w:gridSpan w:val="2"/>
            <w:tcBorders>
              <w:top w:val="single" w:sz="4" w:space="0" w:color="auto"/>
            </w:tcBorders>
            <w:tcMar>
              <w:left w:w="0" w:type="dxa"/>
            </w:tcMar>
          </w:tcPr>
          <w:p w14:paraId="744E8AC2" w14:textId="7963C8F4" w:rsidR="006E5FD0" w:rsidRDefault="00DC6121" w:rsidP="00804DA8">
            <w:pPr>
              <w:pStyle w:val="Odstavekseznama"/>
              <w:ind w:left="0"/>
            </w:pPr>
            <w:bookmarkStart w:id="0" w:name="_GoBack"/>
            <w:r>
              <w:rPr>
                <w:noProof/>
              </w:rPr>
              <w:drawing>
                <wp:inline distT="0" distB="0" distL="0" distR="0" wp14:anchorId="0B98412A" wp14:editId="04213BC5">
                  <wp:extent cx="3092400" cy="2527200"/>
                  <wp:effectExtent l="0" t="0" r="0" b="698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00" cy="2527200"/>
                          </a:xfrm>
                          <a:prstGeom prst="rect">
                            <a:avLst/>
                          </a:prstGeom>
                          <a:noFill/>
                        </pic:spPr>
                      </pic:pic>
                    </a:graphicData>
                  </a:graphic>
                </wp:inline>
              </w:drawing>
            </w:r>
            <w:bookmarkEnd w:id="0"/>
          </w:p>
        </w:tc>
        <w:tc>
          <w:tcPr>
            <w:tcW w:w="4657" w:type="dxa"/>
            <w:tcBorders>
              <w:top w:val="single" w:sz="4" w:space="0" w:color="auto"/>
            </w:tcBorders>
            <w:tcMar>
              <w:left w:w="284" w:type="dxa"/>
            </w:tcMar>
          </w:tcPr>
          <w:p w14:paraId="780D128B" w14:textId="74EA78DF" w:rsidR="006E5FD0" w:rsidRPr="00DF4F0B" w:rsidRDefault="009F3509">
            <w:pPr>
              <w:pStyle w:val="TekstgrafEO"/>
              <w:spacing w:line="240" w:lineRule="atLeast"/>
              <w:ind w:left="0"/>
            </w:pPr>
            <w:r>
              <w:rPr>
                <w:b/>
                <w:sz w:val="20"/>
              </w:rPr>
              <w:t>Turnover in trade declined in April and strengthened in May according to preliminary data.</w:t>
            </w:r>
            <w:r>
              <w:rPr>
                <w:sz w:val="20"/>
              </w:rPr>
              <w:t xml:space="preserve"> After high growth in March, turnover declined in April, due in part to the partial closure of certain stores and services at the beginning of the month and the limited movement between regions in the first three weeks of the month. Turnover fell in all three main sectors, most markedly in the </w:t>
            </w:r>
            <w:r>
              <w:rPr>
                <w:i/>
                <w:iCs/>
                <w:sz w:val="20"/>
              </w:rPr>
              <w:t>retail sector</w:t>
            </w:r>
            <w:r>
              <w:rPr>
                <w:sz w:val="20"/>
              </w:rPr>
              <w:t>, where non-food sales dropped particularly strongly. According to preliminary data, turnover in retail trade picked up again in May.</w:t>
            </w:r>
          </w:p>
        </w:tc>
      </w:tr>
    </w:tbl>
    <w:p w14:paraId="518275D7" w14:textId="77777777" w:rsidR="006E5FD0" w:rsidRDefault="006E5FD0" w:rsidP="006E5FD0"/>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E5FD0" w:rsidRPr="007A0B59" w14:paraId="087A706A" w14:textId="77777777" w:rsidTr="4B2F59BD">
        <w:trPr>
          <w:trHeight w:val="207"/>
        </w:trPr>
        <w:tc>
          <w:tcPr>
            <w:tcW w:w="4819" w:type="dxa"/>
            <w:tcBorders>
              <w:bottom w:val="single" w:sz="4" w:space="0" w:color="auto"/>
            </w:tcBorders>
            <w:tcMar>
              <w:left w:w="0" w:type="dxa"/>
            </w:tcMar>
          </w:tcPr>
          <w:p w14:paraId="67E9C1E0" w14:textId="4ECDFF1D" w:rsidR="006E5FD0" w:rsidRPr="007A0B59" w:rsidRDefault="006E5FD0" w:rsidP="00E150F1">
            <w:pPr>
              <w:pStyle w:val="Naslov31"/>
              <w:jc w:val="left"/>
            </w:pPr>
            <w:r>
              <w:t xml:space="preserve">Market services, April 2021 </w:t>
            </w:r>
          </w:p>
        </w:tc>
        <w:tc>
          <w:tcPr>
            <w:tcW w:w="4820" w:type="dxa"/>
            <w:gridSpan w:val="2"/>
            <w:tcBorders>
              <w:bottom w:val="single" w:sz="4" w:space="0" w:color="auto"/>
            </w:tcBorders>
          </w:tcPr>
          <w:p w14:paraId="0DBF8C6A" w14:textId="77777777" w:rsidR="006E5FD0" w:rsidRPr="007A0B59" w:rsidRDefault="006E5FD0" w:rsidP="00804DA8">
            <w:pPr>
              <w:pStyle w:val="Naslov31"/>
            </w:pPr>
          </w:p>
        </w:tc>
      </w:tr>
      <w:tr w:rsidR="006E5FD0" w:rsidRPr="00DF4F0B" w14:paraId="227616AF" w14:textId="77777777" w:rsidTr="4B2F59BD">
        <w:trPr>
          <w:trHeight w:val="1134"/>
        </w:trPr>
        <w:tc>
          <w:tcPr>
            <w:tcW w:w="4982" w:type="dxa"/>
            <w:gridSpan w:val="2"/>
            <w:tcBorders>
              <w:top w:val="single" w:sz="4" w:space="0" w:color="auto"/>
            </w:tcBorders>
            <w:tcMar>
              <w:left w:w="0" w:type="dxa"/>
            </w:tcMar>
          </w:tcPr>
          <w:p w14:paraId="5C3744EF" w14:textId="129772A9" w:rsidR="00ED3C87" w:rsidRDefault="00DC6121" w:rsidP="00804DA8">
            <w:pPr>
              <w:pStyle w:val="Odstavekseznama"/>
              <w:ind w:left="0"/>
            </w:pPr>
            <w:r>
              <w:rPr>
                <w:noProof/>
              </w:rPr>
              <w:drawing>
                <wp:inline distT="0" distB="0" distL="0" distR="0" wp14:anchorId="259C3C7F" wp14:editId="6D853945">
                  <wp:extent cx="3088800" cy="2530800"/>
                  <wp:effectExtent l="0" t="0" r="0" b="317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8800" cy="2530800"/>
                          </a:xfrm>
                          <a:prstGeom prst="rect">
                            <a:avLst/>
                          </a:prstGeom>
                          <a:noFill/>
                        </pic:spPr>
                      </pic:pic>
                    </a:graphicData>
                  </a:graphic>
                </wp:inline>
              </w:drawing>
            </w:r>
          </w:p>
        </w:tc>
        <w:tc>
          <w:tcPr>
            <w:tcW w:w="4657" w:type="dxa"/>
            <w:tcBorders>
              <w:top w:val="single" w:sz="4" w:space="0" w:color="auto"/>
            </w:tcBorders>
            <w:tcMar>
              <w:left w:w="284" w:type="dxa"/>
            </w:tcMar>
          </w:tcPr>
          <w:p w14:paraId="64AEF6AB" w14:textId="7B385B8D" w:rsidR="00C01BE9" w:rsidRDefault="002E62CF" w:rsidP="00C01BE9">
            <w:r>
              <w:rPr>
                <w:b/>
              </w:rPr>
              <w:t xml:space="preserve">In most market services, turnover </w:t>
            </w:r>
            <w:r w:rsidR="00DB471C">
              <w:rPr>
                <w:b/>
              </w:rPr>
              <w:t xml:space="preserve">declined </w:t>
            </w:r>
            <w:r>
              <w:rPr>
                <w:b/>
              </w:rPr>
              <w:t xml:space="preserve">in April. </w:t>
            </w:r>
            <w:r>
              <w:t>Compared with the previous month, real turnover fell by 2.4% but was still higher than a year earlier (by 27.2%), mainly because of the low base. With severe restrictions on business and movement between regions, the decline in revenue in the hospitality and tourism-related activities (travel agencies) has deepened. Turnover declined also in information and communications activities, although computer services contributed to increased sales in foreign markets. Turnover in transport also fell in most activities. It increased slightly only in professional and technical activities. In April, the year-on-year turnover trend was positive in all market services due to last year's low base.</w:t>
            </w:r>
          </w:p>
          <w:p w14:paraId="270FC144" w14:textId="2C8F8198" w:rsidR="006E5FD0" w:rsidRPr="00DF4F0B" w:rsidRDefault="006E5FD0" w:rsidP="0040765B"/>
        </w:tc>
      </w:tr>
    </w:tbl>
    <w:p w14:paraId="7F46C9C9" w14:textId="77777777" w:rsidR="00EB2919" w:rsidRDefault="00EB2919" w:rsidP="00EC78B6">
      <w:pPr>
        <w:pStyle w:val="Naslov31"/>
        <w:jc w:val="left"/>
        <w:sectPr w:rsidR="00EB2919" w:rsidSect="00187E14">
          <w:pgSz w:w="11906" w:h="16838"/>
          <w:pgMar w:top="1134" w:right="1134" w:bottom="1021" w:left="1134" w:header="709" w:footer="397" w:gutter="0"/>
          <w:cols w:space="708"/>
          <w:docGrid w:linePitch="360"/>
        </w:sect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EC78B6" w:rsidRPr="006C2117" w14:paraId="6E869D8B" w14:textId="77777777" w:rsidTr="4B2F59BD">
        <w:trPr>
          <w:trHeight w:val="207"/>
        </w:trPr>
        <w:tc>
          <w:tcPr>
            <w:tcW w:w="4819" w:type="dxa"/>
            <w:tcBorders>
              <w:bottom w:val="single" w:sz="4" w:space="0" w:color="auto"/>
            </w:tcBorders>
            <w:tcMar>
              <w:left w:w="0" w:type="dxa"/>
            </w:tcMar>
          </w:tcPr>
          <w:p w14:paraId="15D5400C" w14:textId="7EB0A538" w:rsidR="00EC78B6" w:rsidRPr="006C2117" w:rsidRDefault="00EC78B6" w:rsidP="00EC78B6">
            <w:pPr>
              <w:pStyle w:val="Naslov31"/>
              <w:jc w:val="left"/>
            </w:pPr>
            <w:r>
              <w:lastRenderedPageBreak/>
              <w:t>Fiscal verification of invoices, May 2021</w:t>
            </w:r>
          </w:p>
        </w:tc>
        <w:tc>
          <w:tcPr>
            <w:tcW w:w="4820" w:type="dxa"/>
            <w:gridSpan w:val="2"/>
            <w:tcBorders>
              <w:bottom w:val="single" w:sz="4" w:space="0" w:color="auto"/>
            </w:tcBorders>
          </w:tcPr>
          <w:p w14:paraId="3106D784" w14:textId="77777777" w:rsidR="00EC78B6" w:rsidRPr="006C2117" w:rsidRDefault="00EC78B6" w:rsidP="00EC78B6">
            <w:pPr>
              <w:pStyle w:val="Naslov31"/>
            </w:pPr>
          </w:p>
        </w:tc>
      </w:tr>
      <w:tr w:rsidR="00EC78B6" w:rsidRPr="00DF4F0B" w14:paraId="0252BEE3" w14:textId="77777777" w:rsidTr="4B2F59BD">
        <w:trPr>
          <w:trHeight w:val="1134"/>
        </w:trPr>
        <w:tc>
          <w:tcPr>
            <w:tcW w:w="4982" w:type="dxa"/>
            <w:gridSpan w:val="2"/>
            <w:tcBorders>
              <w:top w:val="single" w:sz="4" w:space="0" w:color="auto"/>
            </w:tcBorders>
            <w:tcMar>
              <w:left w:w="0" w:type="dxa"/>
            </w:tcMar>
          </w:tcPr>
          <w:p w14:paraId="3D56DF59" w14:textId="00F03053" w:rsidR="00EC78B6" w:rsidRDefault="002825D7" w:rsidP="00EC78B6">
            <w:pPr>
              <w:pStyle w:val="Odstavekseznama"/>
              <w:ind w:left="0"/>
            </w:pPr>
            <w:r>
              <w:rPr>
                <w:noProof/>
              </w:rPr>
              <w:drawing>
                <wp:inline distT="0" distB="0" distL="0" distR="0" wp14:anchorId="197A9E6C" wp14:editId="101C468B">
                  <wp:extent cx="3092400" cy="2527200"/>
                  <wp:effectExtent l="0" t="0" r="0" b="698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2400" cy="2527200"/>
                          </a:xfrm>
                          <a:prstGeom prst="rect">
                            <a:avLst/>
                          </a:prstGeom>
                          <a:noFill/>
                        </pic:spPr>
                      </pic:pic>
                    </a:graphicData>
                  </a:graphic>
                </wp:inline>
              </w:drawing>
            </w:r>
          </w:p>
        </w:tc>
        <w:tc>
          <w:tcPr>
            <w:tcW w:w="4657" w:type="dxa"/>
            <w:tcBorders>
              <w:top w:val="single" w:sz="4" w:space="0" w:color="auto"/>
            </w:tcBorders>
            <w:tcMar>
              <w:left w:w="284" w:type="dxa"/>
            </w:tcMar>
          </w:tcPr>
          <w:p w14:paraId="48C32AEE" w14:textId="0BF75EB6" w:rsidR="00A21A54" w:rsidRPr="000F52F0" w:rsidRDefault="003208AD" w:rsidP="00BD6F2A">
            <w:pPr>
              <w:rPr>
                <w:color w:val="44546A" w:themeColor="text2"/>
              </w:rPr>
            </w:pPr>
            <w:bookmarkStart w:id="1" w:name="_Hlk74898951"/>
            <w:r>
              <w:rPr>
                <w:b/>
              </w:rPr>
              <w:t xml:space="preserve">According to data on the fiscal verification of invoices, turnover between 13 and 26 June was 8% higher year-on-year and 4% higher than in the same period of 2019. </w:t>
            </w:r>
            <w:r>
              <w:t>Favourable trends continued in the retail trade, where sales increased by 6% year-on-year and compared to 2019 due to growth in the wholesale and retail trade. In most, mainly tourism-related sectors (accommodation, gambling and betting, travel agencies), as well as cultural, recreational, sports and personal services, turnover growth was even higher year-on-year, but around 40% lower than in the same period of 2019, due to the ongoing constraints on certain business activities.</w:t>
            </w:r>
            <w:bookmarkEnd w:id="1"/>
          </w:p>
        </w:tc>
      </w:tr>
      <w:tr w:rsidR="009D158A" w:rsidRPr="00F657FF" w14:paraId="353167BC" w14:textId="77777777" w:rsidTr="4B2F59BD">
        <w:trPr>
          <w:trHeight w:val="207"/>
        </w:trPr>
        <w:tc>
          <w:tcPr>
            <w:tcW w:w="4819" w:type="dxa"/>
            <w:tcBorders>
              <w:bottom w:val="single" w:sz="4" w:space="0" w:color="auto"/>
            </w:tcBorders>
            <w:tcMar>
              <w:left w:w="0" w:type="dxa"/>
            </w:tcMar>
          </w:tcPr>
          <w:p w14:paraId="7BFEBD29" w14:textId="0B28752C" w:rsidR="009D158A" w:rsidRPr="00F657FF" w:rsidRDefault="009D158A" w:rsidP="00E150F1">
            <w:pPr>
              <w:pStyle w:val="Naslov31"/>
              <w:jc w:val="left"/>
              <w:rPr>
                <w:highlight w:val="yellow"/>
              </w:rPr>
            </w:pPr>
            <w:r>
              <w:t xml:space="preserve">Bond, Q2 2021 </w:t>
            </w:r>
          </w:p>
        </w:tc>
        <w:tc>
          <w:tcPr>
            <w:tcW w:w="4820" w:type="dxa"/>
            <w:gridSpan w:val="2"/>
            <w:tcBorders>
              <w:bottom w:val="single" w:sz="4" w:space="0" w:color="auto"/>
            </w:tcBorders>
          </w:tcPr>
          <w:p w14:paraId="76ABBAFD" w14:textId="77777777" w:rsidR="009D158A" w:rsidRPr="00F657FF" w:rsidRDefault="009D158A" w:rsidP="0052749F">
            <w:pPr>
              <w:pStyle w:val="Naslov31"/>
              <w:rPr>
                <w:highlight w:val="yellow"/>
              </w:rPr>
            </w:pPr>
          </w:p>
        </w:tc>
      </w:tr>
      <w:tr w:rsidR="009D158A" w:rsidRPr="00F657FF" w14:paraId="1E3382E8" w14:textId="77777777" w:rsidTr="4B2F59BD">
        <w:trPr>
          <w:trHeight w:val="1134"/>
        </w:trPr>
        <w:tc>
          <w:tcPr>
            <w:tcW w:w="4982" w:type="dxa"/>
            <w:gridSpan w:val="2"/>
            <w:tcBorders>
              <w:top w:val="single" w:sz="4" w:space="0" w:color="auto"/>
            </w:tcBorders>
            <w:tcMar>
              <w:left w:w="0" w:type="dxa"/>
            </w:tcMar>
          </w:tcPr>
          <w:p w14:paraId="701CC110" w14:textId="1F2DA329" w:rsidR="0067635A" w:rsidRPr="00E54D87" w:rsidRDefault="00363F5B" w:rsidP="0052749F">
            <w:pPr>
              <w:pStyle w:val="Odstavekseznama"/>
              <w:ind w:left="0"/>
            </w:pPr>
            <w:r>
              <w:rPr>
                <w:noProof/>
              </w:rPr>
              <w:drawing>
                <wp:inline distT="0" distB="0" distL="0" distR="0" wp14:anchorId="181E5A1A" wp14:editId="6F40A63E">
                  <wp:extent cx="3092400" cy="2527200"/>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2400" cy="2527200"/>
                          </a:xfrm>
                          <a:prstGeom prst="rect">
                            <a:avLst/>
                          </a:prstGeom>
                          <a:noFill/>
                        </pic:spPr>
                      </pic:pic>
                    </a:graphicData>
                  </a:graphic>
                </wp:inline>
              </w:drawing>
            </w:r>
          </w:p>
          <w:p w14:paraId="43655975" w14:textId="4EC53E00" w:rsidR="009D158A" w:rsidRPr="00E54D87" w:rsidRDefault="009D158A" w:rsidP="0052749F">
            <w:pPr>
              <w:pStyle w:val="Odstavekseznama"/>
              <w:ind w:left="0"/>
            </w:pPr>
          </w:p>
        </w:tc>
        <w:tc>
          <w:tcPr>
            <w:tcW w:w="4657" w:type="dxa"/>
            <w:tcBorders>
              <w:top w:val="single" w:sz="4" w:space="0" w:color="auto"/>
            </w:tcBorders>
            <w:tcMar>
              <w:left w:w="284" w:type="dxa"/>
            </w:tcMar>
          </w:tcPr>
          <w:p w14:paraId="2225C641" w14:textId="7AC67857" w:rsidR="009D158A" w:rsidRPr="00E54D87" w:rsidRDefault="00BC1934" w:rsidP="0052749F">
            <w:r>
              <w:rPr>
                <w:b/>
              </w:rPr>
              <w:t xml:space="preserve">The situation on euro area bond markets remained favourable in the second quarter. </w:t>
            </w:r>
            <w:r>
              <w:t>ECB had a significant impact on this, as it significantly increased its purchases of securities under the PEPP programme</w:t>
            </w:r>
            <w:r w:rsidR="00DC666C" w:rsidRPr="4B2F59BD">
              <w:rPr>
                <w:rStyle w:val="Sprotnaopomba-sklic"/>
              </w:rPr>
              <w:footnoteReference w:id="2"/>
            </w:r>
            <w:r>
              <w:t xml:space="preserve"> at the end of the first quarter in light of the rise in required government bond yields in the euro area.</w:t>
            </w:r>
            <w:r>
              <w:rPr>
                <w:b/>
              </w:rPr>
              <w:t xml:space="preserve"> </w:t>
            </w:r>
            <w:r>
              <w:t>The yield to maturity of the Slovenian bond was thus 0.14%, while the spread to the German bond declined slightly, to 36 basis points.</w:t>
            </w:r>
          </w:p>
        </w:tc>
      </w:tr>
    </w:tbl>
    <w:p w14:paraId="6034650F" w14:textId="77777777" w:rsidR="004D28ED" w:rsidRDefault="004D28ED" w:rsidP="00C45877">
      <w:pPr>
        <w:pStyle w:val="Naslov31"/>
        <w:jc w:val="left"/>
      </w:pPr>
    </w:p>
    <w:p w14:paraId="3FC4CD24" w14:textId="77777777" w:rsidR="009D158A" w:rsidRDefault="009D158A" w:rsidP="00C45877">
      <w:pPr>
        <w:pStyle w:val="Naslov31"/>
        <w:jc w:val="left"/>
      </w:pPr>
    </w:p>
    <w:p w14:paraId="388D6FA8" w14:textId="5515C8CA" w:rsidR="009D158A" w:rsidRDefault="009D158A" w:rsidP="00C45877">
      <w:pPr>
        <w:pStyle w:val="Naslov31"/>
        <w:jc w:val="left"/>
        <w:sectPr w:rsidR="009D158A" w:rsidSect="00187E14">
          <w:pgSz w:w="11906" w:h="16838"/>
          <w:pgMar w:top="1134" w:right="1134" w:bottom="1021" w:left="1134" w:header="709" w:footer="397" w:gutter="0"/>
          <w:cols w:space="708"/>
          <w:docGrid w:linePitch="360"/>
        </w:sectPr>
      </w:pPr>
    </w:p>
    <w:p w14:paraId="20CA59C5" w14:textId="1103493D" w:rsidR="007A3AA3" w:rsidRPr="00FE7254" w:rsidRDefault="00076A28" w:rsidP="00DF3707">
      <w:pPr>
        <w:tabs>
          <w:tab w:val="left" w:pos="580"/>
        </w:tabs>
        <w:sectPr w:rsidR="007A3AA3" w:rsidRPr="00FE7254" w:rsidSect="00363E63">
          <w:headerReference w:type="default" r:id="rId25"/>
          <w:footerReference w:type="default" r:id="rId26"/>
          <w:pgSz w:w="11906" w:h="16838"/>
          <w:pgMar w:top="1134" w:right="1134" w:bottom="1021" w:left="1134" w:header="709" w:footer="397" w:gutter="0"/>
          <w:cols w:space="708"/>
          <w:docGrid w:linePitch="360"/>
        </w:sectPr>
      </w:pPr>
      <w:r w:rsidRPr="00076A28">
        <w:rPr>
          <w:noProof/>
        </w:rPr>
        <w:lastRenderedPageBreak/>
        <w:drawing>
          <wp:inline distT="0" distB="0" distL="0" distR="0" wp14:anchorId="046A4927" wp14:editId="28D09373">
            <wp:extent cx="6120130" cy="8388616"/>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8388616"/>
                    </a:xfrm>
                    <a:prstGeom prst="rect">
                      <a:avLst/>
                    </a:prstGeom>
                    <a:noFill/>
                    <a:ln>
                      <a:noFill/>
                    </a:ln>
                  </pic:spPr>
                </pic:pic>
              </a:graphicData>
            </a:graphic>
          </wp:inline>
        </w:drawing>
      </w:r>
    </w:p>
    <w:p w14:paraId="0DE2B070" w14:textId="271228A6" w:rsidR="002E69B6" w:rsidRPr="00887D7E" w:rsidRDefault="002E69B6" w:rsidP="008B4E00">
      <w:pPr>
        <w:tabs>
          <w:tab w:val="left" w:pos="580"/>
        </w:tabs>
      </w:pPr>
    </w:p>
    <w:sectPr w:rsidR="002E69B6" w:rsidRPr="00887D7E" w:rsidSect="00363E63">
      <w:headerReference w:type="default" r:id="rId28"/>
      <w:footerReference w:type="default" r:id="rId29"/>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F3B3F" w14:textId="77777777" w:rsidR="00333E8D" w:rsidRDefault="00333E8D" w:rsidP="0063497B">
      <w:pPr>
        <w:spacing w:line="240" w:lineRule="auto"/>
      </w:pPr>
      <w:r>
        <w:separator/>
      </w:r>
    </w:p>
  </w:endnote>
  <w:endnote w:type="continuationSeparator" w:id="0">
    <w:p w14:paraId="6DB15DA2" w14:textId="77777777" w:rsidR="00333E8D" w:rsidRDefault="00333E8D" w:rsidP="0063497B">
      <w:pPr>
        <w:spacing w:line="240" w:lineRule="auto"/>
      </w:pPr>
      <w:r>
        <w:continuationSeparator/>
      </w:r>
    </w:p>
  </w:endnote>
  <w:endnote w:type="continuationNotice" w:id="1">
    <w:p w14:paraId="73E6A813" w14:textId="77777777" w:rsidR="00333E8D" w:rsidRDefault="00333E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BD3A1" w14:textId="77777777" w:rsidR="0045069E" w:rsidRDefault="0045069E">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266C9" w14:textId="77777777" w:rsidR="00EE6FBF" w:rsidRPr="00363E63" w:rsidRDefault="00EE6FBF"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iperpovezava"/>
          <w:b w:val="0"/>
          <w:sz w:val="18"/>
        </w:rPr>
        <w:t>matic.slapsak@gov.si</w:t>
      </w:r>
    </w:hyperlink>
    <w:r>
      <w:rPr>
        <w:b w:val="0"/>
        <w:sz w:val="18"/>
      </w:rPr>
      <w:tab/>
    </w:r>
    <w:r>
      <w:rPr>
        <w:sz w:val="18"/>
      </w:rPr>
      <w:t xml:space="preserve"> </w:t>
    </w:r>
    <w:sdt>
      <w:sdtPr>
        <w:rPr>
          <w:sz w:val="18"/>
          <w:szCs w:val="18"/>
        </w:rPr>
        <w:id w:val="-652685202"/>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00CE0348">
          <w:rPr>
            <w:sz w:val="18"/>
          </w:rPr>
          <w:t>4</w:t>
        </w:r>
        <w:r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6366" w14:textId="1A614216" w:rsidR="00EE6FBF" w:rsidRPr="00363E63" w:rsidRDefault="00EE6FBF"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iperpovezava"/>
          <w:b w:val="0"/>
          <w:sz w:val="18"/>
        </w:rPr>
        <w:t>matic.slapsak@gov.si</w:t>
      </w:r>
    </w:hyperlink>
    <w:r>
      <w:rPr>
        <w:b w:val="0"/>
        <w:sz w:val="18"/>
      </w:rPr>
      <w:tab/>
    </w:r>
    <w:r>
      <w:rPr>
        <w:sz w:val="18"/>
      </w:rPr>
      <w:t xml:space="preserve"> </w:t>
    </w:r>
    <w:sdt>
      <w:sdtPr>
        <w:rPr>
          <w:sz w:val="18"/>
          <w:szCs w:val="18"/>
        </w:rPr>
        <w:id w:val="-89402759"/>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00CE0348">
          <w:rPr>
            <w:sz w:val="18"/>
          </w:rPr>
          <w:t>1</w:t>
        </w:r>
        <w:r w:rsidRPr="00363E63">
          <w:rPr>
            <w:sz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17E6" w14:textId="77777777" w:rsidR="00FE7254" w:rsidRDefault="0074466E" w:rsidP="00FE7254">
    <w:pPr>
      <w:pStyle w:val="Noga"/>
      <w:rPr>
        <w:rFonts w:cs="Helv"/>
        <w:b/>
        <w:bCs/>
        <w:color w:val="000000"/>
        <w:sz w:val="18"/>
        <w:szCs w:val="18"/>
      </w:rPr>
    </w:pPr>
    <w:r>
      <w:rPr>
        <w:b/>
        <w:color w:val="000000"/>
        <w:sz w:val="18"/>
      </w:rPr>
      <w:t>The table format accessible to screen reader users can be found on the IMAD website among the appendices to the current graphs of the week (Selected macroeconomic indicators for Slovenia).</w:t>
    </w:r>
  </w:p>
  <w:p w14:paraId="0554A6EE" w14:textId="77777777" w:rsidR="0074466E" w:rsidRPr="00893FAF" w:rsidRDefault="0074466E" w:rsidP="00FE7254">
    <w:pPr>
      <w:pStyle w:val="Noga"/>
      <w:rPr>
        <w:rFonts w:cs="Helv"/>
        <w:b/>
        <w:bCs/>
        <w:color w:val="000000"/>
        <w:sz w:val="18"/>
        <w:szCs w:val="18"/>
      </w:rPr>
    </w:pPr>
  </w:p>
  <w:p w14:paraId="1B94B0CF" w14:textId="5FE3D4FF" w:rsidR="00363E63" w:rsidRPr="00363E63" w:rsidRDefault="00363E63" w:rsidP="00FE7254">
    <w:pPr>
      <w:pStyle w:val="Naslov31"/>
      <w:tabs>
        <w:tab w:val="right" w:pos="9638"/>
      </w:tabs>
      <w:spacing w:line="240" w:lineRule="auto"/>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iperpovezava"/>
          <w:b w:val="0"/>
          <w:sz w:val="18"/>
        </w:rPr>
        <w:t>matic.slapsak@gov.si</w:t>
      </w:r>
    </w:hyperlink>
    <w:r>
      <w:rPr>
        <w:b w:val="0"/>
        <w:sz w:val="18"/>
      </w:rPr>
      <w:tab/>
    </w:r>
    <w:r>
      <w:rPr>
        <w:sz w:val="18"/>
      </w:rPr>
      <w:t xml:space="preserve"> </w:t>
    </w:r>
    <w:sdt>
      <w:sdtPr>
        <w:rPr>
          <w:sz w:val="18"/>
          <w:szCs w:val="18"/>
        </w:rPr>
        <w:id w:val="-379318042"/>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00CE0348">
          <w:rPr>
            <w:sz w:val="18"/>
          </w:rPr>
          <w:t>5</w:t>
        </w:r>
        <w:r w:rsidRPr="00363E63">
          <w:rPr>
            <w:sz w:val="1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7FA48" w14:textId="77777777" w:rsidR="00333E8D" w:rsidRDefault="00333E8D" w:rsidP="0063497B">
      <w:pPr>
        <w:spacing w:line="240" w:lineRule="auto"/>
      </w:pPr>
      <w:r>
        <w:separator/>
      </w:r>
    </w:p>
  </w:footnote>
  <w:footnote w:type="continuationSeparator" w:id="0">
    <w:p w14:paraId="43DDE9C1" w14:textId="77777777" w:rsidR="00333E8D" w:rsidRDefault="00333E8D" w:rsidP="0063497B">
      <w:pPr>
        <w:spacing w:line="240" w:lineRule="auto"/>
      </w:pPr>
      <w:r>
        <w:continuationSeparator/>
      </w:r>
    </w:p>
  </w:footnote>
  <w:footnote w:type="continuationNotice" w:id="1">
    <w:p w14:paraId="2095330F" w14:textId="77777777" w:rsidR="00333E8D" w:rsidRDefault="00333E8D">
      <w:pPr>
        <w:spacing w:line="240" w:lineRule="auto"/>
      </w:pPr>
    </w:p>
  </w:footnote>
  <w:footnote w:id="2">
    <w:p w14:paraId="2F938C36" w14:textId="4942EC0A" w:rsidR="00DC666C" w:rsidRDefault="00DC666C">
      <w:pPr>
        <w:pStyle w:val="Sprotnaopomba-besedilo"/>
      </w:pPr>
      <w:r>
        <w:rPr>
          <w:rStyle w:val="Sprotnaopomba-sklic"/>
        </w:rPr>
        <w:footnoteRef/>
      </w:r>
      <w:r>
        <w:t xml:space="preserve"> Pandemic emergency purchase programme.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8534E" w14:textId="77777777" w:rsidR="0045069E" w:rsidRDefault="0045069E">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5FE50" w14:textId="77777777" w:rsidR="0045069E" w:rsidRDefault="0045069E">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4F4B2" w14:textId="00E612C5" w:rsidR="00EE6FBF" w:rsidRDefault="0045069E" w:rsidP="00652795">
    <w:pPr>
      <w:jc w:val="right"/>
    </w:pPr>
    <w:r w:rsidRPr="00763932">
      <w:rPr>
        <w:noProof/>
        <w:lang w:eastAsia="en-GB"/>
      </w:rPr>
      <w:drawing>
        <wp:anchor distT="0" distB="0" distL="114300" distR="114300" simplePos="0" relativeHeight="251659264" behindDoc="0" locked="0" layoutInCell="1" allowOverlap="1" wp14:anchorId="156ACD4F" wp14:editId="3D531CF4">
          <wp:simplePos x="0" y="0"/>
          <wp:positionH relativeFrom="column">
            <wp:posOffset>0</wp:posOffset>
          </wp:positionH>
          <wp:positionV relativeFrom="paragraph">
            <wp:posOffset>153035</wp:posOffset>
          </wp:positionV>
          <wp:extent cx="1155700" cy="1002030"/>
          <wp:effectExtent l="0" t="0" r="6350" b="7620"/>
          <wp:wrapTopAndBottom/>
          <wp:docPr id="11"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EE6FBF">
      <w:t>5 July 2021</w:t>
    </w:r>
  </w:p>
  <w:p w14:paraId="3F1C33B8" w14:textId="77777777" w:rsidR="00EE6FBF" w:rsidRDefault="00EE6FBF" w:rsidP="00FE7254">
    <w:pPr>
      <w:jc w:val="right"/>
    </w:pPr>
  </w:p>
  <w:p w14:paraId="37F8F8A1" w14:textId="77777777" w:rsidR="00EE6FBF" w:rsidRDefault="00EE6FBF" w:rsidP="00FE7254">
    <w:pPr>
      <w:jc w:val="right"/>
    </w:pPr>
  </w:p>
  <w:p w14:paraId="656709B5" w14:textId="77777777" w:rsidR="00EE6FBF" w:rsidRDefault="00EE6FBF" w:rsidP="00FE7254">
    <w:pP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7C90A" w14:textId="77777777" w:rsidR="00EB2919" w:rsidRPr="00EB2919" w:rsidRDefault="00EB2919" w:rsidP="00EB2919">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48DB4" w14:textId="34EA3045" w:rsidR="00363E63" w:rsidRPr="004E2D3A" w:rsidRDefault="004E2D3A">
    <w:pPr>
      <w:pStyle w:val="Glava"/>
      <w:rPr>
        <w:b/>
        <w:bCs/>
      </w:rPr>
    </w:pPr>
    <w:r>
      <w:rPr>
        <w:b/>
      </w:rPr>
      <w:t>Table: Selected macroeconomic indicators for Slovenia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77777777" w:rsidR="00363E63" w:rsidRDefault="00363E6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21.9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5262"/>
    <w:rsid w:val="00011EE3"/>
    <w:rsid w:val="00031C60"/>
    <w:rsid w:val="00033C39"/>
    <w:rsid w:val="00040557"/>
    <w:rsid w:val="00044CD2"/>
    <w:rsid w:val="0005257C"/>
    <w:rsid w:val="000638BC"/>
    <w:rsid w:val="000664B8"/>
    <w:rsid w:val="000703C7"/>
    <w:rsid w:val="00070B6E"/>
    <w:rsid w:val="00076A28"/>
    <w:rsid w:val="00077119"/>
    <w:rsid w:val="00077F13"/>
    <w:rsid w:val="000920B7"/>
    <w:rsid w:val="000A06AB"/>
    <w:rsid w:val="000A3AC8"/>
    <w:rsid w:val="000A5A42"/>
    <w:rsid w:val="000A7B01"/>
    <w:rsid w:val="000A7BDC"/>
    <w:rsid w:val="000B0162"/>
    <w:rsid w:val="000B23B0"/>
    <w:rsid w:val="000B2AF9"/>
    <w:rsid w:val="000D1102"/>
    <w:rsid w:val="000D7202"/>
    <w:rsid w:val="000F52F0"/>
    <w:rsid w:val="000F7605"/>
    <w:rsid w:val="000F79AF"/>
    <w:rsid w:val="00102EFB"/>
    <w:rsid w:val="00111AAE"/>
    <w:rsid w:val="001133D0"/>
    <w:rsid w:val="00114A03"/>
    <w:rsid w:val="00115E8D"/>
    <w:rsid w:val="00117484"/>
    <w:rsid w:val="00121A18"/>
    <w:rsid w:val="00123D52"/>
    <w:rsid w:val="00124335"/>
    <w:rsid w:val="00133E20"/>
    <w:rsid w:val="00137532"/>
    <w:rsid w:val="00140468"/>
    <w:rsid w:val="0015222B"/>
    <w:rsid w:val="00161FAB"/>
    <w:rsid w:val="00165908"/>
    <w:rsid w:val="001673B6"/>
    <w:rsid w:val="0017456F"/>
    <w:rsid w:val="00174AF2"/>
    <w:rsid w:val="001750C3"/>
    <w:rsid w:val="0018798B"/>
    <w:rsid w:val="00187E14"/>
    <w:rsid w:val="0019138D"/>
    <w:rsid w:val="00194934"/>
    <w:rsid w:val="001A0C98"/>
    <w:rsid w:val="001A3C37"/>
    <w:rsid w:val="001B56E9"/>
    <w:rsid w:val="001B6AE7"/>
    <w:rsid w:val="001D1127"/>
    <w:rsid w:val="001D6793"/>
    <w:rsid w:val="001E3E73"/>
    <w:rsid w:val="001E6D2B"/>
    <w:rsid w:val="001F51CD"/>
    <w:rsid w:val="002055F5"/>
    <w:rsid w:val="0022028C"/>
    <w:rsid w:val="00234963"/>
    <w:rsid w:val="00237E7B"/>
    <w:rsid w:val="002411F7"/>
    <w:rsid w:val="00243593"/>
    <w:rsid w:val="00255D1C"/>
    <w:rsid w:val="00264263"/>
    <w:rsid w:val="0026509A"/>
    <w:rsid w:val="00267643"/>
    <w:rsid w:val="002825D7"/>
    <w:rsid w:val="00291793"/>
    <w:rsid w:val="002928AB"/>
    <w:rsid w:val="0029405F"/>
    <w:rsid w:val="002A0C21"/>
    <w:rsid w:val="002B2898"/>
    <w:rsid w:val="002B4319"/>
    <w:rsid w:val="002B4C3A"/>
    <w:rsid w:val="002B5361"/>
    <w:rsid w:val="002D1472"/>
    <w:rsid w:val="002D2C05"/>
    <w:rsid w:val="002D46EF"/>
    <w:rsid w:val="002E62CF"/>
    <w:rsid w:val="002E69B6"/>
    <w:rsid w:val="002E6FAD"/>
    <w:rsid w:val="003004F7"/>
    <w:rsid w:val="00300B2B"/>
    <w:rsid w:val="00306767"/>
    <w:rsid w:val="00312D09"/>
    <w:rsid w:val="00320330"/>
    <w:rsid w:val="003208AD"/>
    <w:rsid w:val="00321762"/>
    <w:rsid w:val="00325138"/>
    <w:rsid w:val="00333E8D"/>
    <w:rsid w:val="00334D18"/>
    <w:rsid w:val="003518B6"/>
    <w:rsid w:val="00354C63"/>
    <w:rsid w:val="00363E63"/>
    <w:rsid w:val="00363F5B"/>
    <w:rsid w:val="00366166"/>
    <w:rsid w:val="003916CF"/>
    <w:rsid w:val="003953F6"/>
    <w:rsid w:val="003A49D8"/>
    <w:rsid w:val="003A55A7"/>
    <w:rsid w:val="003A7C6D"/>
    <w:rsid w:val="003B408A"/>
    <w:rsid w:val="003C03EC"/>
    <w:rsid w:val="003C614E"/>
    <w:rsid w:val="003C6AE4"/>
    <w:rsid w:val="003D111B"/>
    <w:rsid w:val="003D4FB5"/>
    <w:rsid w:val="003D6F43"/>
    <w:rsid w:val="003E7A19"/>
    <w:rsid w:val="003E7C83"/>
    <w:rsid w:val="003F3F33"/>
    <w:rsid w:val="00405F6F"/>
    <w:rsid w:val="004070B0"/>
    <w:rsid w:val="0040719E"/>
    <w:rsid w:val="0040765B"/>
    <w:rsid w:val="00411AB3"/>
    <w:rsid w:val="00416D1B"/>
    <w:rsid w:val="004215FD"/>
    <w:rsid w:val="0042166D"/>
    <w:rsid w:val="00425874"/>
    <w:rsid w:val="00431EDD"/>
    <w:rsid w:val="00434CAB"/>
    <w:rsid w:val="004368FB"/>
    <w:rsid w:val="0045069E"/>
    <w:rsid w:val="00452589"/>
    <w:rsid w:val="00452804"/>
    <w:rsid w:val="00455C0C"/>
    <w:rsid w:val="004563B1"/>
    <w:rsid w:val="00464D01"/>
    <w:rsid w:val="004661AB"/>
    <w:rsid w:val="00473642"/>
    <w:rsid w:val="00473A92"/>
    <w:rsid w:val="00477274"/>
    <w:rsid w:val="00481603"/>
    <w:rsid w:val="004850BC"/>
    <w:rsid w:val="00485F72"/>
    <w:rsid w:val="004970E5"/>
    <w:rsid w:val="004A7D92"/>
    <w:rsid w:val="004D28ED"/>
    <w:rsid w:val="004E1D65"/>
    <w:rsid w:val="004E2D3A"/>
    <w:rsid w:val="004F4AF9"/>
    <w:rsid w:val="00503921"/>
    <w:rsid w:val="00504056"/>
    <w:rsid w:val="00505D39"/>
    <w:rsid w:val="00511B12"/>
    <w:rsid w:val="00513B09"/>
    <w:rsid w:val="00525222"/>
    <w:rsid w:val="0053204D"/>
    <w:rsid w:val="00532F53"/>
    <w:rsid w:val="00534457"/>
    <w:rsid w:val="00545D45"/>
    <w:rsid w:val="00546DBF"/>
    <w:rsid w:val="005508E9"/>
    <w:rsid w:val="00554083"/>
    <w:rsid w:val="00561C9A"/>
    <w:rsid w:val="00564B65"/>
    <w:rsid w:val="00565115"/>
    <w:rsid w:val="00592EB2"/>
    <w:rsid w:val="005A36AC"/>
    <w:rsid w:val="005B64A9"/>
    <w:rsid w:val="005C36F7"/>
    <w:rsid w:val="005D1857"/>
    <w:rsid w:val="005D4938"/>
    <w:rsid w:val="005D5CCF"/>
    <w:rsid w:val="005E1743"/>
    <w:rsid w:val="005F0F5B"/>
    <w:rsid w:val="006260AC"/>
    <w:rsid w:val="006269CE"/>
    <w:rsid w:val="00632DC6"/>
    <w:rsid w:val="0063497B"/>
    <w:rsid w:val="00640EC1"/>
    <w:rsid w:val="006439A6"/>
    <w:rsid w:val="006440E0"/>
    <w:rsid w:val="00650921"/>
    <w:rsid w:val="0065188D"/>
    <w:rsid w:val="00652795"/>
    <w:rsid w:val="00663944"/>
    <w:rsid w:val="00671853"/>
    <w:rsid w:val="0067635A"/>
    <w:rsid w:val="0068202F"/>
    <w:rsid w:val="0068510D"/>
    <w:rsid w:val="006875F1"/>
    <w:rsid w:val="006965FC"/>
    <w:rsid w:val="006A2CED"/>
    <w:rsid w:val="006A6820"/>
    <w:rsid w:val="006B5F12"/>
    <w:rsid w:val="006C2117"/>
    <w:rsid w:val="006C623E"/>
    <w:rsid w:val="006D1801"/>
    <w:rsid w:val="006D1DD4"/>
    <w:rsid w:val="006D2119"/>
    <w:rsid w:val="006D660A"/>
    <w:rsid w:val="006D7946"/>
    <w:rsid w:val="006E1C81"/>
    <w:rsid w:val="006E5FD0"/>
    <w:rsid w:val="006F393D"/>
    <w:rsid w:val="006F43B2"/>
    <w:rsid w:val="006F67F3"/>
    <w:rsid w:val="0070102F"/>
    <w:rsid w:val="007016EF"/>
    <w:rsid w:val="00711660"/>
    <w:rsid w:val="007167BD"/>
    <w:rsid w:val="00726389"/>
    <w:rsid w:val="0073106D"/>
    <w:rsid w:val="00731B6F"/>
    <w:rsid w:val="007363F5"/>
    <w:rsid w:val="0073739E"/>
    <w:rsid w:val="007411B1"/>
    <w:rsid w:val="0074452D"/>
    <w:rsid w:val="0074466E"/>
    <w:rsid w:val="00746833"/>
    <w:rsid w:val="00753B84"/>
    <w:rsid w:val="00762390"/>
    <w:rsid w:val="0076576A"/>
    <w:rsid w:val="00766EA1"/>
    <w:rsid w:val="00775E07"/>
    <w:rsid w:val="007760D3"/>
    <w:rsid w:val="007761BB"/>
    <w:rsid w:val="007770B5"/>
    <w:rsid w:val="00790F4D"/>
    <w:rsid w:val="00793AB6"/>
    <w:rsid w:val="0079410F"/>
    <w:rsid w:val="007A0B59"/>
    <w:rsid w:val="007A3AA3"/>
    <w:rsid w:val="007A6C35"/>
    <w:rsid w:val="007B074D"/>
    <w:rsid w:val="007B708A"/>
    <w:rsid w:val="007B7110"/>
    <w:rsid w:val="007C4B7A"/>
    <w:rsid w:val="007D0791"/>
    <w:rsid w:val="007E77B8"/>
    <w:rsid w:val="007F1307"/>
    <w:rsid w:val="007F13BE"/>
    <w:rsid w:val="00804742"/>
    <w:rsid w:val="008049AA"/>
    <w:rsid w:val="00812D81"/>
    <w:rsid w:val="00813F80"/>
    <w:rsid w:val="00814FB0"/>
    <w:rsid w:val="00822375"/>
    <w:rsid w:val="00823F8C"/>
    <w:rsid w:val="008444D1"/>
    <w:rsid w:val="0084784F"/>
    <w:rsid w:val="008507B0"/>
    <w:rsid w:val="00860582"/>
    <w:rsid w:val="008637AE"/>
    <w:rsid w:val="00863817"/>
    <w:rsid w:val="008646FF"/>
    <w:rsid w:val="008678A7"/>
    <w:rsid w:val="008713BF"/>
    <w:rsid w:val="00873610"/>
    <w:rsid w:val="0088498B"/>
    <w:rsid w:val="0088657D"/>
    <w:rsid w:val="00887D7E"/>
    <w:rsid w:val="0089056E"/>
    <w:rsid w:val="0089259B"/>
    <w:rsid w:val="008A5677"/>
    <w:rsid w:val="008B077B"/>
    <w:rsid w:val="008B4E00"/>
    <w:rsid w:val="008B5E4A"/>
    <w:rsid w:val="008D061D"/>
    <w:rsid w:val="008E7B90"/>
    <w:rsid w:val="00901826"/>
    <w:rsid w:val="00910265"/>
    <w:rsid w:val="009130E0"/>
    <w:rsid w:val="00914026"/>
    <w:rsid w:val="0092632B"/>
    <w:rsid w:val="00933679"/>
    <w:rsid w:val="009345E2"/>
    <w:rsid w:val="0093604B"/>
    <w:rsid w:val="00941651"/>
    <w:rsid w:val="00946C4C"/>
    <w:rsid w:val="0095067C"/>
    <w:rsid w:val="009523CC"/>
    <w:rsid w:val="00952784"/>
    <w:rsid w:val="0095280A"/>
    <w:rsid w:val="00954546"/>
    <w:rsid w:val="00956D7D"/>
    <w:rsid w:val="0095791E"/>
    <w:rsid w:val="0098633D"/>
    <w:rsid w:val="0098677D"/>
    <w:rsid w:val="009916BC"/>
    <w:rsid w:val="009918B9"/>
    <w:rsid w:val="0099433F"/>
    <w:rsid w:val="009A1E12"/>
    <w:rsid w:val="009A2846"/>
    <w:rsid w:val="009C1304"/>
    <w:rsid w:val="009C138C"/>
    <w:rsid w:val="009C6350"/>
    <w:rsid w:val="009D158A"/>
    <w:rsid w:val="009D311B"/>
    <w:rsid w:val="009D55C7"/>
    <w:rsid w:val="009E1067"/>
    <w:rsid w:val="009E1695"/>
    <w:rsid w:val="009F3509"/>
    <w:rsid w:val="009F7732"/>
    <w:rsid w:val="00A03772"/>
    <w:rsid w:val="00A072AA"/>
    <w:rsid w:val="00A107AD"/>
    <w:rsid w:val="00A17CAB"/>
    <w:rsid w:val="00A21A54"/>
    <w:rsid w:val="00A22E1A"/>
    <w:rsid w:val="00A35E03"/>
    <w:rsid w:val="00A35FCE"/>
    <w:rsid w:val="00A42839"/>
    <w:rsid w:val="00A46CFE"/>
    <w:rsid w:val="00A47708"/>
    <w:rsid w:val="00A52B64"/>
    <w:rsid w:val="00A56881"/>
    <w:rsid w:val="00A63DAB"/>
    <w:rsid w:val="00A64D19"/>
    <w:rsid w:val="00A7050D"/>
    <w:rsid w:val="00A71C27"/>
    <w:rsid w:val="00A74FDB"/>
    <w:rsid w:val="00A8329F"/>
    <w:rsid w:val="00A86B16"/>
    <w:rsid w:val="00A91D52"/>
    <w:rsid w:val="00AA09CD"/>
    <w:rsid w:val="00AA1F25"/>
    <w:rsid w:val="00AA356C"/>
    <w:rsid w:val="00AA3992"/>
    <w:rsid w:val="00AA416B"/>
    <w:rsid w:val="00AB0C65"/>
    <w:rsid w:val="00AB7E03"/>
    <w:rsid w:val="00AC0189"/>
    <w:rsid w:val="00AC328B"/>
    <w:rsid w:val="00AC3405"/>
    <w:rsid w:val="00AC60B2"/>
    <w:rsid w:val="00AD440D"/>
    <w:rsid w:val="00AD7C57"/>
    <w:rsid w:val="00AF169F"/>
    <w:rsid w:val="00AF2194"/>
    <w:rsid w:val="00AF3058"/>
    <w:rsid w:val="00AF56BB"/>
    <w:rsid w:val="00B00E5E"/>
    <w:rsid w:val="00B01544"/>
    <w:rsid w:val="00B0168D"/>
    <w:rsid w:val="00B11EE5"/>
    <w:rsid w:val="00B131DE"/>
    <w:rsid w:val="00B220A3"/>
    <w:rsid w:val="00B34F30"/>
    <w:rsid w:val="00B35FFD"/>
    <w:rsid w:val="00B427DC"/>
    <w:rsid w:val="00B451B6"/>
    <w:rsid w:val="00B47625"/>
    <w:rsid w:val="00B52F7E"/>
    <w:rsid w:val="00B61872"/>
    <w:rsid w:val="00B61B71"/>
    <w:rsid w:val="00B62D4B"/>
    <w:rsid w:val="00B7289B"/>
    <w:rsid w:val="00B738F6"/>
    <w:rsid w:val="00B74E00"/>
    <w:rsid w:val="00B82F73"/>
    <w:rsid w:val="00B8300F"/>
    <w:rsid w:val="00B833CE"/>
    <w:rsid w:val="00B83AD6"/>
    <w:rsid w:val="00B84489"/>
    <w:rsid w:val="00B95659"/>
    <w:rsid w:val="00B96874"/>
    <w:rsid w:val="00BB6DF6"/>
    <w:rsid w:val="00BC1934"/>
    <w:rsid w:val="00BD1C70"/>
    <w:rsid w:val="00BD4AA0"/>
    <w:rsid w:val="00BD6F2A"/>
    <w:rsid w:val="00BE5A88"/>
    <w:rsid w:val="00BE5D3A"/>
    <w:rsid w:val="00BE6D7C"/>
    <w:rsid w:val="00BE75B5"/>
    <w:rsid w:val="00BF2574"/>
    <w:rsid w:val="00C01BE9"/>
    <w:rsid w:val="00C01D7E"/>
    <w:rsid w:val="00C03741"/>
    <w:rsid w:val="00C153F9"/>
    <w:rsid w:val="00C22B80"/>
    <w:rsid w:val="00C245B7"/>
    <w:rsid w:val="00C317BB"/>
    <w:rsid w:val="00C32EC9"/>
    <w:rsid w:val="00C33770"/>
    <w:rsid w:val="00C34CE5"/>
    <w:rsid w:val="00C52613"/>
    <w:rsid w:val="00C56454"/>
    <w:rsid w:val="00C56A47"/>
    <w:rsid w:val="00C61830"/>
    <w:rsid w:val="00C63902"/>
    <w:rsid w:val="00C7435F"/>
    <w:rsid w:val="00C77DE0"/>
    <w:rsid w:val="00C80811"/>
    <w:rsid w:val="00CB0A14"/>
    <w:rsid w:val="00CB7467"/>
    <w:rsid w:val="00CC5657"/>
    <w:rsid w:val="00CE0348"/>
    <w:rsid w:val="00CE1098"/>
    <w:rsid w:val="00CF2062"/>
    <w:rsid w:val="00CF6407"/>
    <w:rsid w:val="00CF6B31"/>
    <w:rsid w:val="00D024E5"/>
    <w:rsid w:val="00D22523"/>
    <w:rsid w:val="00D2363D"/>
    <w:rsid w:val="00D312B6"/>
    <w:rsid w:val="00D5264A"/>
    <w:rsid w:val="00D71511"/>
    <w:rsid w:val="00D809F4"/>
    <w:rsid w:val="00D84B1C"/>
    <w:rsid w:val="00DA27A8"/>
    <w:rsid w:val="00DA3335"/>
    <w:rsid w:val="00DB1C32"/>
    <w:rsid w:val="00DB471C"/>
    <w:rsid w:val="00DB4CCA"/>
    <w:rsid w:val="00DB7DDB"/>
    <w:rsid w:val="00DC6121"/>
    <w:rsid w:val="00DC666C"/>
    <w:rsid w:val="00DD0FD9"/>
    <w:rsid w:val="00DD4C10"/>
    <w:rsid w:val="00DD7563"/>
    <w:rsid w:val="00DE06FF"/>
    <w:rsid w:val="00DE0D7B"/>
    <w:rsid w:val="00DE2EA9"/>
    <w:rsid w:val="00DE4ACB"/>
    <w:rsid w:val="00DE6062"/>
    <w:rsid w:val="00DE72F6"/>
    <w:rsid w:val="00DF29B0"/>
    <w:rsid w:val="00DF3707"/>
    <w:rsid w:val="00DF4F0B"/>
    <w:rsid w:val="00E001FF"/>
    <w:rsid w:val="00E021F0"/>
    <w:rsid w:val="00E02749"/>
    <w:rsid w:val="00E02ACF"/>
    <w:rsid w:val="00E10F17"/>
    <w:rsid w:val="00E129A1"/>
    <w:rsid w:val="00E13741"/>
    <w:rsid w:val="00E150F1"/>
    <w:rsid w:val="00E226DD"/>
    <w:rsid w:val="00E23969"/>
    <w:rsid w:val="00E32239"/>
    <w:rsid w:val="00E46065"/>
    <w:rsid w:val="00E54D87"/>
    <w:rsid w:val="00E612BD"/>
    <w:rsid w:val="00E67674"/>
    <w:rsid w:val="00E73F1A"/>
    <w:rsid w:val="00E74DE0"/>
    <w:rsid w:val="00E7791D"/>
    <w:rsid w:val="00E94A73"/>
    <w:rsid w:val="00EB086D"/>
    <w:rsid w:val="00EB2919"/>
    <w:rsid w:val="00EC5815"/>
    <w:rsid w:val="00EC78B6"/>
    <w:rsid w:val="00ED1E16"/>
    <w:rsid w:val="00ED3C87"/>
    <w:rsid w:val="00ED53AC"/>
    <w:rsid w:val="00EE34AA"/>
    <w:rsid w:val="00EE4014"/>
    <w:rsid w:val="00EE5B34"/>
    <w:rsid w:val="00EE6FBF"/>
    <w:rsid w:val="00EE7E6E"/>
    <w:rsid w:val="00EF5E3D"/>
    <w:rsid w:val="00F01967"/>
    <w:rsid w:val="00F02D30"/>
    <w:rsid w:val="00F13478"/>
    <w:rsid w:val="00F14A6E"/>
    <w:rsid w:val="00F16082"/>
    <w:rsid w:val="00F20C31"/>
    <w:rsid w:val="00F3273D"/>
    <w:rsid w:val="00F409C1"/>
    <w:rsid w:val="00F41E1A"/>
    <w:rsid w:val="00F43F6C"/>
    <w:rsid w:val="00F45D15"/>
    <w:rsid w:val="00F47B15"/>
    <w:rsid w:val="00F50BC2"/>
    <w:rsid w:val="00F52F6D"/>
    <w:rsid w:val="00F545EF"/>
    <w:rsid w:val="00F64F2F"/>
    <w:rsid w:val="00F65156"/>
    <w:rsid w:val="00F6635B"/>
    <w:rsid w:val="00F66E1B"/>
    <w:rsid w:val="00F83E8C"/>
    <w:rsid w:val="00F930F6"/>
    <w:rsid w:val="00F9475B"/>
    <w:rsid w:val="00FA45E3"/>
    <w:rsid w:val="00FA5315"/>
    <w:rsid w:val="00FB064C"/>
    <w:rsid w:val="00FB5533"/>
    <w:rsid w:val="00FB5E33"/>
    <w:rsid w:val="00FD2730"/>
    <w:rsid w:val="00FD7079"/>
    <w:rsid w:val="00FE0670"/>
    <w:rsid w:val="00FE12B1"/>
    <w:rsid w:val="00FE4146"/>
    <w:rsid w:val="00FE7254"/>
    <w:rsid w:val="00FF1B7D"/>
    <w:rsid w:val="00FF1B8C"/>
    <w:rsid w:val="00FF5874"/>
    <w:rsid w:val="036041DA"/>
    <w:rsid w:val="04D97F67"/>
    <w:rsid w:val="12ACF445"/>
    <w:rsid w:val="14763A38"/>
    <w:rsid w:val="17696066"/>
    <w:rsid w:val="186AA221"/>
    <w:rsid w:val="190B89BB"/>
    <w:rsid w:val="25ABFE1D"/>
    <w:rsid w:val="3103EC0C"/>
    <w:rsid w:val="38DEE7AC"/>
    <w:rsid w:val="4B2F59BD"/>
    <w:rsid w:val="54F18C29"/>
    <w:rsid w:val="56100E63"/>
    <w:rsid w:val="563BD941"/>
    <w:rsid w:val="5B6FAF1E"/>
    <w:rsid w:val="62A39B63"/>
    <w:rsid w:val="6604F525"/>
    <w:rsid w:val="6DF361FC"/>
    <w:rsid w:val="74194ADA"/>
    <w:rsid w:val="75895BD0"/>
    <w:rsid w:val="7E61B7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15:docId w15:val="{19B7C7B7-700D-4166-8CF8-5A4252AC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customStyle="1" w:styleId="Nerazreenaomemba1">
    <w:name w:val="Nerazrešena omemba1"/>
    <w:basedOn w:val="Privzetapisavaodstavka"/>
    <w:uiPriority w:val="99"/>
    <w:semiHidden/>
    <w:unhideWhenUsed/>
    <w:rsid w:val="003A49D8"/>
    <w:rPr>
      <w:color w:val="605E5C"/>
      <w:shd w:val="clear" w:color="auto" w:fill="E1DFDD"/>
    </w:rPr>
  </w:style>
  <w:style w:type="character" w:styleId="Pripombasklic">
    <w:name w:val="annotation reference"/>
    <w:basedOn w:val="Privzetapisavaodstavka"/>
    <w:uiPriority w:val="99"/>
    <w:semiHidden/>
    <w:unhideWhenUsed/>
    <w:rsid w:val="00114A03"/>
    <w:rPr>
      <w:sz w:val="16"/>
      <w:szCs w:val="16"/>
    </w:rPr>
  </w:style>
  <w:style w:type="paragraph" w:styleId="Pripombabesedilo">
    <w:name w:val="annotation text"/>
    <w:basedOn w:val="Navaden"/>
    <w:link w:val="PripombabesediloZnak"/>
    <w:uiPriority w:val="99"/>
    <w:semiHidden/>
    <w:unhideWhenUsed/>
    <w:rsid w:val="00114A03"/>
    <w:pPr>
      <w:spacing w:line="240" w:lineRule="auto"/>
    </w:pPr>
    <w:rPr>
      <w:szCs w:val="20"/>
    </w:rPr>
  </w:style>
  <w:style w:type="character" w:customStyle="1" w:styleId="PripombabesediloZnak">
    <w:name w:val="Pripomba – besedilo Znak"/>
    <w:basedOn w:val="Privzetapisavaodstavka"/>
    <w:link w:val="Pripombabesedilo"/>
    <w:uiPriority w:val="99"/>
    <w:semiHidden/>
    <w:rsid w:val="00114A03"/>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114A03"/>
    <w:rPr>
      <w:b/>
      <w:bCs/>
    </w:rPr>
  </w:style>
  <w:style w:type="character" w:customStyle="1" w:styleId="ZadevapripombeZnak">
    <w:name w:val="Zadeva pripombe Znak"/>
    <w:basedOn w:val="PripombabesediloZnak"/>
    <w:link w:val="Zadevapripombe"/>
    <w:uiPriority w:val="99"/>
    <w:semiHidden/>
    <w:rsid w:val="00114A03"/>
    <w:rPr>
      <w:rFonts w:ascii="Myriad Pro" w:hAnsi="Myriad Pro"/>
      <w:b/>
      <w:bCs/>
      <w:sz w:val="20"/>
      <w:szCs w:val="20"/>
    </w:rPr>
  </w:style>
  <w:style w:type="paragraph" w:styleId="Revizija">
    <w:name w:val="Revision"/>
    <w:hidden/>
    <w:uiPriority w:val="99"/>
    <w:semiHidden/>
    <w:rsid w:val="00B11EE5"/>
    <w:pPr>
      <w:spacing w:after="0" w:line="240" w:lineRule="auto"/>
    </w:pPr>
    <w:rPr>
      <w:rFonts w:ascii="Myriad Pro" w:hAnsi="Myriad Pro"/>
      <w:sz w:val="20"/>
    </w:rPr>
  </w:style>
  <w:style w:type="character" w:styleId="Krepko">
    <w:name w:val="Strong"/>
    <w:basedOn w:val="Privzetapisavaodstavka"/>
    <w:uiPriority w:val="22"/>
    <w:qFormat/>
    <w:rsid w:val="00FF1B8C"/>
    <w:rPr>
      <w:b/>
      <w:bCs/>
    </w:rPr>
  </w:style>
  <w:style w:type="character" w:styleId="Poudarek">
    <w:name w:val="Emphasis"/>
    <w:basedOn w:val="Privzetapisavaodstavka"/>
    <w:uiPriority w:val="20"/>
    <w:qFormat/>
    <w:rsid w:val="00592EB2"/>
    <w:rPr>
      <w:i/>
      <w:iCs/>
    </w:rPr>
  </w:style>
  <w:style w:type="paragraph" w:customStyle="1" w:styleId="TekstgrafEO">
    <w:name w:val="Tekst graf_EO"/>
    <w:basedOn w:val="Navaden"/>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E5FD0"/>
    <w:rPr>
      <w:rFonts w:ascii="Myriad Pro" w:eastAsia="Times New Roman" w:hAnsi="Myriad Pro"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0.emf"/><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nenadic\AppData\Local\Temp\notesC7A056\TGG_predloga_SLO_dostopna+Covid.dotx" TargetMode="External"/></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90C8EB5557A449B0BD9B315F6B461A" ma:contentTypeVersion="4" ma:contentTypeDescription="Create a new document." ma:contentTypeScope="" ma:versionID="ca530989153a568df916c30d777b9687">
  <xsd:schema xmlns:xsd="http://www.w3.org/2001/XMLSchema" xmlns:xs="http://www.w3.org/2001/XMLSchema" xmlns:p="http://schemas.microsoft.com/office/2006/metadata/properties" xmlns:ns2="49d731b7-cb5d-4d30-a5aa-8145da9c25d3" targetNamespace="http://schemas.microsoft.com/office/2006/metadata/properties" ma:root="true" ma:fieldsID="d92f2ae5e5f2e33108e697b9f59b8234" ns2:_="">
    <xsd:import namespace="49d731b7-cb5d-4d30-a5aa-8145da9c25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731b7-cb5d-4d30-a5aa-8145da9c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14223-9964-4CA2-B218-1EE9BA3060E4}">
  <ds:schemaRefs>
    <ds:schemaRef ds:uri="http://schemas.microsoft.com/sharepoint/v3/contenttype/forms"/>
  </ds:schemaRefs>
</ds:datastoreItem>
</file>

<file path=customXml/itemProps2.xml><?xml version="1.0" encoding="utf-8"?>
<ds:datastoreItem xmlns:ds="http://schemas.openxmlformats.org/officeDocument/2006/customXml" ds:itemID="{03D19B1A-7BE3-4BEB-B21B-342FD51C5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731b7-cb5d-4d30-a5aa-8145da9c2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1A72AF-7534-4249-BFBA-FEE20F23E7AA}">
  <ds:schemaRef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49d731b7-cb5d-4d30-a5aa-8145da9c25d3"/>
    <ds:schemaRef ds:uri="http://purl.org/dc/dcmitype/"/>
    <ds:schemaRef ds:uri="http://purl.org/dc/terms/"/>
  </ds:schemaRefs>
</ds:datastoreItem>
</file>

<file path=customXml/itemProps4.xml><?xml version="1.0" encoding="utf-8"?>
<ds:datastoreItem xmlns:ds="http://schemas.openxmlformats.org/officeDocument/2006/customXml" ds:itemID="{B69F153C-0544-4036-AB82-25CDABE11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TGG_predloga_SLO_dostopna+Covid</Template>
  <TotalTime>22</TotalTime>
  <Pages>6</Pages>
  <Words>832</Words>
  <Characters>4745</Characters>
  <Application>Microsoft Office Word</Application>
  <DocSecurity>0</DocSecurity>
  <Lines>39</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Nenadič</dc:creator>
  <cp:keywords/>
  <dc:description/>
  <cp:lastModifiedBy>Barbara Bratuž Ferk</cp:lastModifiedBy>
  <cp:revision>4</cp:revision>
  <cp:lastPrinted>2019-03-14T09:47:00Z</cp:lastPrinted>
  <dcterms:created xsi:type="dcterms:W3CDTF">2021-07-05T12:03:00Z</dcterms:created>
  <dcterms:modified xsi:type="dcterms:W3CDTF">2021-07-06T08:45:00Z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0x0101004390C8EB5557A449B0BD9B315F6B461A</vt:lpwstr>
  </property>
</Properties>
</file>