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rsidRPr="00DE72F6">
        <w:t>TEKOČA GOSPODARSKA GIBANJA</w:t>
      </w:r>
    </w:p>
    <w:p w14:paraId="069DD334" w14:textId="5DE6526D" w:rsidR="001D6793" w:rsidRDefault="00FA45E3" w:rsidP="001D6793">
      <w:pPr>
        <w:pStyle w:val="Naslov21"/>
      </w:pPr>
      <w:r>
        <w:t xml:space="preserve">od </w:t>
      </w:r>
      <w:r w:rsidR="009A2425">
        <w:t>26</w:t>
      </w:r>
      <w:r w:rsidR="001D6793">
        <w:t xml:space="preserve">. </w:t>
      </w:r>
      <w:r w:rsidR="009A2425">
        <w:t xml:space="preserve">julija </w:t>
      </w:r>
      <w:r w:rsidR="001D6793">
        <w:t xml:space="preserve">do </w:t>
      </w:r>
      <w:r w:rsidR="00194934">
        <w:t>2</w:t>
      </w:r>
      <w:r w:rsidR="009A2425">
        <w:t>5</w:t>
      </w:r>
      <w:r w:rsidR="001D6793">
        <w:t xml:space="preserve">. </w:t>
      </w:r>
      <w:r w:rsidR="009A2425">
        <w:t>avgusta</w:t>
      </w:r>
      <w:r w:rsidR="001D6793">
        <w:t xml:space="preserve"> 20</w:t>
      </w:r>
      <w:r w:rsidR="009A2846">
        <w:t>21</w:t>
      </w:r>
    </w:p>
    <w:p w14:paraId="6FBC1E05" w14:textId="37133333" w:rsidR="00DF4F0B" w:rsidRDefault="00DF4F0B"/>
    <w:p w14:paraId="769FF3AE" w14:textId="77777777" w:rsidR="00ED0B28" w:rsidRDefault="00ED0B28"/>
    <w:p w14:paraId="3D87D47C" w14:textId="77777777" w:rsidR="00ED0B28" w:rsidRPr="00284374" w:rsidRDefault="00ED0B28" w:rsidP="00ED0B28">
      <w:pPr>
        <w:tabs>
          <w:tab w:val="left" w:pos="580"/>
        </w:tabs>
        <w:rPr>
          <w:rFonts w:cs="Arial"/>
        </w:rPr>
      </w:pPr>
      <w:r w:rsidRPr="6680B6EE">
        <w:rPr>
          <w:rStyle w:val="markedcontent"/>
          <w:rFonts w:cs="Arial"/>
        </w:rPr>
        <w:t xml:space="preserve">Aktivnost slovenskega gospodarstva se je v drugem četrtletju ob umirjanju epidemičnih razmer in postopnem sproščanju zajezitvenih ukrepov v večini dejavnosti </w:t>
      </w:r>
      <w:r>
        <w:rPr>
          <w:rStyle w:val="markedcontent"/>
          <w:rFonts w:cs="Arial"/>
        </w:rPr>
        <w:t>povečala</w:t>
      </w:r>
      <w:r w:rsidRPr="6680B6EE">
        <w:rPr>
          <w:rStyle w:val="markedcontent"/>
          <w:rFonts w:cs="Arial"/>
        </w:rPr>
        <w:t xml:space="preserve">, kar je pozitivno vplivalo tudi na trg dela. Ob nadaljevanju ugodnih gibanj v izvoznem delu gospodarstva so se izboljšale tudi razmere v trgovini in tržnih storitvah. Izjema je le gradbeništvo, kjer se je aktivnost v drugem četrtletju v primerjavi s četrtletjem prej znižala v vseh segmentih. </w:t>
      </w:r>
      <w:r>
        <w:t xml:space="preserve">Zaloga pogodb v gradbeništvu se je v zadnjih mesecih sicer okrepila in nakazuje na bolj ugodne razmere v gradbeništvu v tretjem četrtletju. </w:t>
      </w:r>
      <w:r w:rsidRPr="6680B6EE">
        <w:rPr>
          <w:rStyle w:val="markedcontent"/>
          <w:rFonts w:cs="Arial"/>
        </w:rPr>
        <w:t xml:space="preserve">Nadaljnjo široko osnovano rast gospodarske aktivnosti nakazujejo tudi julijski podatki o prometu tovornih vozil in porabi elektrike, pa tudi avgustovski podatki o davčnem potrjevanju računov in zaupanju v gospodarstvu. Medletna rast cen življenjskih potrebščin se je na prehodu v tretje četrtletje ob visokih cenah energentov še okrepila, prav tako rast cen industrijskih proizvodov slovenskih proizvajalcev, k čemur so največ prispevale cene surovin. Julija se je nadaljevalo </w:t>
      </w:r>
      <w:r w:rsidRPr="6680B6EE">
        <w:rPr>
          <w:rFonts w:eastAsia="Myriad Pro" w:cs="Myriad Pro"/>
          <w:lang w:val="sl"/>
        </w:rPr>
        <w:t xml:space="preserve">upadanje števila brezposelnih. Konec meseca je bilo 21 % manj brezposelnih kot pred letom in 1,7 % manj kot v primerjavi z enakim obdobjem leta 2019. </w:t>
      </w:r>
    </w:p>
    <w:p w14:paraId="1EEF7177" w14:textId="71545757" w:rsidR="00ED0B28" w:rsidRPr="004712E5" w:rsidRDefault="00ED0B28" w:rsidP="00ED0B28">
      <w:pPr>
        <w:tabs>
          <w:tab w:val="left" w:pos="580"/>
        </w:tabs>
      </w:pPr>
    </w:p>
    <w:p w14:paraId="4BA78BA2" w14:textId="77777777" w:rsidR="00ED0B28" w:rsidRPr="004712E5" w:rsidRDefault="00ED0B28" w:rsidP="00ED0B28">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D0B28" w:rsidRPr="006C2117" w14:paraId="190ADE2F" w14:textId="77777777" w:rsidTr="009C55BF">
        <w:trPr>
          <w:trHeight w:val="207"/>
        </w:trPr>
        <w:tc>
          <w:tcPr>
            <w:tcW w:w="4819" w:type="dxa"/>
            <w:tcBorders>
              <w:bottom w:val="single" w:sz="4" w:space="0" w:color="auto"/>
            </w:tcBorders>
            <w:tcMar>
              <w:left w:w="0" w:type="dxa"/>
            </w:tcMar>
          </w:tcPr>
          <w:p w14:paraId="62E0A298" w14:textId="77777777" w:rsidR="00ED0B28" w:rsidRPr="006C2117" w:rsidRDefault="00ED0B28" w:rsidP="009C55BF">
            <w:pPr>
              <w:pStyle w:val="Naslov31"/>
              <w:jc w:val="left"/>
            </w:pPr>
            <w:r w:rsidRPr="00F6635B">
              <w:t xml:space="preserve">Gospodarska klima, </w:t>
            </w:r>
            <w:r>
              <w:t xml:space="preserve">avgust </w:t>
            </w:r>
            <w:r w:rsidRPr="00F6635B">
              <w:t>2021</w:t>
            </w:r>
          </w:p>
        </w:tc>
        <w:tc>
          <w:tcPr>
            <w:tcW w:w="4820" w:type="dxa"/>
            <w:gridSpan w:val="2"/>
            <w:tcBorders>
              <w:bottom w:val="single" w:sz="4" w:space="0" w:color="auto"/>
            </w:tcBorders>
          </w:tcPr>
          <w:p w14:paraId="5ECA7C2E" w14:textId="77777777" w:rsidR="00ED0B28" w:rsidRPr="006C2117" w:rsidRDefault="00ED0B28" w:rsidP="009C55BF">
            <w:pPr>
              <w:pStyle w:val="Naslov31"/>
            </w:pPr>
          </w:p>
        </w:tc>
      </w:tr>
      <w:tr w:rsidR="00ED0B28" w:rsidRPr="00DF4F0B" w14:paraId="70F1087C" w14:textId="77777777" w:rsidTr="009C55BF">
        <w:trPr>
          <w:trHeight w:val="1134"/>
        </w:trPr>
        <w:tc>
          <w:tcPr>
            <w:tcW w:w="4982" w:type="dxa"/>
            <w:gridSpan w:val="2"/>
            <w:tcBorders>
              <w:top w:val="single" w:sz="4" w:space="0" w:color="auto"/>
            </w:tcBorders>
            <w:tcMar>
              <w:left w:w="0" w:type="dxa"/>
            </w:tcMar>
          </w:tcPr>
          <w:p w14:paraId="50FA7303" w14:textId="77777777" w:rsidR="00ED0B28" w:rsidRDefault="00ED0B28" w:rsidP="009C55BF">
            <w:pPr>
              <w:pStyle w:val="ListParagraph"/>
              <w:ind w:left="0"/>
            </w:pPr>
            <w:r>
              <w:rPr>
                <w:noProof/>
                <w:lang w:eastAsia="sl-SI"/>
              </w:rPr>
              <w:drawing>
                <wp:inline distT="0" distB="0" distL="0" distR="0" wp14:anchorId="69DF5ED1" wp14:editId="39456A7E">
                  <wp:extent cx="3153600" cy="2505600"/>
                  <wp:effectExtent l="0" t="0" r="889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3600" cy="2505600"/>
                          </a:xfrm>
                          <a:prstGeom prst="rect">
                            <a:avLst/>
                          </a:prstGeom>
                          <a:noFill/>
                        </pic:spPr>
                      </pic:pic>
                    </a:graphicData>
                  </a:graphic>
                </wp:inline>
              </w:drawing>
            </w:r>
          </w:p>
          <w:p w14:paraId="331B0DF0" w14:textId="77777777" w:rsidR="00ED0B28" w:rsidRDefault="00ED0B28" w:rsidP="009C55BF">
            <w:pPr>
              <w:pStyle w:val="ListParagraph"/>
              <w:ind w:left="0"/>
            </w:pPr>
          </w:p>
          <w:p w14:paraId="2FF26D7B" w14:textId="77777777" w:rsidR="00ED0B28" w:rsidRDefault="00ED0B28" w:rsidP="009C55BF">
            <w:pPr>
              <w:pStyle w:val="ListParagraph"/>
              <w:ind w:left="0"/>
            </w:pPr>
          </w:p>
        </w:tc>
        <w:tc>
          <w:tcPr>
            <w:tcW w:w="4657" w:type="dxa"/>
            <w:tcBorders>
              <w:top w:val="single" w:sz="4" w:space="0" w:color="auto"/>
            </w:tcBorders>
            <w:tcMar>
              <w:left w:w="284" w:type="dxa"/>
            </w:tcMar>
          </w:tcPr>
          <w:p w14:paraId="025ED17E" w14:textId="77777777" w:rsidR="00ED0B28" w:rsidRDefault="00ED0B28" w:rsidP="009C55BF">
            <w:r>
              <w:rPr>
                <w:b/>
                <w:bCs/>
              </w:rPr>
              <w:t>V</w:t>
            </w:r>
            <w:r w:rsidRPr="00B95B52">
              <w:rPr>
                <w:b/>
                <w:bCs/>
              </w:rPr>
              <w:t xml:space="preserve">rednost kazalnika gospodarske klime </w:t>
            </w:r>
            <w:r>
              <w:rPr>
                <w:b/>
                <w:bCs/>
              </w:rPr>
              <w:t>se je avgusta izboljšala</w:t>
            </w:r>
            <w:r w:rsidRPr="00B95B52">
              <w:rPr>
                <w:b/>
                <w:bCs/>
              </w:rPr>
              <w:t xml:space="preserve">. </w:t>
            </w:r>
            <w:r w:rsidRPr="00B95B52">
              <w:t>Na mesečni ravni se je</w:t>
            </w:r>
            <w:r>
              <w:t xml:space="preserve"> zaupanje</w:t>
            </w:r>
            <w:r w:rsidRPr="00B95B52">
              <w:t xml:space="preserve">, po </w:t>
            </w:r>
            <w:r>
              <w:t>znižanju</w:t>
            </w:r>
            <w:r w:rsidRPr="00B95B52">
              <w:t xml:space="preserve"> v prejšnjem mesecu</w:t>
            </w:r>
            <w:r>
              <w:t xml:space="preserve">, v vseh dejavnostih zopet izboljšalo. Najbolj se je zvišala vrednost kazalnika v trgovini na drobno, na kar je vplivalo zlasti močno povečanje obsega zalog, kazalnika pričakovane prodaje in prodaje pa sta se nekoliko znižala. Zvišanje kazalnikov za ostale dejavnosti je bilo skromno. Zaupanje med potrošniki, ki jih skrbi predvsem prihodnje gospodarsko stanje, se je ponovno poslabšalo. </w:t>
            </w:r>
            <w:r>
              <w:rPr>
                <w:bCs/>
              </w:rPr>
              <w:t xml:space="preserve">Vsi </w:t>
            </w:r>
            <w:r w:rsidRPr="00B95B52">
              <w:rPr>
                <w:bCs/>
              </w:rPr>
              <w:t>kazalniki</w:t>
            </w:r>
            <w:r>
              <w:rPr>
                <w:bCs/>
              </w:rPr>
              <w:t xml:space="preserve"> zaupanja so</w:t>
            </w:r>
            <w:r w:rsidRPr="00B95B52">
              <w:rPr>
                <w:bCs/>
              </w:rPr>
              <w:t xml:space="preserve"> </w:t>
            </w:r>
            <w:r>
              <w:rPr>
                <w:bCs/>
              </w:rPr>
              <w:t xml:space="preserve">medletno </w:t>
            </w:r>
            <w:r w:rsidRPr="00B95B52">
              <w:rPr>
                <w:bCs/>
              </w:rPr>
              <w:t>precej višj</w:t>
            </w:r>
            <w:r>
              <w:rPr>
                <w:bCs/>
              </w:rPr>
              <w:t>i, v primerjavi z enakim obdobjem iz leta 2019</w:t>
            </w:r>
            <w:r w:rsidRPr="00B95B52">
              <w:rPr>
                <w:bCs/>
              </w:rPr>
              <w:t xml:space="preserve"> </w:t>
            </w:r>
            <w:r>
              <w:rPr>
                <w:bCs/>
              </w:rPr>
              <w:t>pa jih je večina na podobni ravni.</w:t>
            </w:r>
          </w:p>
          <w:p w14:paraId="0A977F08" w14:textId="77777777" w:rsidR="00ED0B28" w:rsidRPr="00DF4F0B" w:rsidRDefault="00ED0B28" w:rsidP="009C55BF"/>
        </w:tc>
      </w:tr>
    </w:tbl>
    <w:p w14:paraId="4609D51C" w14:textId="77777777" w:rsidR="002F7C7B" w:rsidRDefault="002F7C7B" w:rsidP="002B6DD4">
      <w:pPr>
        <w:pStyle w:val="Naslov31"/>
        <w:jc w:val="left"/>
        <w:sectPr w:rsidR="002F7C7B"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665"/>
        <w:gridCol w:w="992"/>
      </w:tblGrid>
      <w:tr w:rsidR="004712E5" w:rsidRPr="006C2117" w14:paraId="60325D3B" w14:textId="77777777" w:rsidTr="002A34FC">
        <w:trPr>
          <w:trHeight w:val="207"/>
        </w:trPr>
        <w:tc>
          <w:tcPr>
            <w:tcW w:w="8647" w:type="dxa"/>
            <w:gridSpan w:val="2"/>
            <w:tcBorders>
              <w:bottom w:val="single" w:sz="4" w:space="0" w:color="auto"/>
            </w:tcBorders>
            <w:tcMar>
              <w:left w:w="0" w:type="dxa"/>
            </w:tcMar>
          </w:tcPr>
          <w:p w14:paraId="5136AC30" w14:textId="77777777" w:rsidR="004712E5" w:rsidRPr="006C2117" w:rsidRDefault="004712E5" w:rsidP="009C55BF">
            <w:pPr>
              <w:pStyle w:val="Naslov31"/>
              <w:jc w:val="left"/>
            </w:pPr>
            <w:r w:rsidRPr="009A2846">
              <w:lastRenderedPageBreak/>
              <w:t xml:space="preserve">Promet elektronsko </w:t>
            </w:r>
            <w:proofErr w:type="spellStart"/>
            <w:r w:rsidRPr="009A2846">
              <w:t>cestninjenih</w:t>
            </w:r>
            <w:proofErr w:type="spellEnd"/>
            <w:r w:rsidRPr="009A2846">
              <w:t xml:space="preserve"> vozil na slovenskih avtocestah, </w:t>
            </w:r>
            <w:r>
              <w:t>julij</w:t>
            </w:r>
            <w:r w:rsidRPr="009A2846">
              <w:t xml:space="preserve"> 2021</w:t>
            </w:r>
          </w:p>
        </w:tc>
        <w:tc>
          <w:tcPr>
            <w:tcW w:w="992" w:type="dxa"/>
            <w:tcBorders>
              <w:bottom w:val="single" w:sz="4" w:space="0" w:color="auto"/>
            </w:tcBorders>
          </w:tcPr>
          <w:p w14:paraId="39788927" w14:textId="77777777" w:rsidR="004712E5" w:rsidRPr="006C2117" w:rsidRDefault="004712E5" w:rsidP="009C55BF">
            <w:pPr>
              <w:pStyle w:val="Naslov31"/>
            </w:pPr>
          </w:p>
        </w:tc>
      </w:tr>
      <w:tr w:rsidR="004712E5" w:rsidRPr="00DF4F0B" w14:paraId="2087DE66" w14:textId="77777777" w:rsidTr="009C55BF">
        <w:trPr>
          <w:trHeight w:val="1134"/>
        </w:trPr>
        <w:tc>
          <w:tcPr>
            <w:tcW w:w="4982" w:type="dxa"/>
            <w:tcBorders>
              <w:top w:val="single" w:sz="4" w:space="0" w:color="auto"/>
            </w:tcBorders>
            <w:tcMar>
              <w:left w:w="0" w:type="dxa"/>
            </w:tcMar>
          </w:tcPr>
          <w:p w14:paraId="072F85E4" w14:textId="77777777" w:rsidR="004712E5" w:rsidRDefault="004712E5" w:rsidP="009C55BF">
            <w:pPr>
              <w:pStyle w:val="ListParagraph"/>
              <w:ind w:left="0"/>
              <w:rPr>
                <w:rFonts w:eastAsia="Arial"/>
                <w:szCs w:val="20"/>
              </w:rPr>
            </w:pPr>
            <w:r>
              <w:rPr>
                <w:rFonts w:eastAsia="Arial"/>
                <w:noProof/>
                <w:szCs w:val="20"/>
                <w:lang w:eastAsia="sl-SI"/>
              </w:rPr>
              <w:drawing>
                <wp:inline distT="0" distB="0" distL="0" distR="0" wp14:anchorId="176BB20B" wp14:editId="199A124F">
                  <wp:extent cx="3096000" cy="2548800"/>
                  <wp:effectExtent l="0" t="0" r="0" b="444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000" cy="2548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5302D0E" w14:textId="77777777" w:rsidR="004712E5" w:rsidRPr="009A2425" w:rsidRDefault="004712E5" w:rsidP="009C55BF">
            <w:pPr>
              <w:spacing w:line="240" w:lineRule="atLeast"/>
              <w:rPr>
                <w:rFonts w:eastAsia="Arial"/>
              </w:rPr>
            </w:pPr>
            <w:r w:rsidRPr="46CAA4F4">
              <w:rPr>
                <w:rFonts w:eastAsia="Myriad Pro" w:cs="Myriad Pro"/>
                <w:b/>
              </w:rPr>
              <w:t>Promet tovornih vozil na slovenskih avtocestah je bil julija medletno večji za 5 % in blizu ravni v enakem obdobju 2019.</w:t>
            </w:r>
            <w:r w:rsidRPr="46CAA4F4">
              <w:rPr>
                <w:rFonts w:eastAsia="Myriad Pro" w:cs="Myriad Pro"/>
              </w:rPr>
              <w:t xml:space="preserve"> Promet se je lani po prvem valu epidemije do julija precej približal primerljivi </w:t>
            </w:r>
            <w:proofErr w:type="spellStart"/>
            <w:r w:rsidRPr="46CAA4F4">
              <w:rPr>
                <w:rFonts w:eastAsia="Myriad Pro" w:cs="Myriad Pro"/>
              </w:rPr>
              <w:t>predkrizni</w:t>
            </w:r>
            <w:proofErr w:type="spellEnd"/>
            <w:r w:rsidRPr="46CAA4F4">
              <w:rPr>
                <w:rFonts w:eastAsia="Myriad Pro" w:cs="Myriad Pro"/>
              </w:rPr>
              <w:t xml:space="preserve"> ravni, tako da je bil letos julija medletno le nekoliko višji. Glede na julij 2019 je bil obseg prometa tovornih vozil, tudi zaradi delovnega dneva manj, manjši za 2 % (promet domačih vozil je bil večji za 1 %, tujih pa manjši za 5 %). Po prilagoditvi za različno število delovnih dni je bil obseg prevozov tovornjakov za 2 % večji od julijskega v letu pred epidemijo.</w:t>
            </w:r>
          </w:p>
          <w:p w14:paraId="643D58E3" w14:textId="77777777" w:rsidR="004712E5" w:rsidRPr="00DF4F0B" w:rsidRDefault="004712E5" w:rsidP="009C55BF">
            <w:pPr>
              <w:spacing w:line="240" w:lineRule="atLeast"/>
              <w:rPr>
                <w:rFonts w:eastAsia="Arial"/>
                <w:szCs w:val="20"/>
              </w:rPr>
            </w:pPr>
          </w:p>
        </w:tc>
      </w:tr>
      <w:tr w:rsidR="004712E5" w:rsidRPr="006C2117" w14:paraId="23BA4497" w14:textId="77777777" w:rsidTr="002A34FC">
        <w:trPr>
          <w:gridAfter w:val="1"/>
          <w:wAfter w:w="992" w:type="dxa"/>
          <w:trHeight w:val="207"/>
        </w:trPr>
        <w:tc>
          <w:tcPr>
            <w:tcW w:w="8647" w:type="dxa"/>
            <w:gridSpan w:val="2"/>
            <w:tcBorders>
              <w:bottom w:val="single" w:sz="4" w:space="0" w:color="auto"/>
            </w:tcBorders>
            <w:tcMar>
              <w:left w:w="0" w:type="dxa"/>
            </w:tcMar>
          </w:tcPr>
          <w:p w14:paraId="531015B4" w14:textId="77777777" w:rsidR="004712E5" w:rsidRDefault="004712E5" w:rsidP="009C55BF">
            <w:pPr>
              <w:pStyle w:val="Naslov31"/>
              <w:jc w:val="left"/>
            </w:pPr>
          </w:p>
          <w:p w14:paraId="1A0743A1" w14:textId="03F46D41" w:rsidR="004712E5" w:rsidRPr="006C2117" w:rsidRDefault="004712E5" w:rsidP="009C55BF">
            <w:pPr>
              <w:pStyle w:val="Naslov31"/>
              <w:jc w:val="left"/>
            </w:pPr>
            <w:r w:rsidRPr="00044CD2">
              <w:t xml:space="preserve">Poraba elektrike, </w:t>
            </w:r>
            <w:r>
              <w:t xml:space="preserve">julij </w:t>
            </w:r>
            <w:r w:rsidRPr="00524CAA">
              <w:t>202</w:t>
            </w:r>
            <w:r>
              <w:t>1</w:t>
            </w:r>
          </w:p>
        </w:tc>
      </w:tr>
      <w:tr w:rsidR="004712E5" w:rsidRPr="001A3C37" w14:paraId="0FDA7B8D" w14:textId="77777777" w:rsidTr="009C55BF">
        <w:trPr>
          <w:trHeight w:val="1134"/>
        </w:trPr>
        <w:tc>
          <w:tcPr>
            <w:tcW w:w="4982" w:type="dxa"/>
            <w:tcBorders>
              <w:top w:val="single" w:sz="4" w:space="0" w:color="auto"/>
            </w:tcBorders>
            <w:tcMar>
              <w:left w:w="0" w:type="dxa"/>
            </w:tcMar>
          </w:tcPr>
          <w:p w14:paraId="3BE62B2C" w14:textId="77777777" w:rsidR="004712E5" w:rsidRDefault="004712E5" w:rsidP="009C55BF">
            <w:pPr>
              <w:pStyle w:val="ListParagraph"/>
              <w:ind w:left="0"/>
            </w:pPr>
            <w:r>
              <w:rPr>
                <w:noProof/>
                <w:lang w:eastAsia="sl-SI"/>
              </w:rPr>
              <w:drawing>
                <wp:inline distT="0" distB="0" distL="0" distR="0" wp14:anchorId="09951B08" wp14:editId="383AB0F6">
                  <wp:extent cx="3121200" cy="2559600"/>
                  <wp:effectExtent l="0" t="0" r="317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1200" cy="2559600"/>
                          </a:xfrm>
                          <a:prstGeom prst="rect">
                            <a:avLst/>
                          </a:prstGeom>
                          <a:noFill/>
                        </pic:spPr>
                      </pic:pic>
                    </a:graphicData>
                  </a:graphic>
                </wp:inline>
              </w:drawing>
            </w:r>
          </w:p>
          <w:p w14:paraId="08131A6B" w14:textId="77777777" w:rsidR="004712E5" w:rsidRDefault="004712E5" w:rsidP="009C55BF">
            <w:pPr>
              <w:pStyle w:val="ListParagraph"/>
              <w:ind w:left="0"/>
            </w:pPr>
          </w:p>
        </w:tc>
        <w:tc>
          <w:tcPr>
            <w:tcW w:w="4657" w:type="dxa"/>
            <w:gridSpan w:val="2"/>
            <w:tcBorders>
              <w:top w:val="single" w:sz="4" w:space="0" w:color="auto"/>
            </w:tcBorders>
            <w:tcMar>
              <w:left w:w="284" w:type="dxa"/>
            </w:tcMar>
          </w:tcPr>
          <w:p w14:paraId="5FE92FC5" w14:textId="77777777" w:rsidR="004712E5" w:rsidRPr="001A3C37" w:rsidRDefault="004712E5" w:rsidP="009C55BF">
            <w:pPr>
              <w:rPr>
                <w:color w:val="44546A" w:themeColor="text2"/>
              </w:rPr>
            </w:pPr>
            <w:r w:rsidRPr="009826DD">
              <w:rPr>
                <w:b/>
                <w:bCs/>
              </w:rPr>
              <w:t>Julija je bila poraba elektrike</w:t>
            </w:r>
            <w:r w:rsidRPr="009826DD">
              <w:rPr>
                <w:rStyle w:val="FootnoteReference"/>
                <w:b/>
                <w:bCs/>
              </w:rPr>
              <w:footnoteReference w:id="2"/>
            </w:r>
            <w:r w:rsidRPr="009826DD">
              <w:rPr>
                <w:b/>
                <w:bCs/>
              </w:rPr>
              <w:t xml:space="preserve"> medletno višja za 3</w:t>
            </w:r>
            <w:r>
              <w:rPr>
                <w:b/>
                <w:bCs/>
              </w:rPr>
              <w:t> </w:t>
            </w:r>
            <w:r w:rsidRPr="009826DD">
              <w:rPr>
                <w:b/>
                <w:bCs/>
              </w:rPr>
              <w:t>%, za julijem iz leta 2019 pa je zaostajala za 4</w:t>
            </w:r>
            <w:r>
              <w:rPr>
                <w:b/>
                <w:bCs/>
              </w:rPr>
              <w:t> </w:t>
            </w:r>
            <w:r w:rsidRPr="009826DD">
              <w:rPr>
                <w:b/>
                <w:bCs/>
              </w:rPr>
              <w:t xml:space="preserve">%. </w:t>
            </w:r>
            <w:r w:rsidRPr="009826DD">
              <w:t>Zaostanek za enakim obdobjem leta 2019 je bil manjši kot mesec prej (junija je znašal 6</w:t>
            </w:r>
            <w:r>
              <w:t> </w:t>
            </w:r>
            <w:r w:rsidRPr="009826DD">
              <w:t>%), verjetno zaradi postopno večje aktivnosti v turističnem delu gospodarstva. Od naših glavnih trgovinskih partneric sta glede na julij 2019 nižjo porabo beležili Francija (1</w:t>
            </w:r>
            <w:r>
              <w:t> </w:t>
            </w:r>
            <w:r w:rsidRPr="009826DD">
              <w:t>%) in Italija (4</w:t>
            </w:r>
            <w:r>
              <w:t> </w:t>
            </w:r>
            <w:r w:rsidRPr="009826DD">
              <w:t xml:space="preserve">%), drugod pa je bila približno enaka takratni. V primerjavi </w:t>
            </w:r>
            <w:r>
              <w:t xml:space="preserve">z </w:t>
            </w:r>
            <w:r w:rsidRPr="009826DD">
              <w:t>lanskim julijem je bila poraba višja v večini naših partneric (v Italiji in Nemčiji za 4</w:t>
            </w:r>
            <w:r>
              <w:t> </w:t>
            </w:r>
            <w:r w:rsidRPr="009826DD">
              <w:t>%, na Hrvaškem za 7</w:t>
            </w:r>
            <w:r>
              <w:t> </w:t>
            </w:r>
            <w:r w:rsidRPr="009826DD">
              <w:t>%, v Avstriji pa za 1</w:t>
            </w:r>
            <w:r>
              <w:t> </w:t>
            </w:r>
            <w:r w:rsidRPr="009826DD">
              <w:t>%), razen v Franciji, kjer je bila nižja za 2</w:t>
            </w:r>
            <w:r>
              <w:t> </w:t>
            </w:r>
            <w:r w:rsidRPr="009826DD">
              <w:t>%.</w:t>
            </w:r>
            <w:r w:rsidRPr="00122A2C">
              <w:t xml:space="preserve"> </w:t>
            </w:r>
          </w:p>
        </w:tc>
      </w:tr>
    </w:tbl>
    <w:p w14:paraId="23AA90FD" w14:textId="77777777" w:rsidR="004712E5" w:rsidRDefault="004712E5">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EA64AE" w14:paraId="7FF59F30" w14:textId="77777777" w:rsidTr="009C55BF">
        <w:trPr>
          <w:trHeight w:val="207"/>
        </w:trPr>
        <w:tc>
          <w:tcPr>
            <w:tcW w:w="9639" w:type="dxa"/>
            <w:gridSpan w:val="2"/>
            <w:tcBorders>
              <w:bottom w:val="single" w:sz="4" w:space="0" w:color="auto"/>
            </w:tcBorders>
            <w:tcMar>
              <w:left w:w="0" w:type="dxa"/>
            </w:tcMar>
          </w:tcPr>
          <w:p w14:paraId="4BC281AD" w14:textId="2B1D71FC" w:rsidR="004712E5" w:rsidRPr="00EA64AE" w:rsidRDefault="004712E5" w:rsidP="009C55BF">
            <w:pPr>
              <w:tabs>
                <w:tab w:val="left" w:pos="580"/>
              </w:tabs>
              <w:rPr>
                <w:b/>
              </w:rPr>
            </w:pPr>
            <w:r w:rsidRPr="0062446B">
              <w:rPr>
                <w:b/>
              </w:rPr>
              <w:lastRenderedPageBreak/>
              <w:t xml:space="preserve">Poraba elektrike po odjemnih skupinah, </w:t>
            </w:r>
            <w:r>
              <w:rPr>
                <w:b/>
              </w:rPr>
              <w:t>julij</w:t>
            </w:r>
            <w:r w:rsidRPr="0062446B">
              <w:rPr>
                <w:b/>
              </w:rPr>
              <w:t xml:space="preserve"> 2021</w:t>
            </w:r>
          </w:p>
        </w:tc>
      </w:tr>
      <w:tr w:rsidR="004712E5" w:rsidRPr="00EA64AE" w14:paraId="220DE19D" w14:textId="77777777" w:rsidTr="009C55BF">
        <w:trPr>
          <w:trHeight w:val="1134"/>
        </w:trPr>
        <w:tc>
          <w:tcPr>
            <w:tcW w:w="4982" w:type="dxa"/>
            <w:tcBorders>
              <w:top w:val="single" w:sz="4" w:space="0" w:color="auto"/>
            </w:tcBorders>
            <w:tcMar>
              <w:left w:w="0" w:type="dxa"/>
            </w:tcMar>
          </w:tcPr>
          <w:p w14:paraId="0CE8F05F" w14:textId="77777777" w:rsidR="004712E5" w:rsidRPr="00EA64AE" w:rsidRDefault="004712E5" w:rsidP="009C55BF">
            <w:pPr>
              <w:tabs>
                <w:tab w:val="left" w:pos="580"/>
              </w:tabs>
            </w:pPr>
            <w:r>
              <w:rPr>
                <w:noProof/>
                <w:lang w:eastAsia="sl-SI"/>
              </w:rPr>
              <w:drawing>
                <wp:inline distT="0" distB="0" distL="0" distR="0" wp14:anchorId="3EA3A9E7" wp14:editId="27B9E946">
                  <wp:extent cx="3092400" cy="25596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59600"/>
                          </a:xfrm>
                          <a:prstGeom prst="rect">
                            <a:avLst/>
                          </a:prstGeom>
                          <a:noFill/>
                        </pic:spPr>
                      </pic:pic>
                    </a:graphicData>
                  </a:graphic>
                </wp:inline>
              </w:drawing>
            </w:r>
          </w:p>
        </w:tc>
        <w:tc>
          <w:tcPr>
            <w:tcW w:w="4657" w:type="dxa"/>
            <w:tcBorders>
              <w:top w:val="single" w:sz="4" w:space="0" w:color="auto"/>
            </w:tcBorders>
            <w:tcMar>
              <w:left w:w="284" w:type="dxa"/>
            </w:tcMar>
          </w:tcPr>
          <w:p w14:paraId="5F5A30C5" w14:textId="77777777" w:rsidR="004712E5" w:rsidRPr="00EA64AE" w:rsidRDefault="004712E5" w:rsidP="009C55BF">
            <w:pPr>
              <w:tabs>
                <w:tab w:val="left" w:pos="580"/>
              </w:tabs>
            </w:pPr>
            <w:r w:rsidRPr="00DB50C8">
              <w:rPr>
                <w:b/>
                <w:bCs/>
              </w:rPr>
              <w:t>Po junijski višji porabi je bila julija</w:t>
            </w:r>
            <w:r w:rsidRPr="00DB50C8">
              <w:rPr>
                <w:b/>
              </w:rPr>
              <w:t xml:space="preserve"> industrijska poraba elektrike </w:t>
            </w:r>
            <w:r w:rsidRPr="00DB50C8">
              <w:rPr>
                <w:b/>
                <w:bCs/>
              </w:rPr>
              <w:t>zopet nižja kot v enakem  obdobju leta</w:t>
            </w:r>
            <w:r w:rsidRPr="00DB50C8">
              <w:rPr>
                <w:b/>
              </w:rPr>
              <w:t xml:space="preserve"> 2019, poraba poslovnega odjema pa je zaostajala</w:t>
            </w:r>
            <w:r w:rsidRPr="00DB50C8">
              <w:rPr>
                <w:b/>
                <w:bCs/>
              </w:rPr>
              <w:t xml:space="preserve"> </w:t>
            </w:r>
            <w:r>
              <w:rPr>
                <w:b/>
                <w:bCs/>
              </w:rPr>
              <w:t>podobno</w:t>
            </w:r>
            <w:r w:rsidRPr="00DB50C8">
              <w:rPr>
                <w:b/>
                <w:bCs/>
              </w:rPr>
              <w:t xml:space="preserve"> kot </w:t>
            </w:r>
            <w:r w:rsidRPr="00DB50C8">
              <w:rPr>
                <w:b/>
              </w:rPr>
              <w:t xml:space="preserve">mesec prej. </w:t>
            </w:r>
            <w:r>
              <w:t>I</w:t>
            </w:r>
            <w:r w:rsidRPr="00DB50C8">
              <w:t xml:space="preserve">ndustrijska poraba </w:t>
            </w:r>
            <w:r>
              <w:t xml:space="preserve">je bila </w:t>
            </w:r>
            <w:r w:rsidRPr="00DB50C8">
              <w:t>nižja za 4,9</w:t>
            </w:r>
            <w:r>
              <w:t> </w:t>
            </w:r>
            <w:r w:rsidRPr="00DB50C8">
              <w:t>% (junija je bila višja za 1,2</w:t>
            </w:r>
            <w:r>
              <w:t> </w:t>
            </w:r>
            <w:r w:rsidRPr="00DB50C8">
              <w:t>%)</w:t>
            </w:r>
            <w:r>
              <w:t xml:space="preserve">, kar je bila lahko posledica težav z dobavo komponent pri nekaterih podjetjih in okrnjene proizvodnje. Poraba </w:t>
            </w:r>
            <w:r w:rsidRPr="00DB50C8">
              <w:t>poslovnega odjema</w:t>
            </w:r>
            <w:r w:rsidRPr="00DB50C8">
              <w:rPr>
                <w:vertAlign w:val="superscript"/>
              </w:rPr>
              <w:footnoteReference w:id="3"/>
            </w:r>
            <w:r w:rsidRPr="00DB50C8">
              <w:t xml:space="preserve"> </w:t>
            </w:r>
            <w:r>
              <w:t xml:space="preserve">je bila nižja </w:t>
            </w:r>
            <w:r w:rsidRPr="00DB50C8">
              <w:t>za 3,3</w:t>
            </w:r>
            <w:r>
              <w:t> </w:t>
            </w:r>
            <w:r w:rsidRPr="00DB50C8">
              <w:t>% (junija za 3,6</w:t>
            </w:r>
            <w:r>
              <w:t> </w:t>
            </w:r>
            <w:r w:rsidRPr="00DB50C8">
              <w:t xml:space="preserve">%), gospodinjska poraba pa </w:t>
            </w:r>
            <w:r>
              <w:t xml:space="preserve">višja </w:t>
            </w:r>
            <w:r w:rsidRPr="00DB50C8">
              <w:t>za 1,3</w:t>
            </w:r>
            <w:r>
              <w:t> </w:t>
            </w:r>
            <w:r w:rsidRPr="00DB50C8">
              <w:t>%.</w:t>
            </w:r>
            <w:r>
              <w:t xml:space="preserve"> V primerjavi z lanskim julijem je bila i</w:t>
            </w:r>
            <w:r w:rsidRPr="00DB50C8">
              <w:t>ndustrijska poraba elektrike medletno</w:t>
            </w:r>
            <w:r>
              <w:t xml:space="preserve"> </w:t>
            </w:r>
            <w:r w:rsidRPr="00DB50C8">
              <w:t>višja za 4,8</w:t>
            </w:r>
            <w:r>
              <w:t> </w:t>
            </w:r>
            <w:r w:rsidRPr="00DB50C8">
              <w:t>%, poraba poslovnega odjema pa za 0,8</w:t>
            </w:r>
            <w:r>
              <w:t> </w:t>
            </w:r>
            <w:r w:rsidRPr="00DB50C8">
              <w:t>%, občutno manj kot v prejšnjih mesecih, ko so bile visoke medletne rasti zlasti posledica nizke lanske osnove. Gospodinjska poraba je bila približno enaka lanski v tem času (-0,7</w:t>
            </w:r>
            <w:r>
              <w:t> </w:t>
            </w:r>
            <w:r w:rsidRPr="00DB50C8">
              <w:t xml:space="preserve">%). </w:t>
            </w:r>
          </w:p>
        </w:tc>
      </w:tr>
    </w:tbl>
    <w:p w14:paraId="630E823A" w14:textId="3EA6DD1D" w:rsidR="004712E5" w:rsidRDefault="004712E5">
      <w:pPr>
        <w:spacing w:after="160" w:line="259" w:lineRule="auto"/>
        <w:jc w:val="left"/>
      </w:pPr>
    </w:p>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712E5" w:rsidRPr="009A2425" w14:paraId="615C99EC" w14:textId="77777777" w:rsidTr="009C55BF">
        <w:trPr>
          <w:trHeight w:val="207"/>
        </w:trPr>
        <w:tc>
          <w:tcPr>
            <w:tcW w:w="4819" w:type="dxa"/>
            <w:tcBorders>
              <w:bottom w:val="single" w:sz="4" w:space="0" w:color="auto"/>
            </w:tcBorders>
            <w:tcMar>
              <w:left w:w="0" w:type="dxa"/>
            </w:tcMar>
          </w:tcPr>
          <w:p w14:paraId="0428495D" w14:textId="77777777" w:rsidR="004712E5" w:rsidRPr="009A2425" w:rsidRDefault="004712E5" w:rsidP="009C55BF">
            <w:pPr>
              <w:jc w:val="left"/>
              <w:rPr>
                <w:b/>
              </w:rPr>
            </w:pPr>
            <w:r w:rsidRPr="009A2425">
              <w:rPr>
                <w:b/>
              </w:rPr>
              <w:t>Davčno potrjevanje računov, avgust 2021</w:t>
            </w:r>
          </w:p>
        </w:tc>
        <w:tc>
          <w:tcPr>
            <w:tcW w:w="4820" w:type="dxa"/>
            <w:gridSpan w:val="2"/>
            <w:tcBorders>
              <w:bottom w:val="single" w:sz="4" w:space="0" w:color="auto"/>
            </w:tcBorders>
          </w:tcPr>
          <w:p w14:paraId="18932E1C" w14:textId="77777777" w:rsidR="004712E5" w:rsidRPr="009A2425" w:rsidRDefault="004712E5" w:rsidP="009C55BF">
            <w:pPr>
              <w:rPr>
                <w:b/>
              </w:rPr>
            </w:pPr>
          </w:p>
        </w:tc>
      </w:tr>
      <w:tr w:rsidR="004712E5" w:rsidRPr="009A2425" w14:paraId="1EDBD1BD" w14:textId="77777777" w:rsidTr="009C55BF">
        <w:trPr>
          <w:trHeight w:val="1134"/>
        </w:trPr>
        <w:tc>
          <w:tcPr>
            <w:tcW w:w="4982" w:type="dxa"/>
            <w:gridSpan w:val="2"/>
            <w:tcBorders>
              <w:top w:val="single" w:sz="4" w:space="0" w:color="auto"/>
            </w:tcBorders>
            <w:tcMar>
              <w:left w:w="0" w:type="dxa"/>
            </w:tcMar>
          </w:tcPr>
          <w:p w14:paraId="3889E3F4" w14:textId="77777777" w:rsidR="004712E5" w:rsidRPr="009A2425" w:rsidRDefault="004712E5" w:rsidP="009C55BF">
            <w:pPr>
              <w:contextualSpacing/>
            </w:pPr>
            <w:r>
              <w:rPr>
                <w:noProof/>
                <w:lang w:eastAsia="sl-SI"/>
              </w:rPr>
              <w:drawing>
                <wp:inline distT="0" distB="0" distL="0" distR="0" wp14:anchorId="7209F2D5" wp14:editId="02B5D7E8">
                  <wp:extent cx="3099600" cy="2534400"/>
                  <wp:effectExtent l="0" t="0" r="571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9600" cy="2534400"/>
                          </a:xfrm>
                          <a:prstGeom prst="rect">
                            <a:avLst/>
                          </a:prstGeom>
                          <a:noFill/>
                        </pic:spPr>
                      </pic:pic>
                    </a:graphicData>
                  </a:graphic>
                </wp:inline>
              </w:drawing>
            </w:r>
          </w:p>
          <w:p w14:paraId="1CFACCBA" w14:textId="77777777" w:rsidR="004712E5" w:rsidRPr="009A2425" w:rsidRDefault="004712E5" w:rsidP="009C55BF">
            <w:pPr>
              <w:contextualSpacing/>
            </w:pPr>
          </w:p>
        </w:tc>
        <w:tc>
          <w:tcPr>
            <w:tcW w:w="4657" w:type="dxa"/>
            <w:tcBorders>
              <w:top w:val="single" w:sz="4" w:space="0" w:color="auto"/>
            </w:tcBorders>
            <w:tcMar>
              <w:left w:w="284" w:type="dxa"/>
            </w:tcMar>
          </w:tcPr>
          <w:p w14:paraId="5C8CC12D" w14:textId="77777777" w:rsidR="004712E5" w:rsidRPr="009A2425" w:rsidRDefault="004712E5" w:rsidP="009C55BF">
            <w:pPr>
              <w:rPr>
                <w:color w:val="DBDBDB" w:themeColor="background2"/>
              </w:rPr>
            </w:pPr>
            <w:r w:rsidRPr="6680B6EE">
              <w:rPr>
                <w:b/>
                <w:bCs/>
              </w:rPr>
              <w:t xml:space="preserve">Po podatkih o davčnem potrjevanju računov je bila skupna prodaja v prvih treh tednih avgusta medletno višja za 10 %, glede na enako obdobje leta 2019 pa za 7 %. </w:t>
            </w:r>
            <w:r>
              <w:t>Nadaljevala</w:t>
            </w:r>
            <w:r w:rsidRPr="6680B6EE">
              <w:rPr>
                <w:b/>
                <w:bCs/>
              </w:rPr>
              <w:t xml:space="preserve"> </w:t>
            </w:r>
            <w:r>
              <w:t>so se</w:t>
            </w:r>
            <w:r w:rsidRPr="6680B6EE">
              <w:rPr>
                <w:b/>
                <w:bCs/>
              </w:rPr>
              <w:t xml:space="preserve"> </w:t>
            </w:r>
            <w:r>
              <w:t xml:space="preserve">ugodna gibanja v trgovini, kjer je bila prodaja medletno in glede na leto 2019 višja za okoli 7 %. </w:t>
            </w:r>
            <w:r w:rsidRPr="00972D7B">
              <w:rPr>
                <w:rFonts w:eastAsiaTheme="minorEastAsia"/>
                <w:szCs w:val="20"/>
              </w:rPr>
              <w:t xml:space="preserve">Še višje so bile </w:t>
            </w:r>
            <w:r w:rsidRPr="6680B6EE">
              <w:rPr>
                <w:rFonts w:eastAsiaTheme="minorEastAsia"/>
                <w:szCs w:val="20"/>
              </w:rPr>
              <w:t>(</w:t>
            </w:r>
            <w:r w:rsidRPr="00972D7B">
              <w:rPr>
                <w:rFonts w:eastAsiaTheme="minorEastAsia"/>
                <w:szCs w:val="20"/>
              </w:rPr>
              <w:t>zaradi nizke osnove</w:t>
            </w:r>
            <w:r w:rsidRPr="6680B6EE">
              <w:rPr>
                <w:rFonts w:eastAsiaTheme="minorEastAsia"/>
                <w:szCs w:val="20"/>
              </w:rPr>
              <w:t>)</w:t>
            </w:r>
            <w:r w:rsidRPr="00972D7B">
              <w:rPr>
                <w:rFonts w:eastAsiaTheme="minorEastAsia"/>
                <w:szCs w:val="20"/>
              </w:rPr>
              <w:t xml:space="preserve"> </w:t>
            </w:r>
            <w:r w:rsidRPr="6680B6EE">
              <w:rPr>
                <w:rFonts w:eastAsiaTheme="minorEastAsia"/>
                <w:szCs w:val="20"/>
              </w:rPr>
              <w:t xml:space="preserve">medletne rasti </w:t>
            </w:r>
            <w:r w:rsidRPr="00972D7B">
              <w:rPr>
                <w:rFonts w:eastAsiaTheme="minorEastAsia"/>
                <w:szCs w:val="20"/>
              </w:rPr>
              <w:t>prodaje v večini</w:t>
            </w:r>
            <w:r>
              <w:t xml:space="preserve"> predvsem s turizmom povezanih panog ter v kulturnih, razvedrilnih in športnih storitvah. Poleg večjega obiska tujih turistov je na povečano prodajo vplivalo tudi unovčevanje lani in letos uvedenih bonov. Prodaja je bila tako pri nekaterih storitvah (gostinski obrati, nastanitvene dejavnosti, športne, kulturne dejavnosti) višja tudi od primerljive v letu 2019, pri drugih (igralnice in potovalne agencije), pa je še močno, za okoli tretjino, zaostajala. </w:t>
            </w:r>
          </w:p>
        </w:tc>
      </w:tr>
    </w:tbl>
    <w:p w14:paraId="227D668C" w14:textId="3FD3C780" w:rsidR="004712E5" w:rsidRDefault="004712E5">
      <w:pPr>
        <w:spacing w:after="160" w:line="259" w:lineRule="auto"/>
        <w:jc w:val="left"/>
      </w:pPr>
    </w:p>
    <w:p w14:paraId="3A994DA5" w14:textId="26448C1C" w:rsidR="004712E5" w:rsidRDefault="004712E5">
      <w:pPr>
        <w:spacing w:after="160" w:line="259" w:lineRule="auto"/>
        <w:jc w:val="left"/>
      </w:pPr>
    </w:p>
    <w:p w14:paraId="0F9800F3" w14:textId="1528A2F2" w:rsidR="009A2425" w:rsidRDefault="009A2425">
      <w:pPr>
        <w:spacing w:after="160" w:line="259" w:lineRule="auto"/>
        <w:jc w:val="left"/>
        <w:rPr>
          <w:b/>
        </w:rPr>
      </w:pPr>
    </w:p>
    <w:p w14:paraId="03284011" w14:textId="77777777" w:rsidR="009A2425" w:rsidRDefault="009A2425" w:rsidP="00804DA8">
      <w:pPr>
        <w:pStyle w:val="Naslov31"/>
        <w:jc w:val="left"/>
      </w:pPr>
    </w:p>
    <w:p w14:paraId="24B03DAC" w14:textId="2E731073" w:rsidR="009A2425" w:rsidRDefault="009A2425" w:rsidP="00804DA8">
      <w:pPr>
        <w:pStyle w:val="Naslov31"/>
        <w:jc w:val="left"/>
      </w:pPr>
    </w:p>
    <w:p w14:paraId="0F4ADA75" w14:textId="3AD7C631" w:rsidR="009A2425" w:rsidRDefault="009A2425">
      <w:pPr>
        <w:spacing w:after="160" w:line="259" w:lineRule="auto"/>
        <w:jc w:val="left"/>
      </w:pPr>
      <w:r>
        <w:br w:type="page"/>
      </w:r>
    </w:p>
    <w:tbl>
      <w:tblPr>
        <w:tblStyle w:val="Tabelamrea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9A2425" w14:paraId="0685DDA2" w14:textId="77777777" w:rsidTr="009C55BF">
        <w:trPr>
          <w:trHeight w:val="207"/>
        </w:trPr>
        <w:tc>
          <w:tcPr>
            <w:tcW w:w="9639" w:type="dxa"/>
            <w:gridSpan w:val="2"/>
            <w:tcBorders>
              <w:bottom w:val="single" w:sz="4" w:space="0" w:color="auto"/>
            </w:tcBorders>
            <w:tcMar>
              <w:left w:w="0" w:type="dxa"/>
            </w:tcMar>
          </w:tcPr>
          <w:p w14:paraId="2588A746" w14:textId="77777777" w:rsidR="004712E5" w:rsidRPr="009A2425" w:rsidRDefault="004712E5" w:rsidP="009C55BF">
            <w:pPr>
              <w:rPr>
                <w:b/>
              </w:rPr>
            </w:pPr>
            <w:r w:rsidRPr="009A2425">
              <w:rPr>
                <w:b/>
                <w:noProof/>
                <w:lang w:eastAsia="sl-SI"/>
              </w:rPr>
              <w:lastRenderedPageBreak/>
              <w:drawing>
                <wp:inline distT="0" distB="0" distL="0" distR="0" wp14:anchorId="188A8898" wp14:editId="15A6EDC9">
                  <wp:extent cx="71846" cy="93799"/>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nak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68" cy="99833"/>
                          </a:xfrm>
                          <a:prstGeom prst="rect">
                            <a:avLst/>
                          </a:prstGeom>
                        </pic:spPr>
                      </pic:pic>
                    </a:graphicData>
                  </a:graphic>
                </wp:inline>
              </w:drawing>
            </w:r>
            <w:r w:rsidRPr="009A2425">
              <w:rPr>
                <w:b/>
              </w:rPr>
              <w:t xml:space="preserve">  Trgovina, </w:t>
            </w:r>
            <w:r>
              <w:rPr>
                <w:b/>
              </w:rPr>
              <w:t>maj</w:t>
            </w:r>
            <w:r w:rsidRPr="009A2425">
              <w:rPr>
                <w:b/>
              </w:rPr>
              <w:t xml:space="preserve"> 2021</w:t>
            </w:r>
          </w:p>
        </w:tc>
      </w:tr>
      <w:tr w:rsidR="004712E5" w:rsidRPr="009A2425" w14:paraId="76AAFBCB" w14:textId="77777777" w:rsidTr="009C55BF">
        <w:trPr>
          <w:trHeight w:val="1134"/>
        </w:trPr>
        <w:tc>
          <w:tcPr>
            <w:tcW w:w="4982" w:type="dxa"/>
            <w:tcBorders>
              <w:top w:val="single" w:sz="4" w:space="0" w:color="auto"/>
            </w:tcBorders>
            <w:tcMar>
              <w:left w:w="0" w:type="dxa"/>
            </w:tcMar>
          </w:tcPr>
          <w:p w14:paraId="589441FA" w14:textId="77777777" w:rsidR="004712E5" w:rsidRPr="009A2425" w:rsidRDefault="004712E5" w:rsidP="009C55BF">
            <w:pPr>
              <w:contextualSpacing/>
            </w:pPr>
            <w:r>
              <w:rPr>
                <w:noProof/>
                <w:lang w:eastAsia="sl-SI"/>
              </w:rPr>
              <w:drawing>
                <wp:inline distT="0" distB="0" distL="0" distR="0" wp14:anchorId="3FFD0532" wp14:editId="68BD2C73">
                  <wp:extent cx="3085200" cy="2523600"/>
                  <wp:effectExtent l="0" t="0" r="127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5200" cy="2523600"/>
                          </a:xfrm>
                          <a:prstGeom prst="rect">
                            <a:avLst/>
                          </a:prstGeom>
                          <a:noFill/>
                        </pic:spPr>
                      </pic:pic>
                    </a:graphicData>
                  </a:graphic>
                </wp:inline>
              </w:drawing>
            </w:r>
          </w:p>
        </w:tc>
        <w:tc>
          <w:tcPr>
            <w:tcW w:w="4657" w:type="dxa"/>
            <w:tcBorders>
              <w:top w:val="single" w:sz="4" w:space="0" w:color="auto"/>
            </w:tcBorders>
            <w:tcMar>
              <w:left w:w="284" w:type="dxa"/>
            </w:tcMar>
          </w:tcPr>
          <w:p w14:paraId="4AB40184" w14:textId="77777777" w:rsidR="004712E5" w:rsidRPr="009A2425" w:rsidRDefault="004712E5" w:rsidP="009C55BF">
            <w:pPr>
              <w:rPr>
                <w:bCs/>
              </w:rPr>
            </w:pPr>
            <w:r w:rsidRPr="004C2B1F">
              <w:rPr>
                <w:b/>
              </w:rPr>
              <w:t xml:space="preserve">Prodaja v trgovini se je </w:t>
            </w:r>
            <w:r>
              <w:rPr>
                <w:b/>
              </w:rPr>
              <w:t>maja povečala; rast se je po</w:t>
            </w:r>
            <w:r w:rsidRPr="004C2B1F">
              <w:rPr>
                <w:b/>
              </w:rPr>
              <w:t xml:space="preserve"> predhodnih podatkih </w:t>
            </w:r>
            <w:r>
              <w:rPr>
                <w:b/>
              </w:rPr>
              <w:t>nadaljevala tudi junija</w:t>
            </w:r>
            <w:r w:rsidRPr="004C2B1F">
              <w:rPr>
                <w:b/>
              </w:rPr>
              <w:t>.</w:t>
            </w:r>
            <w:r w:rsidRPr="004C2B1F">
              <w:t xml:space="preserve"> Po </w:t>
            </w:r>
            <w:r>
              <w:t>aprilskem zmanjšanju</w:t>
            </w:r>
            <w:r w:rsidRPr="004C2B1F">
              <w:t xml:space="preserve"> se je prodaja </w:t>
            </w:r>
            <w:r>
              <w:t>maja povečala</w:t>
            </w:r>
            <w:r w:rsidRPr="004C2B1F">
              <w:t xml:space="preserve">, na kar </w:t>
            </w:r>
            <w:r>
              <w:t>je vplivalo sproščanje ukrepov po zaostritvi v aprilu</w:t>
            </w:r>
            <w:r w:rsidRPr="00E842C6">
              <w:t>. Prihodek se je povečal v</w:t>
            </w:r>
            <w:r w:rsidRPr="00E842C6">
              <w:rPr>
                <w:i/>
              </w:rPr>
              <w:t xml:space="preserve"> trgovini na drobno</w:t>
            </w:r>
            <w:r w:rsidRPr="00E842C6">
              <w:t xml:space="preserve"> (zaradi večje prodaje motornih goriv in </w:t>
            </w:r>
            <w:proofErr w:type="spellStart"/>
            <w:r w:rsidRPr="00E842C6">
              <w:t>neživil</w:t>
            </w:r>
            <w:proofErr w:type="spellEnd"/>
            <w:r w:rsidRPr="00E842C6">
              <w:t xml:space="preserve">) in v </w:t>
            </w:r>
            <w:r w:rsidRPr="00E842C6">
              <w:rPr>
                <w:i/>
              </w:rPr>
              <w:t>trgovini z motornimi vozili</w:t>
            </w:r>
            <w:r>
              <w:rPr>
                <w:i/>
              </w:rPr>
              <w:t xml:space="preserve"> </w:t>
            </w:r>
            <w:r>
              <w:t>(predvsem zaradi večje prodaje fizičnim osebam)</w:t>
            </w:r>
            <w:r w:rsidRPr="00E842C6">
              <w:t xml:space="preserve">. </w:t>
            </w:r>
            <w:r>
              <w:t xml:space="preserve">Prihodek v </w:t>
            </w:r>
            <w:r w:rsidRPr="00B1149C">
              <w:rPr>
                <w:i/>
              </w:rPr>
              <w:t>trgovini na debelo</w:t>
            </w:r>
            <w:r>
              <w:rPr>
                <w:i/>
              </w:rPr>
              <w:t xml:space="preserve"> </w:t>
            </w:r>
            <w:r>
              <w:t xml:space="preserve">se je nekoliko zmanjšal, a je zaradi močne okrepitve v prvem četrtletju skoraj za petino presegal lansko majsko raven, za 7 % pa je bil višji kot maja 2019. </w:t>
            </w:r>
            <w:r w:rsidRPr="00E842C6">
              <w:t xml:space="preserve">Po predhodnih podatkih se je </w:t>
            </w:r>
            <w:r>
              <w:t>rast</w:t>
            </w:r>
            <w:r w:rsidRPr="004C2B1F">
              <w:t xml:space="preserve"> prihodk</w:t>
            </w:r>
            <w:r>
              <w:t>a</w:t>
            </w:r>
            <w:r w:rsidRPr="004C2B1F">
              <w:t xml:space="preserve"> v trgovini na drobno </w:t>
            </w:r>
            <w:r>
              <w:t xml:space="preserve">in z motornimi vozili nadaljevala tudi junija. </w:t>
            </w:r>
          </w:p>
        </w:tc>
      </w:tr>
    </w:tbl>
    <w:p w14:paraId="20543E8A" w14:textId="62608DC9" w:rsidR="004712E5" w:rsidRDefault="004712E5">
      <w:pPr>
        <w:spacing w:after="160" w:line="259" w:lineRule="auto"/>
        <w:jc w:val="left"/>
        <w:rPr>
          <w:b/>
        </w:rPr>
      </w:pPr>
    </w:p>
    <w:tbl>
      <w:tblPr>
        <w:tblStyle w:val="Tabelamre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712E5" w:rsidRPr="009A2425" w14:paraId="04643B1B" w14:textId="77777777" w:rsidTr="009C55BF">
        <w:trPr>
          <w:trHeight w:val="207"/>
        </w:trPr>
        <w:tc>
          <w:tcPr>
            <w:tcW w:w="4819" w:type="dxa"/>
            <w:tcBorders>
              <w:bottom w:val="single" w:sz="4" w:space="0" w:color="auto"/>
            </w:tcBorders>
            <w:tcMar>
              <w:left w:w="0" w:type="dxa"/>
            </w:tcMar>
          </w:tcPr>
          <w:p w14:paraId="1A6A9AAB" w14:textId="77777777" w:rsidR="004712E5" w:rsidRPr="009A2425" w:rsidRDefault="004712E5" w:rsidP="009C55BF">
            <w:pPr>
              <w:jc w:val="left"/>
              <w:rPr>
                <w:b/>
              </w:rPr>
            </w:pPr>
            <w:r w:rsidRPr="009A2425">
              <w:rPr>
                <w:b/>
              </w:rPr>
              <w:t xml:space="preserve">Tržne storitve, maj 2021 </w:t>
            </w:r>
          </w:p>
        </w:tc>
        <w:tc>
          <w:tcPr>
            <w:tcW w:w="4820" w:type="dxa"/>
            <w:gridSpan w:val="2"/>
            <w:tcBorders>
              <w:bottom w:val="single" w:sz="4" w:space="0" w:color="auto"/>
            </w:tcBorders>
          </w:tcPr>
          <w:p w14:paraId="06BC6465" w14:textId="77777777" w:rsidR="004712E5" w:rsidRPr="009A2425" w:rsidRDefault="004712E5" w:rsidP="009C55BF">
            <w:pPr>
              <w:rPr>
                <w:b/>
              </w:rPr>
            </w:pPr>
          </w:p>
        </w:tc>
      </w:tr>
      <w:tr w:rsidR="004712E5" w:rsidRPr="009A2425" w14:paraId="5BE37444" w14:textId="77777777" w:rsidTr="009C55BF">
        <w:trPr>
          <w:trHeight w:val="1134"/>
        </w:trPr>
        <w:tc>
          <w:tcPr>
            <w:tcW w:w="4982" w:type="dxa"/>
            <w:gridSpan w:val="2"/>
            <w:tcBorders>
              <w:top w:val="single" w:sz="4" w:space="0" w:color="auto"/>
            </w:tcBorders>
            <w:tcMar>
              <w:left w:w="0" w:type="dxa"/>
            </w:tcMar>
          </w:tcPr>
          <w:p w14:paraId="143C2811" w14:textId="77777777" w:rsidR="004712E5" w:rsidRPr="009A2425" w:rsidRDefault="004712E5" w:rsidP="009C55BF">
            <w:pPr>
              <w:contextualSpacing/>
              <w:rPr>
                <w:rFonts w:eastAsia="Arial"/>
                <w:szCs w:val="20"/>
              </w:rPr>
            </w:pPr>
            <w:r>
              <w:rPr>
                <w:rFonts w:eastAsia="Arial"/>
                <w:noProof/>
                <w:szCs w:val="20"/>
                <w:lang w:eastAsia="sl-SI"/>
              </w:rPr>
              <w:drawing>
                <wp:inline distT="0" distB="0" distL="0" distR="0" wp14:anchorId="3FF02A32" wp14:editId="7B8FA3AA">
                  <wp:extent cx="3088800" cy="25236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62D9E2EC" w14:textId="77777777" w:rsidR="004712E5" w:rsidRPr="003314DC" w:rsidRDefault="004712E5" w:rsidP="009C55BF">
            <w:pPr>
              <w:rPr>
                <w:szCs w:val="20"/>
              </w:rPr>
            </w:pPr>
            <w:r w:rsidRPr="003314DC">
              <w:rPr>
                <w:b/>
                <w:bCs/>
                <w:szCs w:val="20"/>
              </w:rPr>
              <w:t xml:space="preserve">Realni prihodek se je maja povečal v večini tržnih storitev. </w:t>
            </w:r>
            <w:r w:rsidRPr="003314DC">
              <w:rPr>
                <w:szCs w:val="20"/>
              </w:rPr>
              <w:t xml:space="preserve">Glede na predhodni mesec se je povečal za 2 %, medletno pa ob nizki osnovi za 20,3 %. Najbolj se je </w:t>
            </w:r>
            <w:r w:rsidRPr="003314DC">
              <w:rPr>
                <w:rFonts w:cs="Helv"/>
                <w:color w:val="000000" w:themeColor="text1"/>
                <w:szCs w:val="20"/>
              </w:rPr>
              <w:t xml:space="preserve">ob odprtju namestitvenih in gostinskih obratov okrepil v gostinstvu. Zaradi rasti v telekomunikacijskih in računalniških storitvah se je prihodek ponovno povečal tudi v </w:t>
            </w:r>
            <w:r w:rsidRPr="003314DC">
              <w:rPr>
                <w:szCs w:val="20"/>
              </w:rPr>
              <w:t xml:space="preserve">informacijsko-komunikacijskih dejavnostih. Ponovno se je ob prekinitvi zmanjševanja prihodka v potovalnih agencijah povečal tudi v </w:t>
            </w:r>
            <w:r w:rsidRPr="003314DC">
              <w:rPr>
                <w:rStyle w:val="A0"/>
                <w:sz w:val="20"/>
                <w:szCs w:val="20"/>
              </w:rPr>
              <w:t xml:space="preserve">drugih poslovnih dejavnostih. V strokovno-tehničnih dejavnostih se je ohranil na ravni preteklega meseca. Prihodek se je znižal le v prometu, </w:t>
            </w:r>
            <w:r w:rsidRPr="003314DC">
              <w:rPr>
                <w:rFonts w:cs="Helv"/>
                <w:color w:val="000000" w:themeColor="text1"/>
                <w:szCs w:val="20"/>
              </w:rPr>
              <w:t>zlasti v skladiščenju.</w:t>
            </w:r>
            <w:r w:rsidRPr="003314DC">
              <w:rPr>
                <w:rStyle w:val="A0"/>
                <w:sz w:val="20"/>
                <w:szCs w:val="20"/>
              </w:rPr>
              <w:t xml:space="preserve"> Medletna rast prihodka je bila maja zaradi nizke lanske osnove v vseh tržnih storitvah pozitivna, vendar pa je prihodek predvsem v gostinstvu in potovalnih agencijah močno zaostajal za ravnjo pred epidemijo (preko 50 % oz. 80 %).</w:t>
            </w:r>
            <w:r w:rsidRPr="003314DC">
              <w:rPr>
                <w:b/>
                <w:bCs/>
                <w:color w:val="DBDBDB" w:themeColor="accent3" w:themeTint="66"/>
                <w:szCs w:val="20"/>
              </w:rPr>
              <w:t xml:space="preserve"> </w:t>
            </w:r>
          </w:p>
        </w:tc>
      </w:tr>
    </w:tbl>
    <w:p w14:paraId="2D2C518E" w14:textId="18417FE4" w:rsidR="004712E5" w:rsidRDefault="004712E5">
      <w:pPr>
        <w:spacing w:after="160" w:line="259" w:lineRule="auto"/>
        <w:jc w:val="left"/>
        <w:rPr>
          <w:b/>
        </w:rPr>
      </w:pPr>
    </w:p>
    <w:p w14:paraId="23D4165C" w14:textId="77777777" w:rsidR="004712E5" w:rsidRDefault="004712E5">
      <w:pPr>
        <w:spacing w:after="160" w:line="259" w:lineRule="auto"/>
        <w:jc w:val="left"/>
        <w:rPr>
          <w:b/>
        </w:rPr>
      </w:pPr>
    </w:p>
    <w:p w14:paraId="4221CB7F" w14:textId="77777777" w:rsidR="004712E5" w:rsidRDefault="004712E5">
      <w:pPr>
        <w:spacing w:after="160" w:line="259" w:lineRule="auto"/>
        <w:jc w:val="left"/>
        <w:rPr>
          <w:b/>
        </w:rPr>
      </w:pPr>
    </w:p>
    <w:p w14:paraId="060D5FDA" w14:textId="4A22D36F" w:rsidR="009A2425" w:rsidRDefault="009A2425" w:rsidP="00804DA8">
      <w:pPr>
        <w:pStyle w:val="Naslov31"/>
        <w:jc w:val="left"/>
      </w:pPr>
    </w:p>
    <w:p w14:paraId="35162DBB" w14:textId="15109012" w:rsidR="009A2425" w:rsidRDefault="009A2425" w:rsidP="00804DA8">
      <w:pPr>
        <w:pStyle w:val="Naslov31"/>
        <w:jc w:val="left"/>
      </w:pPr>
    </w:p>
    <w:p w14:paraId="3773B9E9" w14:textId="77777777" w:rsidR="009A2425" w:rsidRDefault="009A2425">
      <w:pPr>
        <w:spacing w:after="160" w:line="259" w:lineRule="auto"/>
        <w:jc w:val="left"/>
        <w:rPr>
          <w:b/>
        </w:rPr>
      </w:pPr>
      <w:r>
        <w:br w:type="page"/>
      </w:r>
    </w:p>
    <w:tbl>
      <w:tblPr>
        <w:tblStyle w:val="Tabelamre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9A2425" w14:paraId="433A4BBA" w14:textId="77777777" w:rsidTr="009C55BF">
        <w:trPr>
          <w:trHeight w:val="207"/>
        </w:trPr>
        <w:tc>
          <w:tcPr>
            <w:tcW w:w="9639" w:type="dxa"/>
            <w:gridSpan w:val="2"/>
            <w:tcBorders>
              <w:bottom w:val="single" w:sz="4" w:space="0" w:color="auto"/>
            </w:tcBorders>
            <w:tcMar>
              <w:left w:w="0" w:type="dxa"/>
            </w:tcMar>
          </w:tcPr>
          <w:p w14:paraId="54BF1FF8" w14:textId="77777777" w:rsidR="004712E5" w:rsidRPr="009A2425" w:rsidRDefault="004712E5" w:rsidP="009C55BF">
            <w:pPr>
              <w:rPr>
                <w:b/>
              </w:rPr>
            </w:pPr>
            <w:r w:rsidRPr="009A2425">
              <w:rPr>
                <w:b/>
                <w:noProof/>
                <w:lang w:eastAsia="sl-SI"/>
              </w:rPr>
              <w:lastRenderedPageBreak/>
              <w:drawing>
                <wp:inline distT="0" distB="0" distL="0" distR="0" wp14:anchorId="5B08386F" wp14:editId="6569DE47">
                  <wp:extent cx="71846" cy="93799"/>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nak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68" cy="99833"/>
                          </a:xfrm>
                          <a:prstGeom prst="rect">
                            <a:avLst/>
                          </a:prstGeom>
                        </pic:spPr>
                      </pic:pic>
                    </a:graphicData>
                  </a:graphic>
                </wp:inline>
              </w:drawing>
            </w:r>
            <w:r w:rsidRPr="009A2425">
              <w:rPr>
                <w:b/>
              </w:rPr>
              <w:t xml:space="preserve">  Tekoči račun plačilne bilance, junij 2021</w:t>
            </w:r>
          </w:p>
        </w:tc>
      </w:tr>
      <w:tr w:rsidR="004712E5" w:rsidRPr="009A2425" w14:paraId="2BCC633F" w14:textId="77777777" w:rsidTr="009C55BF">
        <w:trPr>
          <w:trHeight w:val="1134"/>
        </w:trPr>
        <w:tc>
          <w:tcPr>
            <w:tcW w:w="4982" w:type="dxa"/>
            <w:tcBorders>
              <w:top w:val="single" w:sz="4" w:space="0" w:color="auto"/>
            </w:tcBorders>
            <w:tcMar>
              <w:left w:w="0" w:type="dxa"/>
            </w:tcMar>
          </w:tcPr>
          <w:p w14:paraId="2E780838" w14:textId="77777777" w:rsidR="004712E5" w:rsidRPr="009A2425" w:rsidRDefault="004712E5" w:rsidP="009C55BF">
            <w:pPr>
              <w:contextualSpacing/>
            </w:pPr>
            <w:r>
              <w:rPr>
                <w:noProof/>
                <w:lang w:eastAsia="sl-SI"/>
              </w:rPr>
              <w:drawing>
                <wp:inline distT="0" distB="0" distL="0" distR="0" wp14:anchorId="29812F79" wp14:editId="5C06FB17">
                  <wp:extent cx="3121200" cy="2559600"/>
                  <wp:effectExtent l="0" t="0" r="317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200" cy="2559600"/>
                          </a:xfrm>
                          <a:prstGeom prst="rect">
                            <a:avLst/>
                          </a:prstGeom>
                          <a:noFill/>
                        </pic:spPr>
                      </pic:pic>
                    </a:graphicData>
                  </a:graphic>
                </wp:inline>
              </w:drawing>
            </w:r>
          </w:p>
        </w:tc>
        <w:tc>
          <w:tcPr>
            <w:tcW w:w="4657" w:type="dxa"/>
            <w:tcBorders>
              <w:top w:val="single" w:sz="4" w:space="0" w:color="auto"/>
            </w:tcBorders>
            <w:tcMar>
              <w:left w:w="284" w:type="dxa"/>
            </w:tcMar>
          </w:tcPr>
          <w:p w14:paraId="4DE02A87" w14:textId="77777777" w:rsidR="004712E5" w:rsidRPr="009A2425" w:rsidRDefault="004712E5" w:rsidP="009C55BF">
            <w:r w:rsidRPr="6680B6EE">
              <w:rPr>
                <w:rFonts w:eastAsia="Myriad Pro" w:cs="Myriad Pro"/>
                <w:b/>
                <w:bCs/>
              </w:rPr>
              <w:t xml:space="preserve">Presežek tekočega računa plačilne bilance je bil v drugem četrtletju znova medletno nižji; po več letih so se močno poslabšali pogoji menjave. </w:t>
            </w:r>
            <w:r w:rsidRPr="6680B6EE">
              <w:rPr>
                <w:rFonts w:eastAsia="Myriad Pro" w:cs="Myriad Pro"/>
              </w:rPr>
              <w:t>K nižjemu presežku tekočih transakcij je največ prispeval nižji blagovni</w:t>
            </w:r>
            <w:r w:rsidRPr="6680B6EE">
              <w:rPr>
                <w:rFonts w:eastAsia="Myriad Pro" w:cs="Myriad Pro"/>
                <w:i/>
                <w:iCs/>
              </w:rPr>
              <w:t xml:space="preserve"> </w:t>
            </w:r>
            <w:r w:rsidRPr="6680B6EE">
              <w:rPr>
                <w:rFonts w:eastAsia="Myriad Pro" w:cs="Myriad Pro"/>
              </w:rPr>
              <w:t>presežek, kar je povezano tudi z višjimi cenami energentov in ostalih primarnih surovin, ki najbolj vplivajo na rast uvoznih cen. Te so bile medletno višje za 8,6 % (izvozne za 2,9 %). Pogoji menjave so se poslabšali za 5,2 %, kar je največ po letu 2010. Neto odlivi primarnih</w:t>
            </w:r>
            <w:r w:rsidRPr="6680B6EE">
              <w:rPr>
                <w:rFonts w:eastAsia="Myriad Pro" w:cs="Myriad Pro"/>
                <w:i/>
                <w:iCs/>
              </w:rPr>
              <w:t xml:space="preserve"> </w:t>
            </w:r>
            <w:r w:rsidRPr="6680B6EE">
              <w:rPr>
                <w:rFonts w:eastAsia="Myriad Pro" w:cs="Myriad Pro"/>
              </w:rPr>
              <w:t>dohodkov so bili v drugem četrtletju medletno višji večinoma zaradi večjih izplačil dividend in dobička tujih vlagateljev. Neto odlivi sekundarnih dohodkov pa so bili medletno nižji predvsem zaradi več prejetih sredstev državnega sektorja iz proračuna EU. Storitvena menjava je v drugem četrtletju ob sproščanju zajezitvenih ukrepov po več kot letu dni okrevala. Storitveni presežek je bil medletno višji predvsem zaradi rasti presežka pri transportnih storitvah in ostalih poslovnih storitvah. Dvanajstmesečni presežek tekočega računa plačilne bilance je junija znašal 3,1 mrd EUR (6,5 % ocenjenega BDP).</w:t>
            </w:r>
            <w:r w:rsidRPr="6680B6EE">
              <w:rPr>
                <w:color w:val="DBDBDB" w:themeColor="accent3" w:themeTint="66"/>
              </w:rPr>
              <w:t xml:space="preserve"> </w:t>
            </w:r>
          </w:p>
        </w:tc>
      </w:tr>
    </w:tbl>
    <w:p w14:paraId="274A7D70" w14:textId="0BE41066" w:rsidR="009A2425" w:rsidRDefault="009A2425" w:rsidP="00804DA8">
      <w:pPr>
        <w:pStyle w:val="Naslov31"/>
        <w:jc w:val="left"/>
      </w:pPr>
    </w:p>
    <w:tbl>
      <w:tblPr>
        <w:tblStyle w:val="Tabelamre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9A2425" w14:paraId="5E561170" w14:textId="77777777" w:rsidTr="009C55BF">
        <w:trPr>
          <w:trHeight w:val="207"/>
        </w:trPr>
        <w:tc>
          <w:tcPr>
            <w:tcW w:w="9639" w:type="dxa"/>
            <w:gridSpan w:val="2"/>
            <w:tcBorders>
              <w:bottom w:val="single" w:sz="4" w:space="0" w:color="auto"/>
            </w:tcBorders>
            <w:tcMar>
              <w:left w:w="0" w:type="dxa"/>
            </w:tcMar>
          </w:tcPr>
          <w:p w14:paraId="6C4CEE12" w14:textId="77777777" w:rsidR="004712E5" w:rsidRPr="009A2425" w:rsidRDefault="004712E5" w:rsidP="009C55BF">
            <w:pPr>
              <w:rPr>
                <w:b/>
              </w:rPr>
            </w:pPr>
            <w:r w:rsidRPr="009A2425">
              <w:rPr>
                <w:b/>
                <w:noProof/>
                <w:lang w:eastAsia="sl-SI"/>
              </w:rPr>
              <w:drawing>
                <wp:inline distT="0" distB="0" distL="0" distR="0" wp14:anchorId="73F3ECFF" wp14:editId="6FD7F2C3">
                  <wp:extent cx="71846" cy="9379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nak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68" cy="99833"/>
                          </a:xfrm>
                          <a:prstGeom prst="rect">
                            <a:avLst/>
                          </a:prstGeom>
                        </pic:spPr>
                      </pic:pic>
                    </a:graphicData>
                  </a:graphic>
                </wp:inline>
              </w:drawing>
            </w:r>
            <w:r w:rsidRPr="009A2425">
              <w:rPr>
                <w:b/>
              </w:rPr>
              <w:t xml:space="preserve">  Izvoz in uvoz blaga, junij 2021</w:t>
            </w:r>
          </w:p>
        </w:tc>
      </w:tr>
      <w:tr w:rsidR="004712E5" w:rsidRPr="009A2425" w14:paraId="086A6010" w14:textId="77777777" w:rsidTr="009C55BF">
        <w:trPr>
          <w:trHeight w:val="1134"/>
        </w:trPr>
        <w:tc>
          <w:tcPr>
            <w:tcW w:w="4982" w:type="dxa"/>
            <w:tcBorders>
              <w:top w:val="single" w:sz="4" w:space="0" w:color="auto"/>
            </w:tcBorders>
            <w:tcMar>
              <w:left w:w="0" w:type="dxa"/>
            </w:tcMar>
          </w:tcPr>
          <w:p w14:paraId="26E7DAEB" w14:textId="77777777" w:rsidR="004712E5" w:rsidRPr="009A2425" w:rsidRDefault="004712E5" w:rsidP="009C55BF">
            <w:pPr>
              <w:contextualSpacing/>
            </w:pPr>
            <w:r>
              <w:rPr>
                <w:noProof/>
                <w:lang w:eastAsia="sl-SI"/>
              </w:rPr>
              <w:drawing>
                <wp:inline distT="0" distB="0" distL="0" distR="0" wp14:anchorId="4A89140E" wp14:editId="07D3489D">
                  <wp:extent cx="3128400" cy="2530800"/>
                  <wp:effectExtent l="0" t="0" r="0" b="317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8400" cy="2530800"/>
                          </a:xfrm>
                          <a:prstGeom prst="rect">
                            <a:avLst/>
                          </a:prstGeom>
                          <a:noFill/>
                        </pic:spPr>
                      </pic:pic>
                    </a:graphicData>
                  </a:graphic>
                </wp:inline>
              </w:drawing>
            </w:r>
          </w:p>
        </w:tc>
        <w:tc>
          <w:tcPr>
            <w:tcW w:w="4657" w:type="dxa"/>
            <w:tcBorders>
              <w:top w:val="single" w:sz="4" w:space="0" w:color="auto"/>
            </w:tcBorders>
            <w:tcMar>
              <w:left w:w="284" w:type="dxa"/>
            </w:tcMar>
          </w:tcPr>
          <w:p w14:paraId="27C62C0F" w14:textId="77777777" w:rsidR="004712E5" w:rsidRPr="001B7347" w:rsidRDefault="004712E5" w:rsidP="009C55BF">
            <w:pPr>
              <w:rPr>
                <w:szCs w:val="20"/>
              </w:rPr>
            </w:pPr>
            <w:r w:rsidRPr="5823D8C8">
              <w:rPr>
                <w:b/>
                <w:bCs/>
              </w:rPr>
              <w:t xml:space="preserve">Blagovna menjava se je v drugem četrtletju </w:t>
            </w:r>
            <w:r w:rsidRPr="001B7347">
              <w:rPr>
                <w:b/>
                <w:bCs/>
                <w:szCs w:val="20"/>
              </w:rPr>
              <w:t xml:space="preserve">ohranila na podobni ravni kot četrtletje prej in tako </w:t>
            </w:r>
            <w:r w:rsidRPr="001B7347">
              <w:rPr>
                <w:rFonts w:eastAsiaTheme="minorEastAsia"/>
                <w:b/>
                <w:bCs/>
                <w:szCs w:val="20"/>
              </w:rPr>
              <w:t>še naprej presegala</w:t>
            </w:r>
            <w:r w:rsidRPr="001B7347">
              <w:rPr>
                <w:b/>
                <w:bCs/>
                <w:szCs w:val="20"/>
              </w:rPr>
              <w:t xml:space="preserve"> ravni pred epidemijo.</w:t>
            </w:r>
            <w:r w:rsidRPr="00F60E1A">
              <w:rPr>
                <w:bCs/>
                <w:szCs w:val="20"/>
              </w:rPr>
              <w:t xml:space="preserve"> </w:t>
            </w:r>
            <w:r w:rsidRPr="001B7347">
              <w:rPr>
                <w:szCs w:val="20"/>
              </w:rPr>
              <w:t xml:space="preserve">Ob tem je prihajalo do vidnejših mesečnih nihanj, kar je bilo povezano predvsem s spreminjanjem zajezitvenih ukrepov v Sloveniji in naših glavnih trgovinskih partnericah. V primerjavi s četrtletjem prej se je realni izvoz blaga v države EU v drugem četrtletju nekoliko znižal (za 0,8 %, </w:t>
            </w:r>
            <w:proofErr w:type="spellStart"/>
            <w:r w:rsidRPr="001B7347">
              <w:rPr>
                <w:szCs w:val="20"/>
              </w:rPr>
              <w:t>desez</w:t>
            </w:r>
            <w:proofErr w:type="spellEnd"/>
            <w:r w:rsidRPr="001B7347">
              <w:rPr>
                <w:szCs w:val="20"/>
              </w:rPr>
              <w:t xml:space="preserve">.), kar je po naši oceni povezano predvsem z nižjim izvozom vozil v povezavi z motnjami v dobavnih verigah, deloma pa tudi z upočasnitvijo okrevanja industrije v naših največjih trgovinskih partnericah. Izvoz večine skupin proizvodov je presegel primerljive ravni iz leta 2019, izvoz vozil (avtomobili, rezervni ter sestavni deli) in primarnih izdelkov (predvsem ponovni izvoz nafte in naftnih derivatov) pa ostaja opazno nižji kot pred epidemijo. Uvoz blaga se je povečal (za 1,2 %, </w:t>
            </w:r>
            <w:proofErr w:type="spellStart"/>
            <w:r w:rsidRPr="001B7347">
              <w:rPr>
                <w:szCs w:val="20"/>
              </w:rPr>
              <w:t>desez</w:t>
            </w:r>
            <w:proofErr w:type="spellEnd"/>
            <w:r w:rsidRPr="001B7347">
              <w:rPr>
                <w:szCs w:val="20"/>
              </w:rPr>
              <w:t xml:space="preserve">.), predvsem izdelkov za vmesno potrošnjo. </w:t>
            </w:r>
            <w:r w:rsidRPr="001B7347">
              <w:rPr>
                <w:rFonts w:eastAsiaTheme="minorEastAsia"/>
                <w:szCs w:val="20"/>
              </w:rPr>
              <w:t>Visoka medletna rast je povezana predvsem z z</w:t>
            </w:r>
            <w:r w:rsidRPr="001B7347">
              <w:rPr>
                <w:szCs w:val="20"/>
              </w:rPr>
              <w:t xml:space="preserve">elo nizko aktivnostjo v drugem četrtletju lani, je pa uvoz presegel tudi vrednosti iz enakega obdobja 2019.   Izvozna pričakovanja so v poletnih mesecih ostala ugodna, povezana s pričakovanim nadaljevanjem rasti aktivnosti v naših glavnih trgovinskih partnericah. </w:t>
            </w:r>
          </w:p>
          <w:p w14:paraId="7895083F" w14:textId="77777777" w:rsidR="004712E5" w:rsidRPr="009A2425" w:rsidRDefault="004712E5" w:rsidP="009C55BF">
            <w:pPr>
              <w:rPr>
                <w:bCs/>
              </w:rPr>
            </w:pPr>
          </w:p>
        </w:tc>
      </w:tr>
    </w:tbl>
    <w:p w14:paraId="4755C21E" w14:textId="1B6786F3" w:rsidR="004712E5" w:rsidRDefault="004712E5" w:rsidP="00804DA8">
      <w:pPr>
        <w:pStyle w:val="Naslov31"/>
        <w:jc w:val="left"/>
      </w:pPr>
    </w:p>
    <w:p w14:paraId="6DB0DB56" w14:textId="77777777" w:rsidR="004712E5" w:rsidRDefault="004712E5" w:rsidP="00804DA8">
      <w:pPr>
        <w:pStyle w:val="Naslov31"/>
        <w:jc w:val="left"/>
      </w:pPr>
    </w:p>
    <w:tbl>
      <w:tblPr>
        <w:tblStyle w:val="Tabelamrea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5E08F05F" w14:textId="77777777" w:rsidTr="009C55BF">
        <w:trPr>
          <w:trHeight w:val="207"/>
        </w:trPr>
        <w:tc>
          <w:tcPr>
            <w:tcW w:w="9639" w:type="dxa"/>
            <w:gridSpan w:val="2"/>
            <w:tcBorders>
              <w:bottom w:val="single" w:sz="4" w:space="0" w:color="auto"/>
            </w:tcBorders>
            <w:tcMar>
              <w:left w:w="0" w:type="dxa"/>
            </w:tcMar>
          </w:tcPr>
          <w:p w14:paraId="0974B9CF" w14:textId="77777777" w:rsidR="004712E5" w:rsidRPr="006E6F35" w:rsidRDefault="004712E5" w:rsidP="009C55BF">
            <w:pPr>
              <w:rPr>
                <w:b/>
              </w:rPr>
            </w:pPr>
            <w:r w:rsidRPr="006E6F35">
              <w:rPr>
                <w:b/>
                <w:noProof/>
                <w:lang w:eastAsia="sl-SI"/>
              </w:rPr>
              <w:lastRenderedPageBreak/>
              <w:drawing>
                <wp:inline distT="0" distB="0" distL="0" distR="0" wp14:anchorId="2FFD3D39" wp14:editId="212272CD">
                  <wp:extent cx="71846" cy="93799"/>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nak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68" cy="99833"/>
                          </a:xfrm>
                          <a:prstGeom prst="rect">
                            <a:avLst/>
                          </a:prstGeom>
                        </pic:spPr>
                      </pic:pic>
                    </a:graphicData>
                  </a:graphic>
                </wp:inline>
              </w:drawing>
            </w:r>
            <w:r w:rsidRPr="006E6F35">
              <w:rPr>
                <w:b/>
              </w:rPr>
              <w:t xml:space="preserve">  Obseg proizvodnje v predelovalnih dejavnostih, junij 2021</w:t>
            </w:r>
          </w:p>
        </w:tc>
      </w:tr>
      <w:tr w:rsidR="004712E5" w:rsidRPr="006E6F35" w14:paraId="1E5B4F48" w14:textId="77777777" w:rsidTr="009C55BF">
        <w:trPr>
          <w:trHeight w:val="1134"/>
        </w:trPr>
        <w:tc>
          <w:tcPr>
            <w:tcW w:w="4982" w:type="dxa"/>
            <w:tcBorders>
              <w:top w:val="single" w:sz="4" w:space="0" w:color="auto"/>
            </w:tcBorders>
            <w:tcMar>
              <w:left w:w="0" w:type="dxa"/>
            </w:tcMar>
          </w:tcPr>
          <w:p w14:paraId="17FA52DE" w14:textId="77777777" w:rsidR="004712E5" w:rsidRPr="006E6F35" w:rsidRDefault="004712E5" w:rsidP="009C55BF">
            <w:pPr>
              <w:contextualSpacing/>
            </w:pPr>
            <w:r>
              <w:rPr>
                <w:noProof/>
                <w:lang w:eastAsia="sl-SI"/>
              </w:rPr>
              <w:drawing>
                <wp:inline distT="0" distB="0" distL="0" distR="0" wp14:anchorId="419AD3B3" wp14:editId="6BB860D4">
                  <wp:extent cx="3103200" cy="2530800"/>
                  <wp:effectExtent l="0" t="0" r="2540" b="317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3200" cy="2530800"/>
                          </a:xfrm>
                          <a:prstGeom prst="rect">
                            <a:avLst/>
                          </a:prstGeom>
                          <a:noFill/>
                        </pic:spPr>
                      </pic:pic>
                    </a:graphicData>
                  </a:graphic>
                </wp:inline>
              </w:drawing>
            </w:r>
          </w:p>
        </w:tc>
        <w:tc>
          <w:tcPr>
            <w:tcW w:w="4657" w:type="dxa"/>
            <w:tcBorders>
              <w:top w:val="single" w:sz="4" w:space="0" w:color="auto"/>
            </w:tcBorders>
            <w:tcMar>
              <w:left w:w="284" w:type="dxa"/>
            </w:tcMar>
          </w:tcPr>
          <w:p w14:paraId="7949C6C4" w14:textId="77777777" w:rsidR="004712E5" w:rsidRPr="003D024C" w:rsidRDefault="004712E5" w:rsidP="009C55BF">
            <w:pPr>
              <w:rPr>
                <w:rFonts w:eastAsia="Myriad Pro" w:cs="Myriad Pro"/>
              </w:rPr>
            </w:pPr>
            <w:r w:rsidRPr="048BDE63">
              <w:rPr>
                <w:rFonts w:eastAsia="Myriad Pro" w:cs="Myriad Pro"/>
                <w:b/>
              </w:rPr>
              <w:t xml:space="preserve">Proizvodnja predelovalnih dejavnosti se je v drugem četrtletju nadalje povečala. </w:t>
            </w:r>
            <w:r w:rsidRPr="048BDE63">
              <w:rPr>
                <w:rFonts w:eastAsia="Myriad Pro" w:cs="Myriad Pro"/>
              </w:rPr>
              <w:t>V primerjavi s četrtletjem prej se je aktivnost povečala v</w:t>
            </w:r>
            <w:r w:rsidRPr="048BDE63">
              <w:rPr>
                <w:rFonts w:eastAsia="Myriad Pro" w:cs="Myriad Pro"/>
                <w:b/>
              </w:rPr>
              <w:t xml:space="preserve"> </w:t>
            </w:r>
            <w:r w:rsidRPr="048BDE63">
              <w:rPr>
                <w:rFonts w:eastAsia="Myriad Pro" w:cs="Myriad Pro"/>
              </w:rPr>
              <w:t xml:space="preserve">srednje visoko, srednje nizko in nizko tehnološko zahtevnih panogah, v visoko tehnološko zahtevnih pa se je nekoliko zmanjšala. Medletno se je v drugem četrtletju obseg proizvodnje predelovalnih dejavnosti močno povečal v večini panog, kar je bila v veliki meri posledica nizke </w:t>
            </w:r>
            <w:r>
              <w:rPr>
                <w:rFonts w:eastAsia="Myriad Pro" w:cs="Myriad Pro"/>
              </w:rPr>
              <w:t>o</w:t>
            </w:r>
            <w:r w:rsidRPr="048BDE63">
              <w:rPr>
                <w:rFonts w:eastAsia="Myriad Pro" w:cs="Myriad Pro"/>
              </w:rPr>
              <w:t>snove. V visoko tehnološko zahtevnih panogah, kjer je bil lani tudi po začetku epidemije obseg proizvodnje razmeroma visok, pa je prišlo do medletnega upada. V primerjavi z enakim obdobjem v letu 2019 so bile v drugem četrtletju v srednje in nizko tehnološko zahtevnih panogah realizirane precej zmernejše rasti. V avtomobilski industriji, proizvodnji kovin, proizvodnji nekovinskih mineralnih izdelkov ter v usnjarski industriji je bil obseg proizvodnje nižji kot v enakem obdobju 2019, v visoko tehnološko zahtevnih panogah pa višji.</w:t>
            </w:r>
          </w:p>
        </w:tc>
      </w:tr>
    </w:tbl>
    <w:p w14:paraId="116F0CDB" w14:textId="77777777" w:rsidR="004712E5" w:rsidRDefault="004712E5" w:rsidP="00804DA8">
      <w:pPr>
        <w:pStyle w:val="Naslov31"/>
        <w:jc w:val="left"/>
      </w:pPr>
    </w:p>
    <w:tbl>
      <w:tblPr>
        <w:tblStyle w:val="Tabelamrea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57F0D298" w14:textId="77777777" w:rsidTr="009C55BF">
        <w:trPr>
          <w:trHeight w:val="207"/>
        </w:trPr>
        <w:tc>
          <w:tcPr>
            <w:tcW w:w="9639" w:type="dxa"/>
            <w:gridSpan w:val="2"/>
            <w:tcBorders>
              <w:bottom w:val="single" w:sz="4" w:space="0" w:color="auto"/>
            </w:tcBorders>
            <w:tcMar>
              <w:left w:w="0" w:type="dxa"/>
            </w:tcMar>
          </w:tcPr>
          <w:p w14:paraId="3A5B3443" w14:textId="77777777" w:rsidR="004712E5" w:rsidRPr="006E6F35" w:rsidRDefault="004712E5" w:rsidP="009C55BF">
            <w:pPr>
              <w:rPr>
                <w:b/>
              </w:rPr>
            </w:pPr>
            <w:r w:rsidRPr="006E6F35">
              <w:rPr>
                <w:b/>
                <w:noProof/>
                <w:lang w:eastAsia="sl-SI"/>
              </w:rPr>
              <w:drawing>
                <wp:inline distT="0" distB="0" distL="0" distR="0" wp14:anchorId="27116396" wp14:editId="61264A35">
                  <wp:extent cx="76200" cy="95250"/>
                  <wp:effectExtent l="0" t="0" r="0" b="0"/>
                  <wp:docPr id="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6E6F35">
              <w:rPr>
                <w:b/>
              </w:rPr>
              <w:t xml:space="preserve">  Gradbeništvo, junij 2021</w:t>
            </w:r>
          </w:p>
        </w:tc>
      </w:tr>
      <w:tr w:rsidR="004712E5" w:rsidRPr="006E6F35" w14:paraId="52872E8B" w14:textId="77777777" w:rsidTr="009C55BF">
        <w:trPr>
          <w:trHeight w:val="1134"/>
        </w:trPr>
        <w:tc>
          <w:tcPr>
            <w:tcW w:w="4982" w:type="dxa"/>
            <w:tcBorders>
              <w:top w:val="single" w:sz="4" w:space="0" w:color="auto"/>
            </w:tcBorders>
            <w:tcMar>
              <w:left w:w="0" w:type="dxa"/>
            </w:tcMar>
          </w:tcPr>
          <w:p w14:paraId="4CCBEC68" w14:textId="77777777" w:rsidR="004712E5" w:rsidRPr="006E6F35" w:rsidRDefault="004712E5" w:rsidP="009C55BF">
            <w:pPr>
              <w:contextualSpacing/>
            </w:pPr>
            <w:r>
              <w:rPr>
                <w:noProof/>
                <w:lang w:eastAsia="sl-SI"/>
              </w:rPr>
              <w:drawing>
                <wp:inline distT="0" distB="0" distL="0" distR="0" wp14:anchorId="14F9AF7E" wp14:editId="49CE3F40">
                  <wp:extent cx="3067200" cy="2530800"/>
                  <wp:effectExtent l="0" t="0" r="0" b="317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200" cy="2530800"/>
                          </a:xfrm>
                          <a:prstGeom prst="rect">
                            <a:avLst/>
                          </a:prstGeom>
                          <a:noFill/>
                        </pic:spPr>
                      </pic:pic>
                    </a:graphicData>
                  </a:graphic>
                </wp:inline>
              </w:drawing>
            </w:r>
          </w:p>
        </w:tc>
        <w:tc>
          <w:tcPr>
            <w:tcW w:w="4657" w:type="dxa"/>
            <w:tcBorders>
              <w:top w:val="single" w:sz="4" w:space="0" w:color="auto"/>
            </w:tcBorders>
            <w:tcMar>
              <w:left w:w="284" w:type="dxa"/>
            </w:tcMar>
          </w:tcPr>
          <w:p w14:paraId="46392DCB" w14:textId="77777777" w:rsidR="004712E5" w:rsidRPr="008D0B8D" w:rsidRDefault="004712E5" w:rsidP="009C55BF">
            <w:r w:rsidRPr="008D0B8D">
              <w:rPr>
                <w:b/>
              </w:rPr>
              <w:t xml:space="preserve">V drugem četrtletju se je aktivnost v gradbeništvu znižala. </w:t>
            </w:r>
            <w:r w:rsidRPr="008D0B8D">
              <w:t>Vrednost opravljenih del se je znižala v vseh segmentih</w:t>
            </w:r>
            <w:r>
              <w:t>,</w:t>
            </w:r>
            <w:r w:rsidRPr="008D0B8D" w:rsidDel="00935148">
              <w:t xml:space="preserve"> najbolj </w:t>
            </w:r>
            <w:r w:rsidRPr="008D0B8D">
              <w:t xml:space="preserve">v gradnji </w:t>
            </w:r>
            <w:proofErr w:type="spellStart"/>
            <w:r w:rsidRPr="008D0B8D">
              <w:t>nestanovanjskih</w:t>
            </w:r>
            <w:proofErr w:type="spellEnd"/>
            <w:r w:rsidRPr="008D0B8D">
              <w:t xml:space="preserve"> stavb. Ocenjujemo, da je nižja vrednost opravljenih del povezana s težavami pri dobavi</w:t>
            </w:r>
            <w:r>
              <w:t xml:space="preserve"> in s </w:t>
            </w:r>
            <w:r w:rsidRPr="008D0B8D">
              <w:t>cenami materialov</w:t>
            </w:r>
            <w:r>
              <w:t>, saj so</w:t>
            </w:r>
            <w:r w:rsidRPr="008D0B8D">
              <w:t xml:space="preserve"> podjetja v drugem četrtletju poročala o zgodovinsko najvišjih vrednostih </w:t>
            </w:r>
            <w:r>
              <w:t xml:space="preserve">proizvodnih </w:t>
            </w:r>
            <w:r w:rsidRPr="008D0B8D">
              <w:t xml:space="preserve">omejitev </w:t>
            </w:r>
            <w:r w:rsidRPr="008D0B8D" w:rsidDel="00CA0426">
              <w:t xml:space="preserve">pri </w:t>
            </w:r>
            <w:r w:rsidRPr="008D0B8D">
              <w:t>omenjenih dveh dejavnikih.</w:t>
            </w:r>
            <w:r>
              <w:t xml:space="preserve"> </w:t>
            </w:r>
            <w:r w:rsidRPr="008D0B8D">
              <w:t xml:space="preserve">V primerjavi z drugim četrtletjem lani je bila skupna aktivnost v gradbeništvu višja, </w:t>
            </w:r>
            <w:r>
              <w:t xml:space="preserve">zaostajala pa je v </w:t>
            </w:r>
            <w:r w:rsidRPr="008D0B8D">
              <w:t xml:space="preserve">gradnji </w:t>
            </w:r>
            <w:proofErr w:type="spellStart"/>
            <w:r w:rsidRPr="008D0B8D">
              <w:t>nestanovanjskih</w:t>
            </w:r>
            <w:proofErr w:type="spellEnd"/>
            <w:r w:rsidRPr="008D0B8D">
              <w:t xml:space="preserve"> stavb.</w:t>
            </w:r>
          </w:p>
          <w:p w14:paraId="1A9EA0B0" w14:textId="77777777" w:rsidR="004712E5" w:rsidRPr="006E6F35" w:rsidRDefault="004712E5" w:rsidP="009C55BF">
            <w:pPr>
              <w:rPr>
                <w:bCs/>
              </w:rPr>
            </w:pPr>
            <w:r w:rsidRPr="008D0B8D">
              <w:t xml:space="preserve">Zaloga pogodb v gradbeništvu se je v zadnjih mesecih </w:t>
            </w:r>
            <w:r>
              <w:t xml:space="preserve">zaradi rasti pri inženirskih objektih in  specializiranih gradbenih delih </w:t>
            </w:r>
            <w:r w:rsidRPr="008D0B8D">
              <w:t xml:space="preserve">okrepila </w:t>
            </w:r>
            <w:r>
              <w:t xml:space="preserve">(v gradnji stavb do krepitve še ni prišlo) </w:t>
            </w:r>
            <w:r w:rsidRPr="008D0B8D">
              <w:t xml:space="preserve">in nakazuje na bolj ugodne razmere v gradbeništvu. </w:t>
            </w:r>
          </w:p>
        </w:tc>
      </w:tr>
    </w:tbl>
    <w:p w14:paraId="70638903" w14:textId="5EEAC817" w:rsidR="006E6F35" w:rsidRDefault="006E6F35" w:rsidP="00804DA8">
      <w:pPr>
        <w:pStyle w:val="Naslov31"/>
        <w:jc w:val="left"/>
      </w:pPr>
    </w:p>
    <w:p w14:paraId="700B0F8A" w14:textId="77777777" w:rsidR="006E6F35" w:rsidRDefault="006E6F35">
      <w:pPr>
        <w:spacing w:after="160" w:line="259" w:lineRule="auto"/>
        <w:jc w:val="left"/>
        <w:rPr>
          <w:b/>
        </w:rPr>
      </w:pPr>
      <w:r>
        <w:br w:type="page"/>
      </w:r>
    </w:p>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1999B1DE" w14:textId="77777777" w:rsidTr="009C55BF">
        <w:trPr>
          <w:trHeight w:val="207"/>
        </w:trPr>
        <w:tc>
          <w:tcPr>
            <w:tcW w:w="9639" w:type="dxa"/>
            <w:gridSpan w:val="2"/>
            <w:tcBorders>
              <w:bottom w:val="single" w:sz="4" w:space="0" w:color="auto"/>
            </w:tcBorders>
            <w:tcMar>
              <w:left w:w="0" w:type="dxa"/>
            </w:tcMar>
          </w:tcPr>
          <w:p w14:paraId="0D949EB8" w14:textId="77777777" w:rsidR="004712E5" w:rsidRPr="006E6F35" w:rsidRDefault="004712E5" w:rsidP="009C55BF">
            <w:pPr>
              <w:rPr>
                <w:b/>
              </w:rPr>
            </w:pPr>
            <w:r w:rsidRPr="006E6F35">
              <w:rPr>
                <w:b/>
                <w:noProof/>
                <w:lang w:eastAsia="sl-SI"/>
              </w:rPr>
              <w:lastRenderedPageBreak/>
              <w:drawing>
                <wp:inline distT="0" distB="0" distL="0" distR="0" wp14:anchorId="28DD3D1A" wp14:editId="4A7DCBBD">
                  <wp:extent cx="71846" cy="93799"/>
                  <wp:effectExtent l="0" t="0" r="444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nak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68" cy="99833"/>
                          </a:xfrm>
                          <a:prstGeom prst="rect">
                            <a:avLst/>
                          </a:prstGeom>
                        </pic:spPr>
                      </pic:pic>
                    </a:graphicData>
                  </a:graphic>
                </wp:inline>
              </w:drawing>
            </w:r>
            <w:r w:rsidRPr="006E6F35">
              <w:rPr>
                <w:b/>
              </w:rPr>
              <w:t xml:space="preserve">  Trg dela, junij – julij 2021</w:t>
            </w:r>
          </w:p>
        </w:tc>
      </w:tr>
      <w:tr w:rsidR="004712E5" w:rsidRPr="006E6F35" w14:paraId="3872D835" w14:textId="77777777" w:rsidTr="009C55BF">
        <w:trPr>
          <w:trHeight w:val="1134"/>
        </w:trPr>
        <w:tc>
          <w:tcPr>
            <w:tcW w:w="4982" w:type="dxa"/>
            <w:tcBorders>
              <w:top w:val="single" w:sz="4" w:space="0" w:color="auto"/>
            </w:tcBorders>
            <w:tcMar>
              <w:left w:w="0" w:type="dxa"/>
            </w:tcMar>
          </w:tcPr>
          <w:p w14:paraId="38494DE4" w14:textId="77777777" w:rsidR="004712E5" w:rsidRPr="006E6F35" w:rsidRDefault="004712E5" w:rsidP="009C55BF">
            <w:pPr>
              <w:contextualSpacing/>
            </w:pPr>
            <w:r>
              <w:rPr>
                <w:noProof/>
                <w:lang w:eastAsia="sl-SI"/>
              </w:rPr>
              <w:drawing>
                <wp:inline distT="0" distB="0" distL="0" distR="0" wp14:anchorId="56FDDB77" wp14:editId="63D93AD9">
                  <wp:extent cx="3096000" cy="2534400"/>
                  <wp:effectExtent l="0" t="0" r="952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000" cy="2534400"/>
                          </a:xfrm>
                          <a:prstGeom prst="rect">
                            <a:avLst/>
                          </a:prstGeom>
                          <a:noFill/>
                        </pic:spPr>
                      </pic:pic>
                    </a:graphicData>
                  </a:graphic>
                </wp:inline>
              </w:drawing>
            </w:r>
          </w:p>
        </w:tc>
        <w:tc>
          <w:tcPr>
            <w:tcW w:w="4657" w:type="dxa"/>
            <w:tcBorders>
              <w:top w:val="single" w:sz="4" w:space="0" w:color="auto"/>
            </w:tcBorders>
            <w:tcMar>
              <w:left w:w="284" w:type="dxa"/>
            </w:tcMar>
          </w:tcPr>
          <w:p w14:paraId="6F3DFF2A" w14:textId="77777777" w:rsidR="004712E5" w:rsidRPr="006E6F35" w:rsidRDefault="004712E5" w:rsidP="009C55BF">
            <w:r w:rsidRPr="6680B6EE">
              <w:rPr>
                <w:rFonts w:eastAsia="Myriad Pro" w:cs="Myriad Pro"/>
                <w:b/>
                <w:bCs/>
                <w:lang w:val="sl"/>
              </w:rPr>
              <w:t xml:space="preserve">Upadanje števila brezposelnih se je nadaljevalo tudi julija. </w:t>
            </w:r>
            <w:r w:rsidRPr="6680B6EE">
              <w:rPr>
                <w:rFonts w:eastAsia="Myriad Pro" w:cs="Myriad Pro"/>
                <w:lang w:val="sl"/>
              </w:rPr>
              <w:t xml:space="preserve">To povezujemo s sproščanjem zajezitvenih ukrepov in posledičnim naraščanjem povpraševanja po delovni sili. Konec julija je bilo brezposelnih 70.655 oseb, kar je 0,6 % manj kot konec junija in 21 % manj kot pred letom. Brezposelnih je bilo manj tudi v primerjavi s koncem julija leta 2019 (za 1,7 %). </w:t>
            </w:r>
            <w:r w:rsidRPr="00972D7B">
              <w:rPr>
                <w:rFonts w:eastAsiaTheme="minorEastAsia"/>
                <w:szCs w:val="20"/>
                <w:lang w:val="sl"/>
              </w:rPr>
              <w:t xml:space="preserve">Število delovno aktivnih je bilo junija medletno višje za 2,1 %, </w:t>
            </w:r>
            <w:r w:rsidRPr="6680B6EE">
              <w:rPr>
                <w:rFonts w:eastAsia="Myriad Pro" w:cs="Myriad Pro"/>
                <w:lang w:val="sl"/>
              </w:rPr>
              <w:t>kar je predvsem posledica učinka osnove (močno zmanjšanje v spomladanskih mesecih lanskega leta). Zaposlenost se je najbolj povišala v zdravstvu in socialnem varstvu ter gradbeništvu, medletni upad zaposlenosti pa je ostal v gostinstvu ter kulturnih, razvedrilnih in rekreacijskih dejavnostih.</w:t>
            </w:r>
          </w:p>
        </w:tc>
      </w:tr>
    </w:tbl>
    <w:p w14:paraId="40DD5AE0" w14:textId="736024A1" w:rsidR="006E6F35" w:rsidRDefault="006E6F35" w:rsidP="00804DA8">
      <w:pPr>
        <w:pStyle w:val="Naslov31"/>
        <w:jc w:val="left"/>
      </w:pPr>
    </w:p>
    <w:tbl>
      <w:tblPr>
        <w:tblStyle w:val="Tabelamrea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03EEB397" w14:textId="77777777" w:rsidTr="009C55BF">
        <w:trPr>
          <w:trHeight w:val="207"/>
        </w:trPr>
        <w:tc>
          <w:tcPr>
            <w:tcW w:w="9639" w:type="dxa"/>
            <w:gridSpan w:val="2"/>
            <w:tcBorders>
              <w:bottom w:val="single" w:sz="4" w:space="0" w:color="auto"/>
            </w:tcBorders>
            <w:tcMar>
              <w:left w:w="0" w:type="dxa"/>
            </w:tcMar>
          </w:tcPr>
          <w:p w14:paraId="33A60A87" w14:textId="77777777" w:rsidR="004712E5" w:rsidRPr="006E6F35" w:rsidRDefault="004712E5" w:rsidP="009C55BF">
            <w:pPr>
              <w:rPr>
                <w:b/>
              </w:rPr>
            </w:pPr>
            <w:r w:rsidRPr="006E6F35">
              <w:rPr>
                <w:b/>
                <w:noProof/>
                <w:lang w:eastAsia="sl-SI"/>
              </w:rPr>
              <w:drawing>
                <wp:inline distT="0" distB="0" distL="0" distR="0" wp14:anchorId="3B6A66D7" wp14:editId="7BF8263C">
                  <wp:extent cx="71846" cy="93799"/>
                  <wp:effectExtent l="0" t="0" r="4445" b="190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nak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68" cy="99833"/>
                          </a:xfrm>
                          <a:prstGeom prst="rect">
                            <a:avLst/>
                          </a:prstGeom>
                        </pic:spPr>
                      </pic:pic>
                    </a:graphicData>
                  </a:graphic>
                </wp:inline>
              </w:drawing>
            </w:r>
            <w:r w:rsidRPr="006E6F35">
              <w:rPr>
                <w:b/>
              </w:rPr>
              <w:t xml:space="preserve">  Plače, junij 2021</w:t>
            </w:r>
          </w:p>
        </w:tc>
      </w:tr>
      <w:tr w:rsidR="004712E5" w:rsidRPr="006E6F35" w14:paraId="2BDF952B" w14:textId="77777777" w:rsidTr="009C55BF">
        <w:trPr>
          <w:trHeight w:val="1134"/>
        </w:trPr>
        <w:tc>
          <w:tcPr>
            <w:tcW w:w="4982" w:type="dxa"/>
            <w:tcBorders>
              <w:top w:val="single" w:sz="4" w:space="0" w:color="auto"/>
            </w:tcBorders>
            <w:tcMar>
              <w:left w:w="0" w:type="dxa"/>
            </w:tcMar>
          </w:tcPr>
          <w:p w14:paraId="776C5376" w14:textId="77777777" w:rsidR="004712E5" w:rsidRPr="006E6F35" w:rsidRDefault="004712E5" w:rsidP="009C55BF">
            <w:pPr>
              <w:contextualSpacing/>
            </w:pPr>
            <w:r>
              <w:rPr>
                <w:noProof/>
                <w:lang w:eastAsia="sl-SI"/>
              </w:rPr>
              <w:drawing>
                <wp:inline distT="0" distB="0" distL="0" distR="0" wp14:anchorId="79DFCDB8" wp14:editId="19E40ADA">
                  <wp:extent cx="3092400" cy="25236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00" cy="2523600"/>
                          </a:xfrm>
                          <a:prstGeom prst="rect">
                            <a:avLst/>
                          </a:prstGeom>
                          <a:noFill/>
                        </pic:spPr>
                      </pic:pic>
                    </a:graphicData>
                  </a:graphic>
                </wp:inline>
              </w:drawing>
            </w:r>
          </w:p>
        </w:tc>
        <w:tc>
          <w:tcPr>
            <w:tcW w:w="4657" w:type="dxa"/>
            <w:tcBorders>
              <w:top w:val="single" w:sz="4" w:space="0" w:color="auto"/>
            </w:tcBorders>
            <w:tcMar>
              <w:left w:w="284" w:type="dxa"/>
            </w:tcMar>
          </w:tcPr>
          <w:p w14:paraId="11CACB22" w14:textId="77777777" w:rsidR="004712E5" w:rsidRPr="006E6F35" w:rsidRDefault="004712E5" w:rsidP="009C55BF">
            <w:pPr>
              <w:rPr>
                <w:rFonts w:eastAsia="Myriad Pro" w:cs="Myriad Pro"/>
                <w:color w:val="000000" w:themeColor="text1"/>
                <w:lang w:val="sl"/>
              </w:rPr>
            </w:pPr>
            <w:r w:rsidRPr="613F1850">
              <w:rPr>
                <w:rFonts w:eastAsia="Myriad Pro" w:cs="Myriad Pro"/>
                <w:b/>
                <w:bCs/>
                <w:color w:val="000000" w:themeColor="text1"/>
                <w:lang w:val="sl"/>
              </w:rPr>
              <w:t xml:space="preserve">Medletna rast plač je bila junija podobna v javnem in zasebnem sektorju ter je skupaj znašala 7,7 %. </w:t>
            </w:r>
            <w:r w:rsidRPr="613F1850">
              <w:rPr>
                <w:rFonts w:eastAsia="Myriad Pro" w:cs="Myriad Pro"/>
                <w:color w:val="000000" w:themeColor="text1"/>
                <w:lang w:val="sl"/>
              </w:rPr>
              <w:t xml:space="preserve">V javnem sektorju je bila 8,3-odstotna in opazno nižja kot maja, na kar je vplival iztek epidemije sredi junija, s čimer se je prenehalo izplačevanje dodatkov (dodatek za nevarnost in posebne obremenitve ter dodatek za delo v rizičnih razmerah po kolektivni pogodbi). V zasebnem sektorju je bila povprečna plača junija medletno višja za 7,5 %, na kar je vplivala zlasti metodologija izračuna plač v povezavi z interventnimi ukrepi. Na visoko rast plače vpliva tudi naraščajoče pomanjkanje delovne sile. </w:t>
            </w:r>
          </w:p>
        </w:tc>
      </w:tr>
    </w:tbl>
    <w:p w14:paraId="4A6A2C4C" w14:textId="57221997" w:rsidR="006E6F35" w:rsidRDefault="006E6F35" w:rsidP="00804DA8">
      <w:pPr>
        <w:pStyle w:val="Naslov31"/>
        <w:jc w:val="left"/>
      </w:pPr>
    </w:p>
    <w:p w14:paraId="523C96BD" w14:textId="5E61DC22" w:rsidR="006E6F35" w:rsidRDefault="006E6F35">
      <w:pPr>
        <w:spacing w:after="160" w:line="259" w:lineRule="auto"/>
        <w:jc w:val="left"/>
      </w:pPr>
      <w:r>
        <w:br w:type="page"/>
      </w:r>
    </w:p>
    <w:tbl>
      <w:tblPr>
        <w:tblStyle w:val="Tabelamrea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742299CD" w14:textId="77777777" w:rsidTr="009C55BF">
        <w:trPr>
          <w:trHeight w:val="207"/>
        </w:trPr>
        <w:tc>
          <w:tcPr>
            <w:tcW w:w="9639" w:type="dxa"/>
            <w:gridSpan w:val="2"/>
            <w:tcBorders>
              <w:bottom w:val="single" w:sz="4" w:space="0" w:color="auto"/>
            </w:tcBorders>
            <w:tcMar>
              <w:left w:w="0" w:type="dxa"/>
            </w:tcMar>
          </w:tcPr>
          <w:p w14:paraId="57410325" w14:textId="77777777" w:rsidR="004712E5" w:rsidRPr="006E6F35" w:rsidRDefault="004712E5" w:rsidP="009C55BF">
            <w:pPr>
              <w:rPr>
                <w:b/>
              </w:rPr>
            </w:pPr>
            <w:r w:rsidRPr="006E6F35">
              <w:rPr>
                <w:b/>
                <w:noProof/>
                <w:lang w:eastAsia="sl-SI"/>
              </w:rPr>
              <w:lastRenderedPageBreak/>
              <w:drawing>
                <wp:inline distT="0" distB="0" distL="0" distR="0" wp14:anchorId="710B14BB" wp14:editId="512746D7">
                  <wp:extent cx="71846" cy="93799"/>
                  <wp:effectExtent l="0" t="0" r="4445" b="190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nak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68" cy="99833"/>
                          </a:xfrm>
                          <a:prstGeom prst="rect">
                            <a:avLst/>
                          </a:prstGeom>
                        </pic:spPr>
                      </pic:pic>
                    </a:graphicData>
                  </a:graphic>
                </wp:inline>
              </w:drawing>
            </w:r>
            <w:r w:rsidRPr="006E6F35">
              <w:rPr>
                <w:b/>
              </w:rPr>
              <w:t xml:space="preserve">  Cene življenjskih potrebščin, julij 2021</w:t>
            </w:r>
          </w:p>
        </w:tc>
      </w:tr>
      <w:tr w:rsidR="004712E5" w:rsidRPr="006E6F35" w14:paraId="6EBD58F8" w14:textId="77777777" w:rsidTr="009C55BF">
        <w:trPr>
          <w:trHeight w:val="1134"/>
        </w:trPr>
        <w:tc>
          <w:tcPr>
            <w:tcW w:w="4982" w:type="dxa"/>
            <w:tcBorders>
              <w:top w:val="single" w:sz="4" w:space="0" w:color="auto"/>
            </w:tcBorders>
            <w:tcMar>
              <w:left w:w="0" w:type="dxa"/>
            </w:tcMar>
          </w:tcPr>
          <w:p w14:paraId="6E7334DF" w14:textId="77777777" w:rsidR="004712E5" w:rsidRPr="006E6F35" w:rsidRDefault="004712E5" w:rsidP="009C55BF">
            <w:pPr>
              <w:contextualSpacing/>
            </w:pPr>
            <w:r>
              <w:rPr>
                <w:noProof/>
                <w:lang w:eastAsia="sl-SI"/>
              </w:rPr>
              <w:drawing>
                <wp:inline distT="0" distB="0" distL="0" distR="0" wp14:anchorId="6AD57826" wp14:editId="1A6F460A">
                  <wp:extent cx="3092400" cy="2530800"/>
                  <wp:effectExtent l="0" t="0" r="0" b="317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4C04253" w14:textId="77777777" w:rsidR="004712E5" w:rsidRPr="006E6F35" w:rsidRDefault="004712E5" w:rsidP="009C55BF">
            <w:pPr>
              <w:rPr>
                <w:rFonts w:eastAsia="Arial"/>
              </w:rPr>
            </w:pPr>
            <w:r w:rsidRPr="5823D8C8">
              <w:rPr>
                <w:b/>
                <w:bCs/>
              </w:rPr>
              <w:t xml:space="preserve">Rast cen življenjskih potrebščin se je julija okrepila in znašala 2 %. </w:t>
            </w:r>
            <w:r>
              <w:t>Ob visokih cenah nafte na svetovnih trgih se je povečal prispevek energentov, ki je znašal 1,2 o. t.. Precej se je okrepila tudi rast cen poltrajnega blaga (2,7 %), na kar po naši oceni  vplivajo cenovna gibanja v skupini obleke in obutve, ki so k inflaciji prispevale 0,3 o. t.. Po zniževanju v preteklih mesecih so bile julija na medletni ravni ponovno nekoliko višje cene storitev, kar je posledica rasti cen v skupini restavracije in hoteli, ob večjem sezonskem povpraševanju pa so bile medletno višje tudi cene letalskih vozovnic. Nekoliko se je okrepila tudi rast cen trajnega blaga (1,8 %) zaradi  upočasnjenega zniževanja cen rabljenih avtomobilov (1,2 %), precej pa so se zvišale cene motornih koles in koles (približno za desetino). Cene hrane so ostale medletno nižje.</w:t>
            </w:r>
          </w:p>
        </w:tc>
      </w:tr>
    </w:tbl>
    <w:p w14:paraId="548A4334" w14:textId="77777777" w:rsidR="004712E5" w:rsidRDefault="004712E5">
      <w:pPr>
        <w:spacing w:after="160" w:line="259" w:lineRule="auto"/>
        <w:jc w:val="left"/>
        <w:rPr>
          <w:b/>
        </w:rPr>
      </w:pPr>
    </w:p>
    <w:tbl>
      <w:tblPr>
        <w:tblStyle w:val="Tabelamrea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0E4A8EC3" w14:textId="77777777" w:rsidTr="009C55BF">
        <w:trPr>
          <w:trHeight w:val="207"/>
        </w:trPr>
        <w:tc>
          <w:tcPr>
            <w:tcW w:w="9639" w:type="dxa"/>
            <w:gridSpan w:val="2"/>
            <w:tcBorders>
              <w:bottom w:val="single" w:sz="4" w:space="0" w:color="auto"/>
            </w:tcBorders>
            <w:tcMar>
              <w:left w:w="0" w:type="dxa"/>
            </w:tcMar>
          </w:tcPr>
          <w:p w14:paraId="07C0E62A" w14:textId="77777777" w:rsidR="004712E5" w:rsidRPr="006E6F35" w:rsidRDefault="004712E5" w:rsidP="009C55BF">
            <w:pPr>
              <w:rPr>
                <w:b/>
              </w:rPr>
            </w:pPr>
            <w:r w:rsidRPr="006E6F35">
              <w:rPr>
                <w:b/>
                <w:noProof/>
                <w:lang w:eastAsia="sl-SI"/>
              </w:rPr>
              <w:drawing>
                <wp:inline distT="0" distB="0" distL="0" distR="0" wp14:anchorId="5E4B5D86" wp14:editId="0C4FCAC7">
                  <wp:extent cx="71846" cy="93799"/>
                  <wp:effectExtent l="0" t="0" r="4445" b="1905"/>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nak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68" cy="99833"/>
                          </a:xfrm>
                          <a:prstGeom prst="rect">
                            <a:avLst/>
                          </a:prstGeom>
                        </pic:spPr>
                      </pic:pic>
                    </a:graphicData>
                  </a:graphic>
                </wp:inline>
              </w:drawing>
            </w:r>
            <w:r w:rsidRPr="006E6F35">
              <w:rPr>
                <w:b/>
              </w:rPr>
              <w:t xml:space="preserve">  Cene industrijskih proizvodov slovenskih proizvajalcev, julij 2021</w:t>
            </w:r>
          </w:p>
        </w:tc>
      </w:tr>
      <w:tr w:rsidR="004712E5" w:rsidRPr="006E6F35" w14:paraId="12478F26" w14:textId="77777777" w:rsidTr="009C55BF">
        <w:trPr>
          <w:trHeight w:val="1134"/>
        </w:trPr>
        <w:tc>
          <w:tcPr>
            <w:tcW w:w="4982" w:type="dxa"/>
            <w:tcBorders>
              <w:top w:val="single" w:sz="4" w:space="0" w:color="auto"/>
            </w:tcBorders>
            <w:tcMar>
              <w:left w:w="0" w:type="dxa"/>
            </w:tcMar>
          </w:tcPr>
          <w:p w14:paraId="5D53767A" w14:textId="77777777" w:rsidR="004712E5" w:rsidRPr="006E6F35" w:rsidRDefault="004712E5" w:rsidP="009C55BF">
            <w:pPr>
              <w:contextualSpacing/>
            </w:pPr>
            <w:r>
              <w:rPr>
                <w:noProof/>
                <w:lang w:eastAsia="sl-SI"/>
              </w:rPr>
              <w:drawing>
                <wp:inline distT="0" distB="0" distL="0" distR="0" wp14:anchorId="6C22F9C0" wp14:editId="14D42334">
                  <wp:extent cx="3092400" cy="2530800"/>
                  <wp:effectExtent l="0" t="0" r="0" b="317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5F50387" w14:textId="77777777" w:rsidR="004712E5" w:rsidRPr="006E6F35" w:rsidRDefault="004712E5" w:rsidP="009C55BF">
            <w:pPr>
              <w:rPr>
                <w:color w:val="DBDBDB" w:themeColor="background2"/>
              </w:rPr>
            </w:pPr>
            <w:r w:rsidRPr="6680B6EE">
              <w:rPr>
                <w:b/>
                <w:bCs/>
              </w:rPr>
              <w:t xml:space="preserve">Medletna rast cen industrijskih proizvodov slovenskih proizvajalcev se je julija še okrepila, in sicer na 6,2 %. </w:t>
            </w:r>
            <w:r>
              <w:t>Rast cen na domačem in evrskem trgu s</w:t>
            </w:r>
            <w:r w:rsidRPr="00972D7B">
              <w:rPr>
                <w:rFonts w:eastAsiaTheme="minorEastAsia"/>
                <w:szCs w:val="20"/>
              </w:rPr>
              <w:t>e še naprej kr</w:t>
            </w:r>
            <w:r>
              <w:t xml:space="preserve">epi, po umirjenem zviševanju v preteklih mesecih pa se je julija precej povišala tudi na trgih izven evrskega območja (5 %). K skupni rasti cen proizvodov slovenskih proizvajalcev so </w:t>
            </w:r>
            <w:r w:rsidRPr="00972D7B">
              <w:rPr>
                <w:rFonts w:eastAsiaTheme="minorEastAsia"/>
                <w:szCs w:val="20"/>
              </w:rPr>
              <w:t xml:space="preserve">še naprej največ prispevale </w:t>
            </w:r>
            <w:r w:rsidRPr="6680B6EE">
              <w:rPr>
                <w:rFonts w:eastAsiaTheme="minorEastAsia"/>
                <w:szCs w:val="20"/>
              </w:rPr>
              <w:t xml:space="preserve">višje </w:t>
            </w:r>
            <w:r w:rsidRPr="00972D7B">
              <w:rPr>
                <w:rFonts w:eastAsiaTheme="minorEastAsia"/>
                <w:szCs w:val="20"/>
              </w:rPr>
              <w:t>rasti cen v skupini surovin</w:t>
            </w:r>
            <w:r w:rsidRPr="6680B6EE">
              <w:rPr>
                <w:rFonts w:eastAsiaTheme="minorEastAsia"/>
                <w:szCs w:val="20"/>
              </w:rPr>
              <w:t xml:space="preserve"> (</w:t>
            </w:r>
            <w:r w:rsidRPr="00972D7B">
              <w:rPr>
                <w:rFonts w:eastAsiaTheme="minorEastAsia"/>
                <w:szCs w:val="20"/>
              </w:rPr>
              <w:t>julija medletno že za</w:t>
            </w:r>
            <w:r>
              <w:t xml:space="preserve"> več kot desetino) in proizvodov za investicije (5,3 %). Rast cen proizvodov za široko porabo je bila ju</w:t>
            </w:r>
            <w:r w:rsidRPr="00972D7B">
              <w:rPr>
                <w:rFonts w:eastAsiaTheme="minorEastAsia"/>
                <w:szCs w:val="20"/>
              </w:rPr>
              <w:t>lija še razmeroma umirjena (1,3 %), a se postopoma krep</w:t>
            </w:r>
            <w:r>
              <w:t>i.</w:t>
            </w:r>
          </w:p>
          <w:p w14:paraId="039550C0" w14:textId="77777777" w:rsidR="004712E5" w:rsidRPr="006E6F35" w:rsidRDefault="004712E5" w:rsidP="009C55BF"/>
        </w:tc>
      </w:tr>
    </w:tbl>
    <w:p w14:paraId="326224F7" w14:textId="2417341D" w:rsidR="006E6F35" w:rsidRDefault="006E6F35" w:rsidP="00804DA8">
      <w:pPr>
        <w:pStyle w:val="Naslov31"/>
        <w:jc w:val="left"/>
      </w:pPr>
    </w:p>
    <w:p w14:paraId="2937007F" w14:textId="3E1AD84F" w:rsidR="006E6F35" w:rsidRDefault="006E6F35" w:rsidP="00804DA8">
      <w:pPr>
        <w:pStyle w:val="Naslov31"/>
        <w:jc w:val="left"/>
      </w:pPr>
    </w:p>
    <w:p w14:paraId="26E9362D" w14:textId="3D5C3D38" w:rsidR="006E6F35" w:rsidRDefault="006E6F35">
      <w:pPr>
        <w:spacing w:after="160" w:line="259" w:lineRule="auto"/>
        <w:jc w:val="left"/>
        <w:rPr>
          <w:b/>
        </w:rPr>
      </w:pPr>
      <w:r>
        <w:br w:type="page"/>
      </w:r>
    </w:p>
    <w:p w14:paraId="388D6FA8" w14:textId="1C4A3F57" w:rsidR="004D28ED" w:rsidRDefault="004D28ED" w:rsidP="00C45877">
      <w:pPr>
        <w:pStyle w:val="Naslov31"/>
        <w:jc w:val="left"/>
        <w:sectPr w:rsidR="004D28ED" w:rsidSect="00182B9F">
          <w:headerReference w:type="default" r:id="rId28"/>
          <w:headerReference w:type="first" r:id="rId29"/>
          <w:pgSz w:w="11906" w:h="16838"/>
          <w:pgMar w:top="1134" w:right="1134" w:bottom="1021" w:left="1134" w:header="709" w:footer="397" w:gutter="0"/>
          <w:cols w:space="708"/>
          <w:titlePg/>
          <w:docGrid w:linePitch="360"/>
        </w:sectPr>
      </w:pPr>
    </w:p>
    <w:p w14:paraId="20CA59C5" w14:textId="07EC7839" w:rsidR="00FE7254" w:rsidRPr="00FE7254" w:rsidRDefault="004712E5" w:rsidP="00DF3707">
      <w:pPr>
        <w:tabs>
          <w:tab w:val="left" w:pos="580"/>
        </w:tabs>
        <w:sectPr w:rsidR="00FE7254" w:rsidRPr="00FE7254" w:rsidSect="00363E63">
          <w:headerReference w:type="default" r:id="rId30"/>
          <w:footerReference w:type="default" r:id="rId31"/>
          <w:pgSz w:w="11906" w:h="16838"/>
          <w:pgMar w:top="1134" w:right="1134" w:bottom="1021" w:left="1134" w:header="709" w:footer="397" w:gutter="0"/>
          <w:cols w:space="708"/>
          <w:docGrid w:linePitch="360"/>
        </w:sectPr>
      </w:pPr>
      <w:r>
        <w:rPr>
          <w:noProof/>
        </w:rPr>
        <w:lastRenderedPageBreak/>
        <w:drawing>
          <wp:inline distT="0" distB="0" distL="0" distR="0" wp14:anchorId="15CCEA31" wp14:editId="05DCB398">
            <wp:extent cx="6120130" cy="9025255"/>
            <wp:effectExtent l="0" t="0" r="0" b="4445"/>
            <wp:docPr id="27414" name="Picture 3" descr="Tabela izbranih makroekonomskih kazalcev za Slovenijo">
              <a:extLst xmlns:a="http://schemas.openxmlformats.org/drawingml/2006/main">
                <a:ext uri="{FF2B5EF4-FFF2-40B4-BE49-F238E27FC236}">
                  <a16:creationId xmlns:a16="http://schemas.microsoft.com/office/drawing/2014/main" id="{D80DB0F6-EC5E-4220-81D6-DC809EFDD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 name="Picture 3" descr="Tabela izbranih makroekonomskih kazalcev za Slovenijo">
                      <a:extLst>
                        <a:ext uri="{FF2B5EF4-FFF2-40B4-BE49-F238E27FC236}">
                          <a16:creationId xmlns:a16="http://schemas.microsoft.com/office/drawing/2014/main" id="{D80DB0F6-EC5E-4220-81D6-DC809EFDD460}"/>
                        </a:ext>
                      </a:extLst>
                    </pic:cNvPr>
                    <pic:cNvPicPr>
                      <a:picLocks noChangeAspect="1" noChangeArrowheads="1"/>
                      <a:extLst>
                        <a:ext uri="{84589F7E-364E-4C9E-8A38-B11213B215E9}">
                          <a14:cameraTool xmlns:a14="http://schemas.microsoft.com/office/drawing/2010/main" cellRange="'TGG tabela - NE SPREMINJAJ'!$A$1:$L$78" spid="_x0000_s36603"/>
                        </a:ext>
                      </a:extLst>
                    </pic:cNvPicPr>
                  </pic:nvPicPr>
                  <pic:blipFill>
                    <a:blip r:embed="rId32"/>
                    <a:srcRect/>
                    <a:stretch>
                      <a:fillRect/>
                    </a:stretch>
                  </pic:blipFill>
                  <pic:spPr bwMode="auto">
                    <a:xfrm>
                      <a:off x="0" y="0"/>
                      <a:ext cx="6120130" cy="9025255"/>
                    </a:xfrm>
                    <a:prstGeom prst="rect">
                      <a:avLst/>
                    </a:prstGeom>
                    <a:solidFill>
                      <a:srgbClr xmlns:a14="http://schemas.microsoft.com/office/drawing/2010/main" val="FFFFFF" mc:Ignorable="a14" a14:legacySpreadsheetColorIndex="9"/>
                    </a:solidFill>
                    <a:ln>
                      <a:noFill/>
                    </a:ln>
                    <a:extLst/>
                  </pic:spPr>
                </pic:pic>
              </a:graphicData>
            </a:graphic>
          </wp:inline>
        </w:drawing>
      </w:r>
    </w:p>
    <w:p w14:paraId="0DE2B070" w14:textId="77777777" w:rsidR="002E69B6" w:rsidRPr="00887D7E" w:rsidRDefault="00363E63" w:rsidP="001F51CD">
      <w:pPr>
        <w:tabs>
          <w:tab w:val="left" w:pos="580"/>
        </w:tabs>
      </w:pPr>
      <w:r>
        <w:rPr>
          <w:noProof/>
          <w:color w:val="2B579A"/>
          <w:shd w:val="clear" w:color="auto" w:fill="E6E6E6"/>
          <w:lang w:eastAsia="sl-SI"/>
        </w:rPr>
        <w:lastRenderedPageBreak/>
        <w:drawing>
          <wp:inline distT="0" distB="0" distL="0" distR="0" wp14:anchorId="4FCD0891" wp14:editId="5C299993">
            <wp:extent cx="6078854"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6078854" cy="8598195"/>
                    </a:xfrm>
                    <a:prstGeom prst="rect">
                      <a:avLst/>
                    </a:prstGeom>
                  </pic:spPr>
                </pic:pic>
              </a:graphicData>
            </a:graphic>
          </wp:inline>
        </w:drawing>
      </w:r>
    </w:p>
    <w:sectPr w:rsidR="002E69B6" w:rsidRPr="00887D7E" w:rsidSect="00363E63">
      <w:headerReference w:type="default" r:id="rId34"/>
      <w:footerReference w:type="default" r:id="rId35"/>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533B3" w16cex:dateUtc="2021-07-23T10:25:00Z"/>
  <w16cex:commentExtensible w16cex:durableId="24A53343" w16cex:dateUtc="2021-07-23T10: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E660C" w14:textId="77777777" w:rsidR="00AD6B50" w:rsidRDefault="00AD6B50" w:rsidP="0063497B">
      <w:pPr>
        <w:spacing w:line="240" w:lineRule="auto"/>
      </w:pPr>
      <w:r>
        <w:separator/>
      </w:r>
    </w:p>
  </w:endnote>
  <w:endnote w:type="continuationSeparator" w:id="0">
    <w:p w14:paraId="61EF7E10" w14:textId="77777777" w:rsidR="00AD6B50" w:rsidRDefault="00AD6B50" w:rsidP="0063497B">
      <w:pPr>
        <w:spacing w:line="240" w:lineRule="auto"/>
      </w:pPr>
      <w:r>
        <w:continuationSeparator/>
      </w:r>
    </w:p>
  </w:endnote>
  <w:endnote w:type="continuationNotice" w:id="1">
    <w:p w14:paraId="6A5046E1" w14:textId="77777777" w:rsidR="00AD6B50" w:rsidRDefault="00AD6B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77777777" w:rsidR="00EE6FBF" w:rsidRPr="00363E63" w:rsidRDefault="00EE6FB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5B0943">
        <w:rPr>
          <w:rStyle w:val="Hyperlink"/>
          <w:b w:val="0"/>
          <w:sz w:val="18"/>
          <w:szCs w:val="18"/>
        </w:rPr>
        <w:t>matic.slapsak@gov.si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5A3F5F">
          <w:rPr>
            <w:noProof/>
            <w:sz w:val="18"/>
            <w:szCs w:val="18"/>
          </w:rPr>
          <w:t>1</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1A614216" w:rsidR="00EE6FBF" w:rsidRPr="00363E63" w:rsidRDefault="00EE6FB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5D4938" w:rsidRPr="004C2D9A">
        <w:rPr>
          <w:rStyle w:val="Hyperlink"/>
          <w:b w:val="0"/>
          <w:sz w:val="18"/>
          <w:szCs w:val="18"/>
        </w:rPr>
        <w:t>matic.slapsak@gov.si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5A3F5F">
          <w:rPr>
            <w:noProof/>
            <w:sz w:val="18"/>
            <w:szCs w:val="18"/>
          </w:rPr>
          <w:t>3</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7172DFEC"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5D4938" w:rsidRPr="004C2D9A">
        <w:rPr>
          <w:rStyle w:val="Hyperlink"/>
          <w:b w:val="0"/>
          <w:sz w:val="18"/>
          <w:szCs w:val="18"/>
        </w:rPr>
        <w:t>matic.slapsak@gov.si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5A3F5F">
          <w:rPr>
            <w:noProof/>
            <w:sz w:val="18"/>
            <w:szCs w:val="18"/>
          </w:rPr>
          <w:t>4</w:t>
        </w:r>
        <w:r w:rsidRPr="00363E63">
          <w:rPr>
            <w:color w:val="2B579A"/>
            <w:sz w:val="18"/>
            <w:szCs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143AE" w14:textId="77777777" w:rsidR="00AD6B50" w:rsidRDefault="00AD6B50" w:rsidP="0063497B">
      <w:pPr>
        <w:spacing w:line="240" w:lineRule="auto"/>
      </w:pPr>
      <w:r>
        <w:separator/>
      </w:r>
    </w:p>
  </w:footnote>
  <w:footnote w:type="continuationSeparator" w:id="0">
    <w:p w14:paraId="7ABBE62C" w14:textId="77777777" w:rsidR="00AD6B50" w:rsidRDefault="00AD6B50" w:rsidP="0063497B">
      <w:pPr>
        <w:spacing w:line="240" w:lineRule="auto"/>
      </w:pPr>
      <w:r>
        <w:continuationSeparator/>
      </w:r>
    </w:p>
  </w:footnote>
  <w:footnote w:type="continuationNotice" w:id="1">
    <w:p w14:paraId="0A2ED027" w14:textId="77777777" w:rsidR="00AD6B50" w:rsidRDefault="00AD6B50">
      <w:pPr>
        <w:spacing w:line="240" w:lineRule="auto"/>
      </w:pPr>
    </w:p>
  </w:footnote>
  <w:footnote w:id="2">
    <w:p w14:paraId="2236DA8E" w14:textId="77777777" w:rsidR="004712E5" w:rsidRDefault="004712E5" w:rsidP="004712E5">
      <w:pPr>
        <w:pStyle w:val="FootnoteText"/>
      </w:pPr>
      <w:r>
        <w:rPr>
          <w:rStyle w:val="FootnoteReference"/>
        </w:rPr>
        <w:footnoteRef/>
      </w:r>
      <w:r>
        <w:t xml:space="preserve"> Gre za prevzem SLO odjemalcev iz prenosnega omrežja.</w:t>
      </w:r>
    </w:p>
  </w:footnote>
  <w:footnote w:id="3">
    <w:p w14:paraId="2D6B2EF0" w14:textId="77777777" w:rsidR="004712E5" w:rsidRPr="00850F16" w:rsidRDefault="004712E5" w:rsidP="004712E5">
      <w:pPr>
        <w:pStyle w:val="FootnoteText"/>
        <w:rPr>
          <w:szCs w:val="16"/>
        </w:rPr>
      </w:pPr>
      <w:r w:rsidRPr="00850F16">
        <w:rPr>
          <w:rStyle w:val="FootnoteReference"/>
          <w:szCs w:val="16"/>
        </w:rPr>
        <w:footnoteRef/>
      </w:r>
      <w:r w:rsidRPr="00850F16">
        <w:rPr>
          <w:szCs w:val="16"/>
        </w:rPr>
        <w:t xml:space="preserve"> V tej odjemni skupini so najbolj pogosta merilna mesta storitvene dejavnosti</w:t>
      </w:r>
      <w:r>
        <w:rPr>
          <w:szCs w:val="16"/>
        </w:rPr>
        <w:t xml:space="preserve"> in </w:t>
      </w:r>
      <w:r w:rsidRPr="00850F16">
        <w:rPr>
          <w:szCs w:val="16"/>
        </w:rPr>
        <w:t xml:space="preserve">trgovine, </w:t>
      </w:r>
      <w:r>
        <w:rPr>
          <w:szCs w:val="16"/>
        </w:rPr>
        <w:t xml:space="preserve">znotraj te odjemne skupine </w:t>
      </w:r>
      <w:r w:rsidRPr="00850F16">
        <w:rPr>
          <w:szCs w:val="16"/>
        </w:rPr>
        <w:t>so tudi skladišča, kmetijska dejavnost, ipd., lahko pa</w:t>
      </w:r>
      <w:r>
        <w:rPr>
          <w:szCs w:val="16"/>
        </w:rPr>
        <w:t xml:space="preserve"> </w:t>
      </w:r>
      <w:r w:rsidRPr="00850F16">
        <w:rPr>
          <w:szCs w:val="16"/>
        </w:rPr>
        <w:t>tudi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B674" w14:textId="6BD72672" w:rsidR="00182B9F" w:rsidRDefault="00182B9F" w:rsidP="00182B9F">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514AB796" wp14:editId="3A71D972">
          <wp:simplePos x="0" y="0"/>
          <wp:positionH relativeFrom="column">
            <wp:posOffset>-361950</wp:posOffset>
          </wp:positionH>
          <wp:positionV relativeFrom="paragraph">
            <wp:posOffset>62865</wp:posOffset>
          </wp:positionV>
          <wp:extent cx="1259840" cy="1002030"/>
          <wp:effectExtent l="0" t="0" r="0" b="7620"/>
          <wp:wrapTopAndBottom/>
          <wp:docPr id="8"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3936E378">
      <w:t>2</w:t>
    </w:r>
    <w:r w:rsidR="009A2425">
      <w:t>7</w:t>
    </w:r>
    <w:r w:rsidR="3936E378">
      <w:t xml:space="preserve">. </w:t>
    </w:r>
    <w:r w:rsidR="009A2425">
      <w:t xml:space="preserve">avgust </w:t>
    </w:r>
    <w:r w:rsidR="3936E378">
      <w:t>2021</w:t>
    </w:r>
  </w:p>
  <w:p w14:paraId="3B7C37F6" w14:textId="77777777" w:rsidR="00182B9F" w:rsidRDefault="00182B9F" w:rsidP="00182B9F">
    <w:pPr>
      <w:jc w:val="right"/>
    </w:pPr>
  </w:p>
  <w:p w14:paraId="277BBE92" w14:textId="3CAFD018" w:rsidR="00182B9F" w:rsidRDefault="00182B9F" w:rsidP="00182B9F">
    <w:pPr>
      <w:jc w:val="right"/>
    </w:pPr>
  </w:p>
  <w:p w14:paraId="3FCEEEDA" w14:textId="77777777" w:rsidR="00182B9F" w:rsidRDefault="00182B9F" w:rsidP="00182B9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17BB30AA" w14:paraId="280594FE" w14:textId="77777777" w:rsidTr="17BB30AA">
      <w:tc>
        <w:tcPr>
          <w:tcW w:w="3210" w:type="dxa"/>
        </w:tcPr>
        <w:p w14:paraId="489271BA" w14:textId="7F42003F" w:rsidR="17BB30AA" w:rsidRDefault="17BB30AA" w:rsidP="17BB30AA">
          <w:pPr>
            <w:pStyle w:val="Header"/>
            <w:ind w:left="-115"/>
            <w:jc w:val="left"/>
          </w:pPr>
        </w:p>
      </w:tc>
      <w:tc>
        <w:tcPr>
          <w:tcW w:w="3210" w:type="dxa"/>
        </w:tcPr>
        <w:p w14:paraId="71B2986B" w14:textId="06A3FA9A" w:rsidR="17BB30AA" w:rsidRDefault="17BB30AA" w:rsidP="17BB30AA">
          <w:pPr>
            <w:pStyle w:val="Header"/>
            <w:jc w:val="center"/>
          </w:pPr>
        </w:p>
      </w:tc>
      <w:tc>
        <w:tcPr>
          <w:tcW w:w="3210" w:type="dxa"/>
        </w:tcPr>
        <w:p w14:paraId="0FF194A9" w14:textId="799CF756" w:rsidR="17BB30AA" w:rsidRDefault="17BB30AA" w:rsidP="17BB30AA">
          <w:pPr>
            <w:pStyle w:val="Header"/>
            <w:ind w:right="-115"/>
            <w:jc w:val="right"/>
          </w:pPr>
        </w:p>
      </w:tc>
    </w:tr>
  </w:tbl>
  <w:p w14:paraId="23F841BB" w14:textId="04A5C442" w:rsidR="009F6150" w:rsidRDefault="009F61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363E63" w:rsidRPr="004E2D3A" w:rsidRDefault="004E2D3A">
    <w:pPr>
      <w:pStyle w:val="Header"/>
      <w:rPr>
        <w:b/>
        <w:bCs/>
      </w:rPr>
    </w:pPr>
    <w:r w:rsidRPr="001750C3">
      <w:rPr>
        <w:b/>
        <w:bCs/>
      </w:rPr>
      <w:t>Tabela: izbrani makroekonomski kazalci za Slovenijo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4.25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421F"/>
    <w:rsid w:val="00005262"/>
    <w:rsid w:val="00007553"/>
    <w:rsid w:val="00011EE3"/>
    <w:rsid w:val="00031C60"/>
    <w:rsid w:val="00036251"/>
    <w:rsid w:val="00044CD2"/>
    <w:rsid w:val="000664B8"/>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B7347"/>
    <w:rsid w:val="001D1127"/>
    <w:rsid w:val="001D6793"/>
    <w:rsid w:val="001E16E8"/>
    <w:rsid w:val="001E20C7"/>
    <w:rsid w:val="001E3E73"/>
    <w:rsid w:val="001E52B8"/>
    <w:rsid w:val="001F51CD"/>
    <w:rsid w:val="001F5C72"/>
    <w:rsid w:val="00201EAA"/>
    <w:rsid w:val="002055F5"/>
    <w:rsid w:val="00234963"/>
    <w:rsid w:val="002350BD"/>
    <w:rsid w:val="00243593"/>
    <w:rsid w:val="00247CE0"/>
    <w:rsid w:val="00252943"/>
    <w:rsid w:val="00255D1C"/>
    <w:rsid w:val="00256528"/>
    <w:rsid w:val="00260617"/>
    <w:rsid w:val="0026509A"/>
    <w:rsid w:val="00266D67"/>
    <w:rsid w:val="0027659E"/>
    <w:rsid w:val="00284780"/>
    <w:rsid w:val="002928AB"/>
    <w:rsid w:val="0029405F"/>
    <w:rsid w:val="00297D32"/>
    <w:rsid w:val="002A0C21"/>
    <w:rsid w:val="002A34FC"/>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4AA8"/>
    <w:rsid w:val="00325138"/>
    <w:rsid w:val="003262BF"/>
    <w:rsid w:val="003314DC"/>
    <w:rsid w:val="00333F21"/>
    <w:rsid w:val="00334D18"/>
    <w:rsid w:val="003474FD"/>
    <w:rsid w:val="003518B6"/>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31EDD"/>
    <w:rsid w:val="004368FB"/>
    <w:rsid w:val="00443660"/>
    <w:rsid w:val="00452589"/>
    <w:rsid w:val="00452804"/>
    <w:rsid w:val="00455C0C"/>
    <w:rsid w:val="004563B1"/>
    <w:rsid w:val="00464D01"/>
    <w:rsid w:val="004712E5"/>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278B"/>
    <w:rsid w:val="00522C91"/>
    <w:rsid w:val="0052312F"/>
    <w:rsid w:val="00532F53"/>
    <w:rsid w:val="00534457"/>
    <w:rsid w:val="00545D45"/>
    <w:rsid w:val="00546DBF"/>
    <w:rsid w:val="005508E9"/>
    <w:rsid w:val="0055332B"/>
    <w:rsid w:val="00561C9A"/>
    <w:rsid w:val="00562308"/>
    <w:rsid w:val="00563ABF"/>
    <w:rsid w:val="00564B65"/>
    <w:rsid w:val="00592EB2"/>
    <w:rsid w:val="005A36AC"/>
    <w:rsid w:val="005A3F5F"/>
    <w:rsid w:val="005A6A74"/>
    <w:rsid w:val="005B67A1"/>
    <w:rsid w:val="005C5A12"/>
    <w:rsid w:val="005D110B"/>
    <w:rsid w:val="005D2789"/>
    <w:rsid w:val="005D3B64"/>
    <w:rsid w:val="005D4938"/>
    <w:rsid w:val="005D5D51"/>
    <w:rsid w:val="005D7820"/>
    <w:rsid w:val="005E1743"/>
    <w:rsid w:val="005E4C4B"/>
    <w:rsid w:val="005F0F5B"/>
    <w:rsid w:val="005F5FF0"/>
    <w:rsid w:val="006020EE"/>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FD0"/>
    <w:rsid w:val="006E6211"/>
    <w:rsid w:val="006E6F35"/>
    <w:rsid w:val="006F1506"/>
    <w:rsid w:val="006F3DD0"/>
    <w:rsid w:val="006F43B2"/>
    <w:rsid w:val="006F67F3"/>
    <w:rsid w:val="007006A5"/>
    <w:rsid w:val="00701540"/>
    <w:rsid w:val="007016EF"/>
    <w:rsid w:val="007115FF"/>
    <w:rsid w:val="00711660"/>
    <w:rsid w:val="00731B6F"/>
    <w:rsid w:val="007328FE"/>
    <w:rsid w:val="0073739E"/>
    <w:rsid w:val="007411B1"/>
    <w:rsid w:val="007421B2"/>
    <w:rsid w:val="0074452D"/>
    <w:rsid w:val="0074466E"/>
    <w:rsid w:val="00744B8D"/>
    <w:rsid w:val="00746833"/>
    <w:rsid w:val="0074688F"/>
    <w:rsid w:val="007475BA"/>
    <w:rsid w:val="00750C16"/>
    <w:rsid w:val="00751DB7"/>
    <w:rsid w:val="007547BA"/>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90F4D"/>
    <w:rsid w:val="00793AB6"/>
    <w:rsid w:val="0079410F"/>
    <w:rsid w:val="007A0B59"/>
    <w:rsid w:val="007A6C35"/>
    <w:rsid w:val="007B074D"/>
    <w:rsid w:val="007B708A"/>
    <w:rsid w:val="007B7110"/>
    <w:rsid w:val="007C4B7A"/>
    <w:rsid w:val="007C5222"/>
    <w:rsid w:val="007D0791"/>
    <w:rsid w:val="007E0425"/>
    <w:rsid w:val="007E77B8"/>
    <w:rsid w:val="007F1307"/>
    <w:rsid w:val="007F13BE"/>
    <w:rsid w:val="007F485F"/>
    <w:rsid w:val="00804742"/>
    <w:rsid w:val="008049AA"/>
    <w:rsid w:val="00812D81"/>
    <w:rsid w:val="00813F80"/>
    <w:rsid w:val="008149ED"/>
    <w:rsid w:val="00822375"/>
    <w:rsid w:val="00841052"/>
    <w:rsid w:val="008444D1"/>
    <w:rsid w:val="0084784F"/>
    <w:rsid w:val="008507B0"/>
    <w:rsid w:val="008541ED"/>
    <w:rsid w:val="00855CE5"/>
    <w:rsid w:val="008566C2"/>
    <w:rsid w:val="00860582"/>
    <w:rsid w:val="008637AE"/>
    <w:rsid w:val="00863817"/>
    <w:rsid w:val="008646FF"/>
    <w:rsid w:val="008678A7"/>
    <w:rsid w:val="008713BF"/>
    <w:rsid w:val="00871E2C"/>
    <w:rsid w:val="00876109"/>
    <w:rsid w:val="0088498B"/>
    <w:rsid w:val="00887D7E"/>
    <w:rsid w:val="0089056E"/>
    <w:rsid w:val="0089259B"/>
    <w:rsid w:val="00895CDB"/>
    <w:rsid w:val="008B077B"/>
    <w:rsid w:val="008B129E"/>
    <w:rsid w:val="008B3BA9"/>
    <w:rsid w:val="008C1F73"/>
    <w:rsid w:val="008D4EBF"/>
    <w:rsid w:val="008D52D0"/>
    <w:rsid w:val="008E2FB1"/>
    <w:rsid w:val="008E6740"/>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425"/>
    <w:rsid w:val="009A2846"/>
    <w:rsid w:val="009A4299"/>
    <w:rsid w:val="009A6EC5"/>
    <w:rsid w:val="009B5FBC"/>
    <w:rsid w:val="009B7D53"/>
    <w:rsid w:val="009C0C09"/>
    <w:rsid w:val="009C0D03"/>
    <w:rsid w:val="009C53A4"/>
    <w:rsid w:val="009C7520"/>
    <w:rsid w:val="009D07FF"/>
    <w:rsid w:val="009D311B"/>
    <w:rsid w:val="009D55C7"/>
    <w:rsid w:val="009E6771"/>
    <w:rsid w:val="009F6150"/>
    <w:rsid w:val="009F6D5C"/>
    <w:rsid w:val="009F7732"/>
    <w:rsid w:val="00A03772"/>
    <w:rsid w:val="00A072AA"/>
    <w:rsid w:val="00A107AD"/>
    <w:rsid w:val="00A1277D"/>
    <w:rsid w:val="00A17CAB"/>
    <w:rsid w:val="00A20C9D"/>
    <w:rsid w:val="00A2267D"/>
    <w:rsid w:val="00A22E1A"/>
    <w:rsid w:val="00A237A0"/>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6109"/>
    <w:rsid w:val="00AF2194"/>
    <w:rsid w:val="00AF3058"/>
    <w:rsid w:val="00AF5E85"/>
    <w:rsid w:val="00B00E5E"/>
    <w:rsid w:val="00B0168D"/>
    <w:rsid w:val="00B035D2"/>
    <w:rsid w:val="00B04494"/>
    <w:rsid w:val="00B067BC"/>
    <w:rsid w:val="00B11EE5"/>
    <w:rsid w:val="00B131DE"/>
    <w:rsid w:val="00B1448F"/>
    <w:rsid w:val="00B16752"/>
    <w:rsid w:val="00B17209"/>
    <w:rsid w:val="00B17781"/>
    <w:rsid w:val="00B20754"/>
    <w:rsid w:val="00B220A3"/>
    <w:rsid w:val="00B26E4F"/>
    <w:rsid w:val="00B34F30"/>
    <w:rsid w:val="00B35FFD"/>
    <w:rsid w:val="00B37DC2"/>
    <w:rsid w:val="00B4011D"/>
    <w:rsid w:val="00B427DC"/>
    <w:rsid w:val="00B451B6"/>
    <w:rsid w:val="00B45BF6"/>
    <w:rsid w:val="00B47625"/>
    <w:rsid w:val="00B47E4D"/>
    <w:rsid w:val="00B52382"/>
    <w:rsid w:val="00B52F7E"/>
    <w:rsid w:val="00B613F5"/>
    <w:rsid w:val="00B61872"/>
    <w:rsid w:val="00B61B71"/>
    <w:rsid w:val="00B62D4B"/>
    <w:rsid w:val="00B7289B"/>
    <w:rsid w:val="00B738F6"/>
    <w:rsid w:val="00B73F94"/>
    <w:rsid w:val="00B74E00"/>
    <w:rsid w:val="00B752F4"/>
    <w:rsid w:val="00B82C8A"/>
    <w:rsid w:val="00B8300F"/>
    <w:rsid w:val="00B833CE"/>
    <w:rsid w:val="00B83AD6"/>
    <w:rsid w:val="00B84489"/>
    <w:rsid w:val="00B85474"/>
    <w:rsid w:val="00B933A2"/>
    <w:rsid w:val="00B95659"/>
    <w:rsid w:val="00B96874"/>
    <w:rsid w:val="00B97DC1"/>
    <w:rsid w:val="00BA3D82"/>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435F"/>
    <w:rsid w:val="00C76B2C"/>
    <w:rsid w:val="00C80811"/>
    <w:rsid w:val="00CA3DDE"/>
    <w:rsid w:val="00CA7705"/>
    <w:rsid w:val="00CB0A14"/>
    <w:rsid w:val="00CB7467"/>
    <w:rsid w:val="00CC24A6"/>
    <w:rsid w:val="00CC35E0"/>
    <w:rsid w:val="00CC4832"/>
    <w:rsid w:val="00CC5657"/>
    <w:rsid w:val="00CE08C3"/>
    <w:rsid w:val="00CE1098"/>
    <w:rsid w:val="00CE675E"/>
    <w:rsid w:val="00CF2062"/>
    <w:rsid w:val="00CF6407"/>
    <w:rsid w:val="00CF6B31"/>
    <w:rsid w:val="00D024E5"/>
    <w:rsid w:val="00D15B95"/>
    <w:rsid w:val="00D220FE"/>
    <w:rsid w:val="00D22523"/>
    <w:rsid w:val="00D2363D"/>
    <w:rsid w:val="00D312B6"/>
    <w:rsid w:val="00D41892"/>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6065"/>
    <w:rsid w:val="00E47429"/>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0B28"/>
    <w:rsid w:val="00ED1E16"/>
    <w:rsid w:val="00ED798C"/>
    <w:rsid w:val="00EE36B9"/>
    <w:rsid w:val="00EE6FBF"/>
    <w:rsid w:val="00EE7E6E"/>
    <w:rsid w:val="00EF2F19"/>
    <w:rsid w:val="00EF7C1F"/>
    <w:rsid w:val="00F01471"/>
    <w:rsid w:val="00F13478"/>
    <w:rsid w:val="00F141C0"/>
    <w:rsid w:val="00F14A6E"/>
    <w:rsid w:val="00F16082"/>
    <w:rsid w:val="00F20C31"/>
    <w:rsid w:val="00F22D13"/>
    <w:rsid w:val="00F23F5F"/>
    <w:rsid w:val="00F30F36"/>
    <w:rsid w:val="00F31F83"/>
    <w:rsid w:val="00F3399B"/>
    <w:rsid w:val="00F36A74"/>
    <w:rsid w:val="00F409C1"/>
    <w:rsid w:val="00F41E1A"/>
    <w:rsid w:val="00F43F6C"/>
    <w:rsid w:val="00F47B15"/>
    <w:rsid w:val="00F50BC2"/>
    <w:rsid w:val="00F51A69"/>
    <w:rsid w:val="00F52F6D"/>
    <w:rsid w:val="00F545EF"/>
    <w:rsid w:val="00F56A46"/>
    <w:rsid w:val="00F60E1A"/>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30F6"/>
    <w:rsid w:val="00F9475B"/>
    <w:rsid w:val="00FA45E3"/>
    <w:rsid w:val="00FB064C"/>
    <w:rsid w:val="00FB5533"/>
    <w:rsid w:val="00FB5963"/>
    <w:rsid w:val="00FB5E33"/>
    <w:rsid w:val="00FC11F2"/>
    <w:rsid w:val="00FC30BC"/>
    <w:rsid w:val="00FC697A"/>
    <w:rsid w:val="00FE0670"/>
    <w:rsid w:val="00FE12B1"/>
    <w:rsid w:val="00FE38C6"/>
    <w:rsid w:val="00FE7254"/>
    <w:rsid w:val="00FE755B"/>
    <w:rsid w:val="00FF1B7D"/>
    <w:rsid w:val="00FF1B8C"/>
    <w:rsid w:val="0EE520E8"/>
    <w:rsid w:val="1394B156"/>
    <w:rsid w:val="15F3EBD7"/>
    <w:rsid w:val="175A116E"/>
    <w:rsid w:val="17BB30AA"/>
    <w:rsid w:val="1861DD19"/>
    <w:rsid w:val="200936E7"/>
    <w:rsid w:val="21894BE0"/>
    <w:rsid w:val="2514B017"/>
    <w:rsid w:val="2BE233F5"/>
    <w:rsid w:val="2D331F9D"/>
    <w:rsid w:val="2D3F1A77"/>
    <w:rsid w:val="3232BB50"/>
    <w:rsid w:val="3936E378"/>
    <w:rsid w:val="3F644C1C"/>
    <w:rsid w:val="40E2C37D"/>
    <w:rsid w:val="41001C7D"/>
    <w:rsid w:val="44C3E103"/>
    <w:rsid w:val="46038A48"/>
    <w:rsid w:val="46E33487"/>
    <w:rsid w:val="490DDEDB"/>
    <w:rsid w:val="4C16315E"/>
    <w:rsid w:val="4D9B90AA"/>
    <w:rsid w:val="4E28FBBE"/>
    <w:rsid w:val="51CA5805"/>
    <w:rsid w:val="59466220"/>
    <w:rsid w:val="65774917"/>
    <w:rsid w:val="701566A2"/>
    <w:rsid w:val="70893F96"/>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styleId="Mention">
    <w:name w:val="Mention"/>
    <w:basedOn w:val="DefaultParagraphFont"/>
    <w:uiPriority w:val="99"/>
    <w:unhideWhenUsed/>
    <w:rsid w:val="00744B8D"/>
    <w:rPr>
      <w:color w:val="2B579A"/>
      <w:shd w:val="clear" w:color="auto" w:fill="E6E6E6"/>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4.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5.xml"/><Relationship Id="rId35" Type="http://schemas.openxmlformats.org/officeDocument/2006/relationships/footer" Target="footer4.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996C2-AF17-43E8-874F-A494E7597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2068</Words>
  <Characters>11789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2021-09-13T07:53:00Z</dcterms:created>
  <dcterms:modified xsi:type="dcterms:W3CDTF">2021-09-13T07:54:00Z</dcterms:modified>
</cp:coreProperties>
</file>