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27A61" w14:textId="77777777" w:rsidR="001D6793" w:rsidRPr="00DE72F6" w:rsidRDefault="001D6793" w:rsidP="001D6793">
      <w:pPr>
        <w:pStyle w:val="Naslov11"/>
      </w:pPr>
      <w:r w:rsidRPr="00DE72F6">
        <w:t>TEKOČA GOSPODARSKA GIBANJA</w:t>
      </w:r>
    </w:p>
    <w:p w14:paraId="069DD334" w14:textId="0D7C4221" w:rsidR="001D6793" w:rsidRDefault="00FA45E3" w:rsidP="001D6793">
      <w:pPr>
        <w:pStyle w:val="Naslov21"/>
      </w:pPr>
      <w:r>
        <w:t xml:space="preserve">od </w:t>
      </w:r>
      <w:r w:rsidR="009A2846">
        <w:t>19</w:t>
      </w:r>
      <w:r w:rsidR="001D6793">
        <w:t xml:space="preserve">. do </w:t>
      </w:r>
      <w:r w:rsidR="00FE12B1">
        <w:t>2</w:t>
      </w:r>
      <w:r w:rsidR="009A2846">
        <w:t>3</w:t>
      </w:r>
      <w:r w:rsidR="001D6793">
        <w:t xml:space="preserve">. </w:t>
      </w:r>
      <w:r w:rsidR="009A2846">
        <w:t>aprila</w:t>
      </w:r>
      <w:r w:rsidR="001D6793">
        <w:t xml:space="preserve"> 20</w:t>
      </w:r>
      <w:r w:rsidR="009A2846">
        <w:t>21</w:t>
      </w:r>
    </w:p>
    <w:p w14:paraId="6FBC1E05" w14:textId="77777777" w:rsidR="00DF4F0B" w:rsidRDefault="00DF4F0B"/>
    <w:p w14:paraId="5905E1E9" w14:textId="46676A73" w:rsidR="007F13BE" w:rsidRDefault="00114A03" w:rsidP="007F13BE">
      <w:pPr>
        <w:tabs>
          <w:tab w:val="left" w:pos="580"/>
        </w:tabs>
      </w:pPr>
      <w:r>
        <w:t>Ponovno s</w:t>
      </w:r>
      <w:r w:rsidR="00AB7E03">
        <w:t xml:space="preserve">proščanje zajezitvenih ukrepov </w:t>
      </w:r>
      <w:r w:rsidR="00D22523">
        <w:t xml:space="preserve">v </w:t>
      </w:r>
      <w:r w:rsidR="00AB7E03">
        <w:t>sredini</w:t>
      </w:r>
      <w:r w:rsidR="00D22523">
        <w:t xml:space="preserve"> aprila </w:t>
      </w:r>
      <w:r>
        <w:t xml:space="preserve">je </w:t>
      </w:r>
      <w:r w:rsidR="00D22523">
        <w:t>ugodno vplivalo na gospodarsko aktivnost in zaupanje</w:t>
      </w:r>
      <w:r w:rsidR="00AB7E03">
        <w:t>. Podatki o davčnem potrjevanju računov kažejo na povečanje prodaje, ki je bila</w:t>
      </w:r>
      <w:r w:rsidR="007F13BE">
        <w:t xml:space="preserve"> </w:t>
      </w:r>
      <w:r w:rsidR="007C4B7A">
        <w:t xml:space="preserve">v tretjem tednu aprila </w:t>
      </w:r>
      <w:r w:rsidR="007F13BE">
        <w:t>samo še</w:t>
      </w:r>
      <w:r w:rsidR="00AB7E03">
        <w:t xml:space="preserve"> </w:t>
      </w:r>
      <w:r>
        <w:t xml:space="preserve">za </w:t>
      </w:r>
      <w:r w:rsidR="00AB7E03">
        <w:t xml:space="preserve">3 % </w:t>
      </w:r>
      <w:r w:rsidR="002D2C05">
        <w:t xml:space="preserve">manjša </w:t>
      </w:r>
      <w:r w:rsidR="00AB7E03">
        <w:t xml:space="preserve">kot v primerljivem tednu predkriznega leta 2019. </w:t>
      </w:r>
      <w:r w:rsidR="002B2898">
        <w:t>S sproščanjem zajezitvenih ukrepov se je zaupanje v trgovini in v storitvenih dejavnostih nekoliko izboljšalo.</w:t>
      </w:r>
      <w:r w:rsidR="002B2898" w:rsidRPr="002B2898">
        <w:t xml:space="preserve"> </w:t>
      </w:r>
      <w:r w:rsidR="002B2898">
        <w:t xml:space="preserve">Zaupanje v predelovalnih dejavnostih </w:t>
      </w:r>
      <w:r>
        <w:t>je ostalo visoko</w:t>
      </w:r>
      <w:r w:rsidR="002B2898">
        <w:t xml:space="preserve">, </w:t>
      </w:r>
      <w:r>
        <w:t xml:space="preserve">v gradbeništvu se je </w:t>
      </w:r>
      <w:r w:rsidR="007F13BE">
        <w:t xml:space="preserve">še </w:t>
      </w:r>
      <w:r w:rsidR="002D2C05">
        <w:t xml:space="preserve">zvišalo </w:t>
      </w:r>
      <w:r>
        <w:t>;</w:t>
      </w:r>
      <w:r w:rsidR="002B2898">
        <w:t xml:space="preserve"> v obeh dejavnostih je bilo višje kot pred epidemijo. Na ugodna gibanja v industriji kažeta tudi </w:t>
      </w:r>
      <w:r w:rsidR="0089056E">
        <w:t xml:space="preserve">poraba elektrike in </w:t>
      </w:r>
      <w:r w:rsidR="002B2898">
        <w:t xml:space="preserve">promet tovornih vozil po slovenskih avtocestah, </w:t>
      </w:r>
      <w:r w:rsidR="002B2898">
        <w:rPr>
          <w:bCs/>
        </w:rPr>
        <w:t xml:space="preserve">ki </w:t>
      </w:r>
      <w:r w:rsidR="0089056E">
        <w:rPr>
          <w:bCs/>
        </w:rPr>
        <w:t xml:space="preserve">sta </w:t>
      </w:r>
      <w:r w:rsidR="002B2898">
        <w:rPr>
          <w:bCs/>
        </w:rPr>
        <w:t>bil</w:t>
      </w:r>
      <w:r w:rsidR="0089056E">
        <w:rPr>
          <w:bCs/>
        </w:rPr>
        <w:t>a</w:t>
      </w:r>
      <w:r w:rsidR="002B2898">
        <w:rPr>
          <w:bCs/>
        </w:rPr>
        <w:t xml:space="preserve"> v tretjem tednu aprila </w:t>
      </w:r>
      <w:r w:rsidR="0089056E">
        <w:rPr>
          <w:bCs/>
        </w:rPr>
        <w:t>blizu oz. višja</w:t>
      </w:r>
      <w:r w:rsidR="002B2898">
        <w:rPr>
          <w:bCs/>
        </w:rPr>
        <w:t xml:space="preserve"> kot v primerljivem tednu pre</w:t>
      </w:r>
      <w:r w:rsidR="007C4B7A">
        <w:rPr>
          <w:bCs/>
        </w:rPr>
        <w:t>d</w:t>
      </w:r>
      <w:r w:rsidR="002B2898">
        <w:rPr>
          <w:bCs/>
        </w:rPr>
        <w:t>kriznega leta.</w:t>
      </w:r>
      <w:r w:rsidR="00E226DD">
        <w:t xml:space="preserve"> </w:t>
      </w:r>
      <w:r w:rsidR="007F13BE">
        <w:rPr>
          <w:bCs/>
        </w:rPr>
        <w:t xml:space="preserve">Nadaljevalo se je tudi </w:t>
      </w:r>
      <w:r w:rsidR="007F13BE">
        <w:t>zmanjševanje števila brezposelnih, ki se je v sredini aprila ob sezonskih dejavnikih še nekoliko okrepilo.</w:t>
      </w:r>
    </w:p>
    <w:p w14:paraId="7851C064" w14:textId="6B7D0A5F" w:rsidR="00FA45E3" w:rsidRDefault="00FA45E3"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9A2846" w:rsidRPr="007A0B59" w14:paraId="14A23B9B" w14:textId="77777777" w:rsidTr="005F38B4">
        <w:trPr>
          <w:trHeight w:val="207"/>
        </w:trPr>
        <w:tc>
          <w:tcPr>
            <w:tcW w:w="4819" w:type="dxa"/>
            <w:tcBorders>
              <w:bottom w:val="single" w:sz="4" w:space="0" w:color="auto"/>
            </w:tcBorders>
            <w:tcMar>
              <w:left w:w="0" w:type="dxa"/>
            </w:tcMar>
          </w:tcPr>
          <w:p w14:paraId="60671801" w14:textId="575EF6BC" w:rsidR="009A2846" w:rsidRPr="007A0B59" w:rsidRDefault="009A2846" w:rsidP="005F38B4">
            <w:pPr>
              <w:pStyle w:val="Naslov31"/>
              <w:jc w:val="left"/>
            </w:pPr>
            <w:r w:rsidRPr="007F13BE">
              <w:t>Davčno potrjevanje računov, april 2021</w:t>
            </w:r>
          </w:p>
        </w:tc>
        <w:tc>
          <w:tcPr>
            <w:tcW w:w="4820" w:type="dxa"/>
            <w:gridSpan w:val="2"/>
            <w:tcBorders>
              <w:bottom w:val="single" w:sz="4" w:space="0" w:color="auto"/>
            </w:tcBorders>
          </w:tcPr>
          <w:p w14:paraId="6E10C6A9" w14:textId="77777777" w:rsidR="009A2846" w:rsidRPr="007A0B59" w:rsidRDefault="009A2846" w:rsidP="005F38B4">
            <w:pPr>
              <w:pStyle w:val="Naslov31"/>
            </w:pPr>
          </w:p>
        </w:tc>
      </w:tr>
      <w:tr w:rsidR="009A2846" w:rsidRPr="00DF4F0B" w14:paraId="24206543" w14:textId="77777777" w:rsidTr="00AB7E03">
        <w:trPr>
          <w:trHeight w:val="2069"/>
        </w:trPr>
        <w:tc>
          <w:tcPr>
            <w:tcW w:w="4982" w:type="dxa"/>
            <w:gridSpan w:val="2"/>
            <w:tcBorders>
              <w:top w:val="single" w:sz="4" w:space="0" w:color="auto"/>
            </w:tcBorders>
            <w:tcMar>
              <w:left w:w="0" w:type="dxa"/>
            </w:tcMar>
          </w:tcPr>
          <w:p w14:paraId="2ED566AD" w14:textId="00B5B6C6" w:rsidR="009A2846" w:rsidRDefault="007F13BE" w:rsidP="005F38B4">
            <w:pPr>
              <w:pStyle w:val="ListParagraph"/>
              <w:ind w:left="0"/>
            </w:pPr>
            <w:r>
              <w:rPr>
                <w:noProof/>
              </w:rPr>
              <w:drawing>
                <wp:inline distT="0" distB="0" distL="0" distR="0" wp14:anchorId="6D957E63" wp14:editId="5631819A">
                  <wp:extent cx="3013200" cy="241920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3200" cy="2419200"/>
                          </a:xfrm>
                          <a:prstGeom prst="rect">
                            <a:avLst/>
                          </a:prstGeom>
                          <a:noFill/>
                        </pic:spPr>
                      </pic:pic>
                    </a:graphicData>
                  </a:graphic>
                </wp:inline>
              </w:drawing>
            </w:r>
          </w:p>
        </w:tc>
        <w:tc>
          <w:tcPr>
            <w:tcW w:w="4657" w:type="dxa"/>
            <w:tcBorders>
              <w:top w:val="single" w:sz="4" w:space="0" w:color="auto"/>
            </w:tcBorders>
            <w:tcMar>
              <w:left w:w="284" w:type="dxa"/>
            </w:tcMar>
          </w:tcPr>
          <w:p w14:paraId="4BD0CB9F" w14:textId="43919781" w:rsidR="009A2846" w:rsidRPr="00DF4F0B" w:rsidRDefault="00AB7E03" w:rsidP="005F38B4">
            <w:r w:rsidRPr="00AB7E03">
              <w:rPr>
                <w:b/>
                <w:bCs/>
              </w:rPr>
              <w:t>Po podatkih o davčnem potrjevanju računov se je prodaja po nihaju navzdol</w:t>
            </w:r>
            <w:r w:rsidR="0089056E">
              <w:rPr>
                <w:b/>
                <w:bCs/>
              </w:rPr>
              <w:t xml:space="preserve"> ob </w:t>
            </w:r>
            <w:r w:rsidRPr="00AB7E03">
              <w:rPr>
                <w:b/>
                <w:bCs/>
              </w:rPr>
              <w:t>prehodne</w:t>
            </w:r>
            <w:r w:rsidR="0089056E">
              <w:rPr>
                <w:b/>
                <w:bCs/>
              </w:rPr>
              <w:t xml:space="preserve">m zaprtju </w:t>
            </w:r>
            <w:r w:rsidRPr="00AB7E03">
              <w:rPr>
                <w:b/>
                <w:bCs/>
              </w:rPr>
              <w:t xml:space="preserve">države v sredini aprila medletno skoraj podvojila in bila za okoli 3 % </w:t>
            </w:r>
            <w:r w:rsidR="002D2C05">
              <w:rPr>
                <w:b/>
                <w:bCs/>
              </w:rPr>
              <w:t>manjša</w:t>
            </w:r>
            <w:r w:rsidR="002D2C05" w:rsidRPr="00AB7E03">
              <w:rPr>
                <w:b/>
                <w:bCs/>
              </w:rPr>
              <w:t xml:space="preserve"> </w:t>
            </w:r>
            <w:r w:rsidRPr="00AB7E03">
              <w:rPr>
                <w:b/>
                <w:bCs/>
              </w:rPr>
              <w:t>kot v enakem obdobju leta 2019.</w:t>
            </w:r>
            <w:r w:rsidRPr="00AB7E03">
              <w:t xml:space="preserve"> Z</w:t>
            </w:r>
            <w:r w:rsidR="002D2C05">
              <w:t>nižanje</w:t>
            </w:r>
            <w:r w:rsidRPr="00AB7E03">
              <w:t xml:space="preserve"> medletne rasti v drugem tednu aprila je bila predvsem posledica ponovnega zaprtja nekaterih nenujnih trgovin in storitev, delno pa tudi različne razporeditve velikonočnih praznikov ter povečane prodaje v tednu pred zaprtjem trgovin. Ob odprtju trgovin in nekaterih storitev se je rast prodaje v tretjem tednu aprila zaradi nizke osnove ponovno močno </w:t>
            </w:r>
            <w:r w:rsidR="002D2C05">
              <w:t>zvišala</w:t>
            </w:r>
            <w:r w:rsidR="002D2C05" w:rsidRPr="00AB7E03">
              <w:t xml:space="preserve"> </w:t>
            </w:r>
            <w:r w:rsidRPr="00AB7E03">
              <w:t xml:space="preserve">in bila za </w:t>
            </w:r>
            <w:r w:rsidR="00114A03">
              <w:t xml:space="preserve">le </w:t>
            </w:r>
            <w:r w:rsidRPr="00AB7E03">
              <w:t>3</w:t>
            </w:r>
            <w:r w:rsidR="007F13BE">
              <w:t> </w:t>
            </w:r>
            <w:r w:rsidRPr="00AB7E03">
              <w:t>% nižja od prodaje iz primerljivega tedna leta 2019. Visoke medletne rasti so zabeležile vse tri glavne panoge trgovine (</w:t>
            </w:r>
            <w:r w:rsidR="0089056E">
              <w:t>najvišje</w:t>
            </w:r>
            <w:r w:rsidRPr="00AB7E03">
              <w:t xml:space="preserve"> trgovin</w:t>
            </w:r>
            <w:r w:rsidR="0089056E">
              <w:t>a</w:t>
            </w:r>
            <w:r w:rsidRPr="00AB7E03">
              <w:t xml:space="preserve"> z motornimi vozili) </w:t>
            </w:r>
            <w:r w:rsidR="00114A03">
              <w:t>ter</w:t>
            </w:r>
            <w:r w:rsidR="00114A03" w:rsidRPr="00AB7E03">
              <w:t xml:space="preserve"> </w:t>
            </w:r>
            <w:r w:rsidRPr="00AB7E03">
              <w:t>strežba jedi in pijače.</w:t>
            </w:r>
          </w:p>
        </w:tc>
      </w:tr>
    </w:tbl>
    <w:p w14:paraId="3703D619" w14:textId="200DFD0A" w:rsidR="00B62D4B" w:rsidRDefault="00B62D4B" w:rsidP="001F51CD">
      <w:pPr>
        <w:tabs>
          <w:tab w:val="left" w:pos="580"/>
        </w:tabs>
      </w:pPr>
    </w:p>
    <w:p w14:paraId="53B13369" w14:textId="03F9B321" w:rsidR="00B62D4B" w:rsidRDefault="00B62D4B">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7F13BE" w:rsidRPr="007A0B59" w14:paraId="5006DF3D" w14:textId="77777777" w:rsidTr="005F38B4">
        <w:trPr>
          <w:trHeight w:val="207"/>
        </w:trPr>
        <w:tc>
          <w:tcPr>
            <w:tcW w:w="4819" w:type="dxa"/>
            <w:tcBorders>
              <w:bottom w:val="single" w:sz="4" w:space="0" w:color="auto"/>
            </w:tcBorders>
            <w:tcMar>
              <w:left w:w="0" w:type="dxa"/>
            </w:tcMar>
          </w:tcPr>
          <w:p w14:paraId="4AC41873" w14:textId="77777777" w:rsidR="007F13BE" w:rsidRPr="007A0B59" w:rsidRDefault="007F13BE" w:rsidP="005F38B4">
            <w:pPr>
              <w:pStyle w:val="Naslov31"/>
              <w:jc w:val="left"/>
            </w:pPr>
            <w:r w:rsidRPr="009A2846">
              <w:lastRenderedPageBreak/>
              <w:t>Registrirane brezposelne osebe, april 2021</w:t>
            </w:r>
          </w:p>
        </w:tc>
        <w:tc>
          <w:tcPr>
            <w:tcW w:w="4820" w:type="dxa"/>
            <w:gridSpan w:val="2"/>
            <w:tcBorders>
              <w:bottom w:val="single" w:sz="4" w:space="0" w:color="auto"/>
            </w:tcBorders>
          </w:tcPr>
          <w:p w14:paraId="5FEADC00" w14:textId="77777777" w:rsidR="007F13BE" w:rsidRPr="007A0B59" w:rsidRDefault="007F13BE" w:rsidP="005F38B4">
            <w:pPr>
              <w:pStyle w:val="Naslov31"/>
            </w:pPr>
          </w:p>
        </w:tc>
      </w:tr>
      <w:tr w:rsidR="007F13BE" w:rsidRPr="00DF4F0B" w14:paraId="3322458A" w14:textId="77777777" w:rsidTr="005F38B4">
        <w:trPr>
          <w:trHeight w:val="1134"/>
        </w:trPr>
        <w:tc>
          <w:tcPr>
            <w:tcW w:w="4982" w:type="dxa"/>
            <w:gridSpan w:val="2"/>
            <w:tcBorders>
              <w:top w:val="single" w:sz="4" w:space="0" w:color="auto"/>
            </w:tcBorders>
            <w:tcMar>
              <w:left w:w="0" w:type="dxa"/>
            </w:tcMar>
          </w:tcPr>
          <w:p w14:paraId="32AF0EF0" w14:textId="77777777" w:rsidR="007F13BE" w:rsidRDefault="007F13BE" w:rsidP="005F38B4">
            <w:pPr>
              <w:pStyle w:val="ListParagraph"/>
              <w:ind w:left="0"/>
            </w:pPr>
            <w:r>
              <w:rPr>
                <w:noProof/>
              </w:rPr>
              <w:drawing>
                <wp:inline distT="0" distB="0" distL="0" distR="0" wp14:anchorId="44D28651" wp14:editId="5B77A5D5">
                  <wp:extent cx="3106800" cy="248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6800" cy="2484000"/>
                          </a:xfrm>
                          <a:prstGeom prst="rect">
                            <a:avLst/>
                          </a:prstGeom>
                          <a:noFill/>
                        </pic:spPr>
                      </pic:pic>
                    </a:graphicData>
                  </a:graphic>
                </wp:inline>
              </w:drawing>
            </w:r>
          </w:p>
        </w:tc>
        <w:tc>
          <w:tcPr>
            <w:tcW w:w="4657" w:type="dxa"/>
            <w:tcBorders>
              <w:top w:val="single" w:sz="4" w:space="0" w:color="auto"/>
            </w:tcBorders>
            <w:tcMar>
              <w:left w:w="284" w:type="dxa"/>
            </w:tcMar>
          </w:tcPr>
          <w:p w14:paraId="00DCD69F" w14:textId="054086E3" w:rsidR="007F13BE" w:rsidRPr="00DF4F0B" w:rsidRDefault="007F13BE" w:rsidP="005F38B4">
            <w:r>
              <w:rPr>
                <w:b/>
                <w:bCs/>
              </w:rPr>
              <w:t>Aprila se je nadaljevalo z</w:t>
            </w:r>
            <w:r w:rsidRPr="00D86FB9">
              <w:rPr>
                <w:b/>
                <w:bCs/>
              </w:rPr>
              <w:t>manjševanje števila registriranih brezposelnih</w:t>
            </w:r>
            <w:r>
              <w:rPr>
                <w:b/>
                <w:bCs/>
              </w:rPr>
              <w:t xml:space="preserve">. </w:t>
            </w:r>
            <w:r w:rsidRPr="00AA6F7A">
              <w:rPr>
                <w:bCs/>
              </w:rPr>
              <w:t xml:space="preserve">Po decembrskem in januarskem povečanju števila brezposelnih, ki ob ohranjanju interventnih ukrepov ni bistveno odstopalo od sezonskih povečanj v enakem obdobju preteklih let, je od februarja do aprila število brezposelnih sezonsko upadlo. </w:t>
            </w:r>
            <w:r w:rsidRPr="001133D0">
              <w:rPr>
                <w:bCs/>
              </w:rPr>
              <w:t xml:space="preserve">22. aprila je bilo po neuradnih (dnevnih) podatkih ZRSZ brezposelnih 79.835 oseb, kar je 3,4 % manj kot konec marca in okoli </w:t>
            </w:r>
            <w:r w:rsidRPr="002D2C05">
              <w:rPr>
                <w:bCs/>
              </w:rPr>
              <w:t>10 % manj kot pred letom</w:t>
            </w:r>
            <w:r w:rsidR="002D2C05" w:rsidRPr="002D2C05">
              <w:rPr>
                <w:rStyle w:val="FootnoteReference"/>
                <w:bCs/>
              </w:rPr>
              <w:t xml:space="preserve"> </w:t>
            </w:r>
            <w:r w:rsidR="002D2C05" w:rsidRPr="002D2C05">
              <w:rPr>
                <w:rStyle w:val="FootnoteReference"/>
                <w:bCs/>
              </w:rPr>
              <w:footnoteReference w:id="1"/>
            </w:r>
            <w:r w:rsidRPr="001133D0">
              <w:rPr>
                <w:bCs/>
              </w:rPr>
              <w:t xml:space="preserve"> </w:t>
            </w:r>
          </w:p>
        </w:tc>
      </w:tr>
      <w:tr w:rsidR="007F13BE" w:rsidRPr="006C2117" w14:paraId="7D216C4F" w14:textId="77777777" w:rsidTr="005F38B4">
        <w:trPr>
          <w:trHeight w:val="207"/>
        </w:trPr>
        <w:tc>
          <w:tcPr>
            <w:tcW w:w="4819" w:type="dxa"/>
            <w:tcBorders>
              <w:bottom w:val="single" w:sz="4" w:space="0" w:color="auto"/>
            </w:tcBorders>
            <w:tcMar>
              <w:left w:w="0" w:type="dxa"/>
            </w:tcMar>
          </w:tcPr>
          <w:p w14:paraId="585B1DAC" w14:textId="77777777" w:rsidR="007F13BE" w:rsidRPr="006C2117" w:rsidRDefault="007F13BE" w:rsidP="005F38B4">
            <w:pPr>
              <w:pStyle w:val="Naslov31"/>
              <w:jc w:val="left"/>
            </w:pPr>
            <w:r w:rsidRPr="00F6635B">
              <w:t>Gospodarska klima, april 2021</w:t>
            </w:r>
          </w:p>
        </w:tc>
        <w:tc>
          <w:tcPr>
            <w:tcW w:w="4820" w:type="dxa"/>
            <w:gridSpan w:val="2"/>
            <w:tcBorders>
              <w:bottom w:val="single" w:sz="4" w:space="0" w:color="auto"/>
            </w:tcBorders>
          </w:tcPr>
          <w:p w14:paraId="3A8E38AF" w14:textId="77777777" w:rsidR="007F13BE" w:rsidRPr="006C2117" w:rsidRDefault="007F13BE" w:rsidP="005F38B4">
            <w:pPr>
              <w:pStyle w:val="Naslov31"/>
            </w:pPr>
          </w:p>
        </w:tc>
      </w:tr>
      <w:tr w:rsidR="007F13BE" w:rsidRPr="00DF4F0B" w14:paraId="792B9271" w14:textId="77777777" w:rsidTr="005F38B4">
        <w:trPr>
          <w:trHeight w:val="1134"/>
        </w:trPr>
        <w:tc>
          <w:tcPr>
            <w:tcW w:w="4982" w:type="dxa"/>
            <w:gridSpan w:val="2"/>
            <w:tcBorders>
              <w:top w:val="single" w:sz="4" w:space="0" w:color="auto"/>
            </w:tcBorders>
            <w:tcMar>
              <w:left w:w="0" w:type="dxa"/>
            </w:tcMar>
          </w:tcPr>
          <w:p w14:paraId="064511A2" w14:textId="77777777" w:rsidR="007F13BE" w:rsidRDefault="007F13BE" w:rsidP="005F38B4">
            <w:pPr>
              <w:pStyle w:val="ListParagraph"/>
              <w:ind w:left="0"/>
            </w:pPr>
            <w:r>
              <w:rPr>
                <w:noProof/>
              </w:rPr>
              <w:drawing>
                <wp:inline distT="0" distB="0" distL="0" distR="0" wp14:anchorId="179E016C" wp14:editId="23A95631">
                  <wp:extent cx="3160800" cy="2412000"/>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0800" cy="2412000"/>
                          </a:xfrm>
                          <a:prstGeom prst="rect">
                            <a:avLst/>
                          </a:prstGeom>
                          <a:noFill/>
                        </pic:spPr>
                      </pic:pic>
                    </a:graphicData>
                  </a:graphic>
                </wp:inline>
              </w:drawing>
            </w:r>
          </w:p>
        </w:tc>
        <w:tc>
          <w:tcPr>
            <w:tcW w:w="4657" w:type="dxa"/>
            <w:tcBorders>
              <w:top w:val="single" w:sz="4" w:space="0" w:color="auto"/>
            </w:tcBorders>
            <w:tcMar>
              <w:left w:w="284" w:type="dxa"/>
            </w:tcMar>
          </w:tcPr>
          <w:p w14:paraId="22C21BF1" w14:textId="2874AE20" w:rsidR="007F13BE" w:rsidRDefault="007F13BE" w:rsidP="005F38B4">
            <w:r w:rsidRPr="001E6813">
              <w:rPr>
                <w:b/>
                <w:bCs/>
              </w:rPr>
              <w:t>Razpoložen</w:t>
            </w:r>
            <w:r>
              <w:rPr>
                <w:b/>
                <w:bCs/>
              </w:rPr>
              <w:t xml:space="preserve">je v gospodarstvu se je aprila še nekoliko izboljšalo. </w:t>
            </w:r>
            <w:r>
              <w:t xml:space="preserve">Z napovedanim sproščanjem nekaterih zajezitvenih ukrepov in ponovnim odpiranjem javnega življenja </w:t>
            </w:r>
            <w:r w:rsidR="00114A03">
              <w:t xml:space="preserve">sredi meseca </w:t>
            </w:r>
            <w:r>
              <w:t xml:space="preserve">se je izboljšalo predvsem zaupanje v trgovini, deloma pa tudi v storitvenih dejavnostih. Že več mesecev se izboljšuje tudi zaupanje v gradbeništvu, ki je najvišje v zadnjih dveh letih. </w:t>
            </w:r>
            <w:r w:rsidRPr="00156230">
              <w:rPr>
                <w:bCs/>
              </w:rPr>
              <w:t xml:space="preserve">Zaupanje v izvoznem delu gospodarstva </w:t>
            </w:r>
            <w:r>
              <w:rPr>
                <w:bCs/>
              </w:rPr>
              <w:t xml:space="preserve">se aprila ni bistveno spremenilo in je </w:t>
            </w:r>
            <w:r w:rsidR="00114A03">
              <w:rPr>
                <w:bCs/>
              </w:rPr>
              <w:t>ostalo</w:t>
            </w:r>
            <w:r w:rsidR="00114A03" w:rsidRPr="00156230">
              <w:rPr>
                <w:bCs/>
              </w:rPr>
              <w:t xml:space="preserve"> </w:t>
            </w:r>
            <w:r w:rsidRPr="00156230">
              <w:rPr>
                <w:bCs/>
              </w:rPr>
              <w:t xml:space="preserve">na višjih ravneh kot pred </w:t>
            </w:r>
            <w:r>
              <w:rPr>
                <w:bCs/>
              </w:rPr>
              <w:t>epidemij</w:t>
            </w:r>
            <w:r w:rsidR="00114A03">
              <w:rPr>
                <w:bCs/>
              </w:rPr>
              <w:t>o</w:t>
            </w:r>
            <w:r w:rsidRPr="00156230">
              <w:rPr>
                <w:bCs/>
              </w:rPr>
              <w:t>.</w:t>
            </w:r>
            <w:r w:rsidRPr="00156230">
              <w:t xml:space="preserve"> </w:t>
            </w:r>
            <w:r>
              <w:t xml:space="preserve">Nadalje pa se je poslabšalo zaupanje potrošnikov, ki </w:t>
            </w:r>
            <w:r w:rsidR="00114A03">
              <w:t>tudi</w:t>
            </w:r>
            <w:r>
              <w:t xml:space="preserve"> ostaja zelo nizko. </w:t>
            </w:r>
          </w:p>
          <w:p w14:paraId="0BB6A6D9" w14:textId="77777777" w:rsidR="007F13BE" w:rsidRPr="00DF4F0B" w:rsidRDefault="007F13BE" w:rsidP="005F38B4"/>
        </w:tc>
      </w:tr>
      <w:tr w:rsidR="00363E63" w14:paraId="5DF1605F" w14:textId="77777777" w:rsidTr="00AC2B70">
        <w:trPr>
          <w:trHeight w:val="207"/>
        </w:trPr>
        <w:tc>
          <w:tcPr>
            <w:tcW w:w="4819" w:type="dxa"/>
            <w:tcBorders>
              <w:bottom w:val="single" w:sz="4" w:space="0" w:color="auto"/>
            </w:tcBorders>
            <w:tcMar>
              <w:left w:w="0" w:type="dxa"/>
            </w:tcMar>
          </w:tcPr>
          <w:p w14:paraId="66FE8901" w14:textId="46D1984A" w:rsidR="00363E63" w:rsidRPr="006C2117" w:rsidRDefault="009A2846" w:rsidP="00731B6F">
            <w:pPr>
              <w:pStyle w:val="Naslov31"/>
              <w:jc w:val="left"/>
            </w:pPr>
            <w:r w:rsidRPr="009A2846">
              <w:t xml:space="preserve">Promet elektronsko </w:t>
            </w:r>
            <w:proofErr w:type="spellStart"/>
            <w:r w:rsidRPr="009A2846">
              <w:t>cestninjenih</w:t>
            </w:r>
            <w:proofErr w:type="spellEnd"/>
            <w:r w:rsidRPr="009A2846">
              <w:t xml:space="preserve"> vozil na slovenskih avtocestah, april 2021</w:t>
            </w:r>
          </w:p>
        </w:tc>
        <w:tc>
          <w:tcPr>
            <w:tcW w:w="4820" w:type="dxa"/>
            <w:gridSpan w:val="2"/>
            <w:tcBorders>
              <w:bottom w:val="single" w:sz="4" w:space="0" w:color="auto"/>
            </w:tcBorders>
          </w:tcPr>
          <w:p w14:paraId="4DDACCD8" w14:textId="77777777" w:rsidR="00363E63" w:rsidRPr="006C2117" w:rsidRDefault="00363E63" w:rsidP="00EB0D39">
            <w:pPr>
              <w:pStyle w:val="Naslov31"/>
            </w:pPr>
          </w:p>
        </w:tc>
      </w:tr>
      <w:tr w:rsidR="00652795" w14:paraId="79DD09C9" w14:textId="77777777" w:rsidTr="00EB0D39">
        <w:trPr>
          <w:trHeight w:val="1134"/>
        </w:trPr>
        <w:tc>
          <w:tcPr>
            <w:tcW w:w="4982" w:type="dxa"/>
            <w:gridSpan w:val="2"/>
            <w:tcBorders>
              <w:top w:val="single" w:sz="4" w:space="0" w:color="auto"/>
            </w:tcBorders>
            <w:tcMar>
              <w:left w:w="0" w:type="dxa"/>
            </w:tcMar>
          </w:tcPr>
          <w:p w14:paraId="100AF78E" w14:textId="36970A39" w:rsidR="00652795" w:rsidRDefault="00C153F9" w:rsidP="00EB0D39">
            <w:pPr>
              <w:pStyle w:val="ListParagraph"/>
              <w:ind w:left="0"/>
            </w:pPr>
            <w:r>
              <w:rPr>
                <w:noProof/>
              </w:rPr>
              <w:drawing>
                <wp:inline distT="0" distB="0" distL="0" distR="0" wp14:anchorId="01E31CE4" wp14:editId="5B6FF982">
                  <wp:extent cx="3092400" cy="248760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2487600"/>
                          </a:xfrm>
                          <a:prstGeom prst="rect">
                            <a:avLst/>
                          </a:prstGeom>
                          <a:noFill/>
                        </pic:spPr>
                      </pic:pic>
                    </a:graphicData>
                  </a:graphic>
                </wp:inline>
              </w:drawing>
            </w:r>
          </w:p>
        </w:tc>
        <w:tc>
          <w:tcPr>
            <w:tcW w:w="4657" w:type="dxa"/>
            <w:tcBorders>
              <w:top w:val="single" w:sz="4" w:space="0" w:color="auto"/>
            </w:tcBorders>
            <w:tcMar>
              <w:left w:w="284" w:type="dxa"/>
            </w:tcMar>
          </w:tcPr>
          <w:p w14:paraId="0FC7AA4D" w14:textId="54B8610C" w:rsidR="00652795" w:rsidRPr="00DF4F0B" w:rsidRDefault="009A2846" w:rsidP="00EB0D39">
            <w:r w:rsidRPr="00C153F9">
              <w:rPr>
                <w:b/>
                <w:bCs/>
              </w:rPr>
              <w:t>Promet tovornih vozil na slovenskih avtocestah je bil v tretjem tednu aprila medletno večji za 93</w:t>
            </w:r>
            <w:r w:rsidR="00E226DD">
              <w:rPr>
                <w:b/>
                <w:bCs/>
              </w:rPr>
              <w:t> </w:t>
            </w:r>
            <w:r w:rsidRPr="00C153F9">
              <w:rPr>
                <w:b/>
                <w:bCs/>
              </w:rPr>
              <w:t>%, v primerjavi z enakim obdobjem leta 2019 pa za 9</w:t>
            </w:r>
            <w:r w:rsidR="00E226DD">
              <w:rPr>
                <w:b/>
                <w:bCs/>
              </w:rPr>
              <w:t> </w:t>
            </w:r>
            <w:r w:rsidRPr="00C153F9">
              <w:rPr>
                <w:b/>
                <w:bCs/>
              </w:rPr>
              <w:t>%.</w:t>
            </w:r>
            <w:r w:rsidRPr="009A2846">
              <w:t xml:space="preserve"> Med 12. in 18. aprilom je bil promet domačih vozil medletno večji za 62</w:t>
            </w:r>
            <w:r w:rsidR="00E226DD">
              <w:t> </w:t>
            </w:r>
            <w:r w:rsidRPr="009A2846">
              <w:t>%, tujih pa za 121</w:t>
            </w:r>
            <w:r w:rsidR="00E226DD">
              <w:t> </w:t>
            </w:r>
            <w:r w:rsidRPr="009A2846">
              <w:t>%. Tako visok</w:t>
            </w:r>
            <w:r w:rsidR="00114A03">
              <w:t>a</w:t>
            </w:r>
            <w:r w:rsidRPr="009A2846">
              <w:t xml:space="preserve"> medletn</w:t>
            </w:r>
            <w:r w:rsidR="00114A03">
              <w:t>a</w:t>
            </w:r>
            <w:r w:rsidRPr="009A2846">
              <w:t xml:space="preserve"> rast </w:t>
            </w:r>
            <w:r w:rsidR="00114A03">
              <w:t>je predvsem posledica</w:t>
            </w:r>
            <w:r w:rsidRPr="009A2846">
              <w:t xml:space="preserve"> učinka osnove, saj </w:t>
            </w:r>
            <w:r w:rsidR="00F50BC2">
              <w:t xml:space="preserve">se </w:t>
            </w:r>
            <w:r w:rsidRPr="009A2846">
              <w:t xml:space="preserve">je v enakem obdobju lani promet zaradi strogih zajezitvenih ukrepov ob prvem valu epidemije močno </w:t>
            </w:r>
            <w:r w:rsidR="00F50BC2">
              <w:t xml:space="preserve">zmanjšal </w:t>
            </w:r>
            <w:r w:rsidRPr="009A2846">
              <w:t xml:space="preserve">(dodatno še zaradi delovnega dneva manj ob velikonočnih praznikih). </w:t>
            </w:r>
            <w:r w:rsidR="00114A03">
              <w:t>V</w:t>
            </w:r>
            <w:r w:rsidR="00114A03" w:rsidRPr="009A2846">
              <w:t xml:space="preserve"> tretjem tednu aprila </w:t>
            </w:r>
            <w:r w:rsidR="00114A03">
              <w:t>je bil o</w:t>
            </w:r>
            <w:r w:rsidRPr="009A2846">
              <w:t xml:space="preserve">bseg prometa tovornih vozil po dveh skromnejših tednih zaradi praznikov in vremena spet zelo velik in </w:t>
            </w:r>
            <w:r w:rsidR="00114A03">
              <w:t>tudi</w:t>
            </w:r>
            <w:r w:rsidRPr="009A2846">
              <w:t xml:space="preserve"> precej </w:t>
            </w:r>
            <w:r w:rsidR="002D2C05">
              <w:t>večji</w:t>
            </w:r>
            <w:r w:rsidR="002D2C05" w:rsidRPr="009A2846">
              <w:t xml:space="preserve"> </w:t>
            </w:r>
            <w:r w:rsidRPr="009A2846">
              <w:t>kot v enakem obdobju predkriznega leta 2019 (pri domačih vozilih za 7</w:t>
            </w:r>
            <w:r w:rsidR="00E226DD">
              <w:t> </w:t>
            </w:r>
            <w:r w:rsidRPr="009A2846">
              <w:t>% in pri tujih za 11</w:t>
            </w:r>
            <w:r w:rsidR="00E226DD">
              <w:t> </w:t>
            </w:r>
            <w:r w:rsidRPr="009A2846">
              <w:t>%).</w:t>
            </w:r>
          </w:p>
        </w:tc>
      </w:tr>
    </w:tbl>
    <w:p w14:paraId="4A12EEDB" w14:textId="77777777" w:rsidR="00363E63" w:rsidRDefault="00363E63" w:rsidP="00363E63">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14:paraId="17E1B550" w14:textId="77777777" w:rsidTr="0058360C">
        <w:trPr>
          <w:trHeight w:val="207"/>
        </w:trPr>
        <w:tc>
          <w:tcPr>
            <w:tcW w:w="4819" w:type="dxa"/>
            <w:tcBorders>
              <w:bottom w:val="single" w:sz="4" w:space="0" w:color="auto"/>
            </w:tcBorders>
            <w:tcMar>
              <w:left w:w="0" w:type="dxa"/>
            </w:tcMar>
          </w:tcPr>
          <w:p w14:paraId="74E10295" w14:textId="00302522" w:rsidR="00363E63" w:rsidRPr="006C2117" w:rsidRDefault="009A2846" w:rsidP="00731B6F">
            <w:pPr>
              <w:pStyle w:val="Naslov31"/>
              <w:jc w:val="left"/>
            </w:pPr>
            <w:r w:rsidRPr="00B62D4B">
              <w:t>Poraba elektrike, april 2021</w:t>
            </w:r>
          </w:p>
        </w:tc>
        <w:tc>
          <w:tcPr>
            <w:tcW w:w="4820" w:type="dxa"/>
            <w:gridSpan w:val="2"/>
            <w:tcBorders>
              <w:bottom w:val="single" w:sz="4" w:space="0" w:color="auto"/>
            </w:tcBorders>
          </w:tcPr>
          <w:p w14:paraId="772D173F" w14:textId="77777777" w:rsidR="00363E63" w:rsidRPr="006C2117" w:rsidRDefault="00363E63" w:rsidP="0058360C">
            <w:pPr>
              <w:pStyle w:val="Naslov31"/>
            </w:pPr>
          </w:p>
        </w:tc>
      </w:tr>
      <w:tr w:rsidR="00363E63" w14:paraId="03A45C4E" w14:textId="77777777" w:rsidTr="0058360C">
        <w:trPr>
          <w:trHeight w:val="1134"/>
        </w:trPr>
        <w:tc>
          <w:tcPr>
            <w:tcW w:w="4982" w:type="dxa"/>
            <w:gridSpan w:val="2"/>
            <w:tcBorders>
              <w:top w:val="single" w:sz="4" w:space="0" w:color="auto"/>
            </w:tcBorders>
            <w:tcMar>
              <w:left w:w="0" w:type="dxa"/>
            </w:tcMar>
          </w:tcPr>
          <w:p w14:paraId="48F5876B" w14:textId="0DDE3E56" w:rsidR="00363E63" w:rsidRDefault="00C22B80" w:rsidP="0058360C">
            <w:pPr>
              <w:pStyle w:val="ListParagraph"/>
              <w:ind w:left="0"/>
            </w:pPr>
            <w:r>
              <w:rPr>
                <w:noProof/>
              </w:rPr>
              <w:drawing>
                <wp:inline distT="0" distB="0" distL="0" distR="0" wp14:anchorId="25289B68" wp14:editId="220A1A53">
                  <wp:extent cx="3006000" cy="24228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6000" cy="2422800"/>
                          </a:xfrm>
                          <a:prstGeom prst="rect">
                            <a:avLst/>
                          </a:prstGeom>
                          <a:noFill/>
                        </pic:spPr>
                      </pic:pic>
                    </a:graphicData>
                  </a:graphic>
                </wp:inline>
              </w:drawing>
            </w:r>
          </w:p>
        </w:tc>
        <w:tc>
          <w:tcPr>
            <w:tcW w:w="4657" w:type="dxa"/>
            <w:tcBorders>
              <w:top w:val="single" w:sz="4" w:space="0" w:color="auto"/>
            </w:tcBorders>
            <w:tcMar>
              <w:left w:w="284" w:type="dxa"/>
            </w:tcMar>
          </w:tcPr>
          <w:p w14:paraId="0E58E70B" w14:textId="09DD9A6F" w:rsidR="00363E63" w:rsidRPr="00DF4F0B" w:rsidRDefault="00B62D4B" w:rsidP="0058360C">
            <w:r w:rsidRPr="00B62D4B">
              <w:rPr>
                <w:b/>
                <w:bCs/>
              </w:rPr>
              <w:t>Poraba elektrike je bila v tednu med 12. in 16. aprilom medletno večja za 12 %, v primerjavi z istim tednom leta 2019 pa je zaostajala le še za 1 %.</w:t>
            </w:r>
            <w:r w:rsidRPr="00B62D4B">
              <w:t xml:space="preserve"> Razlog za manjši zaostanek za predkrizno ravnjo kot v prejšnjih dveh tednih (v povprečju je znašal okoli 8</w:t>
            </w:r>
            <w:r>
              <w:t> </w:t>
            </w:r>
            <w:r w:rsidRPr="00B62D4B">
              <w:t>%) je v sproščanju ukrepov po njihovi zaostritvi na začetku aprila, za medletno večjo porabo pa v učinku osnove. Predvsem zaradi učinka osnove so medletno večjo porabo beležile tudi naše najpomembnejše trgovinske partnerice, od 5 % v Franciji do 36 % v Italiji. Glede na primerljivi teden leta 2019 je največji upad porabe beležila Francija (17 %), v Avstriji je znašal 4 %, v Italiji pa 2 %. Na Hrvaškem in v Nemčiji pa je bila poraba večja za 3 oz. 5 %.</w:t>
            </w:r>
          </w:p>
        </w:tc>
      </w:tr>
      <w:tr w:rsidR="00ED1E16" w:rsidRPr="006C2117" w14:paraId="37B04ADD" w14:textId="77777777" w:rsidTr="005F38B4">
        <w:trPr>
          <w:trHeight w:val="207"/>
        </w:trPr>
        <w:tc>
          <w:tcPr>
            <w:tcW w:w="4819" w:type="dxa"/>
            <w:tcBorders>
              <w:bottom w:val="single" w:sz="4" w:space="0" w:color="auto"/>
            </w:tcBorders>
            <w:tcMar>
              <w:left w:w="0" w:type="dxa"/>
            </w:tcMar>
          </w:tcPr>
          <w:p w14:paraId="15B356A9" w14:textId="72AF33A5" w:rsidR="00ED1E16" w:rsidRPr="006C2117" w:rsidRDefault="00B62D4B" w:rsidP="005F38B4">
            <w:pPr>
              <w:pStyle w:val="Naslov31"/>
              <w:jc w:val="left"/>
            </w:pPr>
            <w:r w:rsidRPr="00B62D4B">
              <w:t>Poraba elektrike po odjemnih skupinah, marec 2021</w:t>
            </w:r>
          </w:p>
        </w:tc>
        <w:tc>
          <w:tcPr>
            <w:tcW w:w="4820" w:type="dxa"/>
            <w:gridSpan w:val="2"/>
            <w:tcBorders>
              <w:bottom w:val="single" w:sz="4" w:space="0" w:color="auto"/>
            </w:tcBorders>
          </w:tcPr>
          <w:p w14:paraId="1C10483F" w14:textId="77777777" w:rsidR="00ED1E16" w:rsidRPr="006C2117" w:rsidRDefault="00ED1E16" w:rsidP="005F38B4">
            <w:pPr>
              <w:pStyle w:val="Naslov31"/>
            </w:pPr>
          </w:p>
        </w:tc>
      </w:tr>
      <w:tr w:rsidR="00ED1E16" w:rsidRPr="00DF4F0B" w14:paraId="32F81D5D" w14:textId="77777777" w:rsidTr="005F38B4">
        <w:trPr>
          <w:trHeight w:val="1134"/>
        </w:trPr>
        <w:tc>
          <w:tcPr>
            <w:tcW w:w="4982" w:type="dxa"/>
            <w:gridSpan w:val="2"/>
            <w:tcBorders>
              <w:top w:val="single" w:sz="4" w:space="0" w:color="auto"/>
            </w:tcBorders>
            <w:tcMar>
              <w:left w:w="0" w:type="dxa"/>
            </w:tcMar>
          </w:tcPr>
          <w:p w14:paraId="0134E00C" w14:textId="448269C8" w:rsidR="00ED1E16" w:rsidRDefault="00822375" w:rsidP="005F38B4">
            <w:pPr>
              <w:pStyle w:val="ListParagraph"/>
              <w:ind w:left="0"/>
            </w:pPr>
            <w:r>
              <w:rPr>
                <w:noProof/>
              </w:rPr>
              <w:drawing>
                <wp:inline distT="0" distB="0" distL="0" distR="0" wp14:anchorId="28AD7F19" wp14:editId="5A20F4B9">
                  <wp:extent cx="2973600" cy="248760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3600" cy="2487600"/>
                          </a:xfrm>
                          <a:prstGeom prst="rect">
                            <a:avLst/>
                          </a:prstGeom>
                          <a:noFill/>
                        </pic:spPr>
                      </pic:pic>
                    </a:graphicData>
                  </a:graphic>
                </wp:inline>
              </w:drawing>
            </w:r>
          </w:p>
        </w:tc>
        <w:tc>
          <w:tcPr>
            <w:tcW w:w="4657" w:type="dxa"/>
            <w:tcBorders>
              <w:top w:val="single" w:sz="4" w:space="0" w:color="auto"/>
            </w:tcBorders>
            <w:tcMar>
              <w:left w:w="284" w:type="dxa"/>
            </w:tcMar>
          </w:tcPr>
          <w:p w14:paraId="6483E514" w14:textId="6137E2C2" w:rsidR="00ED1E16" w:rsidRPr="00DF4F0B" w:rsidRDefault="00B62D4B" w:rsidP="005F38B4">
            <w:r w:rsidRPr="00B62D4B">
              <w:rPr>
                <w:b/>
                <w:bCs/>
              </w:rPr>
              <w:t>Marca sta bili porabi industrijskega in poslovnega odjema elek</w:t>
            </w:r>
            <w:r w:rsidR="007C4B7A">
              <w:rPr>
                <w:b/>
                <w:bCs/>
              </w:rPr>
              <w:t>t</w:t>
            </w:r>
            <w:r w:rsidRPr="00B62D4B">
              <w:rPr>
                <w:b/>
                <w:bCs/>
              </w:rPr>
              <w:t>rike medletno večji, v primerjavi z enakim obdobjem leta 2019 pa nista bistveno zaostajali.</w:t>
            </w:r>
            <w:r w:rsidRPr="00B62D4B">
              <w:t xml:space="preserve"> Industrijska poraba elektrike je bila marca medletno večja za 8,1</w:t>
            </w:r>
            <w:r>
              <w:t> </w:t>
            </w:r>
            <w:r w:rsidRPr="00B62D4B">
              <w:t>%, poraba poslovnega odjema</w:t>
            </w:r>
            <w:r w:rsidR="00C52613">
              <w:t xml:space="preserve"> </w:t>
            </w:r>
            <w:r w:rsidRPr="00B62D4B">
              <w:t>pa za 4,1</w:t>
            </w:r>
            <w:r>
              <w:t> </w:t>
            </w:r>
            <w:r w:rsidRPr="00B62D4B">
              <w:t>%. Razlog je zlasti v učinku osnove, saj se je lani v sredini marca ob začetku epidemije poraba elektrike zaradi sprejetja strogih zajezitvenih ukrepov občutno zmanjšala. Gospodinjska poraba elektrike je bila</w:t>
            </w:r>
            <w:r>
              <w:t>,</w:t>
            </w:r>
            <w:r w:rsidRPr="00B62D4B">
              <w:t xml:space="preserve"> ob večjem ostajanju doma zaradi epidemije</w:t>
            </w:r>
            <w:r>
              <w:t>,</w:t>
            </w:r>
            <w:r w:rsidRPr="00B62D4B">
              <w:t xml:space="preserve"> medletno večja za 3,6</w:t>
            </w:r>
            <w:r>
              <w:t> </w:t>
            </w:r>
            <w:r w:rsidRPr="00B62D4B">
              <w:t>%. V primerjavi z marcem leta 2019 je poraba industrijskega odjema zaostajala za 1,4</w:t>
            </w:r>
            <w:r>
              <w:t> </w:t>
            </w:r>
            <w:r w:rsidRPr="00B62D4B">
              <w:t>%, poslovnega za 5,3</w:t>
            </w:r>
            <w:r>
              <w:t> </w:t>
            </w:r>
            <w:r w:rsidRPr="00B62D4B">
              <w:t>%, gospodinjska poraba pa je bila večja za 12,8</w:t>
            </w:r>
            <w:r>
              <w:t> </w:t>
            </w:r>
            <w:r w:rsidRPr="00B62D4B">
              <w:t>%.</w:t>
            </w:r>
          </w:p>
        </w:tc>
      </w:tr>
      <w:tr w:rsidR="009A2846" w:rsidRPr="006C2117" w14:paraId="212F4B3B" w14:textId="77777777" w:rsidTr="005F38B4">
        <w:trPr>
          <w:trHeight w:val="207"/>
        </w:trPr>
        <w:tc>
          <w:tcPr>
            <w:tcW w:w="4819" w:type="dxa"/>
            <w:tcBorders>
              <w:bottom w:val="single" w:sz="4" w:space="0" w:color="auto"/>
            </w:tcBorders>
            <w:tcMar>
              <w:left w:w="0" w:type="dxa"/>
            </w:tcMar>
          </w:tcPr>
          <w:p w14:paraId="55C93752" w14:textId="5371B744" w:rsidR="009A2846" w:rsidRPr="006C2117" w:rsidRDefault="009A2846" w:rsidP="005F38B4">
            <w:pPr>
              <w:pStyle w:val="Naslov31"/>
              <w:jc w:val="left"/>
            </w:pPr>
            <w:r w:rsidRPr="006F7AE7">
              <w:t xml:space="preserve">Cene industrijskih proizvodov slovenskih proizvajalcev, </w:t>
            </w:r>
            <w:r>
              <w:t>marec</w:t>
            </w:r>
            <w:r w:rsidRPr="006F7AE7">
              <w:t xml:space="preserve"> 2021</w:t>
            </w:r>
          </w:p>
        </w:tc>
        <w:tc>
          <w:tcPr>
            <w:tcW w:w="4820" w:type="dxa"/>
            <w:gridSpan w:val="2"/>
            <w:tcBorders>
              <w:bottom w:val="single" w:sz="4" w:space="0" w:color="auto"/>
            </w:tcBorders>
          </w:tcPr>
          <w:p w14:paraId="235C261F" w14:textId="77777777" w:rsidR="009A2846" w:rsidRPr="006C2117" w:rsidRDefault="009A2846" w:rsidP="005F38B4">
            <w:pPr>
              <w:pStyle w:val="Naslov31"/>
            </w:pPr>
          </w:p>
        </w:tc>
      </w:tr>
      <w:tr w:rsidR="009A2846" w:rsidRPr="00DF4F0B" w14:paraId="62503809" w14:textId="77777777" w:rsidTr="005F38B4">
        <w:trPr>
          <w:trHeight w:val="1134"/>
        </w:trPr>
        <w:tc>
          <w:tcPr>
            <w:tcW w:w="4982" w:type="dxa"/>
            <w:gridSpan w:val="2"/>
            <w:tcBorders>
              <w:top w:val="single" w:sz="4" w:space="0" w:color="auto"/>
            </w:tcBorders>
            <w:tcMar>
              <w:left w:w="0" w:type="dxa"/>
            </w:tcMar>
          </w:tcPr>
          <w:p w14:paraId="2E65D35A" w14:textId="4A455FF7" w:rsidR="009A2846" w:rsidRDefault="00F6635B" w:rsidP="005F38B4">
            <w:pPr>
              <w:pStyle w:val="ListParagraph"/>
              <w:ind w:left="0"/>
            </w:pPr>
            <w:r>
              <w:rPr>
                <w:noProof/>
              </w:rPr>
              <w:drawing>
                <wp:inline distT="0" distB="0" distL="0" distR="0" wp14:anchorId="61B7D039" wp14:editId="499D6A3F">
                  <wp:extent cx="3207600" cy="245520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7600" cy="2455200"/>
                          </a:xfrm>
                          <a:prstGeom prst="rect">
                            <a:avLst/>
                          </a:prstGeom>
                          <a:noFill/>
                        </pic:spPr>
                      </pic:pic>
                    </a:graphicData>
                  </a:graphic>
                </wp:inline>
              </w:drawing>
            </w:r>
          </w:p>
        </w:tc>
        <w:tc>
          <w:tcPr>
            <w:tcW w:w="4657" w:type="dxa"/>
            <w:tcBorders>
              <w:top w:val="single" w:sz="4" w:space="0" w:color="auto"/>
            </w:tcBorders>
            <w:tcMar>
              <w:left w:w="284" w:type="dxa"/>
            </w:tcMar>
          </w:tcPr>
          <w:p w14:paraId="1369F106" w14:textId="0467DCBF" w:rsidR="009A2846" w:rsidRPr="00DF4F0B" w:rsidRDefault="00C153F9" w:rsidP="005F38B4">
            <w:r w:rsidRPr="00C153F9">
              <w:rPr>
                <w:b/>
                <w:bCs/>
              </w:rPr>
              <w:t xml:space="preserve">Medletna rast cen industrijskih proizvodov slovenskih proizvajalcev se je marca ob višji rasti cen na domačem </w:t>
            </w:r>
            <w:r w:rsidR="0089056E">
              <w:rPr>
                <w:b/>
                <w:bCs/>
              </w:rPr>
              <w:t>in</w:t>
            </w:r>
            <w:r w:rsidRPr="00C153F9">
              <w:rPr>
                <w:b/>
                <w:bCs/>
              </w:rPr>
              <w:t xml:space="preserve"> tujih trgih ponovno okrepila in dosegla 2</w:t>
            </w:r>
            <w:r w:rsidR="00E226DD">
              <w:rPr>
                <w:b/>
                <w:bCs/>
              </w:rPr>
              <w:t> </w:t>
            </w:r>
            <w:r w:rsidRPr="00C153F9">
              <w:rPr>
                <w:b/>
                <w:bCs/>
              </w:rPr>
              <w:t>%.</w:t>
            </w:r>
            <w:r w:rsidRPr="00C153F9">
              <w:t xml:space="preserve"> Cene na domačem trgu še naprej poganja rast cen proizvodov iz skupine surovin in investicij, marca pa se je precej okrepila tudi rast cen energentov. Slednje je veliki meri posledica nižje osnove, ko je vlada ob prvem valu epidemije določenim manjšim poslovnim odjemalcem oprostila plačila prispevkov za električno energijo. Rast cen proizvodov za široko porabo ob sk</w:t>
            </w:r>
            <w:r>
              <w:t>r</w:t>
            </w:r>
            <w:r w:rsidRPr="00C153F9">
              <w:t>omnejšem trošenju gospodinjstev ostaja nizka. Na tujih trgih pa k rasti cen še naprej največ prispevajo višje cene proizvodov za investicije, marca so bile (po skoraj dveh letih</w:t>
            </w:r>
            <w:r w:rsidR="00C52613">
              <w:t xml:space="preserve"> </w:t>
            </w:r>
            <w:r w:rsidRPr="00C153F9">
              <w:t>zniževanja) medletno višje tudi cene v skupini surovin.</w:t>
            </w:r>
            <w:r w:rsidR="00C52613">
              <w:t xml:space="preserve"> </w:t>
            </w:r>
          </w:p>
        </w:tc>
      </w:tr>
    </w:tbl>
    <w:p w14:paraId="10686BD4" w14:textId="77777777" w:rsidR="00FE7254" w:rsidRDefault="00FE7254" w:rsidP="00FE7254"/>
    <w:p w14:paraId="10FD515A" w14:textId="77777777" w:rsidR="00FE7254" w:rsidRPr="00FE7254" w:rsidRDefault="00FE7254" w:rsidP="00FE7254">
      <w:pPr>
        <w:sectPr w:rsidR="00FE7254" w:rsidRPr="00FE7254" w:rsidSect="00363E63">
          <w:footerReference w:type="default" r:id="rId15"/>
          <w:headerReference w:type="first" r:id="rId16"/>
          <w:footerReference w:type="first" r:id="rId17"/>
          <w:type w:val="continuous"/>
          <w:pgSz w:w="11906" w:h="16838"/>
          <w:pgMar w:top="1134" w:right="1134" w:bottom="1021" w:left="1134" w:header="709" w:footer="397" w:gutter="0"/>
          <w:cols w:space="708"/>
          <w:titlePg/>
          <w:docGrid w:linePitch="360"/>
        </w:sectPr>
      </w:pPr>
    </w:p>
    <w:p w14:paraId="6126990C" w14:textId="77777777" w:rsidR="00652795" w:rsidRDefault="00652795" w:rsidP="001F51CD">
      <w:pPr>
        <w:tabs>
          <w:tab w:val="left" w:pos="580"/>
        </w:tabs>
      </w:pPr>
    </w:p>
    <w:p w14:paraId="20CA59C5" w14:textId="53EFABAB" w:rsidR="00FE7254" w:rsidRPr="00FE7254" w:rsidRDefault="001133D0" w:rsidP="00DF3707">
      <w:pPr>
        <w:tabs>
          <w:tab w:val="left" w:pos="580"/>
        </w:tabs>
        <w:sectPr w:rsidR="00FE7254" w:rsidRPr="00FE7254" w:rsidSect="00363E63">
          <w:headerReference w:type="default" r:id="rId18"/>
          <w:footerReference w:type="default" r:id="rId19"/>
          <w:pgSz w:w="11906" w:h="16838"/>
          <w:pgMar w:top="1134" w:right="1134" w:bottom="1021" w:left="1134" w:header="709" w:footer="397" w:gutter="0"/>
          <w:cols w:space="708"/>
          <w:docGrid w:linePitch="360"/>
        </w:sectPr>
      </w:pPr>
      <w:r w:rsidRPr="001133D0">
        <w:rPr>
          <w:noProof/>
        </w:rPr>
        <w:drawing>
          <wp:inline distT="0" distB="0" distL="0" distR="0" wp14:anchorId="1EF296FB" wp14:editId="62B4AF07">
            <wp:extent cx="6120130" cy="88430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8843010"/>
                    </a:xfrm>
                    <a:prstGeom prst="rect">
                      <a:avLst/>
                    </a:prstGeom>
                    <a:noFill/>
                    <a:ln>
                      <a:noFill/>
                    </a:ln>
                  </pic:spPr>
                </pic:pic>
              </a:graphicData>
            </a:graphic>
          </wp:inline>
        </w:drawing>
      </w:r>
    </w:p>
    <w:p w14:paraId="0DE2B070" w14:textId="77777777" w:rsidR="002E69B6" w:rsidRPr="00887D7E" w:rsidRDefault="00363E63" w:rsidP="001F51CD">
      <w:pPr>
        <w:tabs>
          <w:tab w:val="left" w:pos="580"/>
        </w:tabs>
      </w:pPr>
      <w:r>
        <w:rPr>
          <w:noProof/>
        </w:rPr>
        <w:lastRenderedPageBreak/>
        <w:drawing>
          <wp:inline distT="0" distB="0" distL="0" distR="0" wp14:anchorId="4FCD0891" wp14:editId="07CE7F71">
            <wp:extent cx="6078855" cy="8598195"/>
            <wp:effectExtent l="0" t="0" r="0" b="0"/>
            <wp:docPr id="2" name="Picture 2" descr="Infografika s priporočili za ravnanje glede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fografika s priporočili za ravnanje glede Covid-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80296" cy="8600233"/>
                    </a:xfrm>
                    <a:prstGeom prst="rect">
                      <a:avLst/>
                    </a:prstGeom>
                  </pic:spPr>
                </pic:pic>
              </a:graphicData>
            </a:graphic>
          </wp:inline>
        </w:drawing>
      </w:r>
    </w:p>
    <w:sectPr w:rsidR="002E69B6" w:rsidRPr="00887D7E" w:rsidSect="00363E63">
      <w:headerReference w:type="default" r:id="rId22"/>
      <w:footerReference w:type="default" r:id="rId23"/>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1455C" w14:textId="77777777" w:rsidR="00300B2B" w:rsidRDefault="00300B2B" w:rsidP="0063497B">
      <w:pPr>
        <w:spacing w:line="240" w:lineRule="auto"/>
      </w:pPr>
      <w:r>
        <w:separator/>
      </w:r>
    </w:p>
  </w:endnote>
  <w:endnote w:type="continuationSeparator" w:id="0">
    <w:p w14:paraId="1397EB10" w14:textId="77777777" w:rsidR="00300B2B" w:rsidRDefault="00300B2B"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7FFB3" w14:textId="6D3D85F8" w:rsidR="0029405F" w:rsidRPr="00363E63" w:rsidRDefault="00363E63"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00C153F9" w:rsidRPr="005B0943">
        <w:rPr>
          <w:rStyle w:val="Hyperlink"/>
          <w:b w:val="0"/>
          <w:sz w:val="18"/>
          <w:szCs w:val="18"/>
        </w:rPr>
        <w:t>matic.slapsak@gov.si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sz w:val="18"/>
            <w:szCs w:val="18"/>
          </w:rPr>
          <w:t>1</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16E96" w14:textId="77777777" w:rsidR="0029405F" w:rsidRPr="00363E63" w:rsidRDefault="00363E63"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363E63">
        <w:rPr>
          <w:rStyle w:val="Hyperlink"/>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Pr="00363E63">
          <w:rPr>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F17E6" w14:textId="77777777" w:rsidR="00FE7254" w:rsidRDefault="0074466E" w:rsidP="00FE7254">
    <w:pPr>
      <w:pStyle w:val="Footer"/>
      <w:rPr>
        <w:rFonts w:cs="Helv"/>
        <w:b/>
        <w:bCs/>
        <w:color w:val="000000"/>
        <w:sz w:val="18"/>
        <w:szCs w:val="18"/>
      </w:rPr>
    </w:pPr>
    <w:r w:rsidRPr="0074466E">
      <w:rPr>
        <w:rFonts w:cs="Helv"/>
        <w:b/>
        <w:bCs/>
        <w:color w:val="000000"/>
        <w:sz w:val="18"/>
        <w:szCs w:val="18"/>
      </w:rPr>
      <w:t>Za bralnike zaslona dostopna oblika tabel se nahaja na spletni strani UMAR, med prilogami ob aktualnih grafih tedna (Aktualni podatki v Sloveniji).</w:t>
    </w:r>
  </w:p>
  <w:p w14:paraId="0554A6EE" w14:textId="77777777" w:rsidR="0074466E" w:rsidRPr="00893FAF" w:rsidRDefault="0074466E" w:rsidP="00FE7254">
    <w:pPr>
      <w:pStyle w:val="Footer"/>
      <w:rPr>
        <w:rFonts w:cs="Helv"/>
        <w:b/>
        <w:bCs/>
        <w:color w:val="000000"/>
        <w:sz w:val="18"/>
        <w:szCs w:val="18"/>
      </w:rPr>
    </w:pPr>
  </w:p>
  <w:p w14:paraId="1B94B0CF" w14:textId="77777777" w:rsidR="00363E63" w:rsidRPr="00363E63" w:rsidRDefault="00363E63" w:rsidP="00FE7254">
    <w:pPr>
      <w:pStyle w:val="Naslov31"/>
      <w:tabs>
        <w:tab w:val="right" w:pos="9638"/>
      </w:tabs>
      <w:spacing w:line="240" w:lineRule="auto"/>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363E63">
        <w:rPr>
          <w:rStyle w:val="Hyperlink"/>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37931804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sz w:val="18"/>
            <w:szCs w:val="18"/>
          </w:rPr>
          <w:t>1</w:t>
        </w:r>
        <w:r w:rsidRPr="00363E63">
          <w:rPr>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EC9F" w14:textId="77777777" w:rsidR="00363E63" w:rsidRPr="00363E63" w:rsidRDefault="00363E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16EE0" w14:textId="77777777" w:rsidR="00300B2B" w:rsidRDefault="00300B2B" w:rsidP="0063497B">
      <w:pPr>
        <w:spacing w:line="240" w:lineRule="auto"/>
      </w:pPr>
      <w:r>
        <w:separator/>
      </w:r>
    </w:p>
  </w:footnote>
  <w:footnote w:type="continuationSeparator" w:id="0">
    <w:p w14:paraId="34F3AE05" w14:textId="77777777" w:rsidR="00300B2B" w:rsidRDefault="00300B2B" w:rsidP="0063497B">
      <w:pPr>
        <w:spacing w:line="240" w:lineRule="auto"/>
      </w:pPr>
      <w:r>
        <w:continuationSeparator/>
      </w:r>
    </w:p>
  </w:footnote>
  <w:footnote w:id="1">
    <w:p w14:paraId="4B5314C7" w14:textId="6269C5C9" w:rsidR="002D2C05" w:rsidRDefault="002D2C05" w:rsidP="002D2C05">
      <w:pPr>
        <w:pStyle w:val="FootnoteText"/>
      </w:pPr>
      <w:r>
        <w:rPr>
          <w:rStyle w:val="FootnoteReference"/>
        </w:rPr>
        <w:footnoteRef/>
      </w:r>
      <w:r>
        <w:t xml:space="preserve"> </w:t>
      </w:r>
      <w:r w:rsidR="00473A92">
        <w:t xml:space="preserve">Po podatkih ZRSZ je bilo sredi aprila v </w:t>
      </w:r>
      <w:r>
        <w:t xml:space="preserve">primerjavi z enakim obdobjem leta 2019 </w:t>
      </w:r>
      <w:r w:rsidR="00473A92">
        <w:t xml:space="preserve">za okoli </w:t>
      </w:r>
      <w:r>
        <w:t>8 %</w:t>
      </w:r>
      <w:r w:rsidR="00473A92">
        <w:t xml:space="preserve"> več brezposelnih oseb</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FB8D3" w14:textId="4D81989C" w:rsidR="0029405F" w:rsidRDefault="00652795" w:rsidP="00652795">
    <w:pPr>
      <w:jc w:val="right"/>
    </w:pPr>
    <w:r w:rsidRPr="0029405F">
      <w:rPr>
        <w:noProof/>
      </w:rPr>
      <w:drawing>
        <wp:anchor distT="0" distB="0" distL="114300" distR="114300" simplePos="0" relativeHeight="251672576" behindDoc="0" locked="0" layoutInCell="1" allowOverlap="1" wp14:anchorId="752C4018" wp14:editId="3DA3BF4C">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9A2846">
      <w:t>26</w:t>
    </w:r>
    <w:r>
      <w:t xml:space="preserve">. </w:t>
    </w:r>
    <w:r w:rsidR="009A2846">
      <w:t>april</w:t>
    </w:r>
    <w:r>
      <w:t xml:space="preserve"> 20</w:t>
    </w:r>
    <w:r w:rsidR="009A2846">
      <w:t>21</w:t>
    </w:r>
  </w:p>
  <w:p w14:paraId="0CD2452E" w14:textId="77777777" w:rsidR="00652795" w:rsidRDefault="00652795" w:rsidP="00FE7254">
    <w:pPr>
      <w:jc w:val="right"/>
    </w:pPr>
  </w:p>
  <w:p w14:paraId="79B4B6F8" w14:textId="77777777" w:rsidR="00FE7254" w:rsidRDefault="00FE7254" w:rsidP="00FE7254">
    <w:pPr>
      <w:jc w:val="right"/>
    </w:pPr>
  </w:p>
  <w:p w14:paraId="24DC5051" w14:textId="77777777" w:rsidR="00FE7254" w:rsidRDefault="00FE7254"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8DB4" w14:textId="34EA3045" w:rsidR="00363E63" w:rsidRPr="004E2D3A" w:rsidRDefault="004E2D3A">
    <w:pPr>
      <w:pStyle w:val="Header"/>
      <w:rPr>
        <w:b/>
        <w:bCs/>
      </w:rPr>
    </w:pPr>
    <w:r w:rsidRPr="00F93880">
      <w:rPr>
        <w:b/>
        <w:bCs/>
      </w:rPr>
      <w:t xml:space="preserve">Tabela: </w:t>
    </w:r>
    <w:r>
      <w:rPr>
        <w:b/>
        <w:bCs/>
      </w:rPr>
      <w:t>i</w:t>
    </w:r>
    <w:r w:rsidRPr="00F93880">
      <w:rPr>
        <w:b/>
        <w:bCs/>
      </w:rPr>
      <w:t xml:space="preserve">zbrani makroekonomski kazalci za </w:t>
    </w:r>
    <w:r>
      <w:rPr>
        <w:b/>
        <w:bCs/>
      </w:rPr>
      <w:t>S</w:t>
    </w:r>
    <w:r w:rsidRPr="00F93880">
      <w:rPr>
        <w:b/>
        <w:bCs/>
      </w:rPr>
      <w:t>lovenijo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09F35" w14:textId="77777777" w:rsidR="00363E63" w:rsidRDefault="00363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9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attachedTemplate r:id="rId1"/>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703C7"/>
    <w:rsid w:val="00070B6E"/>
    <w:rsid w:val="00077F13"/>
    <w:rsid w:val="000A5A42"/>
    <w:rsid w:val="000A7BDC"/>
    <w:rsid w:val="001133D0"/>
    <w:rsid w:val="00114A03"/>
    <w:rsid w:val="00115E8D"/>
    <w:rsid w:val="00123D52"/>
    <w:rsid w:val="00133E20"/>
    <w:rsid w:val="00140468"/>
    <w:rsid w:val="0019138D"/>
    <w:rsid w:val="001A0C98"/>
    <w:rsid w:val="001B6AE7"/>
    <w:rsid w:val="001D6793"/>
    <w:rsid w:val="001F51CD"/>
    <w:rsid w:val="00243593"/>
    <w:rsid w:val="0026509A"/>
    <w:rsid w:val="0029405F"/>
    <w:rsid w:val="002A0C21"/>
    <w:rsid w:val="002B2898"/>
    <w:rsid w:val="002B4319"/>
    <w:rsid w:val="002B4C3A"/>
    <w:rsid w:val="002B5361"/>
    <w:rsid w:val="002D2C05"/>
    <w:rsid w:val="002D46EF"/>
    <w:rsid w:val="002E69B6"/>
    <w:rsid w:val="002E6FAD"/>
    <w:rsid w:val="00300B2B"/>
    <w:rsid w:val="00306767"/>
    <w:rsid w:val="00312D09"/>
    <w:rsid w:val="00363E63"/>
    <w:rsid w:val="003A49D8"/>
    <w:rsid w:val="003C614E"/>
    <w:rsid w:val="003E7A19"/>
    <w:rsid w:val="0040719E"/>
    <w:rsid w:val="00431EDD"/>
    <w:rsid w:val="004368FB"/>
    <w:rsid w:val="00452589"/>
    <w:rsid w:val="00452804"/>
    <w:rsid w:val="00464D01"/>
    <w:rsid w:val="00473A92"/>
    <w:rsid w:val="00477274"/>
    <w:rsid w:val="004970E5"/>
    <w:rsid w:val="004E2D3A"/>
    <w:rsid w:val="00534457"/>
    <w:rsid w:val="00546DBF"/>
    <w:rsid w:val="00561C9A"/>
    <w:rsid w:val="00564B65"/>
    <w:rsid w:val="006269CE"/>
    <w:rsid w:val="0063497B"/>
    <w:rsid w:val="00650921"/>
    <w:rsid w:val="00652795"/>
    <w:rsid w:val="00671853"/>
    <w:rsid w:val="006875F1"/>
    <w:rsid w:val="006965FC"/>
    <w:rsid w:val="006A2CED"/>
    <w:rsid w:val="006A6820"/>
    <w:rsid w:val="006C2117"/>
    <w:rsid w:val="006E1C81"/>
    <w:rsid w:val="007016EF"/>
    <w:rsid w:val="00731B6F"/>
    <w:rsid w:val="0074452D"/>
    <w:rsid w:val="0074466E"/>
    <w:rsid w:val="0076576A"/>
    <w:rsid w:val="0079410F"/>
    <w:rsid w:val="007A0B59"/>
    <w:rsid w:val="007A6C35"/>
    <w:rsid w:val="007B7110"/>
    <w:rsid w:val="007C4B7A"/>
    <w:rsid w:val="007D0791"/>
    <w:rsid w:val="007F1307"/>
    <w:rsid w:val="007F13BE"/>
    <w:rsid w:val="00812D81"/>
    <w:rsid w:val="00822375"/>
    <w:rsid w:val="00860582"/>
    <w:rsid w:val="008646FF"/>
    <w:rsid w:val="00887D7E"/>
    <w:rsid w:val="0089056E"/>
    <w:rsid w:val="0089259B"/>
    <w:rsid w:val="00910265"/>
    <w:rsid w:val="0093604B"/>
    <w:rsid w:val="00946C4C"/>
    <w:rsid w:val="00954546"/>
    <w:rsid w:val="009918B9"/>
    <w:rsid w:val="009A1E12"/>
    <w:rsid w:val="009A2846"/>
    <w:rsid w:val="009D311B"/>
    <w:rsid w:val="00A072AA"/>
    <w:rsid w:val="00A107AD"/>
    <w:rsid w:val="00A22E1A"/>
    <w:rsid w:val="00A35FCE"/>
    <w:rsid w:val="00A42839"/>
    <w:rsid w:val="00A7050D"/>
    <w:rsid w:val="00A8329F"/>
    <w:rsid w:val="00AA1F25"/>
    <w:rsid w:val="00AA3992"/>
    <w:rsid w:val="00AB0C65"/>
    <w:rsid w:val="00AB7E03"/>
    <w:rsid w:val="00AC328B"/>
    <w:rsid w:val="00AF3058"/>
    <w:rsid w:val="00B00E5E"/>
    <w:rsid w:val="00B220A3"/>
    <w:rsid w:val="00B451B6"/>
    <w:rsid w:val="00B52F7E"/>
    <w:rsid w:val="00B62D4B"/>
    <w:rsid w:val="00B738F6"/>
    <w:rsid w:val="00B8300F"/>
    <w:rsid w:val="00B96874"/>
    <w:rsid w:val="00BB6DF6"/>
    <w:rsid w:val="00BF2574"/>
    <w:rsid w:val="00C153F9"/>
    <w:rsid w:val="00C22B80"/>
    <w:rsid w:val="00C52613"/>
    <w:rsid w:val="00C80811"/>
    <w:rsid w:val="00CF6407"/>
    <w:rsid w:val="00D22523"/>
    <w:rsid w:val="00D312B6"/>
    <w:rsid w:val="00DB1C32"/>
    <w:rsid w:val="00DE2EA9"/>
    <w:rsid w:val="00DE4ACB"/>
    <w:rsid w:val="00DE72F6"/>
    <w:rsid w:val="00DF29B0"/>
    <w:rsid w:val="00DF3707"/>
    <w:rsid w:val="00DF4F0B"/>
    <w:rsid w:val="00E021F0"/>
    <w:rsid w:val="00E02749"/>
    <w:rsid w:val="00E129A1"/>
    <w:rsid w:val="00E226DD"/>
    <w:rsid w:val="00E7791D"/>
    <w:rsid w:val="00ED1E16"/>
    <w:rsid w:val="00EE7E6E"/>
    <w:rsid w:val="00F409C1"/>
    <w:rsid w:val="00F41E1A"/>
    <w:rsid w:val="00F43F6C"/>
    <w:rsid w:val="00F47B15"/>
    <w:rsid w:val="00F50BC2"/>
    <w:rsid w:val="00F545EF"/>
    <w:rsid w:val="00F65156"/>
    <w:rsid w:val="00F6635B"/>
    <w:rsid w:val="00F66E1B"/>
    <w:rsid w:val="00F930F6"/>
    <w:rsid w:val="00FA45E3"/>
    <w:rsid w:val="00FB5533"/>
    <w:rsid w:val="00FE12B1"/>
    <w:rsid w:val="00FE725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15:docId w15:val="{19B7C7B7-700D-4166-8CF8-5A4252AC8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basedOn w:val="Normal"/>
    <w:link w:val="FootnoteTextChar"/>
    <w:uiPriority w:val="99"/>
    <w:semiHidden/>
    <w:unhideWhenUsed/>
    <w:rsid w:val="00FE7254"/>
    <w:pPr>
      <w:spacing w:line="240" w:lineRule="auto"/>
    </w:pPr>
    <w:rPr>
      <w:sz w:val="16"/>
      <w:szCs w:val="20"/>
    </w:rPr>
  </w:style>
  <w:style w:type="character" w:customStyle="1" w:styleId="FootnoteTextChar">
    <w:name w:val="Footnote Text Char"/>
    <w:basedOn w:val="DefaultParagraphFont"/>
    <w:link w:val="FootnoteText"/>
    <w:uiPriority w:val="99"/>
    <w:semiHidden/>
    <w:rsid w:val="00FE7254"/>
    <w:rPr>
      <w:rFonts w:ascii="Myriad Pro" w:hAnsi="Myriad Pro"/>
      <w:sz w:val="16"/>
      <w:szCs w:val="20"/>
    </w:rPr>
  </w:style>
  <w:style w:type="character" w:styleId="FootnoteReference">
    <w:name w:val="footnote reference"/>
    <w:basedOn w:val="DefaultParagraphFont"/>
    <w:uiPriority w:val="99"/>
    <w:semiHidden/>
    <w:unhideWhenUsed/>
    <w:rsid w:val="00FE7254"/>
    <w:rPr>
      <w:vertAlign w:val="superscript"/>
    </w:rPr>
  </w:style>
  <w:style w:type="character" w:styleId="UnresolvedMention">
    <w:name w:val="Unresolved Mention"/>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114A03"/>
    <w:rPr>
      <w:sz w:val="16"/>
      <w:szCs w:val="16"/>
    </w:rPr>
  </w:style>
  <w:style w:type="paragraph" w:styleId="CommentText">
    <w:name w:val="annotation text"/>
    <w:basedOn w:val="Normal"/>
    <w:link w:val="CommentTextChar"/>
    <w:uiPriority w:val="99"/>
    <w:semiHidden/>
    <w:unhideWhenUsed/>
    <w:rsid w:val="00114A03"/>
    <w:pPr>
      <w:spacing w:line="240" w:lineRule="auto"/>
    </w:pPr>
    <w:rPr>
      <w:szCs w:val="20"/>
    </w:rPr>
  </w:style>
  <w:style w:type="character" w:customStyle="1" w:styleId="CommentTextChar">
    <w:name w:val="Comment Text Char"/>
    <w:basedOn w:val="DefaultParagraphFont"/>
    <w:link w:val="CommentText"/>
    <w:uiPriority w:val="99"/>
    <w:semiHidden/>
    <w:rsid w:val="00114A03"/>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114A03"/>
    <w:rPr>
      <w:b/>
      <w:bCs/>
    </w:rPr>
  </w:style>
  <w:style w:type="character" w:customStyle="1" w:styleId="CommentSubjectChar">
    <w:name w:val="Comment Subject Char"/>
    <w:basedOn w:val="CommentTextChar"/>
    <w:link w:val="CommentSubject"/>
    <w:uiPriority w:val="99"/>
    <w:semiHidden/>
    <w:rsid w:val="00114A03"/>
    <w:rPr>
      <w:rFonts w:ascii="Myriad Pro" w:hAnsi="Myriad Pr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nenadic\AppData\Local\Temp\notesC7A056\TGG_predloga_SLO_dostopna+Covid.dotx" TargetMode="External"/></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D11EA-9B1F-4859-ADDB-1147ED025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TGG_predloga_SLO_dostopna+Covid</Template>
  <TotalTime>2</TotalTime>
  <Pages>5</Pages>
  <Words>897</Words>
  <Characters>5116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Nenadič</dc:creator>
  <cp:keywords/>
  <dc:description/>
  <cp:lastModifiedBy>Matevž Hribernik</cp:lastModifiedBy>
  <cp:revision>2</cp:revision>
  <cp:lastPrinted>2019-03-14T09:47:00Z</cp:lastPrinted>
  <dcterms:created xsi:type="dcterms:W3CDTF">2021-04-23T13:52:00Z</dcterms:created>
  <dcterms:modified xsi:type="dcterms:W3CDTF">2021-04-23T13:52:00Z</dcterms:modified>
</cp:coreProperties>
</file>