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4764617F" w:rsidR="001D6793" w:rsidRDefault="00FA45E3" w:rsidP="001D6793">
      <w:pPr>
        <w:pStyle w:val="Naslov21"/>
      </w:pPr>
      <w:r>
        <w:t xml:space="preserve">od </w:t>
      </w:r>
      <w:r w:rsidR="009914BC">
        <w:t>30</w:t>
      </w:r>
      <w:r w:rsidR="001D6793">
        <w:t xml:space="preserve">. </w:t>
      </w:r>
      <w:r w:rsidR="009914BC">
        <w:t xml:space="preserve">novembra </w:t>
      </w:r>
      <w:r w:rsidR="001D6793">
        <w:t xml:space="preserve">do </w:t>
      </w:r>
      <w:r w:rsidR="009914BC">
        <w:t>4</w:t>
      </w:r>
      <w:r w:rsidR="001D6793">
        <w:t xml:space="preserve">. </w:t>
      </w:r>
      <w:r w:rsidR="009914BC">
        <w:t>decembra</w:t>
      </w:r>
      <w:r w:rsidR="001D6793">
        <w:t xml:space="preserve"> 20</w:t>
      </w:r>
      <w:r w:rsidR="009914BC">
        <w:t>20</w:t>
      </w:r>
    </w:p>
    <w:p w14:paraId="6FBC1E05" w14:textId="77777777" w:rsidR="00DF4F0B" w:rsidRDefault="00DF4F0B"/>
    <w:p w14:paraId="1ED8A57F" w14:textId="52A820E8" w:rsidR="007D0791" w:rsidRPr="0026694E" w:rsidRDefault="00EC3CD7" w:rsidP="007D0791">
      <w:pPr>
        <w:tabs>
          <w:tab w:val="left" w:pos="580"/>
        </w:tabs>
        <w:rPr>
          <w:szCs w:val="20"/>
        </w:rPr>
      </w:pPr>
      <w:bookmarkStart w:id="0" w:name="_Hlk54096721"/>
      <w:r>
        <w:t xml:space="preserve">Kazalniki gospodarske aktivnosti </w:t>
      </w:r>
      <w:r w:rsidR="006445E8">
        <w:t>konec novembra in v začetku decembra</w:t>
      </w:r>
      <w:r>
        <w:t xml:space="preserve"> kažejo na manjši upad gospodarske aktivnosti kot spomladi, ko so bili v prvem valu epidemije </w:t>
      </w:r>
      <w:r w:rsidR="006445E8">
        <w:t xml:space="preserve">takoj </w:t>
      </w:r>
      <w:r>
        <w:t xml:space="preserve">sprejeti strožji zajezitveni ukrepi. </w:t>
      </w:r>
      <w:r w:rsidR="00147B3A">
        <w:t xml:space="preserve">Tako tedenski upad porabe elektrike kot prometa tovornih vozil na slovenskih avtocestah sta bila konec </w:t>
      </w:r>
      <w:r w:rsidR="00147B3A" w:rsidRPr="00E07E7D">
        <w:t xml:space="preserve">novembra precej manjša kot v prvem valu epidemije, kar tudi kaže na večje posledice drugega vala epidemije za storitveni sektor. </w:t>
      </w:r>
      <w:r w:rsidR="001107C3" w:rsidRPr="00E07E7D">
        <w:t>To potrjuje tudi upad prometa po podatkih o davčnem potrjevanju računov, ki se je v drugi polovici novembra sicer poglobil (najbolj v trgovini</w:t>
      </w:r>
      <w:r w:rsidR="00DB2400" w:rsidRPr="00E07E7D">
        <w:t xml:space="preserve"> zaradi zaprtja nekaterih </w:t>
      </w:r>
      <w:proofErr w:type="spellStart"/>
      <w:r w:rsidR="00DB2400" w:rsidRPr="00E07E7D">
        <w:t>nenujnih</w:t>
      </w:r>
      <w:proofErr w:type="spellEnd"/>
      <w:r w:rsidR="00DB2400" w:rsidRPr="00E07E7D">
        <w:t xml:space="preserve"> trgovin</w:t>
      </w:r>
      <w:r w:rsidR="001107C3" w:rsidRPr="00E07E7D">
        <w:t xml:space="preserve">), a je ostal manjši kot marca. </w:t>
      </w:r>
      <w:r w:rsidR="00147B3A" w:rsidRPr="00E07E7D">
        <w:t>Število</w:t>
      </w:r>
      <w:r w:rsidR="00147B3A">
        <w:t xml:space="preserve"> registriranih brezposelnih pa je na začetku decembra ostalo podobno kot v zadnjih treh mesecih, na kar v veliki meni vplivajo interventni ukrepi na trgu dela in manj strogi ukrepi oziroma manjši padec aktivnosti</w:t>
      </w:r>
      <w:r w:rsidR="00025C15">
        <w:t>.</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6B93E40A" w:rsidR="00363E63" w:rsidRPr="007A0B59" w:rsidRDefault="009914BC" w:rsidP="00731B6F">
            <w:pPr>
              <w:pStyle w:val="Naslov31"/>
              <w:jc w:val="left"/>
            </w:pPr>
            <w:r>
              <w:t>Poraba elektrike, november 2020</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130CDAFB" w:rsidR="00FA45E3" w:rsidRDefault="00744710" w:rsidP="00F35405">
            <w:pPr>
              <w:pStyle w:val="ListParagraph"/>
              <w:ind w:left="0"/>
            </w:pPr>
            <w:r>
              <w:rPr>
                <w:noProof/>
              </w:rPr>
              <w:drawing>
                <wp:inline distT="0" distB="0" distL="0" distR="0" wp14:anchorId="6467F84F" wp14:editId="6F398342">
                  <wp:extent cx="3092400" cy="2530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1B96A791" w:rsidR="00FA45E3" w:rsidRPr="00DF4F0B" w:rsidRDefault="0050031A" w:rsidP="00946C4C">
            <w:r>
              <w:rPr>
                <w:b/>
                <w:bCs/>
              </w:rPr>
              <w:t xml:space="preserve">Medletni upad tedenske porabe elektrike je bil v zadnjem tednu novembra, </w:t>
            </w:r>
            <w:r w:rsidR="005F445D">
              <w:rPr>
                <w:b/>
                <w:bCs/>
              </w:rPr>
              <w:t xml:space="preserve">ob manj </w:t>
            </w:r>
            <w:r w:rsidR="009F5FD6">
              <w:rPr>
                <w:b/>
                <w:bCs/>
              </w:rPr>
              <w:t>strogih</w:t>
            </w:r>
            <w:r>
              <w:rPr>
                <w:b/>
                <w:bCs/>
              </w:rPr>
              <w:t xml:space="preserve"> omejitveni</w:t>
            </w:r>
            <w:r w:rsidR="005F445D">
              <w:rPr>
                <w:b/>
                <w:bCs/>
              </w:rPr>
              <w:t>h</w:t>
            </w:r>
            <w:r>
              <w:rPr>
                <w:b/>
                <w:bCs/>
              </w:rPr>
              <w:t xml:space="preserve"> ukrep</w:t>
            </w:r>
            <w:r w:rsidR="005F445D">
              <w:rPr>
                <w:b/>
                <w:bCs/>
              </w:rPr>
              <w:t>ih</w:t>
            </w:r>
            <w:r>
              <w:rPr>
                <w:b/>
                <w:bCs/>
              </w:rPr>
              <w:t xml:space="preserve"> za zajezitev epidemije</w:t>
            </w:r>
            <w:r w:rsidR="005F445D">
              <w:rPr>
                <w:b/>
                <w:bCs/>
              </w:rPr>
              <w:t xml:space="preserve"> kot v prvem valu</w:t>
            </w:r>
            <w:r>
              <w:rPr>
                <w:b/>
                <w:bCs/>
              </w:rPr>
              <w:t xml:space="preserve">, občutno manjši kot spomladi. </w:t>
            </w:r>
            <w:r>
              <w:t xml:space="preserve">Poraba elektrike je bila v zadnjem tednu novembra, enako kot v predhodnih treh, </w:t>
            </w:r>
            <w:r w:rsidRPr="003C42A9">
              <w:t xml:space="preserve">medletno </w:t>
            </w:r>
            <w:r>
              <w:t>nižja</w:t>
            </w:r>
            <w:r w:rsidRPr="003C42A9">
              <w:t xml:space="preserve"> za </w:t>
            </w:r>
            <w:r>
              <w:t>3 </w:t>
            </w:r>
            <w:r w:rsidRPr="003C42A9">
              <w:t>%</w:t>
            </w:r>
            <w:r>
              <w:t xml:space="preserve"> (v povprečju aprila za okoli 18 %). Izmed naših najpomembnejših trgovinskih partneric je bil upad največji v Avstriji (1</w:t>
            </w:r>
            <w:r w:rsidR="000D4A88">
              <w:t>3</w:t>
            </w:r>
            <w:r>
              <w:t xml:space="preserve"> %), drugje je bil manjši. V Nemčiji in </w:t>
            </w:r>
            <w:r w:rsidR="000D4A88">
              <w:t>na Hrvaškem</w:t>
            </w:r>
            <w:r>
              <w:t xml:space="preserve"> je znašal okoli 2 %, v </w:t>
            </w:r>
            <w:r w:rsidR="000D4A88">
              <w:t xml:space="preserve">Italiji in </w:t>
            </w:r>
            <w:r>
              <w:t xml:space="preserve">Franciji </w:t>
            </w:r>
            <w:r w:rsidR="000D4A88">
              <w:t xml:space="preserve">pa </w:t>
            </w:r>
            <w:r>
              <w:t xml:space="preserve">5 %. </w:t>
            </w:r>
          </w:p>
        </w:tc>
      </w:tr>
    </w:tbl>
    <w:p w14:paraId="33E5284D" w14:textId="77777777" w:rsidR="008E24DE" w:rsidRDefault="008E24DE">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7C4368CD" w:rsidR="00363E63" w:rsidRPr="006C2117" w:rsidRDefault="009914BC" w:rsidP="00731B6F">
            <w:pPr>
              <w:pStyle w:val="Naslov31"/>
              <w:jc w:val="left"/>
            </w:pPr>
            <w:r>
              <w:lastRenderedPageBreak/>
              <w:t xml:space="preserve">Promet elektronsko </w:t>
            </w:r>
            <w:proofErr w:type="spellStart"/>
            <w:r>
              <w:t>cestninjenih</w:t>
            </w:r>
            <w:proofErr w:type="spellEnd"/>
            <w:r>
              <w:t xml:space="preserve"> vozil na slovenskih avtocestah, november 2020</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23185139" w:rsidR="00652795" w:rsidRDefault="001F5412" w:rsidP="00EB0D39">
            <w:pPr>
              <w:pStyle w:val="ListParagraph"/>
              <w:ind w:left="0"/>
            </w:pPr>
            <w:r>
              <w:rPr>
                <w:noProof/>
              </w:rPr>
              <w:drawing>
                <wp:inline distT="0" distB="0" distL="0" distR="0" wp14:anchorId="538AF517" wp14:editId="76F0AC74">
                  <wp:extent cx="30924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22AC35F7" w:rsidR="00652795" w:rsidRPr="00DF4F0B" w:rsidRDefault="00075BBD" w:rsidP="00EB0D39">
            <w:r w:rsidRPr="00D5559C">
              <w:rPr>
                <w:b/>
                <w:bCs/>
              </w:rPr>
              <w:t>Promet tovornih vozil na slovenskih avtocestah</w:t>
            </w:r>
            <w:r>
              <w:rPr>
                <w:rStyle w:val="FootnoteReference"/>
                <w:b/>
                <w:bCs/>
              </w:rPr>
              <w:footnoteReference w:id="1"/>
            </w:r>
            <w:r w:rsidRPr="00D5559C">
              <w:rPr>
                <w:b/>
                <w:bCs/>
              </w:rPr>
              <w:t xml:space="preserve">  </w:t>
            </w:r>
            <w:r>
              <w:rPr>
                <w:b/>
                <w:bCs/>
              </w:rPr>
              <w:t xml:space="preserve"> je bil v drugi polovici novembra nekoliko </w:t>
            </w:r>
            <w:r w:rsidRPr="00D5559C">
              <w:rPr>
                <w:b/>
                <w:bCs/>
              </w:rPr>
              <w:t xml:space="preserve">manjši kot pred </w:t>
            </w:r>
            <w:r>
              <w:rPr>
                <w:b/>
                <w:bCs/>
              </w:rPr>
              <w:t>epidemij</w:t>
            </w:r>
            <w:r w:rsidR="00147B3A">
              <w:rPr>
                <w:b/>
                <w:bCs/>
              </w:rPr>
              <w:t>o</w:t>
            </w:r>
            <w:r>
              <w:t xml:space="preserve">. Potem ko je sredi avgusta že dosegel raven pred marca razglašeno epidemijo, je nekoliko upadel in se oktobra spet bolj približal lanskemu obsegu. V tednu med 23. in 29. novembrom </w:t>
            </w:r>
            <w:r w:rsidRPr="00D5559C">
              <w:t xml:space="preserve">je za </w:t>
            </w:r>
            <w:r>
              <w:t>6 </w:t>
            </w:r>
            <w:r w:rsidRPr="00D5559C">
              <w:t>% zaostajal za lansko ravnjo</w:t>
            </w:r>
            <w:r>
              <w:t xml:space="preserve">, tako pri </w:t>
            </w:r>
            <w:r w:rsidRPr="00D5559C">
              <w:t>tujih</w:t>
            </w:r>
            <w:r>
              <w:t xml:space="preserve"> kot domačih vozilih. Omejitve v drugem valu epidemije, vezane na trgovino in gostinstvo, za zdaj niso opazneje vplivale na promet tovornih vozil. Oskrba teh dejavnosti je namreč bolj vezana na lokalni kot avtocestni prevoz, hkrati pa omenjene dejavnosti deloma poslujejo prek spletne prodaje in dostave hrane.</w:t>
            </w:r>
          </w:p>
        </w:tc>
      </w:tr>
      <w:tr w:rsidR="00363E63" w14:paraId="15FC4CD5" w14:textId="77777777" w:rsidTr="0058360C">
        <w:trPr>
          <w:trHeight w:val="207"/>
        </w:trPr>
        <w:tc>
          <w:tcPr>
            <w:tcW w:w="4819" w:type="dxa"/>
            <w:tcBorders>
              <w:bottom w:val="single" w:sz="4" w:space="0" w:color="auto"/>
            </w:tcBorders>
            <w:tcMar>
              <w:left w:w="0" w:type="dxa"/>
            </w:tcMar>
          </w:tcPr>
          <w:p w14:paraId="06D03904" w14:textId="77777777" w:rsidR="00823F21" w:rsidRDefault="00823F21" w:rsidP="00731B6F">
            <w:pPr>
              <w:pStyle w:val="Naslov31"/>
              <w:jc w:val="left"/>
            </w:pPr>
          </w:p>
          <w:p w14:paraId="2FCD5E9B" w14:textId="64720FAC" w:rsidR="00363E63" w:rsidRPr="007A0B59" w:rsidRDefault="009914BC" w:rsidP="00731B6F">
            <w:pPr>
              <w:pStyle w:val="Naslov31"/>
              <w:jc w:val="left"/>
            </w:pPr>
            <w:r>
              <w:t xml:space="preserve">Registrirane brezposelne osebe, </w:t>
            </w:r>
            <w:r w:rsidR="00BB648F">
              <w:t>decemb</w:t>
            </w:r>
            <w:r>
              <w:t>er 2020</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2F466AE0" w:rsidR="00363E63" w:rsidRDefault="005F445D" w:rsidP="0058360C">
            <w:pPr>
              <w:pStyle w:val="ListParagraph"/>
              <w:ind w:left="0"/>
            </w:pPr>
            <w:r>
              <w:rPr>
                <w:noProof/>
              </w:rPr>
              <w:drawing>
                <wp:inline distT="0" distB="0" distL="0" distR="0" wp14:anchorId="112FE6A6" wp14:editId="3B7EE400">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DCB74C" w14:textId="0E429E24" w:rsidR="00363E63" w:rsidRPr="00DF4F0B" w:rsidRDefault="00BB648F" w:rsidP="0058360C">
            <w:r w:rsidRPr="007624AC">
              <w:rPr>
                <w:b/>
                <w:bCs/>
              </w:rPr>
              <w:t xml:space="preserve">Število registriranih brezposelnih </w:t>
            </w:r>
            <w:r>
              <w:rPr>
                <w:b/>
                <w:bCs/>
              </w:rPr>
              <w:t>je v začetku</w:t>
            </w:r>
            <w:r w:rsidRPr="007624AC">
              <w:rPr>
                <w:b/>
                <w:bCs/>
              </w:rPr>
              <w:t xml:space="preserve"> </w:t>
            </w:r>
            <w:r>
              <w:rPr>
                <w:b/>
                <w:bCs/>
              </w:rPr>
              <w:t>decembra, kljub</w:t>
            </w:r>
            <w:r w:rsidRPr="007624AC">
              <w:rPr>
                <w:b/>
                <w:bCs/>
              </w:rPr>
              <w:t xml:space="preserve"> ponovnemu omejevanju poslovanja od sredine oktobra, </w:t>
            </w:r>
            <w:r>
              <w:rPr>
                <w:b/>
                <w:bCs/>
              </w:rPr>
              <w:t>ostalo</w:t>
            </w:r>
            <w:r w:rsidRPr="007624AC">
              <w:rPr>
                <w:b/>
                <w:bCs/>
              </w:rPr>
              <w:t xml:space="preserve"> </w:t>
            </w:r>
            <w:r>
              <w:rPr>
                <w:b/>
                <w:bCs/>
              </w:rPr>
              <w:t>podobno</w:t>
            </w:r>
            <w:r w:rsidRPr="007624AC">
              <w:rPr>
                <w:b/>
                <w:bCs/>
              </w:rPr>
              <w:t xml:space="preserve"> kot v predhodnih </w:t>
            </w:r>
            <w:r>
              <w:rPr>
                <w:b/>
                <w:bCs/>
              </w:rPr>
              <w:t>treh</w:t>
            </w:r>
            <w:r w:rsidRPr="007624AC">
              <w:rPr>
                <w:b/>
                <w:bCs/>
              </w:rPr>
              <w:t xml:space="preserve"> mesecih.</w:t>
            </w:r>
            <w:r w:rsidRPr="007624AC">
              <w:rPr>
                <w:b/>
              </w:rPr>
              <w:t xml:space="preserve"> </w:t>
            </w:r>
            <w:r w:rsidRPr="00D234A0">
              <w:t>Po izraziti rasti v prvem valu epidemije se je po sprejetju interventnih ukrepov za ohranitev delovnih mest in sproščanju omejitev število registriranih brezposelnih od sredine leta postopoma zmanjševalo. Število se od sredine oktobra, ko je bil razglašen drugi val epidemije, ohranja na podobni ravni, na kar ob delni prilagoditvi podjetij in potrošnikov drugačnemu poslovanju v veliki meri vpliva podaljševanje interventnih ukrepov</w:t>
            </w:r>
            <w:r w:rsidR="00147B3A">
              <w:t xml:space="preserve"> in manjši padec gospodarske aktivnosti kot ob prvem valu</w:t>
            </w:r>
            <w:r w:rsidRPr="00D234A0">
              <w:t>.</w:t>
            </w:r>
            <w:r w:rsidRPr="00777815">
              <w:rPr>
                <w:color w:val="000000" w:themeColor="text1"/>
              </w:rPr>
              <w:t xml:space="preserve"> </w:t>
            </w:r>
            <w:r>
              <w:t>3</w:t>
            </w:r>
            <w:r w:rsidRPr="007624AC">
              <w:t xml:space="preserve">. </w:t>
            </w:r>
            <w:r>
              <w:t>decembra</w:t>
            </w:r>
            <w:r w:rsidRPr="007624AC">
              <w:t xml:space="preserve"> je bilo po neuradnih (dnevnih</w:t>
            </w:r>
            <w:r w:rsidRPr="005F445D">
              <w:t>) podatkih ZRSZ brezposelnih 8</w:t>
            </w:r>
            <w:r w:rsidR="005F445D" w:rsidRPr="005F445D">
              <w:t>3</w:t>
            </w:r>
            <w:r w:rsidRPr="005F445D">
              <w:t>.</w:t>
            </w:r>
            <w:r w:rsidR="005F445D" w:rsidRPr="005F445D">
              <w:t>938</w:t>
            </w:r>
            <w:r w:rsidRPr="005F445D">
              <w:t xml:space="preserve"> oseb, kar je zelo podobno kot konec novembra in okoli 13 %</w:t>
            </w:r>
            <w:r w:rsidRPr="007624AC">
              <w:t xml:space="preserve"> več kot pred letom</w:t>
            </w:r>
            <w:r w:rsidR="00363E63">
              <w:t>.</w:t>
            </w:r>
          </w:p>
        </w:tc>
      </w:tr>
    </w:tbl>
    <w:p w14:paraId="03BF0F0D" w14:textId="77777777" w:rsidR="00823F21" w:rsidRDefault="00823F2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58360C">
        <w:trPr>
          <w:trHeight w:val="207"/>
        </w:trPr>
        <w:tc>
          <w:tcPr>
            <w:tcW w:w="4819" w:type="dxa"/>
            <w:tcBorders>
              <w:bottom w:val="single" w:sz="4" w:space="0" w:color="auto"/>
            </w:tcBorders>
            <w:tcMar>
              <w:left w:w="0" w:type="dxa"/>
            </w:tcMar>
          </w:tcPr>
          <w:p w14:paraId="74E10295" w14:textId="7D2807C5" w:rsidR="00363E63" w:rsidRPr="006C2117" w:rsidRDefault="009914BC" w:rsidP="00731B6F">
            <w:pPr>
              <w:pStyle w:val="Naslov31"/>
              <w:jc w:val="left"/>
            </w:pPr>
            <w:r>
              <w:lastRenderedPageBreak/>
              <w:t>Davčno potrjevanje računov, november 2020</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gridSpan w:val="2"/>
            <w:tcBorders>
              <w:top w:val="single" w:sz="4" w:space="0" w:color="auto"/>
            </w:tcBorders>
            <w:tcMar>
              <w:left w:w="0" w:type="dxa"/>
            </w:tcMar>
          </w:tcPr>
          <w:p w14:paraId="48F5876B" w14:textId="64E76247" w:rsidR="00363E63" w:rsidRDefault="00823F21" w:rsidP="0058360C">
            <w:pPr>
              <w:pStyle w:val="ListParagraph"/>
              <w:ind w:left="0"/>
            </w:pPr>
            <w:r>
              <w:rPr>
                <w:noProof/>
              </w:rPr>
              <w:drawing>
                <wp:inline distT="0" distB="0" distL="0" distR="0" wp14:anchorId="2392FE13" wp14:editId="1BB23502">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65AE62EF" w:rsidR="00363E63" w:rsidRPr="00DF4F0B" w:rsidRDefault="003E0B33" w:rsidP="0058360C">
            <w:r>
              <w:rPr>
                <w:rStyle w:val="Strong"/>
              </w:rPr>
              <w:t>Po p</w:t>
            </w:r>
            <w:r w:rsidRPr="000C3C34">
              <w:rPr>
                <w:rStyle w:val="Strong"/>
              </w:rPr>
              <w:t>odatki</w:t>
            </w:r>
            <w:r>
              <w:rPr>
                <w:rStyle w:val="Strong"/>
              </w:rPr>
              <w:t>h</w:t>
            </w:r>
            <w:r w:rsidRPr="000C3C34">
              <w:rPr>
                <w:rStyle w:val="Strong"/>
              </w:rPr>
              <w:t xml:space="preserve"> o davčnem potrjevanju računov</w:t>
            </w:r>
            <w:r>
              <w:rPr>
                <w:rStyle w:val="Strong"/>
              </w:rPr>
              <w:t xml:space="preserve"> se je promet v drugi polovici novembra dodatno znižal, </w:t>
            </w:r>
            <w:r w:rsidRPr="000C3C34">
              <w:rPr>
                <w:rStyle w:val="Strong"/>
              </w:rPr>
              <w:t>a</w:t>
            </w:r>
            <w:r>
              <w:rPr>
                <w:rStyle w:val="Strong"/>
              </w:rPr>
              <w:t xml:space="preserve"> je bil </w:t>
            </w:r>
            <w:r w:rsidR="00E07E7D">
              <w:rPr>
                <w:rStyle w:val="Strong"/>
              </w:rPr>
              <w:t xml:space="preserve">medletni </w:t>
            </w:r>
            <w:r>
              <w:rPr>
                <w:rStyle w:val="Strong"/>
              </w:rPr>
              <w:t xml:space="preserve">padec manjši </w:t>
            </w:r>
            <w:r w:rsidRPr="000C3C34">
              <w:rPr>
                <w:rStyle w:val="Strong"/>
              </w:rPr>
              <w:t>kot spomladi.</w:t>
            </w:r>
            <w:r>
              <w:t xml:space="preserve"> V drugi polovici novembra je bil promet približno 30 % nižji kot v enakem obdobju lani. Padec je bil tako še vedno nižji kot konec marca (znižanje več kot 50-odstotno). Podobno kot v začetku novembra so največja znižanja prometa ostala v dejavnostih iger na srečo, kulturnih in razvedrilnih dejavnostih, potovalnih agencijah in nastanitvenih dejavnostih. K znatno višjemu skupnemu padcu kot v prvi polovici novembra </w:t>
            </w:r>
            <w:r w:rsidR="00DB2400">
              <w:t>je največ prispevalo</w:t>
            </w:r>
            <w:r w:rsidR="00DB2400" w:rsidRPr="00DB2400">
              <w:t xml:space="preserve"> zaprtj</w:t>
            </w:r>
            <w:r w:rsidR="00DB2400">
              <w:t>e</w:t>
            </w:r>
            <w:r w:rsidR="00DB2400" w:rsidRPr="00DB2400">
              <w:t xml:space="preserve"> nekaterih </w:t>
            </w:r>
            <w:proofErr w:type="spellStart"/>
            <w:r w:rsidR="00DB2400" w:rsidRPr="00DB2400">
              <w:t>nenujnih</w:t>
            </w:r>
            <w:proofErr w:type="spellEnd"/>
            <w:r w:rsidR="00DB2400" w:rsidRPr="00DB2400">
              <w:t xml:space="preserve"> trgovin in storitev, ki so se prehodno odprli med 6. in 1</w:t>
            </w:r>
            <w:r w:rsidR="00F959CC">
              <w:t>5</w:t>
            </w:r>
            <w:r w:rsidR="00DB2400" w:rsidRPr="00DB2400">
              <w:t>.</w:t>
            </w:r>
            <w:r w:rsidR="00036572">
              <w:t xml:space="preserve"> </w:t>
            </w:r>
            <w:r w:rsidR="00DB2400" w:rsidRPr="00DB2400">
              <w:t>11.</w:t>
            </w:r>
            <w:r w:rsidR="00036572">
              <w:t xml:space="preserve"> </w:t>
            </w:r>
            <w:r w:rsidR="00DB2400" w:rsidRPr="00DB2400">
              <w:t>2020</w:t>
            </w:r>
            <w:r w:rsidR="00363E63">
              <w:t>.</w:t>
            </w:r>
          </w:p>
        </w:tc>
      </w:tr>
    </w:tbl>
    <w:p w14:paraId="10FD515A" w14:textId="77777777" w:rsidR="00FE7254" w:rsidRPr="00FE7254" w:rsidRDefault="00FE7254" w:rsidP="00FE7254">
      <w:pPr>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6126990C" w14:textId="293A9327" w:rsidR="00652795" w:rsidRDefault="007C1151" w:rsidP="001F51CD">
      <w:pPr>
        <w:tabs>
          <w:tab w:val="left" w:pos="580"/>
        </w:tabs>
      </w:pPr>
      <w:r w:rsidRPr="007C1151">
        <w:rPr>
          <w:noProof/>
        </w:rPr>
        <w:lastRenderedPageBreak/>
        <w:drawing>
          <wp:inline distT="0" distB="0" distL="0" distR="0" wp14:anchorId="51645AC0" wp14:editId="4DF57E81">
            <wp:extent cx="6120130" cy="901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9018905"/>
                    </a:xfrm>
                    <a:prstGeom prst="rect">
                      <a:avLst/>
                    </a:prstGeom>
                    <a:noFill/>
                    <a:ln>
                      <a:noFill/>
                    </a:ln>
                  </pic:spPr>
                </pic:pic>
              </a:graphicData>
            </a:graphic>
          </wp:inline>
        </w:drawing>
      </w:r>
    </w:p>
    <w:p w14:paraId="20CA59C5" w14:textId="7A7F4473" w:rsidR="00FE7254" w:rsidRPr="00FE7254" w:rsidRDefault="00FE7254" w:rsidP="00DF3707">
      <w:pPr>
        <w:tabs>
          <w:tab w:val="left" w:pos="580"/>
        </w:tabs>
        <w:sectPr w:rsidR="00FE7254" w:rsidRPr="00FE7254" w:rsidSect="00363E63">
          <w:headerReference w:type="default" r:id="rId16"/>
          <w:footerReference w:type="default" r:id="rId17"/>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2A124C7A" w14:textId="77777777" w:rsidR="00075BBD" w:rsidRDefault="00075BBD" w:rsidP="00075BBD">
      <w:pPr>
        <w:pStyle w:val="FootnoteText"/>
      </w:pPr>
      <w:r>
        <w:rPr>
          <w:rStyle w:val="FootnoteReference"/>
        </w:rPr>
        <w:footnoteRef/>
      </w:r>
      <w:r>
        <w:t xml:space="preserve"> </w:t>
      </w:r>
      <w:r w:rsidRPr="002C2E8E">
        <w:t>Merjeno v prevoženih kilometrih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6DDD46E4"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9914BC">
      <w:t>7</w:t>
    </w:r>
    <w:r>
      <w:t xml:space="preserve">. </w:t>
    </w:r>
    <w:r w:rsidR="009914BC">
      <w:t>december</w:t>
    </w:r>
    <w:r>
      <w:t xml:space="preserve"> 20</w:t>
    </w:r>
    <w:r w:rsidR="009914BC">
      <w:t>20</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5.05pt;height:19.3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25C15"/>
    <w:rsid w:val="00036572"/>
    <w:rsid w:val="000452E9"/>
    <w:rsid w:val="000703C7"/>
    <w:rsid w:val="00070B6E"/>
    <w:rsid w:val="00075BBD"/>
    <w:rsid w:val="00077F13"/>
    <w:rsid w:val="000A5A42"/>
    <w:rsid w:val="000A7BDC"/>
    <w:rsid w:val="000C085F"/>
    <w:rsid w:val="000D4A88"/>
    <w:rsid w:val="00105D3D"/>
    <w:rsid w:val="001107C3"/>
    <w:rsid w:val="00115E8D"/>
    <w:rsid w:val="00123D52"/>
    <w:rsid w:val="00133E20"/>
    <w:rsid w:val="00147B3A"/>
    <w:rsid w:val="00172774"/>
    <w:rsid w:val="0019138D"/>
    <w:rsid w:val="001A0C98"/>
    <w:rsid w:val="001B6AE7"/>
    <w:rsid w:val="001D6793"/>
    <w:rsid w:val="001D761B"/>
    <w:rsid w:val="001F51CD"/>
    <w:rsid w:val="001F5412"/>
    <w:rsid w:val="00243593"/>
    <w:rsid w:val="0026509A"/>
    <w:rsid w:val="0029405F"/>
    <w:rsid w:val="002B4319"/>
    <w:rsid w:val="002B4C3A"/>
    <w:rsid w:val="002B5361"/>
    <w:rsid w:val="002D46EF"/>
    <w:rsid w:val="002E69B6"/>
    <w:rsid w:val="002E6FAD"/>
    <w:rsid w:val="00306767"/>
    <w:rsid w:val="00312D09"/>
    <w:rsid w:val="00346AE6"/>
    <w:rsid w:val="003533D1"/>
    <w:rsid w:val="00363E63"/>
    <w:rsid w:val="003A49D8"/>
    <w:rsid w:val="003C614E"/>
    <w:rsid w:val="003E0B33"/>
    <w:rsid w:val="0040719E"/>
    <w:rsid w:val="00431EDD"/>
    <w:rsid w:val="004368FB"/>
    <w:rsid w:val="00452589"/>
    <w:rsid w:val="00452804"/>
    <w:rsid w:val="00464D01"/>
    <w:rsid w:val="00477274"/>
    <w:rsid w:val="004970E5"/>
    <w:rsid w:val="004E2D3A"/>
    <w:rsid w:val="0050031A"/>
    <w:rsid w:val="00511405"/>
    <w:rsid w:val="00534457"/>
    <w:rsid w:val="00546DBF"/>
    <w:rsid w:val="00561C9A"/>
    <w:rsid w:val="005F445D"/>
    <w:rsid w:val="006269CE"/>
    <w:rsid w:val="0063497B"/>
    <w:rsid w:val="006445E8"/>
    <w:rsid w:val="00650921"/>
    <w:rsid w:val="00652795"/>
    <w:rsid w:val="00671853"/>
    <w:rsid w:val="006875F1"/>
    <w:rsid w:val="006965FC"/>
    <w:rsid w:val="006A6820"/>
    <w:rsid w:val="006C2117"/>
    <w:rsid w:val="006E1C81"/>
    <w:rsid w:val="007016EF"/>
    <w:rsid w:val="00731B6F"/>
    <w:rsid w:val="0074452D"/>
    <w:rsid w:val="0074466E"/>
    <w:rsid w:val="00744710"/>
    <w:rsid w:val="00767BB4"/>
    <w:rsid w:val="0079410F"/>
    <w:rsid w:val="007A0B59"/>
    <w:rsid w:val="007B7110"/>
    <w:rsid w:val="007C1151"/>
    <w:rsid w:val="007D0791"/>
    <w:rsid w:val="007F1307"/>
    <w:rsid w:val="00812D81"/>
    <w:rsid w:val="00823F21"/>
    <w:rsid w:val="008569BC"/>
    <w:rsid w:val="00860582"/>
    <w:rsid w:val="00887D7E"/>
    <w:rsid w:val="0089259B"/>
    <w:rsid w:val="008E24DE"/>
    <w:rsid w:val="00910265"/>
    <w:rsid w:val="0093604B"/>
    <w:rsid w:val="00946C4C"/>
    <w:rsid w:val="009914BC"/>
    <w:rsid w:val="009918B9"/>
    <w:rsid w:val="009A1E12"/>
    <w:rsid w:val="009B7B52"/>
    <w:rsid w:val="009C1299"/>
    <w:rsid w:val="009D311B"/>
    <w:rsid w:val="009F5FD6"/>
    <w:rsid w:val="00A072AA"/>
    <w:rsid w:val="00A107AD"/>
    <w:rsid w:val="00A22E1A"/>
    <w:rsid w:val="00A35FCE"/>
    <w:rsid w:val="00A42839"/>
    <w:rsid w:val="00A7050D"/>
    <w:rsid w:val="00A8329F"/>
    <w:rsid w:val="00AA1F25"/>
    <w:rsid w:val="00AB0C65"/>
    <w:rsid w:val="00AC328B"/>
    <w:rsid w:val="00AF3058"/>
    <w:rsid w:val="00B00E5E"/>
    <w:rsid w:val="00B220A3"/>
    <w:rsid w:val="00B451B6"/>
    <w:rsid w:val="00B52F7E"/>
    <w:rsid w:val="00B738F6"/>
    <w:rsid w:val="00B8300F"/>
    <w:rsid w:val="00BB648F"/>
    <w:rsid w:val="00BB6DF6"/>
    <w:rsid w:val="00BF2574"/>
    <w:rsid w:val="00C3287F"/>
    <w:rsid w:val="00C80811"/>
    <w:rsid w:val="00CF6407"/>
    <w:rsid w:val="00D312B6"/>
    <w:rsid w:val="00DB1C32"/>
    <w:rsid w:val="00DB2400"/>
    <w:rsid w:val="00DE2EA9"/>
    <w:rsid w:val="00DE453A"/>
    <w:rsid w:val="00DE4ACB"/>
    <w:rsid w:val="00DE72F6"/>
    <w:rsid w:val="00DF3707"/>
    <w:rsid w:val="00DF4F0B"/>
    <w:rsid w:val="00E02749"/>
    <w:rsid w:val="00E07E7D"/>
    <w:rsid w:val="00E7791D"/>
    <w:rsid w:val="00EC3CD7"/>
    <w:rsid w:val="00EC42C5"/>
    <w:rsid w:val="00EE7E6E"/>
    <w:rsid w:val="00F409C1"/>
    <w:rsid w:val="00F41E1A"/>
    <w:rsid w:val="00F43F6C"/>
    <w:rsid w:val="00F47B15"/>
    <w:rsid w:val="00F545EF"/>
    <w:rsid w:val="00F65156"/>
    <w:rsid w:val="00F66E1B"/>
    <w:rsid w:val="00F930F6"/>
    <w:rsid w:val="00F959CC"/>
    <w:rsid w:val="00FA45E3"/>
    <w:rsid w:val="00FB5533"/>
    <w:rsid w:val="00FE12B1"/>
    <w:rsid w:val="00FE27A9"/>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BB648F"/>
    <w:rPr>
      <w:sz w:val="16"/>
      <w:szCs w:val="16"/>
    </w:rPr>
  </w:style>
  <w:style w:type="paragraph" w:styleId="CommentText">
    <w:name w:val="annotation text"/>
    <w:basedOn w:val="Normal"/>
    <w:link w:val="CommentTextChar"/>
    <w:uiPriority w:val="99"/>
    <w:semiHidden/>
    <w:unhideWhenUsed/>
    <w:rsid w:val="00BB648F"/>
    <w:pPr>
      <w:spacing w:line="240" w:lineRule="auto"/>
    </w:pPr>
    <w:rPr>
      <w:szCs w:val="20"/>
    </w:rPr>
  </w:style>
  <w:style w:type="character" w:customStyle="1" w:styleId="CommentTextChar">
    <w:name w:val="Comment Text Char"/>
    <w:basedOn w:val="DefaultParagraphFont"/>
    <w:link w:val="CommentText"/>
    <w:uiPriority w:val="99"/>
    <w:semiHidden/>
    <w:rsid w:val="00BB648F"/>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BB648F"/>
    <w:rPr>
      <w:b/>
      <w:bCs/>
    </w:rPr>
  </w:style>
  <w:style w:type="character" w:customStyle="1" w:styleId="CommentSubjectChar">
    <w:name w:val="Comment Subject Char"/>
    <w:basedOn w:val="CommentTextChar"/>
    <w:link w:val="CommentSubject"/>
    <w:uiPriority w:val="99"/>
    <w:semiHidden/>
    <w:rsid w:val="00BB648F"/>
    <w:rPr>
      <w:rFonts w:ascii="Myriad Pro" w:hAnsi="Myriad Pro"/>
      <w:b/>
      <w:bCs/>
      <w:sz w:val="20"/>
      <w:szCs w:val="20"/>
    </w:rPr>
  </w:style>
  <w:style w:type="character" w:styleId="Strong">
    <w:name w:val="Strong"/>
    <w:basedOn w:val="DefaultParagraphFont"/>
    <w:uiPriority w:val="22"/>
    <w:qFormat/>
    <w:rsid w:val="003E0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236</TotalTime>
  <Pages>5</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Tina Nenadič</cp:lastModifiedBy>
  <cp:revision>43</cp:revision>
  <cp:lastPrinted>2020-12-07T10:00:00Z</cp:lastPrinted>
  <dcterms:created xsi:type="dcterms:W3CDTF">2020-12-03T07:13:00Z</dcterms:created>
  <dcterms:modified xsi:type="dcterms:W3CDTF">2020-12-07T10:22:00Z</dcterms:modified>
</cp:coreProperties>
</file>