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DC0A" w14:textId="77777777" w:rsidR="0050616E" w:rsidRPr="0050616E" w:rsidRDefault="00471713" w:rsidP="0050616E">
      <w:pPr>
        <w:pStyle w:val="Heading2"/>
        <w:numPr>
          <w:ilvl w:val="0"/>
          <w:numId w:val="0"/>
        </w:numPr>
      </w:pPr>
      <w:r>
        <w:rPr>
          <w:noProof/>
          <w:lang w:eastAsia="sl-SI"/>
        </w:rPr>
        <w:drawing>
          <wp:anchor distT="0" distB="0" distL="114300" distR="114300" simplePos="0" relativeHeight="251661312" behindDoc="0" locked="0" layoutInCell="1" allowOverlap="1" wp14:anchorId="6B79B96B" wp14:editId="37CB32C3">
            <wp:simplePos x="0" y="0"/>
            <wp:positionH relativeFrom="column">
              <wp:posOffset>-900374</wp:posOffset>
            </wp:positionH>
            <wp:positionV relativeFrom="paragraph">
              <wp:posOffset>-1081405</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r w:rsidR="00341E37">
        <w:rPr>
          <w:noProof/>
          <w:lang w:eastAsia="sl-SI"/>
        </w:rPr>
        <w:drawing>
          <wp:anchor distT="0" distB="0" distL="114300" distR="114300" simplePos="0" relativeHeight="251663360" behindDoc="0" locked="0" layoutInCell="1" allowOverlap="1" wp14:anchorId="09672FA5" wp14:editId="569B8762">
            <wp:simplePos x="0" y="0"/>
            <wp:positionH relativeFrom="column">
              <wp:posOffset>4939343</wp:posOffset>
            </wp:positionH>
            <wp:positionV relativeFrom="paragraph">
              <wp:posOffset>-626110</wp:posOffset>
            </wp:positionV>
            <wp:extent cx="1294227" cy="36585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A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p>
    <w:p w14:paraId="370D427A" w14:textId="77777777" w:rsidR="0050616E" w:rsidRPr="0050616E" w:rsidRDefault="00D66667" w:rsidP="0050616E">
      <w:pPr>
        <w:tabs>
          <w:tab w:val="left" w:pos="7227"/>
        </w:tabs>
        <w:sectPr w:rsidR="0050616E" w:rsidRPr="0050616E" w:rsidSect="007C3A38">
          <w:footerReference w:type="default" r:id="rId10"/>
          <w:pgSz w:w="11906" w:h="16838"/>
          <w:pgMar w:top="1701" w:right="1418" w:bottom="1418" w:left="1418" w:header="709" w:footer="709" w:gutter="0"/>
          <w:pgNumType w:fmt="lowerRoman" w:start="1"/>
          <w:cols w:space="708"/>
        </w:sectPr>
      </w:pPr>
      <w:r>
        <w:rPr>
          <w:noProof/>
          <w:lang w:eastAsia="sl-SI"/>
        </w:rPr>
        <mc:AlternateContent>
          <mc:Choice Requires="wps">
            <w:drawing>
              <wp:anchor distT="0" distB="0" distL="114300" distR="114300" simplePos="0" relativeHeight="251659262" behindDoc="0" locked="0" layoutInCell="1" allowOverlap="1" wp14:anchorId="27A5AE84" wp14:editId="1A24D7B8">
                <wp:simplePos x="0" y="0"/>
                <wp:positionH relativeFrom="column">
                  <wp:posOffset>2694750</wp:posOffset>
                </wp:positionH>
                <wp:positionV relativeFrom="paragraph">
                  <wp:posOffset>556895</wp:posOffset>
                </wp:positionV>
                <wp:extent cx="3680460" cy="8066405"/>
                <wp:effectExtent l="0" t="0" r="0" b="10795"/>
                <wp:wrapNone/>
                <wp:docPr id="2" name="Text Box 2"/>
                <wp:cNvGraphicFramePr/>
                <a:graphic xmlns:a="http://schemas.openxmlformats.org/drawingml/2006/main">
                  <a:graphicData uri="http://schemas.microsoft.com/office/word/2010/wordprocessingShape">
                    <wps:wsp>
                      <wps:cNvSpPr txBox="1"/>
                      <wps:spPr>
                        <a:xfrm>
                          <a:off x="0" y="0"/>
                          <a:ext cx="3680460" cy="8066405"/>
                        </a:xfrm>
                        <a:prstGeom prst="rect">
                          <a:avLst/>
                        </a:prstGeom>
                        <a:noFill/>
                        <a:ln w="6350">
                          <a:noFill/>
                        </a:ln>
                        <a:effectLst/>
                      </wps:spPr>
                      <wps:txbx>
                        <w:txbxContent>
                          <w:p w14:paraId="5037B34D" w14:textId="77777777" w:rsidR="00BA6D9F" w:rsidRPr="0050616E" w:rsidRDefault="00BA6D9F" w:rsidP="0050616E">
                            <w:pPr>
                              <w:pStyle w:val="NaslovnicanaslovUMAR"/>
                              <w:numPr>
                                <w:ilvl w:val="0"/>
                                <w:numId w:val="0"/>
                              </w:numPr>
                              <w:spacing w:line="760" w:lineRule="exact"/>
                              <w:rPr>
                                <w:color w:val="auto"/>
                                <w:sz w:val="76"/>
                                <w:szCs w:val="76"/>
                              </w:rPr>
                            </w:pPr>
                          </w:p>
                          <w:p w14:paraId="03E6832B" w14:textId="77777777" w:rsidR="00BA6D9F" w:rsidRPr="0050616E" w:rsidRDefault="00BA6D9F" w:rsidP="0050616E">
                            <w:pPr>
                              <w:pStyle w:val="NaslovnicanaslovUMAR"/>
                              <w:numPr>
                                <w:ilvl w:val="0"/>
                                <w:numId w:val="0"/>
                              </w:numPr>
                              <w:spacing w:line="760" w:lineRule="exact"/>
                              <w:rPr>
                                <w:color w:val="auto"/>
                                <w:sz w:val="76"/>
                                <w:szCs w:val="76"/>
                              </w:rPr>
                            </w:pPr>
                          </w:p>
                          <w:p w14:paraId="3D42B534" w14:textId="77777777" w:rsidR="00BA6D9F" w:rsidRPr="0050616E" w:rsidRDefault="00BA6D9F"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432E68A7" w14:textId="7E74EF25" w:rsidR="00BA6D9F" w:rsidRPr="0050616E" w:rsidRDefault="00BF7EAB" w:rsidP="0050616E">
                            <w:pPr>
                              <w:pStyle w:val="NaslovnicanaslovUMAR"/>
                              <w:numPr>
                                <w:ilvl w:val="0"/>
                                <w:numId w:val="0"/>
                              </w:numPr>
                              <w:spacing w:line="240" w:lineRule="auto"/>
                              <w:rPr>
                                <w:b w:val="0"/>
                                <w:bCs/>
                                <w:color w:val="auto"/>
                                <w:sz w:val="26"/>
                                <w:szCs w:val="26"/>
                              </w:rPr>
                            </w:pPr>
                            <w:r>
                              <w:rPr>
                                <w:b w:val="0"/>
                                <w:bCs/>
                                <w:color w:val="auto"/>
                                <w:sz w:val="26"/>
                                <w:szCs w:val="26"/>
                              </w:rPr>
                              <w:t>Maj 2021</w:t>
                            </w:r>
                          </w:p>
                          <w:p w14:paraId="6671A38F" w14:textId="77777777" w:rsidR="00BA6D9F" w:rsidRPr="0050616E" w:rsidRDefault="00BA6D9F" w:rsidP="0050616E">
                            <w:pPr>
                              <w:pStyle w:val="NaslovnicanaslovUMAR"/>
                              <w:numPr>
                                <w:ilvl w:val="0"/>
                                <w:numId w:val="0"/>
                              </w:numPr>
                              <w:spacing w:line="760" w:lineRule="exact"/>
                              <w:rPr>
                                <w:color w:val="auto"/>
                                <w:sz w:val="52"/>
                                <w:szCs w:val="52"/>
                              </w:rPr>
                            </w:pPr>
                          </w:p>
                          <w:p w14:paraId="309C9D6F" w14:textId="77777777" w:rsidR="00002CAF" w:rsidRPr="0050616E" w:rsidRDefault="007D35A9" w:rsidP="0050616E">
                            <w:pPr>
                              <w:pStyle w:val="NaslovnicanaslovUMAR"/>
                              <w:numPr>
                                <w:ilvl w:val="0"/>
                                <w:numId w:val="0"/>
                              </w:numPr>
                              <w:spacing w:after="240" w:line="760" w:lineRule="exact"/>
                              <w:rPr>
                                <w:b w:val="0"/>
                                <w:bCs/>
                                <w:color w:val="auto"/>
                                <w:sz w:val="52"/>
                                <w:szCs w:val="52"/>
                              </w:rPr>
                            </w:pPr>
                            <w:r>
                              <w:rPr>
                                <w:b w:val="0"/>
                                <w:bCs/>
                                <w:color w:val="auto"/>
                                <w:sz w:val="52"/>
                                <w:szCs w:val="52"/>
                              </w:rPr>
                              <w:t>Mojca Koprivnikar Šušteršič</w:t>
                            </w:r>
                          </w:p>
                          <w:p w14:paraId="0350882A" w14:textId="77777777" w:rsidR="00002CAF" w:rsidRPr="0050616E" w:rsidRDefault="007D35A9" w:rsidP="0050616E">
                            <w:pPr>
                              <w:pStyle w:val="NaslovnicanaslovUMAR"/>
                              <w:numPr>
                                <w:ilvl w:val="0"/>
                                <w:numId w:val="0"/>
                              </w:numPr>
                              <w:spacing w:line="760" w:lineRule="exact"/>
                              <w:rPr>
                                <w:color w:val="auto"/>
                                <w:sz w:val="76"/>
                                <w:szCs w:val="76"/>
                              </w:rPr>
                            </w:pPr>
                            <w:r>
                              <w:rPr>
                                <w:color w:val="auto"/>
                                <w:sz w:val="76"/>
                                <w:szCs w:val="76"/>
                              </w:rPr>
                              <w:t>Zasebna potrošnja pred in med epidemijo covid-19</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5AE84" id="_x0000_t202" coordsize="21600,21600" o:spt="202" path="m,l,21600r21600,l21600,xe">
                <v:stroke joinstyle="miter"/>
                <v:path gradientshapeok="t" o:connecttype="rect"/>
              </v:shapetype>
              <v:shape id="Text Box 2" o:spid="_x0000_s1026" type="#_x0000_t202" style="position:absolute;margin-left:212.2pt;margin-top:43.85pt;width:289.8pt;height:635.1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" filled="f" stroked="f" strokeweight=".5pt">
                <v:textbox style="layout-flow:vertical;mso-layout-flow-alt:bottom-to-top" inset="0,0,.5mm,0">
                  <w:txbxContent>
                    <w:p w14:paraId="5037B34D" w14:textId="77777777" w:rsidR="00BA6D9F" w:rsidRPr="0050616E" w:rsidRDefault="00BA6D9F" w:rsidP="0050616E">
                      <w:pPr>
                        <w:pStyle w:val="NaslovnicanaslovUMAR"/>
                        <w:numPr>
                          <w:ilvl w:val="0"/>
                          <w:numId w:val="0"/>
                        </w:numPr>
                        <w:spacing w:line="760" w:lineRule="exact"/>
                        <w:rPr>
                          <w:color w:val="auto"/>
                          <w:sz w:val="76"/>
                          <w:szCs w:val="76"/>
                        </w:rPr>
                      </w:pPr>
                    </w:p>
                    <w:p w14:paraId="03E6832B" w14:textId="77777777" w:rsidR="00BA6D9F" w:rsidRPr="0050616E" w:rsidRDefault="00BA6D9F" w:rsidP="0050616E">
                      <w:pPr>
                        <w:pStyle w:val="NaslovnicanaslovUMAR"/>
                        <w:numPr>
                          <w:ilvl w:val="0"/>
                          <w:numId w:val="0"/>
                        </w:numPr>
                        <w:spacing w:line="760" w:lineRule="exact"/>
                        <w:rPr>
                          <w:color w:val="auto"/>
                          <w:sz w:val="76"/>
                          <w:szCs w:val="76"/>
                        </w:rPr>
                      </w:pPr>
                    </w:p>
                    <w:p w14:paraId="3D42B534" w14:textId="77777777" w:rsidR="00BA6D9F" w:rsidRPr="0050616E" w:rsidRDefault="00BA6D9F"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432E68A7" w14:textId="7E74EF25" w:rsidR="00BA6D9F" w:rsidRPr="0050616E" w:rsidRDefault="00BF7EAB" w:rsidP="0050616E">
                      <w:pPr>
                        <w:pStyle w:val="NaslovnicanaslovUMAR"/>
                        <w:numPr>
                          <w:ilvl w:val="0"/>
                          <w:numId w:val="0"/>
                        </w:numPr>
                        <w:spacing w:line="240" w:lineRule="auto"/>
                        <w:rPr>
                          <w:b w:val="0"/>
                          <w:bCs/>
                          <w:color w:val="auto"/>
                          <w:sz w:val="26"/>
                          <w:szCs w:val="26"/>
                        </w:rPr>
                      </w:pPr>
                      <w:r>
                        <w:rPr>
                          <w:b w:val="0"/>
                          <w:bCs/>
                          <w:color w:val="auto"/>
                          <w:sz w:val="26"/>
                          <w:szCs w:val="26"/>
                        </w:rPr>
                        <w:t>Maj 2021</w:t>
                      </w:r>
                    </w:p>
                    <w:p w14:paraId="6671A38F" w14:textId="77777777" w:rsidR="00BA6D9F" w:rsidRPr="0050616E" w:rsidRDefault="00BA6D9F" w:rsidP="0050616E">
                      <w:pPr>
                        <w:pStyle w:val="NaslovnicanaslovUMAR"/>
                        <w:numPr>
                          <w:ilvl w:val="0"/>
                          <w:numId w:val="0"/>
                        </w:numPr>
                        <w:spacing w:line="760" w:lineRule="exact"/>
                        <w:rPr>
                          <w:color w:val="auto"/>
                          <w:sz w:val="52"/>
                          <w:szCs w:val="52"/>
                        </w:rPr>
                      </w:pPr>
                    </w:p>
                    <w:p w14:paraId="309C9D6F" w14:textId="77777777" w:rsidR="00002CAF" w:rsidRPr="0050616E" w:rsidRDefault="007D35A9" w:rsidP="0050616E">
                      <w:pPr>
                        <w:pStyle w:val="NaslovnicanaslovUMAR"/>
                        <w:numPr>
                          <w:ilvl w:val="0"/>
                          <w:numId w:val="0"/>
                        </w:numPr>
                        <w:spacing w:after="240" w:line="760" w:lineRule="exact"/>
                        <w:rPr>
                          <w:b w:val="0"/>
                          <w:bCs/>
                          <w:color w:val="auto"/>
                          <w:sz w:val="52"/>
                          <w:szCs w:val="52"/>
                        </w:rPr>
                      </w:pPr>
                      <w:r>
                        <w:rPr>
                          <w:b w:val="0"/>
                          <w:bCs/>
                          <w:color w:val="auto"/>
                          <w:sz w:val="52"/>
                          <w:szCs w:val="52"/>
                        </w:rPr>
                        <w:t>Mojca Koprivnikar Šušteršič</w:t>
                      </w:r>
                    </w:p>
                    <w:p w14:paraId="0350882A" w14:textId="77777777" w:rsidR="00002CAF" w:rsidRPr="0050616E" w:rsidRDefault="007D35A9" w:rsidP="0050616E">
                      <w:pPr>
                        <w:pStyle w:val="NaslovnicanaslovUMAR"/>
                        <w:numPr>
                          <w:ilvl w:val="0"/>
                          <w:numId w:val="0"/>
                        </w:numPr>
                        <w:spacing w:line="760" w:lineRule="exact"/>
                        <w:rPr>
                          <w:color w:val="auto"/>
                          <w:sz w:val="76"/>
                          <w:szCs w:val="76"/>
                        </w:rPr>
                      </w:pPr>
                      <w:r>
                        <w:rPr>
                          <w:color w:val="auto"/>
                          <w:sz w:val="76"/>
                          <w:szCs w:val="76"/>
                        </w:rPr>
                        <w:t>Zasebna potrošnja pred in med epidemijo covid-19</w:t>
                      </w:r>
                    </w:p>
                  </w:txbxContent>
                </v:textbox>
              </v:shape>
            </w:pict>
          </mc:Fallback>
        </mc:AlternateContent>
      </w:r>
      <w:r w:rsidR="0050616E">
        <w:tab/>
      </w:r>
    </w:p>
    <w:p w14:paraId="12BC09CE" w14:textId="77777777" w:rsidR="00471713" w:rsidRDefault="00471713" w:rsidP="00471713">
      <w:pPr>
        <w:pStyle w:val="Heading1"/>
        <w:numPr>
          <w:ilvl w:val="0"/>
          <w:numId w:val="0"/>
        </w:numPr>
        <w:rPr>
          <w:rStyle w:val="VodilnistavekUMAR"/>
        </w:rPr>
      </w:pPr>
      <w:bookmarkStart w:id="0" w:name="_Toc525304171"/>
      <w:bookmarkStart w:id="1" w:name="_Toc527616894"/>
      <w:bookmarkStart w:id="2" w:name="_Toc528328881"/>
      <w:r w:rsidRPr="00471713">
        <w:lastRenderedPageBreak/>
        <w:t>Povzetek</w:t>
      </w:r>
    </w:p>
    <w:p w14:paraId="52D0E240" w14:textId="77777777" w:rsidR="00471713" w:rsidRDefault="00471713" w:rsidP="00E60966">
      <w:pPr>
        <w:pStyle w:val="BesediloUMAR"/>
        <w:rPr>
          <w:rStyle w:val="VodilnistavekUMAR"/>
        </w:rPr>
      </w:pPr>
    </w:p>
    <w:p w14:paraId="328496DB" w14:textId="1B46C962" w:rsidR="008336AC" w:rsidRDefault="009C11C3" w:rsidP="008336AC">
      <w:pPr>
        <w:pStyle w:val="BesediloUMAR"/>
        <w:rPr>
          <w:b/>
        </w:rPr>
      </w:pPr>
      <w:r>
        <w:rPr>
          <w:b/>
          <w:bCs/>
        </w:rPr>
        <w:t>V a</w:t>
      </w:r>
      <w:r w:rsidR="00A157BE">
        <w:rPr>
          <w:b/>
          <w:bCs/>
        </w:rPr>
        <w:t>naliz</w:t>
      </w:r>
      <w:r>
        <w:rPr>
          <w:b/>
          <w:bCs/>
        </w:rPr>
        <w:t>i prikazujemo</w:t>
      </w:r>
      <w:r w:rsidR="00A157BE">
        <w:rPr>
          <w:b/>
          <w:bCs/>
        </w:rPr>
        <w:t xml:space="preserve"> gibanje in dejavnike potrošnje gospodinjstev (zasebne potrošnje)</w:t>
      </w:r>
      <w:r>
        <w:rPr>
          <w:b/>
          <w:bCs/>
        </w:rPr>
        <w:t>, ki je</w:t>
      </w:r>
      <w:r w:rsidR="00A157BE">
        <w:rPr>
          <w:b/>
          <w:bCs/>
        </w:rPr>
        <w:t xml:space="preserve"> pomemb</w:t>
      </w:r>
      <w:r>
        <w:rPr>
          <w:b/>
          <w:bCs/>
        </w:rPr>
        <w:t>e</w:t>
      </w:r>
      <w:r w:rsidR="00A157BE">
        <w:rPr>
          <w:b/>
          <w:bCs/>
        </w:rPr>
        <w:t>n sestavn</w:t>
      </w:r>
      <w:r>
        <w:rPr>
          <w:b/>
          <w:bCs/>
        </w:rPr>
        <w:t>i</w:t>
      </w:r>
      <w:r w:rsidR="00A157BE">
        <w:rPr>
          <w:b/>
          <w:bCs/>
        </w:rPr>
        <w:t xml:space="preserve"> del bruto domačega proizvoda.  </w:t>
      </w:r>
      <w:r>
        <w:rPr>
          <w:b/>
          <w:bCs/>
        </w:rPr>
        <w:t>Pregled v</w:t>
      </w:r>
      <w:r w:rsidR="00A157BE">
        <w:rPr>
          <w:b/>
          <w:bCs/>
        </w:rPr>
        <w:t>ključuje obdobje od izbruha finančne in gospodarske krize v letu 2008 do začetka leta 2021.</w:t>
      </w:r>
      <w:r w:rsidR="001479ED">
        <w:rPr>
          <w:b/>
          <w:bCs/>
        </w:rPr>
        <w:t xml:space="preserve"> Zasebna potrošnja se je v</w:t>
      </w:r>
      <w:r w:rsidR="008336AC" w:rsidRPr="00A60FE4">
        <w:rPr>
          <w:b/>
        </w:rPr>
        <w:t xml:space="preserve"> prvih letih finančne krize povečevala kljub znižanju bruto razpoložljivega dohodka, saj so gospodinjstva zmanjšala del sredstev, namenj</w:t>
      </w:r>
      <w:r w:rsidR="003C3406">
        <w:rPr>
          <w:b/>
        </w:rPr>
        <w:t>en</w:t>
      </w:r>
      <w:r w:rsidR="008336AC" w:rsidRPr="00A60FE4">
        <w:rPr>
          <w:b/>
        </w:rPr>
        <w:t xml:space="preserve"> varčevanju. Varčevanje gospodinjstev se je zmanjševalo do vključno leta 2012, ko so gospodinjstva prvič v obdobju </w:t>
      </w:r>
      <w:r w:rsidR="008336AC">
        <w:rPr>
          <w:b/>
        </w:rPr>
        <w:t xml:space="preserve">finančne </w:t>
      </w:r>
      <w:r w:rsidR="008336AC" w:rsidRPr="00A60FE4">
        <w:rPr>
          <w:b/>
        </w:rPr>
        <w:t>krize zmanjšala tudi potrošnjo.</w:t>
      </w:r>
      <w:r w:rsidR="008336AC">
        <w:rPr>
          <w:b/>
        </w:rPr>
        <w:t xml:space="preserve"> </w:t>
      </w:r>
      <w:r w:rsidR="008336AC" w:rsidRPr="00A60FE4">
        <w:rPr>
          <w:b/>
        </w:rPr>
        <w:t xml:space="preserve">Po poglobitvi padca v letu 2013 se je zasebna potrošnja od leta 2014 do vključno leta 2019 spet krepila. V </w:t>
      </w:r>
      <w:r w:rsidR="007D35A9">
        <w:rPr>
          <w:b/>
        </w:rPr>
        <w:t>teh</w:t>
      </w:r>
      <w:r w:rsidR="008336AC" w:rsidRPr="00A60FE4">
        <w:rPr>
          <w:b/>
        </w:rPr>
        <w:t xml:space="preserve"> letih je </w:t>
      </w:r>
      <w:r w:rsidR="007D35A9">
        <w:rPr>
          <w:b/>
        </w:rPr>
        <w:t xml:space="preserve">bila </w:t>
      </w:r>
      <w:r w:rsidR="008336AC" w:rsidRPr="00A60FE4">
        <w:rPr>
          <w:b/>
        </w:rPr>
        <w:t xml:space="preserve">rast </w:t>
      </w:r>
      <w:r w:rsidR="008336AC">
        <w:rPr>
          <w:b/>
        </w:rPr>
        <w:t>p</w:t>
      </w:r>
      <w:r w:rsidR="008336AC" w:rsidRPr="00A60FE4">
        <w:rPr>
          <w:b/>
        </w:rPr>
        <w:t xml:space="preserve">osledica krepitve </w:t>
      </w:r>
      <w:r w:rsidR="008336AC" w:rsidRPr="00A60FE4">
        <w:rPr>
          <w:rStyle w:val="VodilnistavekUMAR"/>
        </w:rPr>
        <w:t>bruto razpoložljivega dohodka gospodinjstev.</w:t>
      </w:r>
      <w:r w:rsidR="008336AC" w:rsidRPr="00A60FE4">
        <w:rPr>
          <w:rStyle w:val="VodilnistavekUMAR"/>
          <w:b w:val="0"/>
        </w:rPr>
        <w:t xml:space="preserve"> </w:t>
      </w:r>
      <w:r w:rsidR="00A157BE" w:rsidRPr="00622F9B">
        <w:rPr>
          <w:rStyle w:val="VodilnistavekUMAR"/>
          <w:bCs/>
        </w:rPr>
        <w:t>Njegov</w:t>
      </w:r>
      <w:r w:rsidR="00A157BE">
        <w:rPr>
          <w:rStyle w:val="VodilnistavekUMAR"/>
          <w:b w:val="0"/>
        </w:rPr>
        <w:t xml:space="preserve"> </w:t>
      </w:r>
      <w:r w:rsidR="00A157BE">
        <w:rPr>
          <w:b/>
        </w:rPr>
        <w:t>v</w:t>
      </w:r>
      <w:r w:rsidR="008336AC" w:rsidRPr="00A60FE4">
        <w:rPr>
          <w:b/>
        </w:rPr>
        <w:t>ečji</w:t>
      </w:r>
      <w:r w:rsidR="008336AC">
        <w:rPr>
          <w:b/>
        </w:rPr>
        <w:t xml:space="preserve"> del </w:t>
      </w:r>
      <w:r w:rsidR="007D35A9">
        <w:rPr>
          <w:b/>
        </w:rPr>
        <w:t xml:space="preserve">so </w:t>
      </w:r>
      <w:r w:rsidR="008336AC" w:rsidRPr="00A60FE4">
        <w:rPr>
          <w:b/>
        </w:rPr>
        <w:t>predstavlja</w:t>
      </w:r>
      <w:r w:rsidR="007D35A9">
        <w:rPr>
          <w:b/>
        </w:rPr>
        <w:t xml:space="preserve">la </w:t>
      </w:r>
      <w:r w:rsidR="008336AC" w:rsidRPr="00A60FE4">
        <w:rPr>
          <w:b/>
        </w:rPr>
        <w:t xml:space="preserve">sredstva za zaposlene, ki so se </w:t>
      </w:r>
      <w:r w:rsidR="008336AC">
        <w:rPr>
          <w:b/>
        </w:rPr>
        <w:t xml:space="preserve">ob </w:t>
      </w:r>
      <w:r w:rsidR="008336AC" w:rsidRPr="000444AD">
        <w:rPr>
          <w:b/>
        </w:rPr>
        <w:t>razmeroma visoki rasti zaposlenosti in rasti plač do leta 2019 precej okrepila</w:t>
      </w:r>
      <w:r w:rsidR="004539A0">
        <w:rPr>
          <w:b/>
        </w:rPr>
        <w:t>.</w:t>
      </w:r>
      <w:r w:rsidR="008336AC" w:rsidRPr="000444AD">
        <w:rPr>
          <w:b/>
        </w:rPr>
        <w:t xml:space="preserve"> </w:t>
      </w:r>
    </w:p>
    <w:p w14:paraId="239C0EBA" w14:textId="77777777" w:rsidR="004539A0" w:rsidRPr="00A60FE4" w:rsidRDefault="004539A0" w:rsidP="008336AC">
      <w:pPr>
        <w:pStyle w:val="BesediloUMAR"/>
        <w:rPr>
          <w:b/>
        </w:rPr>
      </w:pPr>
    </w:p>
    <w:p w14:paraId="34EDADC4" w14:textId="27C7A349" w:rsidR="008336AC" w:rsidRDefault="008336AC" w:rsidP="008336AC">
      <w:pPr>
        <w:pStyle w:val="BesediloUMAR"/>
        <w:rPr>
          <w:rStyle w:val="VodilnistavekUMAR"/>
        </w:rPr>
      </w:pPr>
      <w:r>
        <w:rPr>
          <w:rStyle w:val="VodilnistavekUMAR"/>
        </w:rPr>
        <w:t xml:space="preserve">V strukturi potrošnje so </w:t>
      </w:r>
      <w:r w:rsidRPr="006759E2">
        <w:rPr>
          <w:rStyle w:val="VodilnistavekUMAR"/>
        </w:rPr>
        <w:t xml:space="preserve">na nihanja v razpoložljivem dohodku </w:t>
      </w:r>
      <w:r>
        <w:rPr>
          <w:rStyle w:val="VodilnistavekUMAR"/>
        </w:rPr>
        <w:t>n</w:t>
      </w:r>
      <w:r w:rsidRPr="006759E2">
        <w:rPr>
          <w:rStyle w:val="VodilnistavekUMAR"/>
        </w:rPr>
        <w:t>ajbolj občutljivi nakupi trajnejšega blaga, ki so se po letu 2014 najbolj povečali</w:t>
      </w:r>
      <w:r>
        <w:rPr>
          <w:rStyle w:val="VodilnistavekUMAR"/>
        </w:rPr>
        <w:t>.</w:t>
      </w:r>
      <w:r w:rsidRPr="009E7E6D">
        <w:rPr>
          <w:rStyle w:val="VodilnistavekUMAR"/>
        </w:rPr>
        <w:t xml:space="preserve"> </w:t>
      </w:r>
      <w:r>
        <w:rPr>
          <w:rStyle w:val="VodilnistavekUMAR"/>
        </w:rPr>
        <w:t>S</w:t>
      </w:r>
      <w:r w:rsidRPr="006759E2">
        <w:rPr>
          <w:rStyle w:val="VodilnistavekUMAR"/>
        </w:rPr>
        <w:t xml:space="preserve">truktura potrošnje gospodinjstev v Sloveniji </w:t>
      </w:r>
      <w:r>
        <w:rPr>
          <w:rStyle w:val="VodilnistavekUMAR"/>
        </w:rPr>
        <w:t xml:space="preserve">pred epidemijo </w:t>
      </w:r>
      <w:r w:rsidRPr="006759E2">
        <w:rPr>
          <w:rStyle w:val="VodilnistavekUMAR"/>
        </w:rPr>
        <w:t xml:space="preserve">je </w:t>
      </w:r>
      <w:r>
        <w:rPr>
          <w:rStyle w:val="VodilnistavekUMAR"/>
        </w:rPr>
        <w:t xml:space="preserve">bila </w:t>
      </w:r>
      <w:r w:rsidR="00EB7108">
        <w:rPr>
          <w:rStyle w:val="VodilnistavekUMAR"/>
        </w:rPr>
        <w:t xml:space="preserve">sicer </w:t>
      </w:r>
      <w:r w:rsidRPr="006759E2">
        <w:rPr>
          <w:rStyle w:val="VodilnistavekUMAR"/>
        </w:rPr>
        <w:t xml:space="preserve">podobna kot v povprečju držav EU; navzgor </w:t>
      </w:r>
      <w:r>
        <w:rPr>
          <w:rStyle w:val="VodilnistavekUMAR"/>
        </w:rPr>
        <w:t xml:space="preserve">je </w:t>
      </w:r>
      <w:r w:rsidRPr="006759E2">
        <w:rPr>
          <w:rStyle w:val="VodilnistavekUMAR"/>
        </w:rPr>
        <w:t>vidneje odstopa</w:t>
      </w:r>
      <w:r>
        <w:rPr>
          <w:rStyle w:val="VodilnistavekUMAR"/>
        </w:rPr>
        <w:t>l</w:t>
      </w:r>
      <w:r w:rsidRPr="006759E2">
        <w:rPr>
          <w:rStyle w:val="VodilnistavekUMAR"/>
        </w:rPr>
        <w:t xml:space="preserve"> </w:t>
      </w:r>
      <w:r w:rsidR="00A157BE">
        <w:rPr>
          <w:rStyle w:val="VodilnistavekUMAR"/>
        </w:rPr>
        <w:t xml:space="preserve">le </w:t>
      </w:r>
      <w:r w:rsidRPr="006759E2">
        <w:rPr>
          <w:rStyle w:val="VodilnistavekUMAR"/>
        </w:rPr>
        <w:t>delež izdatkov za prevoz, navzdol pa delež stanovanjskih izdatkov.</w:t>
      </w:r>
      <w:r w:rsidRPr="009E7E6D">
        <w:rPr>
          <w:rStyle w:val="VodilnistavekUMAR"/>
        </w:rPr>
        <w:t xml:space="preserve"> </w:t>
      </w:r>
    </w:p>
    <w:p w14:paraId="1D301AE3" w14:textId="77777777" w:rsidR="008336AC" w:rsidRDefault="008336AC" w:rsidP="008336AC">
      <w:pPr>
        <w:pStyle w:val="BesediloUMAR"/>
        <w:rPr>
          <w:rStyle w:val="VodilnistavekUMAR"/>
        </w:rPr>
      </w:pPr>
    </w:p>
    <w:p w14:paraId="59843268" w14:textId="5AEE0581" w:rsidR="008336AC" w:rsidRDefault="008336AC" w:rsidP="008336AC">
      <w:pPr>
        <w:pStyle w:val="BesediloUMAR"/>
        <w:rPr>
          <w:b/>
        </w:rPr>
      </w:pPr>
      <w:r w:rsidRPr="006759E2">
        <w:rPr>
          <w:rStyle w:val="VodilnistavekUMAR"/>
        </w:rPr>
        <w:t xml:space="preserve">Rast zasebne potrošnje v </w:t>
      </w:r>
      <w:r>
        <w:rPr>
          <w:rStyle w:val="VodilnistavekUMAR"/>
        </w:rPr>
        <w:t xml:space="preserve">letih pred izbruhom epidemije je </w:t>
      </w:r>
      <w:r w:rsidRPr="006759E2">
        <w:rPr>
          <w:rStyle w:val="VodilnistavekUMAR"/>
        </w:rPr>
        <w:t>nekoliko zavira</w:t>
      </w:r>
      <w:r>
        <w:rPr>
          <w:rStyle w:val="VodilnistavekUMAR"/>
        </w:rPr>
        <w:t>la</w:t>
      </w:r>
      <w:r w:rsidRPr="006759E2">
        <w:rPr>
          <w:rStyle w:val="VodilnistavekUMAR"/>
        </w:rPr>
        <w:t xml:space="preserve"> rastoča </w:t>
      </w:r>
      <w:r>
        <w:rPr>
          <w:rStyle w:val="VodilnistavekUMAR"/>
        </w:rPr>
        <w:t>stopnja varčevanja gospodinjstev. Ker so s</w:t>
      </w:r>
      <w:r w:rsidRPr="00776201">
        <w:rPr>
          <w:rStyle w:val="VodilnistavekUMAR"/>
        </w:rPr>
        <w:t>lovenska gospodinjstva</w:t>
      </w:r>
      <w:r w:rsidRPr="006759E2">
        <w:rPr>
          <w:rStyle w:val="VodilnistavekUMAR"/>
        </w:rPr>
        <w:t xml:space="preserve"> tradicionalno bolj usmerjena h klasičnim oblikam varčevanja</w:t>
      </w:r>
      <w:r w:rsidRPr="000444AD">
        <w:rPr>
          <w:rStyle w:val="VodilnistavekUMAR"/>
          <w:b w:val="0"/>
        </w:rPr>
        <w:t xml:space="preserve">, </w:t>
      </w:r>
      <w:r w:rsidRPr="000444AD">
        <w:rPr>
          <w:b/>
        </w:rPr>
        <w:t>imajo skoraj polovico premoženja v obliki gotovine in vlog</w:t>
      </w:r>
      <w:r w:rsidRPr="007A014C">
        <w:t>.</w:t>
      </w:r>
      <w:r>
        <w:t xml:space="preserve"> </w:t>
      </w:r>
      <w:r>
        <w:rPr>
          <w:rStyle w:val="VodilnistavekUMAR"/>
        </w:rPr>
        <w:t>Poleg</w:t>
      </w:r>
      <w:r w:rsidRPr="00435EA2">
        <w:rPr>
          <w:rStyle w:val="VodilnistavekUMAR"/>
        </w:rPr>
        <w:t xml:space="preserve"> privarčevanih sredstev </w:t>
      </w:r>
      <w:r>
        <w:rPr>
          <w:rStyle w:val="VodilnistavekUMAR"/>
        </w:rPr>
        <w:t xml:space="preserve">se </w:t>
      </w:r>
      <w:r w:rsidRPr="00435EA2">
        <w:rPr>
          <w:rStyle w:val="VodilnistavekUMAR"/>
        </w:rPr>
        <w:t>za nakup stanovanja</w:t>
      </w:r>
      <w:r>
        <w:rPr>
          <w:rStyle w:val="VodilnistavekUMAR"/>
        </w:rPr>
        <w:t xml:space="preserve"> in ostale večje nakupe </w:t>
      </w:r>
      <w:r w:rsidRPr="00435EA2">
        <w:rPr>
          <w:rStyle w:val="VodilnistavekUMAR"/>
        </w:rPr>
        <w:t>tudi zadolžijo.</w:t>
      </w:r>
      <w:r w:rsidRPr="00351196">
        <w:rPr>
          <w:b/>
        </w:rPr>
        <w:t xml:space="preserve"> </w:t>
      </w:r>
      <w:r>
        <w:rPr>
          <w:b/>
        </w:rPr>
        <w:t>Po letu 2014 se je novo kreditiranje slovenskih gospodinjstev močneje okrepilo</w:t>
      </w:r>
      <w:r w:rsidR="007D35A9">
        <w:rPr>
          <w:b/>
        </w:rPr>
        <w:t>, k</w:t>
      </w:r>
      <w:r w:rsidRPr="00911142">
        <w:rPr>
          <w:b/>
        </w:rPr>
        <w:t xml:space="preserve">ljub povečevanju kreditiranja </w:t>
      </w:r>
      <w:r>
        <w:rPr>
          <w:b/>
        </w:rPr>
        <w:t>pa</w:t>
      </w:r>
      <w:r w:rsidRPr="00911142">
        <w:rPr>
          <w:b/>
        </w:rPr>
        <w:t xml:space="preserve"> so gospodinjstva ostala nizko zadolžena</w:t>
      </w:r>
      <w:r w:rsidR="004539A0">
        <w:rPr>
          <w:b/>
        </w:rPr>
        <w:t>.</w:t>
      </w:r>
      <w:r>
        <w:rPr>
          <w:b/>
        </w:rPr>
        <w:t xml:space="preserve"> </w:t>
      </w:r>
    </w:p>
    <w:p w14:paraId="3F8EA59C" w14:textId="77777777" w:rsidR="004539A0" w:rsidRDefault="004539A0" w:rsidP="008336AC">
      <w:pPr>
        <w:pStyle w:val="BesediloUMAR"/>
        <w:rPr>
          <w:b/>
        </w:rPr>
      </w:pPr>
    </w:p>
    <w:p w14:paraId="5E7425BD" w14:textId="64A176C0" w:rsidR="008336AC" w:rsidRPr="00395C17" w:rsidRDefault="0003700F" w:rsidP="008336AC">
      <w:pPr>
        <w:pStyle w:val="BesediloUMAR"/>
        <w:rPr>
          <w:b/>
        </w:rPr>
      </w:pPr>
      <w:r>
        <w:rPr>
          <w:b/>
        </w:rPr>
        <w:t>L</w:t>
      </w:r>
      <w:r w:rsidR="008336AC" w:rsidRPr="00DB59BE">
        <w:rPr>
          <w:b/>
        </w:rPr>
        <w:t>eta</w:t>
      </w:r>
      <w:r w:rsidR="008336AC" w:rsidRPr="00DB59BE">
        <w:rPr>
          <w:b/>
          <w:bCs/>
        </w:rPr>
        <w:t xml:space="preserve"> </w:t>
      </w:r>
      <w:r w:rsidR="008336AC" w:rsidRPr="00505A71">
        <w:rPr>
          <w:b/>
          <w:bCs/>
        </w:rPr>
        <w:t xml:space="preserve">2020 </w:t>
      </w:r>
      <w:r>
        <w:rPr>
          <w:b/>
          <w:bCs/>
        </w:rPr>
        <w:t xml:space="preserve">je rast zasebne potrošnje </w:t>
      </w:r>
      <w:r w:rsidR="008336AC">
        <w:rPr>
          <w:b/>
          <w:bCs/>
        </w:rPr>
        <w:t>prekinila epidemija covid-19 in ukrepi</w:t>
      </w:r>
      <w:r w:rsidR="008336AC" w:rsidRPr="00505A71">
        <w:rPr>
          <w:b/>
          <w:bCs/>
        </w:rPr>
        <w:t xml:space="preserve"> za njeno zajezitev</w:t>
      </w:r>
      <w:r w:rsidR="008336AC">
        <w:rPr>
          <w:b/>
          <w:bCs/>
        </w:rPr>
        <w:t>.</w:t>
      </w:r>
      <w:r w:rsidR="008336AC" w:rsidRPr="00505A71">
        <w:rPr>
          <w:b/>
          <w:bCs/>
        </w:rPr>
        <w:t xml:space="preserve"> </w:t>
      </w:r>
      <w:r w:rsidR="008336AC">
        <w:rPr>
          <w:b/>
          <w:bCs/>
        </w:rPr>
        <w:t xml:space="preserve">Zaradi </w:t>
      </w:r>
      <w:r>
        <w:rPr>
          <w:b/>
          <w:bCs/>
        </w:rPr>
        <w:t>daljšega</w:t>
      </w:r>
      <w:r w:rsidR="008336AC">
        <w:rPr>
          <w:b/>
          <w:bCs/>
        </w:rPr>
        <w:t xml:space="preserve"> zaprtja vseh </w:t>
      </w:r>
      <w:proofErr w:type="spellStart"/>
      <w:r w:rsidR="008336AC">
        <w:rPr>
          <w:b/>
          <w:bCs/>
        </w:rPr>
        <w:t>nenujnih</w:t>
      </w:r>
      <w:proofErr w:type="spellEnd"/>
      <w:r w:rsidR="008336AC">
        <w:rPr>
          <w:b/>
          <w:bCs/>
        </w:rPr>
        <w:t xml:space="preserve"> trgovin in storitev, </w:t>
      </w:r>
      <w:r w:rsidR="008336AC" w:rsidRPr="0041074B">
        <w:rPr>
          <w:b/>
          <w:bCs/>
        </w:rPr>
        <w:t>ostalih ukrepov za omejitev fizičnih stikov</w:t>
      </w:r>
      <w:r w:rsidR="008336AC">
        <w:rPr>
          <w:b/>
          <w:bCs/>
        </w:rPr>
        <w:t xml:space="preserve">, </w:t>
      </w:r>
      <w:r w:rsidR="008336AC" w:rsidRPr="0041074B">
        <w:rPr>
          <w:b/>
          <w:bCs/>
        </w:rPr>
        <w:t>oteženih</w:t>
      </w:r>
      <w:r w:rsidR="008336AC">
        <w:rPr>
          <w:b/>
          <w:bCs/>
        </w:rPr>
        <w:t xml:space="preserve"> potovanj v druge države in </w:t>
      </w:r>
      <w:r w:rsidR="008336AC" w:rsidRPr="0041074B">
        <w:rPr>
          <w:b/>
          <w:bCs/>
        </w:rPr>
        <w:t>previdnejše odločit</w:t>
      </w:r>
      <w:r w:rsidR="008336AC">
        <w:rPr>
          <w:b/>
          <w:bCs/>
        </w:rPr>
        <w:t xml:space="preserve">ve gospodinjstev o potrošnji ter </w:t>
      </w:r>
      <w:r w:rsidR="008336AC" w:rsidRPr="0041074B">
        <w:rPr>
          <w:b/>
          <w:bCs/>
        </w:rPr>
        <w:t xml:space="preserve">odlaganju </w:t>
      </w:r>
      <w:proofErr w:type="spellStart"/>
      <w:r w:rsidR="008336AC" w:rsidRPr="0041074B">
        <w:rPr>
          <w:b/>
          <w:bCs/>
        </w:rPr>
        <w:t>nenujnih</w:t>
      </w:r>
      <w:proofErr w:type="spellEnd"/>
      <w:r w:rsidR="008336AC" w:rsidRPr="0041074B">
        <w:rPr>
          <w:b/>
          <w:bCs/>
        </w:rPr>
        <w:t xml:space="preserve"> nakupov</w:t>
      </w:r>
      <w:r w:rsidR="008336AC">
        <w:rPr>
          <w:b/>
          <w:bCs/>
        </w:rPr>
        <w:t>,</w:t>
      </w:r>
      <w:r w:rsidR="008336AC" w:rsidRPr="0041074B">
        <w:rPr>
          <w:b/>
          <w:bCs/>
        </w:rPr>
        <w:t xml:space="preserve"> </w:t>
      </w:r>
      <w:r w:rsidR="008336AC">
        <w:rPr>
          <w:b/>
          <w:bCs/>
        </w:rPr>
        <w:t>n</w:t>
      </w:r>
      <w:r w:rsidR="008336AC" w:rsidRPr="0041074B">
        <w:rPr>
          <w:b/>
          <w:bCs/>
        </w:rPr>
        <w:t>a</w:t>
      </w:r>
      <w:r w:rsidR="008336AC">
        <w:rPr>
          <w:b/>
          <w:bCs/>
        </w:rPr>
        <w:t xml:space="preserve"> kar</w:t>
      </w:r>
      <w:r w:rsidR="008336AC" w:rsidRPr="0041074B">
        <w:rPr>
          <w:b/>
          <w:bCs/>
        </w:rPr>
        <w:t xml:space="preserve"> je vplivala tudi visoka negotovost glede </w:t>
      </w:r>
      <w:r w:rsidR="008336AC">
        <w:rPr>
          <w:b/>
          <w:bCs/>
        </w:rPr>
        <w:t xml:space="preserve">prihodnosti, se je zasebna potrošnja </w:t>
      </w:r>
      <w:r w:rsidR="008336AC" w:rsidRPr="00395C17">
        <w:rPr>
          <w:b/>
          <w:bCs/>
        </w:rPr>
        <w:t>gospodinjstev (in NPISG)</w:t>
      </w:r>
      <w:r w:rsidR="008336AC">
        <w:rPr>
          <w:b/>
          <w:bCs/>
        </w:rPr>
        <w:t xml:space="preserve"> v letu 2020 zmanjšala za 9,7 %. </w:t>
      </w:r>
      <w:r w:rsidR="008336AC" w:rsidRPr="00395C17">
        <w:rPr>
          <w:b/>
        </w:rPr>
        <w:t>Ob nadaljnji rasti nominalnega razpoložljivega dohodka, na kar so pomembno vplivali vladni ukrepi za omilitev izpada dohodka zaradi posledic covid-19</w:t>
      </w:r>
      <w:r>
        <w:rPr>
          <w:b/>
        </w:rPr>
        <w:t>,</w:t>
      </w:r>
      <w:r w:rsidR="008336AC" w:rsidRPr="00395C17">
        <w:rPr>
          <w:b/>
        </w:rPr>
        <w:t xml:space="preserve"> in visokem upadu zasebne potrošnje se je močneje</w:t>
      </w:r>
      <w:r w:rsidR="004539A0">
        <w:rPr>
          <w:b/>
        </w:rPr>
        <w:t xml:space="preserve"> </w:t>
      </w:r>
      <w:r w:rsidR="008336AC" w:rsidRPr="00395C17">
        <w:rPr>
          <w:b/>
        </w:rPr>
        <w:t>povečala stopnja varčevanja.</w:t>
      </w:r>
      <w:r w:rsidR="008336AC">
        <w:rPr>
          <w:b/>
        </w:rPr>
        <w:t xml:space="preserve"> N</w:t>
      </w:r>
      <w:r w:rsidR="008336AC" w:rsidRPr="00E76470">
        <w:rPr>
          <w:b/>
        </w:rPr>
        <w:t xml:space="preserve">adaljevala </w:t>
      </w:r>
      <w:r w:rsidR="008336AC">
        <w:rPr>
          <w:b/>
        </w:rPr>
        <w:t xml:space="preserve">se je </w:t>
      </w:r>
      <w:r w:rsidR="008336AC" w:rsidRPr="00E76470">
        <w:rPr>
          <w:b/>
        </w:rPr>
        <w:t>visoka rast stanja vlog</w:t>
      </w:r>
      <w:r>
        <w:rPr>
          <w:b/>
        </w:rPr>
        <w:t xml:space="preserve"> na bankah</w:t>
      </w:r>
      <w:r w:rsidR="008336AC">
        <w:rPr>
          <w:b/>
        </w:rPr>
        <w:t xml:space="preserve">, zadolženost gospodinjstev je tako ostala nizka. </w:t>
      </w:r>
    </w:p>
    <w:p w14:paraId="28D8BC39" w14:textId="77777777" w:rsidR="008336AC" w:rsidRDefault="008336AC" w:rsidP="008336AC">
      <w:pPr>
        <w:pStyle w:val="BesediloUMAR"/>
        <w:rPr>
          <w:b/>
          <w:bCs/>
        </w:rPr>
      </w:pPr>
    </w:p>
    <w:p w14:paraId="1DB99427" w14:textId="77777777" w:rsidR="008336AC" w:rsidRPr="003F33CD" w:rsidRDefault="008336AC" w:rsidP="008336AC">
      <w:pPr>
        <w:pStyle w:val="BesediloUMAR"/>
        <w:rPr>
          <w:b/>
          <w:bCs/>
        </w:rPr>
      </w:pPr>
      <w:r w:rsidRPr="006342D6">
        <w:rPr>
          <w:b/>
          <w:bCs/>
        </w:rPr>
        <w:t xml:space="preserve">Ob postopnem odpravljanju vseh omejitvenih ukrepov, večji </w:t>
      </w:r>
      <w:proofErr w:type="spellStart"/>
      <w:r w:rsidRPr="006342D6">
        <w:rPr>
          <w:b/>
          <w:bCs/>
        </w:rPr>
        <w:t>precepljenosti</w:t>
      </w:r>
      <w:proofErr w:type="spellEnd"/>
      <w:r w:rsidRPr="006342D6">
        <w:rPr>
          <w:b/>
          <w:bCs/>
        </w:rPr>
        <w:t xml:space="preserve">, zmanjšanju negotovosti in normalizaciji na trgu dela pričakujemo, da se bo letos in v prihodnjih letih zasebna potrošnja okrepila in </w:t>
      </w:r>
      <w:r w:rsidR="00A24FAF" w:rsidRPr="006342D6">
        <w:rPr>
          <w:b/>
          <w:bCs/>
        </w:rPr>
        <w:t xml:space="preserve">ponovno </w:t>
      </w:r>
      <w:r w:rsidRPr="006342D6">
        <w:rPr>
          <w:b/>
          <w:bCs/>
        </w:rPr>
        <w:t>pomembneje prispevala k rasti BDP.</w:t>
      </w:r>
    </w:p>
    <w:p w14:paraId="73754D8B" w14:textId="77777777" w:rsidR="008336AC" w:rsidRPr="00335ED4" w:rsidRDefault="008336AC" w:rsidP="008336AC">
      <w:pPr>
        <w:pStyle w:val="Heading1"/>
      </w:pPr>
      <w:r w:rsidRPr="00335ED4">
        <w:lastRenderedPageBreak/>
        <w:t>Zasebna potrošnja</w:t>
      </w:r>
      <w:r>
        <w:t xml:space="preserve"> v obdobju 2008</w:t>
      </w:r>
      <w:r w:rsidR="00A24FAF" w:rsidRPr="00A24FAF">
        <w:t>–</w:t>
      </w:r>
      <w:r>
        <w:t>2020</w:t>
      </w:r>
    </w:p>
    <w:p w14:paraId="762CC23B" w14:textId="77777777" w:rsidR="008336AC" w:rsidRPr="00BC3ED2" w:rsidRDefault="008336AC" w:rsidP="008336AC">
      <w:pPr>
        <w:pStyle w:val="BesediloUMAR"/>
      </w:pPr>
    </w:p>
    <w:p w14:paraId="2E2451A3" w14:textId="04BAA96D" w:rsidR="008336AC" w:rsidRDefault="008336AC" w:rsidP="008336AC">
      <w:pPr>
        <w:pStyle w:val="BesediloUMAR"/>
      </w:pPr>
      <w:r>
        <w:rPr>
          <w:rStyle w:val="VodilnistavekUMAR"/>
        </w:rPr>
        <w:t>Zasebna potrošnja se je po zmanjšanju v 2012 in 2013 v naslednjih letih do vključno 2019</w:t>
      </w:r>
      <w:r w:rsidRPr="007A014C">
        <w:rPr>
          <w:rStyle w:val="VodilnistavekUMAR"/>
        </w:rPr>
        <w:t xml:space="preserve"> poveč</w:t>
      </w:r>
      <w:r>
        <w:rPr>
          <w:rStyle w:val="VodilnistavekUMAR"/>
        </w:rPr>
        <w:t xml:space="preserve">evala in </w:t>
      </w:r>
      <w:r w:rsidRPr="007A014C">
        <w:rPr>
          <w:rStyle w:val="VodilnistavekUMAR"/>
        </w:rPr>
        <w:t>pomembno prispeva</w:t>
      </w:r>
      <w:r>
        <w:rPr>
          <w:rStyle w:val="VodilnistavekUMAR"/>
        </w:rPr>
        <w:t>la h gospodarski rasti</w:t>
      </w:r>
      <w:r w:rsidRPr="007A014C">
        <w:rPr>
          <w:rStyle w:val="VodilnistavekUMAR"/>
        </w:rPr>
        <w:t>.</w:t>
      </w:r>
      <w:r w:rsidRPr="007A014C">
        <w:rPr>
          <w:b/>
        </w:rPr>
        <w:t xml:space="preserve"> </w:t>
      </w:r>
      <w:r w:rsidRPr="007A014C">
        <w:rPr>
          <w:bCs/>
        </w:rPr>
        <w:t xml:space="preserve">Zasebna potrošnja gospodinjstev in zasebnih neprofitnih institucij je s </w:t>
      </w:r>
      <w:r w:rsidRPr="00F92DFA">
        <w:rPr>
          <w:bCs/>
        </w:rPr>
        <w:t>54</w:t>
      </w:r>
      <w:r w:rsidRPr="007A014C">
        <w:rPr>
          <w:bCs/>
        </w:rPr>
        <w:t>-odstotnim deleže</w:t>
      </w:r>
      <w:r>
        <w:rPr>
          <w:bCs/>
        </w:rPr>
        <w:t>m (povprečje v obdobju 2008</w:t>
      </w:r>
      <w:r w:rsidR="00A24FAF" w:rsidRPr="00407B5A">
        <w:rPr>
          <w:szCs w:val="20"/>
        </w:rPr>
        <w:t>–</w:t>
      </w:r>
      <w:r>
        <w:rPr>
          <w:bCs/>
        </w:rPr>
        <w:t>2019</w:t>
      </w:r>
      <w:r w:rsidRPr="007A014C">
        <w:rPr>
          <w:bCs/>
        </w:rPr>
        <w:t xml:space="preserve">) ključna komponenta BDP. </w:t>
      </w:r>
      <w:bookmarkStart w:id="3" w:name="_Hlk69375166"/>
      <w:r w:rsidRPr="007A014C">
        <w:rPr>
          <w:bCs/>
        </w:rPr>
        <w:t>V</w:t>
      </w:r>
      <w:r w:rsidRPr="007A014C">
        <w:t xml:space="preserve"> prvih letih </w:t>
      </w:r>
      <w:r>
        <w:t xml:space="preserve">finančne </w:t>
      </w:r>
      <w:r w:rsidRPr="007A014C">
        <w:t>krize se je povečevala kljub znižanju bruto razpoložljivega dohodka</w:t>
      </w:r>
      <w:r w:rsidRPr="007A014C">
        <w:rPr>
          <w:vertAlign w:val="superscript"/>
        </w:rPr>
        <w:footnoteReference w:id="2"/>
      </w:r>
      <w:r w:rsidRPr="007A014C">
        <w:t xml:space="preserve">, saj so gospodinjstva raje kot potrošnjo zmanjšala del sredstev, ki so ga namenjala varčevanju. Varčevanje gospodinjstev se je </w:t>
      </w:r>
      <w:r w:rsidR="0003700F">
        <w:t xml:space="preserve">tako </w:t>
      </w:r>
      <w:r w:rsidRPr="007A014C">
        <w:t xml:space="preserve">zmanjševalo do vključno leta 2012, ko so gospodinjstva prvič v obdobju </w:t>
      </w:r>
      <w:r>
        <w:t xml:space="preserve">finančne </w:t>
      </w:r>
      <w:r w:rsidRPr="007A014C">
        <w:t>krize zmanjšala tudi potrošnjo.</w:t>
      </w:r>
      <w:bookmarkEnd w:id="3"/>
      <w:r w:rsidRPr="007A014C">
        <w:t xml:space="preserve"> Po poglobitvi padca v letu 2013 se </w:t>
      </w:r>
      <w:r>
        <w:t xml:space="preserve">je </w:t>
      </w:r>
      <w:r w:rsidRPr="007A014C">
        <w:t>zasebna potrošnja od leta 2014 spet krepi</w:t>
      </w:r>
      <w:r>
        <w:t>la</w:t>
      </w:r>
      <w:r w:rsidRPr="007A014C">
        <w:t xml:space="preserve">, vendar </w:t>
      </w:r>
      <w:r>
        <w:t xml:space="preserve">do vključno leta 2018 </w:t>
      </w:r>
      <w:r w:rsidRPr="007A014C">
        <w:t>počasneje od realnega bruto razpoložlji</w:t>
      </w:r>
      <w:r>
        <w:t>vega dohodka</w:t>
      </w:r>
      <w:r w:rsidRPr="007A014C">
        <w:rPr>
          <w:vertAlign w:val="superscript"/>
        </w:rPr>
        <w:footnoteReference w:id="3"/>
      </w:r>
      <w:r>
        <w:t xml:space="preserve">. </w:t>
      </w:r>
      <w:r w:rsidR="0003700F">
        <w:t>Leta 2019 se je r</w:t>
      </w:r>
      <w:r w:rsidRPr="007A014C">
        <w:t>ast potrošn</w:t>
      </w:r>
      <w:r>
        <w:t>je gospodinjstev precej</w:t>
      </w:r>
      <w:r w:rsidRPr="007A014C">
        <w:t xml:space="preserve"> okrepila in </w:t>
      </w:r>
      <w:r>
        <w:t>bila višja od rasti bruto razpoložljivega dohodka, kar je p</w:t>
      </w:r>
      <w:r w:rsidR="00BC76A6">
        <w:t>rvič po letu 2013</w:t>
      </w:r>
      <w:r>
        <w:t xml:space="preserve"> nekoliko zmanjšalo stopnjo varčevanja.</w:t>
      </w:r>
    </w:p>
    <w:p w14:paraId="425CABF6" w14:textId="77777777" w:rsidR="008336AC" w:rsidRPr="007A014C" w:rsidRDefault="008336AC" w:rsidP="008336AC">
      <w:pPr>
        <w:pStyle w:val="Caption"/>
      </w:pPr>
      <w:r w:rsidRPr="007A014C">
        <w:t xml:space="preserve">Slika </w:t>
      </w:r>
      <w:r w:rsidRPr="007A014C">
        <w:fldChar w:fldCharType="begin"/>
      </w:r>
      <w:r w:rsidRPr="007A014C">
        <w:instrText xml:space="preserve"> SEQ Slika \* ARABIC </w:instrText>
      </w:r>
      <w:r w:rsidRPr="007A014C">
        <w:fldChar w:fldCharType="separate"/>
      </w:r>
      <w:r w:rsidRPr="007A014C">
        <w:t>1</w:t>
      </w:r>
      <w:r w:rsidRPr="007A014C">
        <w:fldChar w:fldCharType="end"/>
      </w:r>
      <w:r w:rsidRPr="007A014C">
        <w:t xml:space="preserve">: </w:t>
      </w:r>
      <w:r>
        <w:t>Bruto r</w:t>
      </w:r>
      <w:r w:rsidRPr="007A014C">
        <w:t>azpoložljivi dohod</w:t>
      </w:r>
      <w:r>
        <w:t xml:space="preserve">ek, </w:t>
      </w:r>
      <w:r w:rsidRPr="007A014C">
        <w:t xml:space="preserve">zasebna potrošnja </w:t>
      </w:r>
      <w:r>
        <w:t xml:space="preserve">in bruto varčevanje </w:t>
      </w:r>
    </w:p>
    <w:p w14:paraId="783DDCB9" w14:textId="77777777" w:rsidR="008336AC" w:rsidRPr="007A014C" w:rsidRDefault="008336AC" w:rsidP="008336AC">
      <w:pPr>
        <w:pStyle w:val="BesediloUMAR"/>
      </w:pPr>
      <w:r w:rsidRPr="00181901">
        <w:rPr>
          <w:noProof/>
          <w:lang w:eastAsia="sl-SI"/>
        </w:rPr>
        <w:drawing>
          <wp:inline distT="0" distB="0" distL="0" distR="0" wp14:anchorId="1274788D" wp14:editId="1941705F">
            <wp:extent cx="5759450" cy="22919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291917"/>
                    </a:xfrm>
                    <a:prstGeom prst="rect">
                      <a:avLst/>
                    </a:prstGeom>
                    <a:noFill/>
                    <a:ln>
                      <a:noFill/>
                    </a:ln>
                  </pic:spPr>
                </pic:pic>
              </a:graphicData>
            </a:graphic>
          </wp:inline>
        </w:drawing>
      </w:r>
    </w:p>
    <w:p w14:paraId="784995AC" w14:textId="77777777" w:rsidR="008336AC" w:rsidRPr="007A014C" w:rsidRDefault="008336AC" w:rsidP="008336AC">
      <w:pPr>
        <w:pStyle w:val="VirUMAR"/>
      </w:pPr>
      <w:r w:rsidRPr="007A014C">
        <w:t>Vir: SURS, preračuni UMAR.</w:t>
      </w:r>
    </w:p>
    <w:p w14:paraId="39FFDA0D" w14:textId="77777777" w:rsidR="008336AC" w:rsidRPr="00940C1E" w:rsidRDefault="008336AC" w:rsidP="008336AC">
      <w:pPr>
        <w:pStyle w:val="BesediloUMAR"/>
      </w:pPr>
    </w:p>
    <w:p w14:paraId="275CF439" w14:textId="5E1CFA41" w:rsidR="008336AC" w:rsidRDefault="008336AC" w:rsidP="008336AC">
      <w:pPr>
        <w:pStyle w:val="BesediloUMAR"/>
      </w:pPr>
      <w:bookmarkStart w:id="4" w:name="_Toc476752131"/>
      <w:r w:rsidRPr="006F6E7E">
        <w:rPr>
          <w:b/>
        </w:rPr>
        <w:t xml:space="preserve">Rast </w:t>
      </w:r>
      <w:r>
        <w:rPr>
          <w:b/>
        </w:rPr>
        <w:t>zasebne</w:t>
      </w:r>
      <w:r w:rsidRPr="00220C92">
        <w:rPr>
          <w:b/>
        </w:rPr>
        <w:t xml:space="preserve"> potrošnj</w:t>
      </w:r>
      <w:r>
        <w:rPr>
          <w:b/>
        </w:rPr>
        <w:t xml:space="preserve">e je leta 2020 prekinila epidemija covid-19.  </w:t>
      </w:r>
      <w:r w:rsidRPr="006F6E7E">
        <w:t xml:space="preserve">Pod vplivom epidemije in ukrepov povezanih z </w:t>
      </w:r>
      <w:r>
        <w:t>njeno zajezitvijo ter</w:t>
      </w:r>
      <w:r w:rsidRPr="006F6E7E">
        <w:t xml:space="preserve"> povečane negotovosti </w:t>
      </w:r>
      <w:r>
        <w:t xml:space="preserve">se je </w:t>
      </w:r>
      <w:r w:rsidRPr="005B4230">
        <w:t>zmanjšala za 9,7 %.</w:t>
      </w:r>
      <w:r w:rsidRPr="00220C92">
        <w:t xml:space="preserve"> Upad je bil predvsem posledica zaprtja </w:t>
      </w:r>
      <w:proofErr w:type="spellStart"/>
      <w:r w:rsidRPr="00220C92">
        <w:t>nenujnih</w:t>
      </w:r>
      <w:proofErr w:type="spellEnd"/>
      <w:r w:rsidRPr="00220C92">
        <w:t xml:space="preserve"> trgovin in storitev v prvem in drugem valu epidemije, ostalih ukrepov za omejitev fizičnih stikov in oteženih potovanj v druge države, na previdnejše odločitve gospodinjstev o potrošnji in odlaganju </w:t>
      </w:r>
      <w:proofErr w:type="spellStart"/>
      <w:r w:rsidRPr="00220C92">
        <w:t>nenujnih</w:t>
      </w:r>
      <w:proofErr w:type="spellEnd"/>
      <w:r w:rsidRPr="00220C92">
        <w:t xml:space="preserve"> nakupov pa je vplivala tudi visoka negotovost glede prihodnosti. </w:t>
      </w:r>
      <w:r w:rsidRPr="00C86683">
        <w:t>Ob nadaljnji rasti nominalnega razpoložljivega dohodka, na kar so pomembno vplivali vladni ukrepi za omilitev izpada dohodka zaradi posledic covid-19</w:t>
      </w:r>
      <w:r w:rsidR="00393271">
        <w:t>,</w:t>
      </w:r>
      <w:r w:rsidRPr="00C86683">
        <w:t xml:space="preserve"> in visokem upadu zasebne potrošnje se je močn</w:t>
      </w:r>
      <w:r w:rsidR="00393271">
        <w:t>o</w:t>
      </w:r>
      <w:r w:rsidRPr="00C86683">
        <w:t>, za 11,7 o. t.</w:t>
      </w:r>
      <w:r>
        <w:t>,</w:t>
      </w:r>
      <w:r w:rsidRPr="00C86683">
        <w:t xml:space="preserve"> povečala stopnja</w:t>
      </w:r>
      <w:r w:rsidRPr="00220C92">
        <w:t xml:space="preserve"> varčevanja.</w:t>
      </w:r>
      <w:r w:rsidR="00981CCF">
        <w:t xml:space="preserve"> </w:t>
      </w:r>
    </w:p>
    <w:p w14:paraId="3411FDD5" w14:textId="77777777" w:rsidR="00C11ED3" w:rsidRDefault="00C11ED3" w:rsidP="008336AC">
      <w:pPr>
        <w:pStyle w:val="BesediloUMAR"/>
      </w:pPr>
    </w:p>
    <w:p w14:paraId="3143A707" w14:textId="20E44FDD" w:rsidR="00C11ED3" w:rsidRDefault="00571A1B" w:rsidP="008336AC">
      <w:pPr>
        <w:pStyle w:val="BesediloUMAR"/>
      </w:pPr>
      <w:r w:rsidRPr="00571A1B">
        <w:rPr>
          <w:b/>
        </w:rPr>
        <w:t xml:space="preserve">Zasebna potrošnja je </w:t>
      </w:r>
      <w:r w:rsidR="002602BF">
        <w:rPr>
          <w:b/>
        </w:rPr>
        <w:t xml:space="preserve">lani </w:t>
      </w:r>
      <w:r w:rsidR="00393271">
        <w:rPr>
          <w:b/>
        </w:rPr>
        <w:t>najizraziteje</w:t>
      </w:r>
      <w:r w:rsidR="00393271" w:rsidRPr="00571A1B">
        <w:rPr>
          <w:b/>
        </w:rPr>
        <w:t xml:space="preserve"> </w:t>
      </w:r>
      <w:r w:rsidRPr="00571A1B">
        <w:rPr>
          <w:b/>
        </w:rPr>
        <w:t>upadla v drugem in četrtem četrtletju.</w:t>
      </w:r>
      <w:r>
        <w:t xml:space="preserve"> Z razglasitvijo epidemije sredi marca</w:t>
      </w:r>
      <w:r w:rsidR="00901DB2">
        <w:t xml:space="preserve"> 2020</w:t>
      </w:r>
      <w:r>
        <w:t xml:space="preserve"> in </w:t>
      </w:r>
      <w:r w:rsidR="00901DB2">
        <w:t xml:space="preserve">s </w:t>
      </w:r>
      <w:r>
        <w:t>posledičn</w:t>
      </w:r>
      <w:r w:rsidR="00901DB2">
        <w:t>i</w:t>
      </w:r>
      <w:r>
        <w:t>m zaprtj</w:t>
      </w:r>
      <w:r w:rsidR="00901DB2">
        <w:t>em</w:t>
      </w:r>
      <w:r>
        <w:t xml:space="preserve"> </w:t>
      </w:r>
      <w:proofErr w:type="spellStart"/>
      <w:r>
        <w:t>nenujnih</w:t>
      </w:r>
      <w:proofErr w:type="spellEnd"/>
      <w:r>
        <w:t xml:space="preserve"> trgovin in storitev, ki je v nekaterih dejavnostih trajalo do sredine maja, se je zasebna potrošnja v drugem četrtletju medletno </w:t>
      </w:r>
      <w:r w:rsidR="001412D8">
        <w:t xml:space="preserve">realno </w:t>
      </w:r>
      <w:r>
        <w:t>zmanjšala za 1</w:t>
      </w:r>
      <w:r w:rsidR="00E97383">
        <w:t>7,2</w:t>
      </w:r>
      <w:r>
        <w:t xml:space="preserve"> %. </w:t>
      </w:r>
      <w:r w:rsidR="002602BF">
        <w:t xml:space="preserve">Okrevanje v tretjem četrtletju je bilo po odprtju večine trgovin in storitev posledica okrepitve nekaterih predvsem med prvim valom epidemije odloženih nakupov trajnih dobrin, močneje se je zaradi unovčenja turističnih bonov okrepilo tudi  število prenočitev domačih turistov. Kljub temu so medletno precej manjši ostali izdatki </w:t>
      </w:r>
      <w:r w:rsidR="002602BF" w:rsidRPr="00AF12DB">
        <w:t xml:space="preserve">za </w:t>
      </w:r>
      <w:r w:rsidR="002602BF">
        <w:t xml:space="preserve">kulturne, športne, rekreacijske in druge razvedrilne </w:t>
      </w:r>
      <w:r w:rsidR="002602BF" w:rsidRPr="00AF12DB">
        <w:t>storitve</w:t>
      </w:r>
      <w:r w:rsidR="002602BF">
        <w:t xml:space="preserve">, kjer so določeni omejitveni ukrepi ostali </w:t>
      </w:r>
      <w:r w:rsidR="001412D8">
        <w:t xml:space="preserve">v veljavi </w:t>
      </w:r>
      <w:r w:rsidR="002602BF">
        <w:t xml:space="preserve">tudi po preklicu </w:t>
      </w:r>
      <w:r w:rsidR="002602BF" w:rsidRPr="002602BF">
        <w:t xml:space="preserve">prvega vala epidemije. </w:t>
      </w:r>
      <w:r w:rsidRPr="002602BF">
        <w:t>Po okrevanju v tretjem četrtletju</w:t>
      </w:r>
      <w:r w:rsidR="00BC76A6">
        <w:t xml:space="preserve"> </w:t>
      </w:r>
      <w:r w:rsidRPr="002602BF">
        <w:t xml:space="preserve">se </w:t>
      </w:r>
      <w:r w:rsidR="002602BF">
        <w:t>je</w:t>
      </w:r>
      <w:r w:rsidRPr="002602BF">
        <w:t xml:space="preserve"> potrošnja gospodinjstev ob ponovnem zaprtju </w:t>
      </w:r>
      <w:proofErr w:type="spellStart"/>
      <w:r w:rsidRPr="002602BF">
        <w:t>nenujnih</w:t>
      </w:r>
      <w:proofErr w:type="spellEnd"/>
      <w:r w:rsidRPr="002602BF">
        <w:t xml:space="preserve"> trgovin in storitvenih dejavnosti in nekaterih ukrepov za omejitev fizičnih stikov ob koncu leta spet zmanjšala.</w:t>
      </w:r>
      <w:r w:rsidR="002602BF" w:rsidRPr="002602BF">
        <w:rPr>
          <w:bCs/>
        </w:rPr>
        <w:t xml:space="preserve"> </w:t>
      </w:r>
      <w:r w:rsidR="002602BF">
        <w:rPr>
          <w:bCs/>
        </w:rPr>
        <w:t>V času od prvega do drugega vala s</w:t>
      </w:r>
      <w:r w:rsidR="002602BF" w:rsidRPr="002602BF">
        <w:t xml:space="preserve">o se podjetja in potrošniki </w:t>
      </w:r>
      <w:r w:rsidR="001412D8">
        <w:t xml:space="preserve">sicer </w:t>
      </w:r>
      <w:r w:rsidR="002602BF" w:rsidRPr="002602BF">
        <w:t xml:space="preserve">nekoliko prilagodili novi realnosti, predvsem v smislu optimizacije prodaje in kupovanja </w:t>
      </w:r>
      <w:r w:rsidR="001412D8">
        <w:t>na</w:t>
      </w:r>
      <w:r w:rsidR="001412D8" w:rsidRPr="002602BF">
        <w:t xml:space="preserve"> </w:t>
      </w:r>
      <w:r w:rsidR="002602BF" w:rsidRPr="002602BF">
        <w:t>spletu</w:t>
      </w:r>
      <w:r w:rsidR="002602BF">
        <w:t>, kar je vodilo do manjšega upada poslovanja v zimskem zaprtju</w:t>
      </w:r>
      <w:r w:rsidR="002602BF" w:rsidRPr="002602BF">
        <w:t>.</w:t>
      </w:r>
      <w:r w:rsidR="002602BF">
        <w:t xml:space="preserve"> Kljub temu je upad ostal visok, saj </w:t>
      </w:r>
      <w:r w:rsidR="00E97383">
        <w:t xml:space="preserve">je zaprtje nekaterih </w:t>
      </w:r>
      <w:proofErr w:type="spellStart"/>
      <w:r w:rsidR="00E97383">
        <w:t>nenujnih</w:t>
      </w:r>
      <w:proofErr w:type="spellEnd"/>
      <w:r w:rsidR="00E97383">
        <w:t xml:space="preserve"> trgovin in storitev trajalo dlje kot v pomladanskem času. Zasebna potrošnja se je tako v četrtem četrtletju </w:t>
      </w:r>
      <w:r w:rsidR="00444940">
        <w:t xml:space="preserve">realno </w:t>
      </w:r>
      <w:r w:rsidR="00E97383">
        <w:t xml:space="preserve">zmanjšala za 14,4 %. </w:t>
      </w:r>
    </w:p>
    <w:p w14:paraId="0B6B786F" w14:textId="77777777" w:rsidR="00981CCF" w:rsidRDefault="00981CCF" w:rsidP="00981CCF">
      <w:pPr>
        <w:pStyle w:val="Caption"/>
      </w:pPr>
      <w:r w:rsidRPr="007A014C">
        <w:t xml:space="preserve">Slika </w:t>
      </w:r>
      <w:r w:rsidRPr="007A014C">
        <w:fldChar w:fldCharType="begin"/>
      </w:r>
      <w:r w:rsidRPr="007A014C">
        <w:instrText xml:space="preserve"> SEQ Slika \* ARABIC </w:instrText>
      </w:r>
      <w:r w:rsidRPr="007A014C">
        <w:fldChar w:fldCharType="separate"/>
      </w:r>
      <w:r w:rsidR="00E97383">
        <w:t>2</w:t>
      </w:r>
      <w:r w:rsidRPr="007A014C">
        <w:fldChar w:fldCharType="end"/>
      </w:r>
      <w:r w:rsidRPr="007A014C">
        <w:t xml:space="preserve">: </w:t>
      </w:r>
      <w:r>
        <w:t>Z</w:t>
      </w:r>
      <w:r w:rsidRPr="007A014C">
        <w:t xml:space="preserve">asebna potrošnja </w:t>
      </w:r>
      <w:r w:rsidR="00C11ED3">
        <w:t xml:space="preserve">in razpoložljivi dohodek </w:t>
      </w:r>
      <w:r>
        <w:t xml:space="preserve">po četrtletjih </w:t>
      </w:r>
      <w:r w:rsidR="00EC00B2">
        <w:t xml:space="preserve">leta </w:t>
      </w:r>
      <w:r>
        <w:t>2020</w:t>
      </w:r>
    </w:p>
    <w:p w14:paraId="34F7F957" w14:textId="77777777" w:rsidR="00C11ED3" w:rsidRPr="00C11ED3" w:rsidRDefault="00C11ED3" w:rsidP="00C11ED3">
      <w:pPr>
        <w:pStyle w:val="BesediloUMAR"/>
      </w:pPr>
      <w:r w:rsidRPr="00C11ED3">
        <w:rPr>
          <w:noProof/>
          <w:lang w:eastAsia="sl-SI"/>
        </w:rPr>
        <w:drawing>
          <wp:inline distT="0" distB="0" distL="0" distR="0" wp14:anchorId="7E80BA5C" wp14:editId="2B7A5110">
            <wp:extent cx="5759450" cy="2093002"/>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2093002"/>
                    </a:xfrm>
                    <a:prstGeom prst="rect">
                      <a:avLst/>
                    </a:prstGeom>
                    <a:noFill/>
                    <a:ln>
                      <a:noFill/>
                    </a:ln>
                  </pic:spPr>
                </pic:pic>
              </a:graphicData>
            </a:graphic>
          </wp:inline>
        </w:drawing>
      </w:r>
    </w:p>
    <w:p w14:paraId="28254F3B" w14:textId="77777777" w:rsidR="00C11ED3" w:rsidRPr="007A014C" w:rsidRDefault="00C11ED3" w:rsidP="00C11ED3">
      <w:pPr>
        <w:pStyle w:val="VirUMAR"/>
      </w:pPr>
      <w:r w:rsidRPr="007A014C">
        <w:t>Vir: SURS, preračuni UMAR.</w:t>
      </w:r>
    </w:p>
    <w:p w14:paraId="3A5D4EFE" w14:textId="77777777" w:rsidR="008336AC" w:rsidRDefault="008336AC" w:rsidP="008336AC">
      <w:pPr>
        <w:pStyle w:val="BesediloUMAR"/>
      </w:pPr>
    </w:p>
    <w:p w14:paraId="28AC47D5" w14:textId="77777777" w:rsidR="008336AC" w:rsidRDefault="008336AC" w:rsidP="008336AC">
      <w:pPr>
        <w:pStyle w:val="BesediloUMAR"/>
      </w:pPr>
    </w:p>
    <w:p w14:paraId="744C7CE2" w14:textId="77777777" w:rsidR="008336AC" w:rsidRDefault="008336AC" w:rsidP="008336AC">
      <w:pPr>
        <w:pStyle w:val="Heading1"/>
      </w:pPr>
      <w:r>
        <w:t>Razpoložljivi dohodek</w:t>
      </w:r>
    </w:p>
    <w:p w14:paraId="355FE762" w14:textId="77777777" w:rsidR="008336AC" w:rsidRPr="00BA2CDB" w:rsidRDefault="008336AC" w:rsidP="008336AC">
      <w:pPr>
        <w:pStyle w:val="BesediloUMAR"/>
      </w:pPr>
    </w:p>
    <w:p w14:paraId="3B3C690D" w14:textId="71D8A833" w:rsidR="008336AC" w:rsidRPr="006F6E7E" w:rsidRDefault="008336AC" w:rsidP="008336AC">
      <w:pPr>
        <w:pStyle w:val="BesediloUMAR"/>
      </w:pPr>
      <w:r w:rsidRPr="006759E2">
        <w:rPr>
          <w:rStyle w:val="VodilnistavekUMAR"/>
        </w:rPr>
        <w:t>Glavni dejavnik zasebne potrošnje, bruto razpoložljivi dohodek gospodinjstev</w:t>
      </w:r>
      <w:r w:rsidRPr="006759E2">
        <w:rPr>
          <w:rStyle w:val="VodilnistavekUMAR"/>
          <w:vertAlign w:val="superscript"/>
        </w:rPr>
        <w:footnoteReference w:id="4"/>
      </w:r>
      <w:r w:rsidRPr="006759E2">
        <w:rPr>
          <w:rStyle w:val="VodilnistavekUMAR"/>
        </w:rPr>
        <w:t>, se</w:t>
      </w:r>
      <w:r>
        <w:rPr>
          <w:rStyle w:val="VodilnistavekUMAR"/>
        </w:rPr>
        <w:t xml:space="preserve"> je po znižanju med finančno krizo v naslednjih letih do izbruha epidemije povečal</w:t>
      </w:r>
      <w:r w:rsidRPr="006759E2">
        <w:rPr>
          <w:rStyle w:val="VodilnistavekUMAR"/>
        </w:rPr>
        <w:t>.</w:t>
      </w:r>
      <w:r>
        <w:t xml:space="preserve"> Večji del, v letu 2019</w:t>
      </w:r>
      <w:r w:rsidRPr="007A014C">
        <w:t xml:space="preserve"> skoraj </w:t>
      </w:r>
      <w:r w:rsidRPr="00BD0BD6">
        <w:t>86 %</w:t>
      </w:r>
      <w:r w:rsidRPr="007A014C">
        <w:t xml:space="preserve">, razpoložljivega dohodka </w:t>
      </w:r>
      <w:r>
        <w:t xml:space="preserve">so </w:t>
      </w:r>
      <w:r w:rsidRPr="007A014C">
        <w:t>pred</w:t>
      </w:r>
      <w:r>
        <w:t>stavljala</w:t>
      </w:r>
      <w:r w:rsidRPr="007A014C">
        <w:t xml:space="preserve"> sredstva za zaposlene. Ta so se zaradi poslabšanja razmer na trgu dela v obdobju </w:t>
      </w:r>
      <w:r>
        <w:t xml:space="preserve">finančne </w:t>
      </w:r>
      <w:r w:rsidRPr="007A014C">
        <w:t>krize vidno znižala. Izpad dohodkov gospodinjstev je država blažila s socialnimi prejemki, vendar so uveljavitev nove socialne zakonodaje in varčevalni ukrepi</w:t>
      </w:r>
      <w:r w:rsidRPr="007A014C">
        <w:rPr>
          <w:vertAlign w:val="superscript"/>
        </w:rPr>
        <w:footnoteReference w:id="5"/>
      </w:r>
      <w:r w:rsidRPr="007A014C">
        <w:t xml:space="preserve"> v letih 2012 in 2013 dohodke gospodinjstev ponovno precej znižali. Po letu 2014 </w:t>
      </w:r>
      <w:r>
        <w:t xml:space="preserve">so </w:t>
      </w:r>
      <w:r w:rsidRPr="007A014C">
        <w:t>se z oživitvijo gospodarske aktivnosti in postopnim sproščanjem varčevalnih ukrepov države dohod</w:t>
      </w:r>
      <w:r>
        <w:t>ki gospodinjstev spet povečevali</w:t>
      </w:r>
      <w:r w:rsidRPr="007A014C">
        <w:rPr>
          <w:vertAlign w:val="superscript"/>
        </w:rPr>
        <w:footnoteReference w:id="6"/>
      </w:r>
      <w:r w:rsidRPr="007A014C">
        <w:t xml:space="preserve">. Na rast dohodkov je </w:t>
      </w:r>
      <w:r w:rsidR="007849F1">
        <w:t xml:space="preserve">poleg tega </w:t>
      </w:r>
      <w:r w:rsidRPr="007A014C">
        <w:t>močneje vplivalo tudi povečanje števila samozaposlenih</w:t>
      </w:r>
      <w:r w:rsidR="007849F1">
        <w:t>, povezano tudi s</w:t>
      </w:r>
      <w:r w:rsidRPr="007A014C">
        <w:t xml:space="preserve"> spodbujanje</w:t>
      </w:r>
      <w:r w:rsidR="007849F1">
        <w:t>m</w:t>
      </w:r>
      <w:r w:rsidRPr="007A014C">
        <w:t xml:space="preserve"> samozaposlovanja brezposelnih v okviru programov aktivne politike zaposlovanja</w:t>
      </w:r>
      <w:r w:rsidR="007849F1">
        <w:t>.</w:t>
      </w:r>
      <w:r w:rsidR="00622F9B">
        <w:t xml:space="preserve"> </w:t>
      </w:r>
      <w:r w:rsidR="007849F1">
        <w:t>To</w:t>
      </w:r>
      <w:r w:rsidRPr="007A014C">
        <w:t xml:space="preserve"> je vplivalo na rast in prispevek bruto raznovrstnega dohodka</w:t>
      </w:r>
      <w:r w:rsidRPr="007A014C">
        <w:rPr>
          <w:vertAlign w:val="superscript"/>
        </w:rPr>
        <w:footnoteReference w:id="7"/>
      </w:r>
      <w:r w:rsidRPr="007A014C">
        <w:t xml:space="preserve"> k bruto razpoložljivemu dohodku. V letu 2019 je na rast dohodkov poleg nadaljevanja razmeroma visoke rasti zaposlenosti ter višje rasti plač in socialnih transferjev vplivala tudi davčna razbremenitev regresa za letni dopust. </w:t>
      </w:r>
      <w:r>
        <w:t xml:space="preserve">Delež sredstev za zaposlene se je tako v letu 2019 povečal na 85,6 %, kar je bilo največ v celotnem obdobju. </w:t>
      </w:r>
    </w:p>
    <w:p w14:paraId="1796F862" w14:textId="77777777" w:rsidR="008336AC" w:rsidRPr="007A014C" w:rsidRDefault="008336AC" w:rsidP="008336AC">
      <w:pPr>
        <w:pStyle w:val="Caption"/>
      </w:pPr>
      <w:r w:rsidRPr="007A014C">
        <w:t xml:space="preserve">Slika </w:t>
      </w:r>
      <w:r w:rsidRPr="007A014C">
        <w:fldChar w:fldCharType="begin"/>
      </w:r>
      <w:r w:rsidRPr="007A014C">
        <w:instrText xml:space="preserve"> SEQ Slika \* ARABIC </w:instrText>
      </w:r>
      <w:r w:rsidRPr="007A014C">
        <w:fldChar w:fldCharType="separate"/>
      </w:r>
      <w:r w:rsidR="00E97383">
        <w:t>3</w:t>
      </w:r>
      <w:r w:rsidRPr="007A014C">
        <w:fldChar w:fldCharType="end"/>
      </w:r>
      <w:r w:rsidRPr="007A014C">
        <w:t xml:space="preserve">: </w:t>
      </w:r>
      <w:r>
        <w:t>Struktura in m</w:t>
      </w:r>
      <w:r w:rsidRPr="007A014C">
        <w:t xml:space="preserve">edletna rast bruto razpoložljivega dohodka </w:t>
      </w:r>
    </w:p>
    <w:p w14:paraId="15C38738" w14:textId="77777777" w:rsidR="008336AC" w:rsidRDefault="008336AC" w:rsidP="008336AC">
      <w:pPr>
        <w:pStyle w:val="BesediloUMAR"/>
      </w:pPr>
      <w:r w:rsidRPr="00181901">
        <w:rPr>
          <w:noProof/>
          <w:lang w:eastAsia="sl-SI"/>
        </w:rPr>
        <w:drawing>
          <wp:inline distT="0" distB="0" distL="0" distR="0" wp14:anchorId="0E848D2F" wp14:editId="0E290AA9">
            <wp:extent cx="5759450" cy="2322911"/>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322911"/>
                    </a:xfrm>
                    <a:prstGeom prst="rect">
                      <a:avLst/>
                    </a:prstGeom>
                    <a:noFill/>
                    <a:ln>
                      <a:noFill/>
                    </a:ln>
                  </pic:spPr>
                </pic:pic>
              </a:graphicData>
            </a:graphic>
          </wp:inline>
        </w:drawing>
      </w:r>
    </w:p>
    <w:p w14:paraId="09272AFE" w14:textId="77777777" w:rsidR="008336AC" w:rsidRPr="007A014C" w:rsidRDefault="008336AC" w:rsidP="008336AC">
      <w:pPr>
        <w:pStyle w:val="VirUMAR"/>
      </w:pPr>
      <w:r w:rsidRPr="007A014C">
        <w:t>Vir: SURS, preračuni UMAR.</w:t>
      </w:r>
    </w:p>
    <w:p w14:paraId="3EA8F5DD" w14:textId="77777777" w:rsidR="008336AC" w:rsidRPr="007A014C" w:rsidRDefault="008336AC" w:rsidP="008336AC">
      <w:pPr>
        <w:pStyle w:val="BesediloUMAR"/>
      </w:pPr>
    </w:p>
    <w:p w14:paraId="72ED03D6" w14:textId="1FB9A158" w:rsidR="008336AC" w:rsidRPr="005522F1" w:rsidRDefault="008336AC" w:rsidP="008336AC">
      <w:pPr>
        <w:pStyle w:val="BesediloUMAR"/>
      </w:pPr>
      <w:r w:rsidRPr="00EB41A6">
        <w:rPr>
          <w:b/>
        </w:rPr>
        <w:t>Bruto razpoložljivi dohodek gospodinjstev se je v letu 2020 kljub upadu gospodarske aktivnosti še povečal, kar je bila predvsem posledica vladnih ukrepov za omilitev posledic epidemije covid-19.</w:t>
      </w:r>
      <w:r>
        <w:t xml:space="preserve"> E</w:t>
      </w:r>
      <w:r w:rsidRPr="00BA0AE4">
        <w:t>pidemija</w:t>
      </w:r>
      <w:r>
        <w:t xml:space="preserve"> covid-19 </w:t>
      </w:r>
      <w:r w:rsidRPr="00BA0AE4">
        <w:t xml:space="preserve">je povzročila izrazit padec gospodarske aktivnosti zaradi zaustavitve poslovanja </w:t>
      </w:r>
      <w:proofErr w:type="spellStart"/>
      <w:r w:rsidRPr="00BA0AE4">
        <w:t>nenujnih</w:t>
      </w:r>
      <w:proofErr w:type="spellEnd"/>
      <w:r w:rsidRPr="00BA0AE4">
        <w:t xml:space="preserve"> storitvenih </w:t>
      </w:r>
      <w:r w:rsidRPr="00F425FE">
        <w:t>dejavnosti</w:t>
      </w:r>
      <w:r w:rsidRPr="00F425FE">
        <w:rPr>
          <w:rStyle w:val="FootnoteReference"/>
        </w:rPr>
        <w:footnoteReference w:id="8"/>
      </w:r>
      <w:r w:rsidRPr="00BA0AE4">
        <w:t xml:space="preserve"> ter otežene aktivnosti industrije in ostalih storitvenih dejavnosti.</w:t>
      </w:r>
      <w:r>
        <w:t xml:space="preserve"> </w:t>
      </w:r>
      <w:r w:rsidRPr="005522F1">
        <w:t>Posledično poslabšanje razmer na trgu dela je ublažilo sprejetje interventnih ukrepov za ohranjanje delovnih mest, upad bruto razpoložljivega dohodka pa so</w:t>
      </w:r>
      <w:r>
        <w:t xml:space="preserve"> </w:t>
      </w:r>
      <w:r w:rsidRPr="005522F1">
        <w:t xml:space="preserve">preprečili tudi različni ukrepi za pomoč prebivalstvu. Socialni prejemki so se </w:t>
      </w:r>
      <w:r>
        <w:t xml:space="preserve">ob izplačilu </w:t>
      </w:r>
      <w:r w:rsidRPr="00CC4C9B">
        <w:t>izredn</w:t>
      </w:r>
      <w:r>
        <w:t>ega</w:t>
      </w:r>
      <w:r w:rsidRPr="00CC4C9B">
        <w:t xml:space="preserve"> enkratn</w:t>
      </w:r>
      <w:r>
        <w:t>ega</w:t>
      </w:r>
      <w:r w:rsidRPr="00CC4C9B">
        <w:t xml:space="preserve"> transferj</w:t>
      </w:r>
      <w:r>
        <w:t>a</w:t>
      </w:r>
      <w:r w:rsidRPr="00CC4C9B">
        <w:t xml:space="preserve"> različnim skupinam prebivalstva (upokojenci, študentje, starši, prejemniki socialne pomoči in varstvenega dodatka)</w:t>
      </w:r>
      <w:r>
        <w:t xml:space="preserve"> in</w:t>
      </w:r>
      <w:r w:rsidRPr="00CC4C9B">
        <w:t xml:space="preserve"> razširjen</w:t>
      </w:r>
      <w:r>
        <w:t>em</w:t>
      </w:r>
      <w:r w:rsidRPr="00CC4C9B">
        <w:t xml:space="preserve"> krog</w:t>
      </w:r>
      <w:r>
        <w:t>u</w:t>
      </w:r>
      <w:r w:rsidRPr="00CC4C9B">
        <w:t xml:space="preserve"> upravičencev do nadomestil za brezposelnost</w:t>
      </w:r>
      <w:r>
        <w:t xml:space="preserve"> </w:t>
      </w:r>
      <w:r w:rsidRPr="005522F1">
        <w:t>izraziteje povečali</w:t>
      </w:r>
      <w:r>
        <w:t xml:space="preserve"> in pomembno vplivali na skupno povečanje razpoložljivega dohodka (k nominalni 3,8-odstotni rasti so prispevali 2,7 o. t.). Nekoliko višja so bila ob izdatni pomoči vladnih ukrepov tudi sredstva za zaposlene. Ti ukrepi so bili: </w:t>
      </w:r>
      <w:r w:rsidRPr="00476F23">
        <w:t>nadomestila zaposlenih za čas, ko čakajo na delo ali so doma zaradi višje sile ali karantene in ko delajo krajši delovni čas, oprostitve plačila prispevkov za pokojninsko in invalidsko zavarovanje za zaposlene v zasebnem sektorju, ki so delali</w:t>
      </w:r>
      <w:r w:rsidRPr="00CC4C9B">
        <w:t xml:space="preserve"> v času prvega vala epidemije, dodatek zaposlenim za delo za nevarnost in posebne obremenitve in dodatek za delo v rizičnih razmerah v javnem sektorju in izplačilo dodatka za delo v času epidemije v zasebnem sektorju, kritje bolniške odsotnosti zaradi covid</w:t>
      </w:r>
      <w:r w:rsidR="001412D8">
        <w:t>-19</w:t>
      </w:r>
      <w:r w:rsidRPr="00CC4C9B">
        <w:t xml:space="preserve"> od prvega dne odsotnosti. </w:t>
      </w:r>
      <w:r w:rsidR="00E46BA5">
        <w:t xml:space="preserve"> Na povečanje drugih </w:t>
      </w:r>
      <w:r w:rsidR="00E46BA5" w:rsidRPr="00CC4C9B">
        <w:t>tekočih transferjev</w:t>
      </w:r>
      <w:r w:rsidR="00E46BA5">
        <w:t xml:space="preserve"> so vplivali t</w:t>
      </w:r>
      <w:r>
        <w:t xml:space="preserve">uristični boni, ki so </w:t>
      </w:r>
      <w:r w:rsidR="00E46BA5">
        <w:t>bili že unovčeni in izplačani</w:t>
      </w:r>
      <w:r>
        <w:t xml:space="preserve">. </w:t>
      </w:r>
      <w:r w:rsidRPr="0092693E">
        <w:t>Med vladnimi</w:t>
      </w:r>
      <w:r>
        <w:t xml:space="preserve"> ukrepi </w:t>
      </w:r>
      <w:r w:rsidR="00256FA4">
        <w:t>pa so</w:t>
      </w:r>
      <w:r>
        <w:t xml:space="preserve"> bili tudi ukrepi, ki so vplivali na</w:t>
      </w:r>
      <w:r w:rsidRPr="00CC4C9B">
        <w:t xml:space="preserve"> bruto raznovrstn</w:t>
      </w:r>
      <w:r>
        <w:t>i</w:t>
      </w:r>
      <w:r w:rsidRPr="00CC4C9B">
        <w:t xml:space="preserve"> dohod</w:t>
      </w:r>
      <w:r>
        <w:t>ek</w:t>
      </w:r>
      <w:r w:rsidRPr="00CC4C9B">
        <w:t xml:space="preserve">: izplačila temeljnega mesečnega dohodka za samozaposlene in oprostitev plačila socialnih prispevkov zanje, </w:t>
      </w:r>
      <w:r w:rsidRPr="000405C1">
        <w:t xml:space="preserve">delno povračilo izgubljenega dohodka zaradi karantene ali višje sile, delno </w:t>
      </w:r>
      <w:r w:rsidRPr="00476F23">
        <w:t xml:space="preserve">povračilo nekritih fiksnih stroškov, povračilo stroškov v zvezi z izvedbo hitrih testov. </w:t>
      </w:r>
    </w:p>
    <w:p w14:paraId="09B91FCF" w14:textId="77777777" w:rsidR="008336AC" w:rsidRPr="007A014C" w:rsidRDefault="008336AC" w:rsidP="008336AC">
      <w:pPr>
        <w:pStyle w:val="Caption"/>
      </w:pPr>
      <w:r w:rsidRPr="007A014C">
        <w:t xml:space="preserve">Slika </w:t>
      </w:r>
      <w:r w:rsidRPr="007A014C">
        <w:fldChar w:fldCharType="begin"/>
      </w:r>
      <w:r w:rsidRPr="007A014C">
        <w:instrText xml:space="preserve"> SEQ Slika \* ARABIC </w:instrText>
      </w:r>
      <w:r w:rsidRPr="007A014C">
        <w:fldChar w:fldCharType="separate"/>
      </w:r>
      <w:r w:rsidR="00E97383">
        <w:t>4</w:t>
      </w:r>
      <w:r w:rsidRPr="007A014C">
        <w:fldChar w:fldCharType="end"/>
      </w:r>
      <w:r w:rsidRPr="007A014C">
        <w:t xml:space="preserve">: </w:t>
      </w:r>
      <w:r>
        <w:t>P</w:t>
      </w:r>
      <w:r w:rsidRPr="007A014C">
        <w:t>rispevki posameznih komponent k rasti</w:t>
      </w:r>
      <w:r>
        <w:t xml:space="preserve"> bruto razpoložljivega dohodka </w:t>
      </w:r>
    </w:p>
    <w:p w14:paraId="1E05ED71" w14:textId="77777777" w:rsidR="008336AC" w:rsidRPr="007A014C" w:rsidRDefault="008336AC" w:rsidP="008336AC">
      <w:pPr>
        <w:pStyle w:val="BesediloUMAR"/>
        <w:rPr>
          <w:b/>
        </w:rPr>
      </w:pPr>
      <w:r w:rsidRPr="00181901">
        <w:rPr>
          <w:noProof/>
          <w:lang w:eastAsia="sl-SI"/>
        </w:rPr>
        <w:drawing>
          <wp:inline distT="0" distB="0" distL="0" distR="0" wp14:anchorId="578AACEA" wp14:editId="7E187DB2">
            <wp:extent cx="5759450" cy="203481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2034812"/>
                    </a:xfrm>
                    <a:prstGeom prst="rect">
                      <a:avLst/>
                    </a:prstGeom>
                    <a:noFill/>
                    <a:ln>
                      <a:noFill/>
                    </a:ln>
                  </pic:spPr>
                </pic:pic>
              </a:graphicData>
            </a:graphic>
          </wp:inline>
        </w:drawing>
      </w:r>
    </w:p>
    <w:p w14:paraId="6472C617" w14:textId="77777777" w:rsidR="008336AC" w:rsidRPr="007A014C" w:rsidRDefault="008336AC" w:rsidP="008336AC">
      <w:pPr>
        <w:pStyle w:val="VirUMAR"/>
      </w:pPr>
      <w:r w:rsidRPr="007A014C">
        <w:t>Vir: SURS, preračuni UMAR.</w:t>
      </w:r>
    </w:p>
    <w:p w14:paraId="2226497B" w14:textId="77777777" w:rsidR="008336AC" w:rsidRDefault="008336AC" w:rsidP="008336AC">
      <w:pPr>
        <w:pStyle w:val="Heading1"/>
      </w:pPr>
      <w:r>
        <w:t>Struktura potrošnje</w:t>
      </w:r>
    </w:p>
    <w:p w14:paraId="31DDC774" w14:textId="77777777" w:rsidR="008336AC" w:rsidRPr="007A014C" w:rsidRDefault="008336AC" w:rsidP="008336AC">
      <w:pPr>
        <w:pStyle w:val="BesediloUMAR"/>
        <w:rPr>
          <w:b/>
        </w:rPr>
      </w:pPr>
    </w:p>
    <w:p w14:paraId="243989D4" w14:textId="3BFA35CC" w:rsidR="008336AC" w:rsidRPr="007A014C" w:rsidRDefault="008336AC" w:rsidP="008336AC">
      <w:pPr>
        <w:pStyle w:val="BesediloUMAR"/>
      </w:pPr>
      <w:r w:rsidRPr="006759E2">
        <w:rPr>
          <w:rStyle w:val="VodilnistavekUMAR"/>
        </w:rPr>
        <w:t>Najbolj občutljivi na nihanja v razpoložljivem dohodku so nakupi trajnejšega blaga, ki so se po predhodnem zmanjšanju po letu 2014 najbolj povečali</w:t>
      </w:r>
      <w:r>
        <w:rPr>
          <w:rStyle w:val="VodilnistavekUMAR"/>
        </w:rPr>
        <w:t xml:space="preserve">. </w:t>
      </w:r>
      <w:r w:rsidRPr="007A014C">
        <w:t xml:space="preserve">Gospodinjstva so v </w:t>
      </w:r>
      <w:r>
        <w:t xml:space="preserve">finančni </w:t>
      </w:r>
      <w:r w:rsidRPr="007A014C">
        <w:t>krizi zmanjšala delež izdatkov namenjen nakupom trajnega blaga (osebna vozila, pohištvo, stanovanjska oprema itd.) in storitev (rekreacijske, kulturne, gostinske storitve itd.) ter povečala delež izdatkov namenjen nakupom netrajnega blaga (hrana, pijača, goriva itd.). Z oživitvijo rasti zasebne potrošnje in njenim nadaljevanjem v kasnejšem obdobju (2014</w:t>
      </w:r>
      <w:r w:rsidR="00A24FAF" w:rsidRPr="00407B5A">
        <w:rPr>
          <w:szCs w:val="20"/>
        </w:rPr>
        <w:t>–</w:t>
      </w:r>
      <w:r w:rsidRPr="00C650BE">
        <w:t>2019) so se gibanja obrnila</w:t>
      </w:r>
      <w:r w:rsidRPr="007A014C">
        <w:t>. Močneje so se povečali izdatki za trajne (predvsem za nakupe osebnih avt</w:t>
      </w:r>
      <w:r>
        <w:t>ov, kjer so se izdatki leta 2019</w:t>
      </w:r>
      <w:r w:rsidRPr="007A014C">
        <w:t xml:space="preserve"> glede na leto 2013 realno </w:t>
      </w:r>
      <w:r>
        <w:t xml:space="preserve">več kot </w:t>
      </w:r>
      <w:r w:rsidRPr="007A014C">
        <w:t xml:space="preserve">podvojili, pohištva in gospodinjske opreme) in poltrajne proizvode (predvsem za oblačila in obutev, telefonske naprave, fotografsko in </w:t>
      </w:r>
      <w:proofErr w:type="spellStart"/>
      <w:r w:rsidRPr="007A014C">
        <w:t>audiovizualno</w:t>
      </w:r>
      <w:proofErr w:type="spellEnd"/>
      <w:r w:rsidRPr="007A014C">
        <w:t xml:space="preserve"> opremo), oživela pa je tudi rast izdatkov za storitve (predvsem za gostinske in nastanitvene storitve, počitniške pakete, rekreacijske in kulturne storitve), ki pa je bila še vedno precej nižja </w:t>
      </w:r>
      <w:r w:rsidR="008A3961">
        <w:t>od</w:t>
      </w:r>
      <w:r w:rsidR="008A3961" w:rsidRPr="007A014C">
        <w:t xml:space="preserve"> </w:t>
      </w:r>
      <w:r w:rsidRPr="007A014C">
        <w:t>rast</w:t>
      </w:r>
      <w:r w:rsidR="008A3961">
        <w:t>i</w:t>
      </w:r>
      <w:r w:rsidRPr="007A014C">
        <w:t xml:space="preserve"> izdatkov za trajne in poltrajne dobrine. </w:t>
      </w:r>
      <w:r>
        <w:t xml:space="preserve">Zmanjšanje zasebne potrošnje v 2020 je bilo po četrtletnih podatkih visoko tako pri trajnih proizvodih kot pri netrajnih proizvodih in storitvah, ki pa je bilo zaradi dolgotrajnega zaprtja predvsem storitvenih panog še nekoliko večje. </w:t>
      </w:r>
    </w:p>
    <w:p w14:paraId="4E6957F1" w14:textId="562EC515" w:rsidR="008336AC" w:rsidRPr="007A014C" w:rsidRDefault="008336AC" w:rsidP="008336AC">
      <w:pPr>
        <w:pStyle w:val="Caption"/>
      </w:pPr>
      <w:r w:rsidRPr="007A014C">
        <w:t xml:space="preserve">Slika </w:t>
      </w:r>
      <w:r w:rsidRPr="007A014C">
        <w:fldChar w:fldCharType="begin"/>
      </w:r>
      <w:r w:rsidRPr="007A014C">
        <w:instrText xml:space="preserve"> SEQ Slika \* ARABIC </w:instrText>
      </w:r>
      <w:r w:rsidRPr="007A014C">
        <w:fldChar w:fldCharType="separate"/>
      </w:r>
      <w:r w:rsidR="00E97383">
        <w:t>5</w:t>
      </w:r>
      <w:r w:rsidRPr="007A014C">
        <w:fldChar w:fldCharType="end"/>
      </w:r>
      <w:r w:rsidRPr="007A014C">
        <w:t>: Izdatki gospodinjstev za končno potrošnjo po domačem konceptu v stalnih cenah</w:t>
      </w:r>
    </w:p>
    <w:p w14:paraId="3A5F8ECB" w14:textId="5E6C0330" w:rsidR="008336AC" w:rsidRPr="007A014C" w:rsidRDefault="00DF1C90" w:rsidP="008336AC">
      <w:pPr>
        <w:pStyle w:val="BesediloUMAR"/>
      </w:pPr>
      <w:r w:rsidRPr="00DF1C90">
        <w:rPr>
          <w:noProof/>
          <w:lang w:eastAsia="sl-SI"/>
        </w:rPr>
        <w:drawing>
          <wp:inline distT="0" distB="0" distL="0" distR="0" wp14:anchorId="0185CA66" wp14:editId="48640933">
            <wp:extent cx="5759450" cy="225670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2256701"/>
                    </a:xfrm>
                    <a:prstGeom prst="rect">
                      <a:avLst/>
                    </a:prstGeom>
                    <a:noFill/>
                    <a:ln>
                      <a:noFill/>
                    </a:ln>
                  </pic:spPr>
                </pic:pic>
              </a:graphicData>
            </a:graphic>
          </wp:inline>
        </w:drawing>
      </w:r>
    </w:p>
    <w:p w14:paraId="7EF5DE34" w14:textId="77777777" w:rsidR="008336AC" w:rsidRPr="007A014C" w:rsidRDefault="008336AC" w:rsidP="008336AC">
      <w:pPr>
        <w:pStyle w:val="BesediloUMAR"/>
      </w:pPr>
    </w:p>
    <w:p w14:paraId="395A76A3" w14:textId="77777777" w:rsidR="008336AC" w:rsidRDefault="008336AC" w:rsidP="008336AC">
      <w:pPr>
        <w:pStyle w:val="VirUMAR"/>
      </w:pPr>
      <w:r w:rsidRPr="007A014C">
        <w:t>Vir: SURS, preračuni UMAR. Opomba: * voda, električna energija, plin in druga goriva.</w:t>
      </w:r>
    </w:p>
    <w:p w14:paraId="5E862DE5" w14:textId="77777777" w:rsidR="008336AC" w:rsidRPr="007A014C" w:rsidRDefault="008336AC" w:rsidP="008336AC">
      <w:pPr>
        <w:pStyle w:val="VirUMAR"/>
      </w:pPr>
    </w:p>
    <w:p w14:paraId="5C9B8C7F" w14:textId="2F6F6757" w:rsidR="008336AC" w:rsidRDefault="008336AC" w:rsidP="008336AC">
      <w:pPr>
        <w:pStyle w:val="BesediloUMAR"/>
      </w:pPr>
      <w:r w:rsidRPr="006759E2">
        <w:rPr>
          <w:rStyle w:val="VodilnistavekUMAR"/>
        </w:rPr>
        <w:t xml:space="preserve">Struktura potrošnje gospodinjstev </w:t>
      </w:r>
      <w:r w:rsidR="008A3961" w:rsidRPr="006759E2">
        <w:rPr>
          <w:rStyle w:val="VodilnistavekUMAR"/>
        </w:rPr>
        <w:t xml:space="preserve">je </w:t>
      </w:r>
      <w:r w:rsidR="008A3961">
        <w:rPr>
          <w:rStyle w:val="VodilnistavekUMAR"/>
        </w:rPr>
        <w:t xml:space="preserve">bila </w:t>
      </w:r>
      <w:r>
        <w:rPr>
          <w:rStyle w:val="VodilnistavekUMAR"/>
        </w:rPr>
        <w:t xml:space="preserve">pred epidemijo </w:t>
      </w:r>
      <w:r w:rsidRPr="006759E2">
        <w:rPr>
          <w:rStyle w:val="VodilnistavekUMAR"/>
        </w:rPr>
        <w:t xml:space="preserve">podobna kot v povprečju držav EU; navzgor </w:t>
      </w:r>
      <w:r>
        <w:rPr>
          <w:rStyle w:val="VodilnistavekUMAR"/>
        </w:rPr>
        <w:t xml:space="preserve">je </w:t>
      </w:r>
      <w:r w:rsidRPr="006759E2">
        <w:rPr>
          <w:rStyle w:val="VodilnistavekUMAR"/>
        </w:rPr>
        <w:t>sicer vidneje odstopa</w:t>
      </w:r>
      <w:r>
        <w:rPr>
          <w:rStyle w:val="VodilnistavekUMAR"/>
        </w:rPr>
        <w:t>l</w:t>
      </w:r>
      <w:r w:rsidRPr="006759E2">
        <w:rPr>
          <w:rStyle w:val="VodilnistavekUMAR"/>
        </w:rPr>
        <w:t xml:space="preserve"> delež izdatkov za prevoz, navzdol pa delež stanovanjskih izdatkov.</w:t>
      </w:r>
      <w:r w:rsidRPr="007A014C">
        <w:rPr>
          <w:b/>
        </w:rPr>
        <w:t xml:space="preserve"> </w:t>
      </w:r>
      <w:r w:rsidRPr="007A014C">
        <w:t>Skupni</w:t>
      </w:r>
      <w:r w:rsidRPr="007A014C">
        <w:rPr>
          <w:b/>
        </w:rPr>
        <w:t xml:space="preserve"> </w:t>
      </w:r>
      <w:r w:rsidRPr="007A014C">
        <w:t>izdatki za prevoz, ki vključujejo nakupe prevoznih sredstev in izdatke za proizvode in storitve za osebna vozila</w:t>
      </w:r>
      <w:r w:rsidRPr="007A014C" w:rsidDel="0074077A">
        <w:t xml:space="preserve"> </w:t>
      </w:r>
      <w:r>
        <w:t>so bili leta 2019</w:t>
      </w:r>
      <w:r w:rsidRPr="007A014C">
        <w:t xml:space="preserve"> v Sloveniji v deležu celotne potrošnje za 3,7 o. t. višji kot v povprečju držav EU. To je deloma posledica manjše stopnje urbanizacije in večje poselitvene razpršenosti, vse bolj pa </w:t>
      </w:r>
      <w:proofErr w:type="spellStart"/>
      <w:r w:rsidRPr="007A014C">
        <w:t>neposodobljene</w:t>
      </w:r>
      <w:proofErr w:type="spellEnd"/>
      <w:r w:rsidRPr="007A014C">
        <w:t xml:space="preserve"> in skromne ponudbe javnega potniškega prometa</w:t>
      </w:r>
      <w:r w:rsidR="00256FA4">
        <w:rPr>
          <w:rStyle w:val="FootnoteReference"/>
        </w:rPr>
        <w:footnoteReference w:id="9"/>
      </w:r>
      <w:r w:rsidRPr="007A014C">
        <w:t>. Nekoliko višji delež izdatkov kot v povprečju EU slovenska gospodinjstva namenijo za hrano in pijačo</w:t>
      </w:r>
      <w:r w:rsidRPr="007A014C">
        <w:rPr>
          <w:vertAlign w:val="superscript"/>
        </w:rPr>
        <w:footnoteReference w:id="10"/>
      </w:r>
      <w:r w:rsidRPr="007A014C">
        <w:t xml:space="preserve">, čeprav se je njihov delež in razkorak do EU po letu 2013 znižal. </w:t>
      </w:r>
      <w:r w:rsidRPr="00FC6BAE">
        <w:t>V primerjavi s</w:t>
      </w:r>
      <w:r w:rsidRPr="007A014C">
        <w:t xml:space="preserve"> povprečjem držav EU pa je za Slovenijo značilen podpovprečen delež izdatkov za stanovanja, vodo, električno energijo, plin in drugo gorivo, kar povezujemo z visokim deležem lastniških stanovanj in posledično nižjim deležem izdatkov za najemnine. Delež izdatkov za restavracije in hotele slovenskih gospodinjstev je še vedno precej nižji kot v povprečju držav EU, kljub precejšnji rasti tovrst</w:t>
      </w:r>
      <w:r>
        <w:t>nih izdatkov v obdobju 2014–2019</w:t>
      </w:r>
      <w:r w:rsidRPr="007A014C">
        <w:t xml:space="preserve">, na katerega je poleg domačega prebivalstva vplival tudi visok obisk tujih turistov. </w:t>
      </w:r>
    </w:p>
    <w:p w14:paraId="5669C9F7" w14:textId="77777777" w:rsidR="008336AC" w:rsidRDefault="008336AC" w:rsidP="008336AC">
      <w:pPr>
        <w:pStyle w:val="Caption"/>
      </w:pPr>
      <w:r w:rsidRPr="007A014C">
        <w:t xml:space="preserve">Slika </w:t>
      </w:r>
      <w:r w:rsidRPr="007A014C">
        <w:fldChar w:fldCharType="begin"/>
      </w:r>
      <w:r w:rsidRPr="007A014C">
        <w:instrText xml:space="preserve"> SEQ Slika \* ARABIC </w:instrText>
      </w:r>
      <w:r w:rsidRPr="007A014C">
        <w:fldChar w:fldCharType="separate"/>
      </w:r>
      <w:r w:rsidR="00E97383">
        <w:t>6</w:t>
      </w:r>
      <w:r w:rsidRPr="007A014C">
        <w:fldChar w:fldCharType="end"/>
      </w:r>
      <w:r w:rsidRPr="007A014C">
        <w:t>: Struktura zasebne potrošnje po domačem konceptu v Sloveniji in v EU v letu 20</w:t>
      </w:r>
      <w:r>
        <w:t>19</w:t>
      </w:r>
    </w:p>
    <w:p w14:paraId="3375DCCD" w14:textId="77777777" w:rsidR="008336AC" w:rsidRPr="007A014C" w:rsidRDefault="008336AC" w:rsidP="008336AC">
      <w:pPr>
        <w:pStyle w:val="BesediloUMAR"/>
      </w:pPr>
      <w:r w:rsidRPr="002D35C8">
        <w:rPr>
          <w:noProof/>
          <w:lang w:eastAsia="sl-SI"/>
        </w:rPr>
        <w:drawing>
          <wp:inline distT="0" distB="0" distL="0" distR="0" wp14:anchorId="3BCA338E" wp14:editId="5728964B">
            <wp:extent cx="5759450" cy="209522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2095227"/>
                    </a:xfrm>
                    <a:prstGeom prst="rect">
                      <a:avLst/>
                    </a:prstGeom>
                    <a:noFill/>
                    <a:ln>
                      <a:noFill/>
                    </a:ln>
                  </pic:spPr>
                </pic:pic>
              </a:graphicData>
            </a:graphic>
          </wp:inline>
        </w:drawing>
      </w:r>
    </w:p>
    <w:p w14:paraId="4BA476AB" w14:textId="77777777" w:rsidR="008336AC" w:rsidRDefault="008336AC" w:rsidP="008336AC">
      <w:pPr>
        <w:pStyle w:val="VirUMAR"/>
      </w:pPr>
      <w:r w:rsidRPr="007A014C">
        <w:t>Vir: SURS, Eurostat, preračuni UMAR.</w:t>
      </w:r>
    </w:p>
    <w:p w14:paraId="7F6961EC" w14:textId="77777777" w:rsidR="008336AC" w:rsidRDefault="008336AC" w:rsidP="008336AC">
      <w:pPr>
        <w:pStyle w:val="VirUMAR"/>
      </w:pPr>
    </w:p>
    <w:p w14:paraId="08DE98D8" w14:textId="084D6511" w:rsidR="008336AC" w:rsidRDefault="008336AC" w:rsidP="008336AC">
      <w:pPr>
        <w:pStyle w:val="BesediloUMAR"/>
      </w:pPr>
      <w:r w:rsidRPr="00A25609">
        <w:rPr>
          <w:b/>
        </w:rPr>
        <w:t>Podobno kot drugje v svetu se je tudi v Sloveniji del nakupovanja iz trgovin preselil na splet; tovrstna gibanja so se še</w:t>
      </w:r>
      <w:r w:rsidR="008A3961">
        <w:rPr>
          <w:b/>
        </w:rPr>
        <w:t xml:space="preserve"> zlasti</w:t>
      </w:r>
      <w:r w:rsidRPr="00A25609">
        <w:rPr>
          <w:b/>
        </w:rPr>
        <w:t xml:space="preserve"> pospešila med epidemijo leta 2020.</w:t>
      </w:r>
      <w:r w:rsidRPr="007A014C">
        <w:t xml:space="preserve"> Delež slovenskih potrošnikov, ki </w:t>
      </w:r>
      <w:r>
        <w:t>so nakupovali</w:t>
      </w:r>
      <w:r w:rsidRPr="007A014C">
        <w:t xml:space="preserve"> prek spleta</w:t>
      </w:r>
      <w:r w:rsidR="008A3961">
        <w:t>,</w:t>
      </w:r>
      <w:r w:rsidRPr="007A014C">
        <w:t xml:space="preserve"> se je tako s 64 % v letu 2015 povečal na 70</w:t>
      </w:r>
      <w:r w:rsidR="008A3961">
        <w:t> </w:t>
      </w:r>
      <w:r w:rsidRPr="007A014C">
        <w:t>% v letu 2019</w:t>
      </w:r>
      <w:r w:rsidRPr="007A014C">
        <w:rPr>
          <w:vertAlign w:val="superscript"/>
        </w:rPr>
        <w:footnoteReference w:id="11"/>
      </w:r>
      <w:r w:rsidRPr="007A014C">
        <w:t xml:space="preserve">. V letu 2019 so kupci na spletu najpogosteje kupovali oblačila, obutev in modne dodatke ter elektronske naprave in gospodinjske aparate. </w:t>
      </w:r>
      <w:r>
        <w:t xml:space="preserve">Še močneje se je spletna prodaja okrepila v letu 2020, ko so se zaradi epidemije covid-19 zaprla vrata večine neživilskih prodajaln in storitev. Prodaja v trgovini na drobno po pošti in internetu se je tako v lanskem letu realno </w:t>
      </w:r>
      <w:r w:rsidR="008A3961">
        <w:t xml:space="preserve">povečala </w:t>
      </w:r>
      <w:r>
        <w:t xml:space="preserve">za 58 %. </w:t>
      </w:r>
    </w:p>
    <w:p w14:paraId="5E9A3E8E" w14:textId="77777777" w:rsidR="008336AC" w:rsidRDefault="008336AC" w:rsidP="008336AC">
      <w:pPr>
        <w:pStyle w:val="Caption"/>
      </w:pPr>
      <w:r w:rsidRPr="007A014C">
        <w:t xml:space="preserve">Slika </w:t>
      </w:r>
      <w:r w:rsidRPr="007A014C">
        <w:fldChar w:fldCharType="begin"/>
      </w:r>
      <w:r w:rsidRPr="007A014C">
        <w:instrText xml:space="preserve"> SEQ Slika \* ARABIC </w:instrText>
      </w:r>
      <w:r w:rsidRPr="007A014C">
        <w:fldChar w:fldCharType="separate"/>
      </w:r>
      <w:r w:rsidR="00E97383">
        <w:t>7</w:t>
      </w:r>
      <w:r w:rsidRPr="007A014C">
        <w:fldChar w:fldCharType="end"/>
      </w:r>
      <w:r w:rsidRPr="007A014C">
        <w:t xml:space="preserve">: </w:t>
      </w:r>
      <w:r>
        <w:t>Prihodek v trgovini na drobno po pošti in internetu</w:t>
      </w:r>
    </w:p>
    <w:p w14:paraId="5E5EAE3E" w14:textId="77777777" w:rsidR="008336AC" w:rsidRDefault="002B3CB4" w:rsidP="008336AC">
      <w:pPr>
        <w:pStyle w:val="BesediloUMAR"/>
      </w:pPr>
      <w:r w:rsidRPr="002B3CB4">
        <w:rPr>
          <w:noProof/>
          <w:lang w:eastAsia="sl-SI"/>
        </w:rPr>
        <w:drawing>
          <wp:inline distT="0" distB="0" distL="0" distR="0" wp14:anchorId="4B1A8E91" wp14:editId="54DC29EA">
            <wp:extent cx="5759450" cy="207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2076900"/>
                    </a:xfrm>
                    <a:prstGeom prst="rect">
                      <a:avLst/>
                    </a:prstGeom>
                    <a:noFill/>
                    <a:ln>
                      <a:noFill/>
                    </a:ln>
                  </pic:spPr>
                </pic:pic>
              </a:graphicData>
            </a:graphic>
          </wp:inline>
        </w:drawing>
      </w:r>
    </w:p>
    <w:p w14:paraId="714F6680" w14:textId="77777777" w:rsidR="008336AC" w:rsidRDefault="008336AC" w:rsidP="008336AC">
      <w:pPr>
        <w:pStyle w:val="VirUMAR"/>
      </w:pPr>
      <w:r>
        <w:t>Vir: SURS, preračuni UMAR.</w:t>
      </w:r>
    </w:p>
    <w:p w14:paraId="0E1C1E82" w14:textId="77777777" w:rsidR="008336AC" w:rsidRDefault="008336AC" w:rsidP="008336AC">
      <w:pPr>
        <w:pStyle w:val="VirUMAR"/>
      </w:pPr>
    </w:p>
    <w:p w14:paraId="67CB2B2E" w14:textId="77777777" w:rsidR="008336AC" w:rsidRPr="007A014C" w:rsidRDefault="008336AC" w:rsidP="008336AC">
      <w:pPr>
        <w:pStyle w:val="BesediloUMAR"/>
      </w:pPr>
    </w:p>
    <w:p w14:paraId="78446843" w14:textId="77777777" w:rsidR="008336AC" w:rsidRDefault="008336AC" w:rsidP="008336AC">
      <w:pPr>
        <w:pStyle w:val="Heading1"/>
      </w:pPr>
      <w:r>
        <w:t>Varčevanje gospodinjstev in zaupanje potrošnikov</w:t>
      </w:r>
    </w:p>
    <w:p w14:paraId="7360C966" w14:textId="77777777" w:rsidR="008336AC" w:rsidRPr="006759E2" w:rsidRDefault="008336AC" w:rsidP="008336AC">
      <w:pPr>
        <w:pStyle w:val="BesediloUMAR"/>
        <w:rPr>
          <w:rStyle w:val="VodilnistavekUMAR"/>
        </w:rPr>
      </w:pPr>
    </w:p>
    <w:p w14:paraId="631B4005" w14:textId="5FDC3B30" w:rsidR="008336AC" w:rsidRDefault="008336AC" w:rsidP="008336AC">
      <w:pPr>
        <w:pStyle w:val="BesediloUMAR"/>
      </w:pPr>
      <w:r w:rsidRPr="006759E2">
        <w:rPr>
          <w:rStyle w:val="VodilnistavekUMAR"/>
        </w:rPr>
        <w:t xml:space="preserve">Rast zasebne potrošnje v </w:t>
      </w:r>
      <w:r>
        <w:rPr>
          <w:rStyle w:val="VodilnistavekUMAR"/>
        </w:rPr>
        <w:t xml:space="preserve">letih pred izbruhom epidemije je </w:t>
      </w:r>
      <w:r w:rsidRPr="006759E2">
        <w:rPr>
          <w:rStyle w:val="VodilnistavekUMAR"/>
        </w:rPr>
        <w:t>nekoliko zavira</w:t>
      </w:r>
      <w:r>
        <w:rPr>
          <w:rStyle w:val="VodilnistavekUMAR"/>
        </w:rPr>
        <w:t>la</w:t>
      </w:r>
      <w:r w:rsidRPr="006759E2">
        <w:rPr>
          <w:rStyle w:val="VodilnistavekUMAR"/>
        </w:rPr>
        <w:t xml:space="preserve"> rastoča </w:t>
      </w:r>
      <w:r>
        <w:rPr>
          <w:rStyle w:val="VodilnistavekUMAR"/>
        </w:rPr>
        <w:t>stopnja varčevanja gospodinjstev</w:t>
      </w:r>
      <w:r w:rsidRPr="006759E2">
        <w:rPr>
          <w:rStyle w:val="VodilnistavekUMAR"/>
        </w:rPr>
        <w:t>.</w:t>
      </w:r>
      <w:r>
        <w:t xml:space="preserve"> Potem ko je upadla s 15,8 % leta 2008 na najnižjih 9,0</w:t>
      </w:r>
      <w:r w:rsidRPr="007A014C">
        <w:t> % leta 2012, se je stopnja varčevanja</w:t>
      </w:r>
      <w:r w:rsidRPr="007A014C">
        <w:rPr>
          <w:vertAlign w:val="superscript"/>
        </w:rPr>
        <w:footnoteReference w:id="12"/>
      </w:r>
      <w:r w:rsidRPr="007A014C">
        <w:t xml:space="preserve"> v Sloveniji povečevala</w:t>
      </w:r>
      <w:r>
        <w:t xml:space="preserve"> do leta 2019, ko se je prvič po dolgem obdobju nekoliko zmanjšala, a ostala višja kot v preteklih letih. S 13,3 % je bila leta 2019</w:t>
      </w:r>
      <w:r w:rsidRPr="007A014C">
        <w:t xml:space="preserve"> višja kot</w:t>
      </w:r>
      <w:r w:rsidR="00C71CBD">
        <w:t xml:space="preserve"> v</w:t>
      </w:r>
      <w:r w:rsidRPr="007A014C">
        <w:t xml:space="preserve"> večini ostalih članic EU, a podobna kot v povprečju evrskega območja. </w:t>
      </w:r>
    </w:p>
    <w:bookmarkEnd w:id="4"/>
    <w:p w14:paraId="2773E44C" w14:textId="07A115D5" w:rsidR="008336AC" w:rsidRPr="00116021" w:rsidRDefault="008336AC" w:rsidP="008336AC">
      <w:pPr>
        <w:pStyle w:val="Caption"/>
      </w:pPr>
      <w:r w:rsidRPr="007A014C">
        <w:t xml:space="preserve">Slika </w:t>
      </w:r>
      <w:r w:rsidRPr="007A014C">
        <w:fldChar w:fldCharType="begin"/>
      </w:r>
      <w:r w:rsidRPr="007A014C">
        <w:instrText xml:space="preserve"> SEQ Slika \* ARABIC </w:instrText>
      </w:r>
      <w:r w:rsidRPr="007A014C">
        <w:fldChar w:fldCharType="separate"/>
      </w:r>
      <w:r w:rsidR="00E97383">
        <w:t>8</w:t>
      </w:r>
      <w:r w:rsidRPr="007A014C">
        <w:fldChar w:fldCharType="end"/>
      </w:r>
      <w:r w:rsidRPr="007A014C">
        <w:t xml:space="preserve">: Stopnja varčevanja v Sloveniji, EU28 in </w:t>
      </w:r>
      <w:r>
        <w:t>evr</w:t>
      </w:r>
      <w:r w:rsidR="00C71CBD">
        <w:t>skem</w:t>
      </w:r>
      <w:r>
        <w:t xml:space="preserve"> območju v obdobju 2009</w:t>
      </w:r>
      <w:r w:rsidR="00A24FAF" w:rsidRPr="00A24FAF">
        <w:t>–</w:t>
      </w:r>
      <w:r w:rsidRPr="00A24FAF">
        <w:t>2</w:t>
      </w:r>
      <w:r>
        <w:t>019 (lev</w:t>
      </w:r>
      <w:r w:rsidR="00C71CBD">
        <w:t>o</w:t>
      </w:r>
      <w:r>
        <w:t>) in državah EU v letu 2019</w:t>
      </w:r>
      <w:r w:rsidRPr="007A014C">
        <w:t xml:space="preserve"> (desn</w:t>
      </w:r>
      <w:r w:rsidR="00C71CBD">
        <w:t>o</w:t>
      </w:r>
      <w:r w:rsidRPr="007A014C">
        <w:t>)</w:t>
      </w:r>
    </w:p>
    <w:p w14:paraId="240A0157" w14:textId="78E83348" w:rsidR="008336AC" w:rsidRPr="007A014C" w:rsidRDefault="00995AB6" w:rsidP="008336AC">
      <w:pPr>
        <w:pStyle w:val="BesediloUMAR"/>
        <w:rPr>
          <w:b/>
        </w:rPr>
      </w:pPr>
      <w:r w:rsidRPr="00995AB6">
        <w:rPr>
          <w:noProof/>
          <w:lang w:eastAsia="sl-SI"/>
        </w:rPr>
        <w:drawing>
          <wp:inline distT="0" distB="0" distL="0" distR="0" wp14:anchorId="21EF0C97" wp14:editId="0F68A121">
            <wp:extent cx="5759450" cy="224764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2247646"/>
                    </a:xfrm>
                    <a:prstGeom prst="rect">
                      <a:avLst/>
                    </a:prstGeom>
                    <a:noFill/>
                    <a:ln>
                      <a:noFill/>
                    </a:ln>
                  </pic:spPr>
                </pic:pic>
              </a:graphicData>
            </a:graphic>
          </wp:inline>
        </w:drawing>
      </w:r>
    </w:p>
    <w:p w14:paraId="2EE23641" w14:textId="77777777" w:rsidR="008336AC" w:rsidRDefault="008336AC" w:rsidP="008336AC">
      <w:pPr>
        <w:pStyle w:val="VirUMAR"/>
      </w:pPr>
      <w:r w:rsidRPr="007A014C">
        <w:t xml:space="preserve">Vir: SURS, Eurostat, preračuni UMAR. </w:t>
      </w:r>
      <w:r>
        <w:t>Opomba: * Podatek za 2018.</w:t>
      </w:r>
    </w:p>
    <w:p w14:paraId="374838AD" w14:textId="77777777" w:rsidR="008336AC" w:rsidRDefault="008336AC" w:rsidP="008336AC">
      <w:pPr>
        <w:pStyle w:val="VirUMAR"/>
      </w:pPr>
    </w:p>
    <w:p w14:paraId="68B30F40" w14:textId="382A26F1" w:rsidR="008336AC" w:rsidRDefault="008336AC" w:rsidP="008336AC">
      <w:pPr>
        <w:pStyle w:val="BesediloUMAR"/>
      </w:pPr>
      <w:r w:rsidRPr="00553E9A">
        <w:rPr>
          <w:b/>
        </w:rPr>
        <w:t xml:space="preserve">Leta 2020 se je stopnja varčevanja še močneje povečala, kar je bila posledica </w:t>
      </w:r>
      <w:r w:rsidR="00C71CBD">
        <w:rPr>
          <w:b/>
        </w:rPr>
        <w:t>močno oteženega trošenja med epidemijo</w:t>
      </w:r>
      <w:r w:rsidR="00C71CBD" w:rsidRPr="00553E9A">
        <w:rPr>
          <w:b/>
        </w:rPr>
        <w:t xml:space="preserve"> </w:t>
      </w:r>
      <w:r w:rsidRPr="00553E9A">
        <w:rPr>
          <w:b/>
        </w:rPr>
        <w:t>in previdnostnega varčevanja.</w:t>
      </w:r>
      <w:r>
        <w:t xml:space="preserve"> Ob zaprtju </w:t>
      </w:r>
      <w:proofErr w:type="spellStart"/>
      <w:r>
        <w:t>nenujnih</w:t>
      </w:r>
      <w:proofErr w:type="spellEnd"/>
      <w:r>
        <w:t xml:space="preserve"> trgovin in storitev ter ostalih omejitvenih ukrepih za zajezitev epidemije je bilo trošenje gospodinjstev v pomladanskem in zimskem času močno oteženo, </w:t>
      </w:r>
      <w:r w:rsidR="00C71CBD">
        <w:t>zaradi česar s</w:t>
      </w:r>
      <w:r w:rsidR="003A2CA0">
        <w:t xml:space="preserve">o privarčevala </w:t>
      </w:r>
      <w:r w:rsidR="00C71CBD">
        <w:t xml:space="preserve">večji del razpoložljivih sredstev </w:t>
      </w:r>
      <w:r w:rsidR="003A2CA0">
        <w:t xml:space="preserve">kot običajno </w:t>
      </w:r>
      <w:r w:rsidR="00C71CBD">
        <w:t xml:space="preserve">(t. i. </w:t>
      </w:r>
      <w:r>
        <w:t>prisilno varčevanje</w:t>
      </w:r>
      <w:r w:rsidR="00C71CBD">
        <w:t>)</w:t>
      </w:r>
      <w:r>
        <w:t xml:space="preserve">. Poleg tega so </w:t>
      </w:r>
      <w:r w:rsidRPr="00BF6B8F">
        <w:rPr>
          <w:bCs/>
        </w:rPr>
        <w:t>g</w:t>
      </w:r>
      <w:r w:rsidRPr="00BF6B8F">
        <w:t>ospodinjstva</w:t>
      </w:r>
      <w:r w:rsidRPr="00BF6B8F" w:rsidDel="00B83111">
        <w:t xml:space="preserve"> pri svojih odločitvah o potrošnji postala previdnejša</w:t>
      </w:r>
      <w:r w:rsidRPr="00BF6B8F">
        <w:t>, kar je bila posledica</w:t>
      </w:r>
      <w:r w:rsidRPr="00BF6B8F" w:rsidDel="00B83111">
        <w:t xml:space="preserve"> povečan</w:t>
      </w:r>
      <w:r w:rsidRPr="00BF6B8F">
        <w:t>e</w:t>
      </w:r>
      <w:r w:rsidRPr="007A014C" w:rsidDel="00B83111">
        <w:t xml:space="preserve"> negotovost</w:t>
      </w:r>
      <w:r w:rsidRPr="007A014C">
        <w:t>i</w:t>
      </w:r>
      <w:r w:rsidRPr="007A014C" w:rsidDel="00B83111">
        <w:t xml:space="preserve"> </w:t>
      </w:r>
      <w:r>
        <w:t>glede prihodnjih epidemioloških razmer in posledično tudi</w:t>
      </w:r>
      <w:r w:rsidRPr="007A014C">
        <w:t xml:space="preserve"> nižjih pričakovanj glede </w:t>
      </w:r>
      <w:r w:rsidRPr="007A014C" w:rsidDel="00B83111">
        <w:t>prihodn</w:t>
      </w:r>
      <w:r w:rsidRPr="007A014C">
        <w:t xml:space="preserve">je gospodarske </w:t>
      </w:r>
      <w:r>
        <w:t>situacije in finančnega stanja v gospodinjstvih.</w:t>
      </w:r>
    </w:p>
    <w:p w14:paraId="385CF240" w14:textId="77777777" w:rsidR="008336AC" w:rsidRPr="00116021" w:rsidRDefault="008336AC" w:rsidP="008336AC">
      <w:pPr>
        <w:pStyle w:val="Caption"/>
      </w:pPr>
      <w:r w:rsidRPr="007A014C">
        <w:t xml:space="preserve">Slika </w:t>
      </w:r>
      <w:r w:rsidRPr="007A014C">
        <w:fldChar w:fldCharType="begin"/>
      </w:r>
      <w:r w:rsidRPr="007A014C">
        <w:instrText xml:space="preserve"> SEQ Slika \* ARABIC </w:instrText>
      </w:r>
      <w:r w:rsidRPr="007A014C">
        <w:fldChar w:fldCharType="separate"/>
      </w:r>
      <w:r w:rsidR="00E97383">
        <w:t>9</w:t>
      </w:r>
      <w:r w:rsidRPr="007A014C">
        <w:fldChar w:fldCharType="end"/>
      </w:r>
      <w:r w:rsidRPr="007A014C">
        <w:t xml:space="preserve">: Stopnja varčevanja </w:t>
      </w:r>
      <w:r w:rsidR="001B3E00">
        <w:t>po četrtletjih v obdobju 2018</w:t>
      </w:r>
      <w:r w:rsidR="001B3E00" w:rsidRPr="00A24FAF">
        <w:t>–</w:t>
      </w:r>
      <w:r>
        <w:t>2020</w:t>
      </w:r>
    </w:p>
    <w:p w14:paraId="60C65F95" w14:textId="77777777" w:rsidR="008336AC" w:rsidRDefault="008336AC" w:rsidP="008336AC">
      <w:pPr>
        <w:pStyle w:val="BesediloUMAR"/>
      </w:pPr>
      <w:r w:rsidRPr="00557D9C">
        <w:rPr>
          <w:noProof/>
          <w:lang w:eastAsia="sl-SI"/>
        </w:rPr>
        <w:drawing>
          <wp:inline distT="0" distB="0" distL="0" distR="0" wp14:anchorId="201AAE8F" wp14:editId="5003B805">
            <wp:extent cx="5757311" cy="192844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00449" cy="1942895"/>
                    </a:xfrm>
                    <a:prstGeom prst="rect">
                      <a:avLst/>
                    </a:prstGeom>
                    <a:noFill/>
                    <a:ln>
                      <a:noFill/>
                    </a:ln>
                  </pic:spPr>
                </pic:pic>
              </a:graphicData>
            </a:graphic>
          </wp:inline>
        </w:drawing>
      </w:r>
    </w:p>
    <w:p w14:paraId="354DCB45" w14:textId="7D31E93C" w:rsidR="008336AC" w:rsidRDefault="008336AC" w:rsidP="008336AC">
      <w:pPr>
        <w:pStyle w:val="VirUMAR"/>
      </w:pPr>
      <w:r w:rsidRPr="007A014C">
        <w:t xml:space="preserve">Vir: </w:t>
      </w:r>
      <w:r w:rsidR="003A2CA0">
        <w:t>Eurostat</w:t>
      </w:r>
      <w:r w:rsidRPr="007A014C">
        <w:t xml:space="preserve">, preračuni UMAR. </w:t>
      </w:r>
    </w:p>
    <w:p w14:paraId="3297EF16" w14:textId="77777777" w:rsidR="00307D34" w:rsidRDefault="00307D34" w:rsidP="008336AC">
      <w:pPr>
        <w:pStyle w:val="VirUMAR"/>
      </w:pPr>
    </w:p>
    <w:p w14:paraId="047BDE60" w14:textId="2FB9E25B" w:rsidR="008336AC" w:rsidRPr="007A014C" w:rsidRDefault="008336AC" w:rsidP="008336AC">
      <w:pPr>
        <w:pStyle w:val="BesediloUMAR"/>
      </w:pPr>
      <w:r w:rsidRPr="00BF6B8F">
        <w:rPr>
          <w:b/>
        </w:rPr>
        <w:t xml:space="preserve">Povečana negotovost gospodinjstev </w:t>
      </w:r>
      <w:r>
        <w:rPr>
          <w:b/>
        </w:rPr>
        <w:t>se  kaže</w:t>
      </w:r>
      <w:r w:rsidRPr="00BF6B8F">
        <w:rPr>
          <w:b/>
        </w:rPr>
        <w:t xml:space="preserve"> tudi v zniževanju kazalnika zaupanja  potrošnikov</w:t>
      </w:r>
      <w:r>
        <w:rPr>
          <w:b/>
        </w:rPr>
        <w:t>, kar je bilo še posebej vidno</w:t>
      </w:r>
      <w:r w:rsidRPr="00EF7D74">
        <w:rPr>
          <w:b/>
        </w:rPr>
        <w:t xml:space="preserve"> </w:t>
      </w:r>
      <w:r w:rsidRPr="00BF6B8F">
        <w:rPr>
          <w:b/>
        </w:rPr>
        <w:t>v letu 2020.</w:t>
      </w:r>
      <w:r w:rsidRPr="00BF6B8F">
        <w:t xml:space="preserve"> </w:t>
      </w:r>
      <w:r>
        <w:rPr>
          <w:bCs/>
        </w:rPr>
        <w:t>V</w:t>
      </w:r>
      <w:r w:rsidRPr="007A014C">
        <w:rPr>
          <w:bCs/>
        </w:rPr>
        <w:t>rednost</w:t>
      </w:r>
      <w:r>
        <w:rPr>
          <w:bCs/>
        </w:rPr>
        <w:t xml:space="preserve"> kazalnika</w:t>
      </w:r>
      <w:r w:rsidRPr="007A014C">
        <w:rPr>
          <w:bCs/>
        </w:rPr>
        <w:t xml:space="preserve"> se je</w:t>
      </w:r>
      <w:r w:rsidRPr="007A014C">
        <w:t xml:space="preserve"> po letih 2012 in 2</w:t>
      </w:r>
      <w:r>
        <w:t xml:space="preserve">013, ko je bila najnižja, </w:t>
      </w:r>
      <w:r w:rsidRPr="007A014C">
        <w:t xml:space="preserve">povečevala, od sredine leta 2018 </w:t>
      </w:r>
      <w:r>
        <w:t xml:space="preserve">pa do začetka epidemije v letu 2020 </w:t>
      </w:r>
      <w:r w:rsidRPr="007A014C">
        <w:t xml:space="preserve">pa se </w:t>
      </w:r>
      <w:r>
        <w:t>je postopno zniževala, a ostal</w:t>
      </w:r>
      <w:r w:rsidRPr="007A014C">
        <w:t xml:space="preserve">a nad dolgoročnim povprečjem. </w:t>
      </w:r>
      <w:r>
        <w:t xml:space="preserve">Pod vplivom epidemije se je vrednost kazalnika ob prvem valu močno zmanjšala, se čez poletje nekoliko izboljšala, ob začetku drugega vala pa ponovno zmanjšala. Znižale so se vse </w:t>
      </w:r>
      <w:r w:rsidRPr="00E32C2A">
        <w:t>komponente kazalnika, k zniževanju pa sta največ prispevala poslabšanje pričakovanj glede prihodnjega</w:t>
      </w:r>
      <w:r w:rsidRPr="007A014C">
        <w:t xml:space="preserve"> gospodarskega stanja in prihodnje</w:t>
      </w:r>
      <w:r>
        <w:t>ga finančnega stanja v gospodinjstvu. Podobna gibanja kazalnika so bila značilna tudi za EU. Zaupanje potrošnikov se je na začetku letošnjega leta nekoliko izboljšalo, a ostalo pod dolgoletnim povprečjem.</w:t>
      </w:r>
    </w:p>
    <w:p w14:paraId="1F0EC738" w14:textId="77777777" w:rsidR="008336AC" w:rsidRDefault="008336AC" w:rsidP="006051DB">
      <w:pPr>
        <w:pStyle w:val="Caption"/>
      </w:pPr>
      <w:r w:rsidRPr="007A014C">
        <w:t xml:space="preserve">Slika </w:t>
      </w:r>
      <w:r w:rsidRPr="007A014C">
        <w:fldChar w:fldCharType="begin"/>
      </w:r>
      <w:r w:rsidRPr="007A014C">
        <w:instrText xml:space="preserve"> SEQ Slika \* ARABIC </w:instrText>
      </w:r>
      <w:r w:rsidRPr="007A014C">
        <w:fldChar w:fldCharType="separate"/>
      </w:r>
      <w:r w:rsidR="00E97383">
        <w:t>10</w:t>
      </w:r>
      <w:r w:rsidRPr="007A014C">
        <w:fldChar w:fldCharType="end"/>
      </w:r>
      <w:r w:rsidRPr="007A014C">
        <w:t xml:space="preserve">: </w:t>
      </w:r>
      <w:r w:rsidRPr="00EF7D74">
        <w:t>Kazalnik zaupanja in njegove podkomponente v Sloveniji in</w:t>
      </w:r>
      <w:r w:rsidRPr="007A014C">
        <w:t xml:space="preserve"> EU</w:t>
      </w:r>
    </w:p>
    <w:p w14:paraId="14FD679E" w14:textId="77777777" w:rsidR="00855B2E" w:rsidRPr="007A014C" w:rsidRDefault="00855B2E" w:rsidP="008336AC">
      <w:pPr>
        <w:pStyle w:val="BesediloUMAR"/>
      </w:pPr>
      <w:r w:rsidRPr="00855B2E">
        <w:rPr>
          <w:noProof/>
          <w:lang w:eastAsia="sl-SI"/>
        </w:rPr>
        <w:drawing>
          <wp:inline distT="0" distB="0" distL="0" distR="0" wp14:anchorId="42EE29F5" wp14:editId="45CC6DE7">
            <wp:extent cx="5759450" cy="2320162"/>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2320162"/>
                    </a:xfrm>
                    <a:prstGeom prst="rect">
                      <a:avLst/>
                    </a:prstGeom>
                    <a:noFill/>
                    <a:ln>
                      <a:noFill/>
                    </a:ln>
                  </pic:spPr>
                </pic:pic>
              </a:graphicData>
            </a:graphic>
          </wp:inline>
        </w:drawing>
      </w:r>
    </w:p>
    <w:p w14:paraId="587CDBAF" w14:textId="77777777" w:rsidR="008336AC" w:rsidRPr="007A014C" w:rsidRDefault="008336AC" w:rsidP="008336AC">
      <w:pPr>
        <w:pStyle w:val="VirUMAR"/>
      </w:pPr>
      <w:r w:rsidRPr="007A014C">
        <w:t xml:space="preserve">Vir: SURS, Eurostat, preračuni UMAR. </w:t>
      </w:r>
    </w:p>
    <w:p w14:paraId="4904A6C2" w14:textId="77777777" w:rsidR="008336AC" w:rsidRDefault="008336AC" w:rsidP="008336AC">
      <w:pPr>
        <w:pStyle w:val="BesediloUMAR"/>
      </w:pPr>
    </w:p>
    <w:p w14:paraId="527E46AE" w14:textId="77777777" w:rsidR="008336AC" w:rsidRDefault="008336AC" w:rsidP="008336AC">
      <w:pPr>
        <w:pStyle w:val="BesediloUMAR"/>
      </w:pPr>
      <w:r w:rsidRPr="007B42EF">
        <w:rPr>
          <w:b/>
        </w:rPr>
        <w:t xml:space="preserve">Podobno kot mesečni kazalnik se je v lanskem letu gibal tudi </w:t>
      </w:r>
      <w:r>
        <w:rPr>
          <w:b/>
        </w:rPr>
        <w:t xml:space="preserve">četrtletni </w:t>
      </w:r>
      <w:r w:rsidRPr="007B42EF">
        <w:rPr>
          <w:b/>
        </w:rPr>
        <w:t>kazalnik namer gospodinjstev o prihodnjih večjih nakupih.</w:t>
      </w:r>
      <w:r>
        <w:t xml:space="preserve"> Pričakovanja potrošnikov glede nakupa avtomobila, stanovanja ali izboljšav v stanovanju so se lani poslabšala. Še najbolj stabilna in relativno visoka so ostala pričakovanja glede nakupa ali gradnje stanovanja v prihodnjem letu. Podobno velja tudi za EU.</w:t>
      </w:r>
    </w:p>
    <w:p w14:paraId="516A51C2" w14:textId="77777777" w:rsidR="008336AC" w:rsidRPr="00EF7D74" w:rsidRDefault="008336AC" w:rsidP="008336AC">
      <w:pPr>
        <w:pStyle w:val="Caption"/>
      </w:pPr>
      <w:r w:rsidRPr="007A014C">
        <w:t xml:space="preserve">Slika </w:t>
      </w:r>
      <w:r w:rsidRPr="007A014C">
        <w:fldChar w:fldCharType="begin"/>
      </w:r>
      <w:r w:rsidRPr="007A014C">
        <w:instrText xml:space="preserve"> SEQ Slika \* ARABIC </w:instrText>
      </w:r>
      <w:r w:rsidRPr="007A014C">
        <w:fldChar w:fldCharType="separate"/>
      </w:r>
      <w:r w:rsidR="00E97383">
        <w:t>11</w:t>
      </w:r>
      <w:r w:rsidRPr="007A014C">
        <w:fldChar w:fldCharType="end"/>
      </w:r>
      <w:r w:rsidRPr="007A014C">
        <w:t xml:space="preserve">: </w:t>
      </w:r>
      <w:r w:rsidRPr="00EF7D74">
        <w:t>Kazalnik zaupanja in njegove podkomponente v Sloveniji in</w:t>
      </w:r>
      <w:r w:rsidRPr="007A014C">
        <w:t xml:space="preserve"> EU</w:t>
      </w:r>
    </w:p>
    <w:p w14:paraId="76CF636E" w14:textId="77777777" w:rsidR="008336AC" w:rsidRDefault="008336AC" w:rsidP="008336AC">
      <w:pPr>
        <w:pStyle w:val="BesediloUMAR"/>
      </w:pPr>
      <w:r w:rsidRPr="007B42EF">
        <w:rPr>
          <w:noProof/>
          <w:lang w:eastAsia="sl-SI"/>
        </w:rPr>
        <w:drawing>
          <wp:inline distT="0" distB="0" distL="0" distR="0" wp14:anchorId="4EA0FED9" wp14:editId="115DB30F">
            <wp:extent cx="5759450" cy="23652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9450" cy="2365282"/>
                    </a:xfrm>
                    <a:prstGeom prst="rect">
                      <a:avLst/>
                    </a:prstGeom>
                    <a:noFill/>
                    <a:ln>
                      <a:noFill/>
                    </a:ln>
                  </pic:spPr>
                </pic:pic>
              </a:graphicData>
            </a:graphic>
          </wp:inline>
        </w:drawing>
      </w:r>
    </w:p>
    <w:p w14:paraId="0D2658A4" w14:textId="77777777" w:rsidR="008336AC" w:rsidRPr="007A014C" w:rsidRDefault="008336AC" w:rsidP="008336AC">
      <w:pPr>
        <w:pStyle w:val="VirUMAR"/>
      </w:pPr>
      <w:r w:rsidRPr="007A014C">
        <w:t xml:space="preserve">Vir: SURS, Eurostat, preračuni UMAR. </w:t>
      </w:r>
    </w:p>
    <w:p w14:paraId="132351CA" w14:textId="77777777" w:rsidR="008336AC" w:rsidRPr="007A014C" w:rsidRDefault="008336AC" w:rsidP="008336AC">
      <w:pPr>
        <w:pStyle w:val="BesediloUMAR"/>
      </w:pPr>
    </w:p>
    <w:p w14:paraId="4D056D6D" w14:textId="31CCAC37" w:rsidR="008336AC" w:rsidRPr="007A014C" w:rsidRDefault="008336AC" w:rsidP="008336AC">
      <w:pPr>
        <w:pStyle w:val="BesediloUMAR"/>
      </w:pPr>
      <w:r w:rsidRPr="00776201">
        <w:rPr>
          <w:rStyle w:val="VodilnistavekUMAR"/>
        </w:rPr>
        <w:t>Slovenska gospodinjstva</w:t>
      </w:r>
      <w:r w:rsidRPr="006759E2">
        <w:rPr>
          <w:rStyle w:val="VodilnistavekUMAR"/>
        </w:rPr>
        <w:t xml:space="preserve"> so tradicionalno bolj usmerjena h klasičnim oblikam varčevanja.</w:t>
      </w:r>
      <w:r w:rsidRPr="007A014C">
        <w:rPr>
          <w:b/>
        </w:rPr>
        <w:t xml:space="preserve"> </w:t>
      </w:r>
      <w:r w:rsidRPr="007A014C">
        <w:t>Struktura finančnega premoženja slovenskih gospodinjstev</w:t>
      </w:r>
      <w:r w:rsidRPr="007A014C">
        <w:rPr>
          <w:vertAlign w:val="superscript"/>
        </w:rPr>
        <w:footnoteReference w:id="13"/>
      </w:r>
      <w:r>
        <w:t>, ki se je v zadnjih enajstih letih do leta 2019</w:t>
      </w:r>
      <w:r w:rsidRPr="007A014C">
        <w:t xml:space="preserve"> povečalo za </w:t>
      </w:r>
      <w:r>
        <w:t>več kot 60 %</w:t>
      </w:r>
      <w:r w:rsidRPr="007A014C">
        <w:rPr>
          <w:vertAlign w:val="superscript"/>
        </w:rPr>
        <w:footnoteReference w:id="14"/>
      </w:r>
      <w:r w:rsidRPr="007A014C">
        <w:t>, odraža nenaklonjenost tveganju, saj imajo gospodinjstva skoraj polovico premoženja v obliki gotovine in vlog. V primerjavi z deležem v EU je ta precej višji. Nasprotno je precej nižji delež zavarovanj in pokojninskih shem, čepra</w:t>
      </w:r>
      <w:r>
        <w:t>v so se t</w:t>
      </w:r>
      <w:r w:rsidR="00BE5AD1">
        <w:t>e oblike varčevanja</w:t>
      </w:r>
      <w:r>
        <w:t xml:space="preserve"> v </w:t>
      </w:r>
      <w:r w:rsidRPr="00981CCF">
        <w:t>obdobju 2008</w:t>
      </w:r>
      <w:r w:rsidR="00A24FAF" w:rsidRPr="00981CCF">
        <w:rPr>
          <w:szCs w:val="20"/>
        </w:rPr>
        <w:t>–</w:t>
      </w:r>
      <w:r w:rsidRPr="00981CCF">
        <w:t>2019</w:t>
      </w:r>
      <w:r w:rsidRPr="007A014C">
        <w:t xml:space="preserve"> pri slovenskih gospodinjstvih izraziteje povečal</w:t>
      </w:r>
      <w:r w:rsidR="00BE5AD1">
        <w:t>e</w:t>
      </w:r>
      <w:r w:rsidRPr="007A014C">
        <w:t xml:space="preserve">. </w:t>
      </w:r>
    </w:p>
    <w:p w14:paraId="6443CD88" w14:textId="77777777" w:rsidR="008336AC" w:rsidRPr="007A014C" w:rsidRDefault="008336AC" w:rsidP="008336AC">
      <w:pPr>
        <w:pStyle w:val="Caption"/>
      </w:pPr>
      <w:r w:rsidRPr="007A014C">
        <w:t xml:space="preserve">Slika </w:t>
      </w:r>
      <w:r w:rsidRPr="007A014C">
        <w:fldChar w:fldCharType="begin"/>
      </w:r>
      <w:r w:rsidRPr="007A014C">
        <w:instrText xml:space="preserve"> SEQ Slika \* ARABIC </w:instrText>
      </w:r>
      <w:r w:rsidRPr="007A014C">
        <w:fldChar w:fldCharType="separate"/>
      </w:r>
      <w:r w:rsidR="00E97383">
        <w:t>12</w:t>
      </w:r>
      <w:r w:rsidRPr="007A014C">
        <w:fldChar w:fldCharType="end"/>
      </w:r>
      <w:r w:rsidRPr="007A014C">
        <w:t xml:space="preserve">: Finančna sredstva gospodinjstev v Sloveniji </w:t>
      </w:r>
      <w:r>
        <w:t>v obdobju 2009–20</w:t>
      </w:r>
      <w:r w:rsidR="00F43FBB">
        <w:t>20</w:t>
      </w:r>
      <w:r w:rsidRPr="007A014C">
        <w:t xml:space="preserve"> in njihova struktu</w:t>
      </w:r>
      <w:r>
        <w:t>ra v Sloveniji in EU v letu 2019</w:t>
      </w:r>
    </w:p>
    <w:p w14:paraId="1830B991" w14:textId="77777777" w:rsidR="008336AC" w:rsidRPr="007A014C" w:rsidRDefault="00F43FBB" w:rsidP="008336AC">
      <w:pPr>
        <w:pStyle w:val="BesediloUMAR"/>
        <w:rPr>
          <w:b/>
        </w:rPr>
      </w:pPr>
      <w:r w:rsidRPr="00F43FBB">
        <w:rPr>
          <w:noProof/>
          <w:lang w:eastAsia="sl-SI"/>
        </w:rPr>
        <w:drawing>
          <wp:inline distT="0" distB="0" distL="0" distR="0" wp14:anchorId="52AB1353" wp14:editId="1ADA1F63">
            <wp:extent cx="5758750" cy="23094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3018" cy="2311157"/>
                    </a:xfrm>
                    <a:prstGeom prst="rect">
                      <a:avLst/>
                    </a:prstGeom>
                    <a:noFill/>
                    <a:ln>
                      <a:noFill/>
                    </a:ln>
                  </pic:spPr>
                </pic:pic>
              </a:graphicData>
            </a:graphic>
          </wp:inline>
        </w:drawing>
      </w:r>
    </w:p>
    <w:p w14:paraId="204BBD61" w14:textId="77777777" w:rsidR="008336AC" w:rsidRDefault="008336AC" w:rsidP="008336AC">
      <w:pPr>
        <w:pStyle w:val="VirUMAR"/>
      </w:pPr>
      <w:r w:rsidRPr="007A014C">
        <w:t>Vir: BS, Eurostat, preračuni UMAR. Ostalo: dolžniški vrednostni papirji, posojila, in druge terjatve.</w:t>
      </w:r>
    </w:p>
    <w:p w14:paraId="14ACF394" w14:textId="77777777" w:rsidR="008336AC" w:rsidRDefault="008336AC" w:rsidP="008336AC">
      <w:pPr>
        <w:pStyle w:val="VirUMAR"/>
      </w:pPr>
    </w:p>
    <w:p w14:paraId="4A09373A" w14:textId="6B76D0B1" w:rsidR="008336AC" w:rsidRDefault="00F43FBB" w:rsidP="008336AC">
      <w:pPr>
        <w:pStyle w:val="BesediloUMAR"/>
      </w:pPr>
      <w:r>
        <w:rPr>
          <w:b/>
        </w:rPr>
        <w:t>Ob visokem varčevanju se je l</w:t>
      </w:r>
      <w:r w:rsidR="008336AC" w:rsidRPr="00E76470">
        <w:rPr>
          <w:b/>
        </w:rPr>
        <w:t>eta 202</w:t>
      </w:r>
      <w:r>
        <w:rPr>
          <w:b/>
        </w:rPr>
        <w:t xml:space="preserve">0 </w:t>
      </w:r>
      <w:r w:rsidR="008336AC" w:rsidRPr="00E76470">
        <w:rPr>
          <w:b/>
        </w:rPr>
        <w:t>nadaljeval</w:t>
      </w:r>
      <w:r>
        <w:rPr>
          <w:b/>
        </w:rPr>
        <w:t>a</w:t>
      </w:r>
      <w:r w:rsidR="008336AC" w:rsidRPr="00E76470">
        <w:rPr>
          <w:b/>
        </w:rPr>
        <w:t xml:space="preserve"> visoka rast </w:t>
      </w:r>
      <w:r>
        <w:rPr>
          <w:b/>
        </w:rPr>
        <w:t>finančnih sredstev</w:t>
      </w:r>
      <w:r w:rsidR="008336AC" w:rsidRPr="00E76470">
        <w:rPr>
          <w:b/>
        </w:rPr>
        <w:t>.</w:t>
      </w:r>
      <w:r w:rsidR="00BE40BE">
        <w:t xml:space="preserve"> Za največ (za desetino oz. 2,8 mrd EUR) se je okrepilo stanje gotovine in vlog, kar </w:t>
      </w:r>
      <w:r w:rsidR="008336AC" w:rsidRPr="00E76470">
        <w:t xml:space="preserve">je bila tudi posledica zaprtja </w:t>
      </w:r>
      <w:proofErr w:type="spellStart"/>
      <w:r w:rsidR="008336AC" w:rsidRPr="00E76470">
        <w:t>nenujnih</w:t>
      </w:r>
      <w:proofErr w:type="spellEnd"/>
      <w:r w:rsidR="008336AC" w:rsidRPr="00E76470">
        <w:t xml:space="preserve"> trgovin in storitev ob prvem in drugem valu epidemije. Stanje vlog se je tako </w:t>
      </w:r>
      <w:r w:rsidR="008336AC">
        <w:t>močneje okrepilo aprila in ob koncu leta</w:t>
      </w:r>
      <w:r w:rsidR="00BE40BE">
        <w:t>, k</w:t>
      </w:r>
      <w:r w:rsidR="008336AC">
        <w:t xml:space="preserve">repitev vlog </w:t>
      </w:r>
      <w:r w:rsidR="00BE40BE">
        <w:t xml:space="preserve">pa </w:t>
      </w:r>
      <w:r w:rsidR="008336AC">
        <w:t xml:space="preserve">se </w:t>
      </w:r>
      <w:r w:rsidR="00351251">
        <w:t xml:space="preserve">je </w:t>
      </w:r>
      <w:r w:rsidR="008336AC">
        <w:t>nadalje</w:t>
      </w:r>
      <w:r w:rsidR="00351251">
        <w:t>vala</w:t>
      </w:r>
      <w:r w:rsidR="008336AC">
        <w:t xml:space="preserve"> tudi na začetku leta</w:t>
      </w:r>
      <w:r w:rsidR="00351251">
        <w:t xml:space="preserve"> 2021</w:t>
      </w:r>
      <w:r w:rsidR="008336AC">
        <w:t>.</w:t>
      </w:r>
      <w:r w:rsidR="00BE40BE">
        <w:t xml:space="preserve"> </w:t>
      </w:r>
      <w:r w:rsidR="00351251">
        <w:t>V letu 2020 se je p</w:t>
      </w:r>
      <w:r w:rsidR="00BE40BE">
        <w:t>recej okrepilo tudi stanje lastniškega kapitala.</w:t>
      </w:r>
    </w:p>
    <w:p w14:paraId="5E988A54" w14:textId="77777777" w:rsidR="008336AC" w:rsidRPr="007A014C" w:rsidRDefault="008336AC" w:rsidP="008336AC">
      <w:pPr>
        <w:pStyle w:val="Caption"/>
      </w:pPr>
      <w:r w:rsidRPr="007A014C">
        <w:t xml:space="preserve">Slika </w:t>
      </w:r>
      <w:r w:rsidRPr="007A014C">
        <w:fldChar w:fldCharType="begin"/>
      </w:r>
      <w:r w:rsidRPr="007A014C">
        <w:instrText xml:space="preserve"> SEQ Slika \* ARABIC </w:instrText>
      </w:r>
      <w:r w:rsidRPr="007A014C">
        <w:fldChar w:fldCharType="separate"/>
      </w:r>
      <w:r w:rsidR="00E97383">
        <w:t>13</w:t>
      </w:r>
      <w:r w:rsidRPr="007A014C">
        <w:fldChar w:fldCharType="end"/>
      </w:r>
      <w:r w:rsidRPr="007A014C">
        <w:t xml:space="preserve">: </w:t>
      </w:r>
      <w:r>
        <w:t xml:space="preserve">Prirast vlog gospodinjstev v letih 2019 in 2020 ter </w:t>
      </w:r>
      <w:r w:rsidR="00BE31D7" w:rsidRPr="00BE31D7">
        <w:t>na začetku leta</w:t>
      </w:r>
      <w:r w:rsidRPr="00BE31D7">
        <w:t xml:space="preserve"> 2021</w:t>
      </w:r>
    </w:p>
    <w:p w14:paraId="1CFFA5B0" w14:textId="77777777" w:rsidR="008336AC" w:rsidRDefault="00BB505E" w:rsidP="008336AC">
      <w:pPr>
        <w:pStyle w:val="BesediloUMAR"/>
      </w:pPr>
      <w:r w:rsidRPr="00BB505E">
        <w:rPr>
          <w:noProof/>
          <w:lang w:eastAsia="sl-SI"/>
        </w:rPr>
        <w:drawing>
          <wp:inline distT="0" distB="0" distL="0" distR="0" wp14:anchorId="18A7F9E5" wp14:editId="4880270B">
            <wp:extent cx="5759167" cy="2010508"/>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6498" cy="2013067"/>
                    </a:xfrm>
                    <a:prstGeom prst="rect">
                      <a:avLst/>
                    </a:prstGeom>
                    <a:noFill/>
                    <a:ln>
                      <a:noFill/>
                    </a:ln>
                  </pic:spPr>
                </pic:pic>
              </a:graphicData>
            </a:graphic>
          </wp:inline>
        </w:drawing>
      </w:r>
    </w:p>
    <w:p w14:paraId="16841D5E" w14:textId="77777777" w:rsidR="008336AC" w:rsidRPr="007A014C" w:rsidRDefault="008336AC" w:rsidP="008336AC">
      <w:pPr>
        <w:pStyle w:val="VirUMAR"/>
      </w:pPr>
      <w:r w:rsidRPr="007A014C">
        <w:t xml:space="preserve">Vir: BS, </w:t>
      </w:r>
      <w:r>
        <w:t>preračuni UMAR.</w:t>
      </w:r>
    </w:p>
    <w:p w14:paraId="65675D1D" w14:textId="77777777" w:rsidR="008336AC" w:rsidRDefault="008336AC" w:rsidP="008336AC">
      <w:pPr>
        <w:pStyle w:val="Heading1"/>
      </w:pPr>
      <w:r>
        <w:t>Zadolženost gospodinjstev</w:t>
      </w:r>
    </w:p>
    <w:p w14:paraId="496C03B1" w14:textId="77777777" w:rsidR="008336AC" w:rsidRPr="007A014C" w:rsidRDefault="008336AC" w:rsidP="008336AC">
      <w:pPr>
        <w:pStyle w:val="BesediloUMAR"/>
        <w:rPr>
          <w:b/>
        </w:rPr>
      </w:pPr>
    </w:p>
    <w:p w14:paraId="4FD67531" w14:textId="77777777" w:rsidR="008336AC" w:rsidRDefault="008336AC" w:rsidP="008336AC">
      <w:pPr>
        <w:pStyle w:val="BesediloUMAR"/>
      </w:pPr>
      <w:r>
        <w:rPr>
          <w:rStyle w:val="VodilnistavekUMAR"/>
        </w:rPr>
        <w:t>Poleg</w:t>
      </w:r>
      <w:r w:rsidRPr="00435EA2">
        <w:rPr>
          <w:rStyle w:val="VodilnistavekUMAR"/>
        </w:rPr>
        <w:t xml:space="preserve"> privarčevanih sredstev </w:t>
      </w:r>
      <w:r>
        <w:rPr>
          <w:rStyle w:val="VodilnistavekUMAR"/>
        </w:rPr>
        <w:t xml:space="preserve">se </w:t>
      </w:r>
      <w:r w:rsidRPr="00435EA2">
        <w:rPr>
          <w:rStyle w:val="VodilnistavekUMAR"/>
        </w:rPr>
        <w:t>gospodinjstva za nakup stanovanja</w:t>
      </w:r>
      <w:r>
        <w:rPr>
          <w:rStyle w:val="VodilnistavekUMAR"/>
        </w:rPr>
        <w:t xml:space="preserve"> in ostale večje nakupe </w:t>
      </w:r>
      <w:r w:rsidRPr="00435EA2">
        <w:rPr>
          <w:rStyle w:val="VodilnistavekUMAR"/>
        </w:rPr>
        <w:t>tudi zadolžijo.</w:t>
      </w:r>
      <w:r w:rsidRPr="00435EA2">
        <w:rPr>
          <w:b/>
        </w:rPr>
        <w:t xml:space="preserve"> </w:t>
      </w:r>
      <w:r w:rsidRPr="00435EA2">
        <w:t>Med najpomembnejše motive varčevanja gospodinjstev v vseh državah evrskega območja sodijo: zagotavljanje</w:t>
      </w:r>
      <w:r w:rsidRPr="007A014C">
        <w:t xml:space="preserve"> sredstev za nepričakovane dogodke, zagotavljanje dohodka ob upokojitvi, zagotavljanje sredstev za večje nakupe, varčevanje za potovanja, izobraževanja in finančno podporo otrokom</w:t>
      </w:r>
      <w:r w:rsidRPr="007A014C">
        <w:rPr>
          <w:vertAlign w:val="superscript"/>
        </w:rPr>
        <w:footnoteReference w:id="15"/>
      </w:r>
      <w:r w:rsidRPr="007A014C">
        <w:t xml:space="preserve">. Poleg lastnih sredstev se gospodinjstva predvsem pri nakupih nepremičnin in drugih večjih nakupih tudi zadolžijo. </w:t>
      </w:r>
    </w:p>
    <w:p w14:paraId="715AB51C" w14:textId="77777777" w:rsidR="008336AC" w:rsidRDefault="008336AC" w:rsidP="008336AC">
      <w:pPr>
        <w:pStyle w:val="Caption"/>
      </w:pPr>
      <w:r w:rsidRPr="007A014C">
        <w:t xml:space="preserve">Slika </w:t>
      </w:r>
      <w:r w:rsidRPr="007A014C">
        <w:fldChar w:fldCharType="begin"/>
      </w:r>
      <w:r w:rsidRPr="007A014C">
        <w:instrText xml:space="preserve"> SEQ Slika \* ARABIC </w:instrText>
      </w:r>
      <w:r w:rsidRPr="007A014C">
        <w:fldChar w:fldCharType="separate"/>
      </w:r>
      <w:r w:rsidR="00E97383">
        <w:t>14</w:t>
      </w:r>
      <w:r w:rsidRPr="007A014C">
        <w:fldChar w:fldCharType="end"/>
      </w:r>
      <w:r w:rsidRPr="007A014C">
        <w:t xml:space="preserve">: </w:t>
      </w:r>
      <w:r>
        <w:t xml:space="preserve">Novo kreditiranje </w:t>
      </w:r>
      <w:r w:rsidRPr="007A014C">
        <w:t>gospodinjst</w:t>
      </w:r>
      <w:r>
        <w:t>ev v obdobju 2008</w:t>
      </w:r>
      <w:r w:rsidR="00A24FAF" w:rsidRPr="00407B5A">
        <w:t>–</w:t>
      </w:r>
      <w:r>
        <w:t xml:space="preserve">2020 </w:t>
      </w:r>
    </w:p>
    <w:p w14:paraId="3FE2EAFC" w14:textId="77777777" w:rsidR="008336AC" w:rsidRDefault="008336AC" w:rsidP="008336AC">
      <w:pPr>
        <w:pStyle w:val="BesediloUMAR"/>
      </w:pPr>
      <w:r w:rsidRPr="004738DF">
        <w:rPr>
          <w:noProof/>
          <w:lang w:eastAsia="sl-SI"/>
        </w:rPr>
        <w:drawing>
          <wp:inline distT="0" distB="0" distL="0" distR="0" wp14:anchorId="1B95E647" wp14:editId="60AFFAD9">
            <wp:extent cx="5759450" cy="2093002"/>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9450" cy="2093002"/>
                    </a:xfrm>
                    <a:prstGeom prst="rect">
                      <a:avLst/>
                    </a:prstGeom>
                    <a:noFill/>
                    <a:ln>
                      <a:noFill/>
                    </a:ln>
                  </pic:spPr>
                </pic:pic>
              </a:graphicData>
            </a:graphic>
          </wp:inline>
        </w:drawing>
      </w:r>
    </w:p>
    <w:p w14:paraId="7F5D8A1A" w14:textId="77777777" w:rsidR="008336AC" w:rsidRDefault="008336AC" w:rsidP="008336AC">
      <w:pPr>
        <w:pStyle w:val="VirUMAR"/>
      </w:pPr>
      <w:r w:rsidRPr="007A014C">
        <w:t xml:space="preserve">Vir: BS, preračuni UMAR. </w:t>
      </w:r>
    </w:p>
    <w:p w14:paraId="42880F5E" w14:textId="77777777" w:rsidR="008336AC" w:rsidRDefault="008336AC" w:rsidP="008336AC">
      <w:pPr>
        <w:pStyle w:val="VirUMAR"/>
      </w:pPr>
    </w:p>
    <w:p w14:paraId="78C24FCD" w14:textId="5A7987DF" w:rsidR="008336AC" w:rsidRDefault="008336AC" w:rsidP="008336AC">
      <w:pPr>
        <w:pStyle w:val="BesediloUMAR"/>
      </w:pPr>
      <w:r>
        <w:rPr>
          <w:b/>
        </w:rPr>
        <w:t xml:space="preserve">Po letu 2014 se je novo kreditiranje gospodinjstev močneje okrepilo. </w:t>
      </w:r>
      <w:r w:rsidR="00853A3B" w:rsidRPr="003A2CA0">
        <w:rPr>
          <w:bCs/>
        </w:rPr>
        <w:t>To je bila posledica gospodarskega okrevanja,</w:t>
      </w:r>
      <w:r w:rsidRPr="007A014C">
        <w:t xml:space="preserve"> ki je prispevalo k povečanju razpoložljivega dohodka</w:t>
      </w:r>
      <w:r w:rsidR="00853A3B">
        <w:t>,</w:t>
      </w:r>
      <w:r w:rsidRPr="007A014C">
        <w:t xml:space="preserve"> in nizkih obrestnih mer</w:t>
      </w:r>
      <w:r w:rsidR="00853A3B">
        <w:t xml:space="preserve"> v tem obdobju</w:t>
      </w:r>
      <w:r>
        <w:t>. Po rekordnih rasteh v letih 2015 in 2016 so se rasti novih stanovanjskih kreditov v naslednjih letih precej umirile. V letih 2018 in 2019 (do oktobra) pa se je nadaljevala visoka rast</w:t>
      </w:r>
      <w:r w:rsidRPr="001540A7">
        <w:rPr>
          <w:szCs w:val="24"/>
        </w:rPr>
        <w:t xml:space="preserve"> novih potrošniških kreditov</w:t>
      </w:r>
      <w:r>
        <w:rPr>
          <w:szCs w:val="24"/>
        </w:rPr>
        <w:t xml:space="preserve">, ki </w:t>
      </w:r>
      <w:r>
        <w:t>je</w:t>
      </w:r>
      <w:r w:rsidRPr="007A014C">
        <w:t xml:space="preserve"> poleg naraščajoče ročnosti botroval</w:t>
      </w:r>
      <w:r>
        <w:t>a</w:t>
      </w:r>
      <w:r w:rsidRPr="007A014C">
        <w:t xml:space="preserve"> odločitvi BS o zaostritvi pogojev na področju kreditiranja gospodinjstev, ki je začela veljati z novembrom 2019.</w:t>
      </w:r>
      <w:r>
        <w:t xml:space="preserve"> </w:t>
      </w:r>
    </w:p>
    <w:p w14:paraId="517C76B0" w14:textId="77777777" w:rsidR="008336AC" w:rsidRDefault="008336AC" w:rsidP="008336AC">
      <w:pPr>
        <w:pStyle w:val="BesediloUMAR"/>
      </w:pPr>
    </w:p>
    <w:p w14:paraId="2EE22AA9" w14:textId="5B4B8F58" w:rsidR="008336AC" w:rsidRPr="000127EC" w:rsidRDefault="008336AC" w:rsidP="008336AC">
      <w:pPr>
        <w:pStyle w:val="BesediloUMAR"/>
      </w:pPr>
      <w:r w:rsidRPr="00790046">
        <w:rPr>
          <w:b/>
        </w:rPr>
        <w:t>Ob zaostritvi pogojev na področju kreditiranja gospodinjstev</w:t>
      </w:r>
      <w:r w:rsidR="000C6141">
        <w:rPr>
          <w:b/>
        </w:rPr>
        <w:t xml:space="preserve"> v letu 2019</w:t>
      </w:r>
      <w:r w:rsidRPr="00790046">
        <w:rPr>
          <w:b/>
        </w:rPr>
        <w:t xml:space="preserve"> in zaradi razmaha epidemije </w:t>
      </w:r>
      <w:r>
        <w:rPr>
          <w:b/>
        </w:rPr>
        <w:t xml:space="preserve">se </w:t>
      </w:r>
      <w:r w:rsidRPr="00790046">
        <w:rPr>
          <w:b/>
        </w:rPr>
        <w:t xml:space="preserve">je v letu 2020 </w:t>
      </w:r>
      <w:r>
        <w:rPr>
          <w:b/>
        </w:rPr>
        <w:t xml:space="preserve">rast novih kreditov umirila. </w:t>
      </w:r>
      <w:r>
        <w:t>Zaradi v</w:t>
      </w:r>
      <w:r w:rsidRPr="007A014C">
        <w:t>isok</w:t>
      </w:r>
      <w:r>
        <w:t>ih</w:t>
      </w:r>
      <w:r w:rsidRPr="007A014C">
        <w:t xml:space="preserve"> medletn</w:t>
      </w:r>
      <w:r>
        <w:t>ih</w:t>
      </w:r>
      <w:r w:rsidRPr="007A014C">
        <w:t xml:space="preserve"> </w:t>
      </w:r>
      <w:r>
        <w:t>rasti potrošniških kreditov in</w:t>
      </w:r>
      <w:r w:rsidRPr="007A014C">
        <w:t xml:space="preserve"> naraščajoče ročnosti </w:t>
      </w:r>
      <w:r>
        <w:t>je</w:t>
      </w:r>
      <w:r w:rsidRPr="007A014C">
        <w:t xml:space="preserve"> BS </w:t>
      </w:r>
      <w:r w:rsidR="000C6141">
        <w:t xml:space="preserve">z novembrom 2019 </w:t>
      </w:r>
      <w:r w:rsidRPr="007A014C">
        <w:t>zaostri</w:t>
      </w:r>
      <w:r>
        <w:t>la</w:t>
      </w:r>
      <w:r w:rsidRPr="007A014C">
        <w:t xml:space="preserve"> pogoje na področju kreditiranja gospodinjstev.</w:t>
      </w:r>
      <w:r>
        <w:t xml:space="preserve"> Novo potrošniško kreditiranje se je zaradi tega in tudi zaradi razmaha epidemije covid-19 precej zmanjšalo in bilo v celotnem letu 2020 za skoraj tretjino nižje kot v letu 2019. Nadaljevala pa se je rast novega stanovanjskega kreditiranj</w:t>
      </w:r>
      <w:r w:rsidR="000C6141">
        <w:t>a</w:t>
      </w:r>
      <w:r>
        <w:t>, ki je bila posledica precej živahnega delovanja na trgu nepremičnin po ponovnem odprtju države</w:t>
      </w:r>
      <w:r w:rsidR="000C6141">
        <w:t xml:space="preserve"> ob koncu prvega vala epidemije</w:t>
      </w:r>
      <w:r>
        <w:t xml:space="preserve">. </w:t>
      </w:r>
      <w:r w:rsidRPr="000127EC">
        <w:t xml:space="preserve">Novo kreditiranje se je sicer nekoliko okrepilo tudi zaradi metodoloških sprememb beleženja kreditov, saj se je zaradi odlogov plačil obveznosti kreditojemalcev </w:t>
      </w:r>
      <w:r w:rsidRPr="0046476D">
        <w:t>po ZIUOPOK</w:t>
      </w:r>
      <w:r w:rsidRPr="000127EC">
        <w:rPr>
          <w:vertAlign w:val="superscript"/>
        </w:rPr>
        <w:footnoteReference w:id="16"/>
      </w:r>
      <w:r>
        <w:t xml:space="preserve"> </w:t>
      </w:r>
      <w:r w:rsidRPr="000127EC">
        <w:t>vsaka sprememba bistvenih pogojev upoštevala kot nov kreditni posel.</w:t>
      </w:r>
    </w:p>
    <w:p w14:paraId="358B5E60" w14:textId="77777777" w:rsidR="008336AC" w:rsidRDefault="008336AC" w:rsidP="008336AC">
      <w:pPr>
        <w:pStyle w:val="Caption"/>
      </w:pPr>
      <w:r w:rsidRPr="007A014C">
        <w:t xml:space="preserve">Slika </w:t>
      </w:r>
      <w:r w:rsidRPr="007A014C">
        <w:fldChar w:fldCharType="begin"/>
      </w:r>
      <w:r w:rsidRPr="007A014C">
        <w:instrText xml:space="preserve"> SEQ Slika \* ARABIC </w:instrText>
      </w:r>
      <w:r w:rsidRPr="007A014C">
        <w:fldChar w:fldCharType="separate"/>
      </w:r>
      <w:r w:rsidR="00E97383">
        <w:t>15</w:t>
      </w:r>
      <w:r w:rsidRPr="007A014C">
        <w:fldChar w:fldCharType="end"/>
      </w:r>
      <w:r w:rsidRPr="007A014C">
        <w:t xml:space="preserve">: </w:t>
      </w:r>
      <w:r w:rsidRPr="00C64D19">
        <w:t>Obseg in medletna sprememba</w:t>
      </w:r>
      <w:r w:rsidRPr="007A014C">
        <w:t xml:space="preserve"> potrošniških (levo) in stanovanjskih kreditov (desno) gospodinjstvom </w:t>
      </w:r>
      <w:r>
        <w:t xml:space="preserve"> v obdobju 2008</w:t>
      </w:r>
      <w:r w:rsidR="00A24FAF" w:rsidRPr="00407B5A">
        <w:t>–</w:t>
      </w:r>
      <w:r>
        <w:t>2020</w:t>
      </w:r>
    </w:p>
    <w:p w14:paraId="3EB05F91" w14:textId="77777777" w:rsidR="008336AC" w:rsidRPr="00EB41A6" w:rsidRDefault="008336AC" w:rsidP="008336AC">
      <w:pPr>
        <w:pStyle w:val="BesediloUMAR"/>
      </w:pPr>
      <w:r w:rsidRPr="00F5652D">
        <w:rPr>
          <w:noProof/>
          <w:lang w:eastAsia="sl-SI"/>
        </w:rPr>
        <w:drawing>
          <wp:inline distT="0" distB="0" distL="0" distR="0" wp14:anchorId="5A37347E" wp14:editId="12E5A190">
            <wp:extent cx="5759450" cy="237052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9450" cy="2370529"/>
                    </a:xfrm>
                    <a:prstGeom prst="rect">
                      <a:avLst/>
                    </a:prstGeom>
                    <a:noFill/>
                    <a:ln>
                      <a:noFill/>
                    </a:ln>
                  </pic:spPr>
                </pic:pic>
              </a:graphicData>
            </a:graphic>
          </wp:inline>
        </w:drawing>
      </w:r>
    </w:p>
    <w:p w14:paraId="0F4F1D96" w14:textId="77777777" w:rsidR="008336AC" w:rsidRDefault="008336AC" w:rsidP="008336AC">
      <w:pPr>
        <w:pStyle w:val="VirUMAR"/>
      </w:pPr>
      <w:r w:rsidRPr="007A014C">
        <w:t>Vir: BS, preračuni UMAR</w:t>
      </w:r>
      <w:r>
        <w:t>.</w:t>
      </w:r>
    </w:p>
    <w:p w14:paraId="692ECA26" w14:textId="77777777" w:rsidR="008336AC" w:rsidRDefault="008336AC" w:rsidP="008336AC">
      <w:pPr>
        <w:pStyle w:val="BesediloUMAR"/>
        <w:rPr>
          <w:rStyle w:val="A0"/>
        </w:rPr>
      </w:pPr>
    </w:p>
    <w:p w14:paraId="430DF8A9" w14:textId="77777777" w:rsidR="008336AC" w:rsidRPr="00790046" w:rsidRDefault="008336AC" w:rsidP="008336AC">
      <w:pPr>
        <w:pStyle w:val="BesediloUMAR"/>
      </w:pPr>
      <w:r>
        <w:rPr>
          <w:b/>
        </w:rPr>
        <w:t xml:space="preserve">Ob nižji rasti novih kreditov je </w:t>
      </w:r>
      <w:r w:rsidRPr="00790046">
        <w:rPr>
          <w:b/>
        </w:rPr>
        <w:t xml:space="preserve">obseg kreditov </w:t>
      </w:r>
      <w:r>
        <w:rPr>
          <w:b/>
        </w:rPr>
        <w:t xml:space="preserve">leta 2020 </w:t>
      </w:r>
      <w:r w:rsidRPr="00790046">
        <w:rPr>
          <w:b/>
        </w:rPr>
        <w:t>ostal na ravni leta 2019.</w:t>
      </w:r>
      <w:r>
        <w:t xml:space="preserve"> Z okrepljenim novim kreditiranjem se je v letih po 2014 povečal</w:t>
      </w:r>
      <w:r w:rsidRPr="007A014C">
        <w:t xml:space="preserve"> tudi obseg kreditov.</w:t>
      </w:r>
      <w:r w:rsidRPr="004738DF">
        <w:t xml:space="preserve"> </w:t>
      </w:r>
      <w:r>
        <w:t>Predvsem so bili visoki prirasti kreditov v letih 2017</w:t>
      </w:r>
      <w:r w:rsidR="00A24FAF" w:rsidRPr="00407B5A">
        <w:rPr>
          <w:szCs w:val="20"/>
        </w:rPr>
        <w:t>–</w:t>
      </w:r>
      <w:r>
        <w:t xml:space="preserve">2019, leta 2020 pa je zaradi opisanih gibanj obseg ostal podoben kot v letu 2019. </w:t>
      </w:r>
      <w:r w:rsidRPr="00790046">
        <w:t xml:space="preserve">V strukturi kreditov stanovanjski krediti po letu 2014 predstavljajo okoli 60 %, potrošniški pa okoli 25 %. </w:t>
      </w:r>
      <w:r w:rsidRPr="002F0C22">
        <w:t>Ostali krediti so debetna stanja oziroma negativna stanja na transakcijskih računih, ki so se v letu 2020</w:t>
      </w:r>
      <w:r>
        <w:t>,</w:t>
      </w:r>
      <w:r w:rsidRPr="002F0C22">
        <w:t xml:space="preserve"> </w:t>
      </w:r>
      <w:r>
        <w:t xml:space="preserve">podobno kot </w:t>
      </w:r>
      <w:r w:rsidRPr="002F0C22">
        <w:t>obseg potrošniških kreditov</w:t>
      </w:r>
      <w:r>
        <w:t>,</w:t>
      </w:r>
      <w:r w:rsidRPr="002F0C22">
        <w:t xml:space="preserve"> nekoliko zmanjšali.</w:t>
      </w:r>
      <w:r w:rsidRPr="000127EC">
        <w:rPr>
          <w:b/>
        </w:rPr>
        <w:t xml:space="preserve"> </w:t>
      </w:r>
    </w:p>
    <w:p w14:paraId="0A09319B" w14:textId="77777777" w:rsidR="008336AC" w:rsidRDefault="008336AC" w:rsidP="008336AC">
      <w:pPr>
        <w:pStyle w:val="Caption"/>
      </w:pPr>
      <w:r w:rsidRPr="007A014C">
        <w:t xml:space="preserve">Slika </w:t>
      </w:r>
      <w:r w:rsidRPr="007A014C">
        <w:fldChar w:fldCharType="begin"/>
      </w:r>
      <w:r w:rsidRPr="007A014C">
        <w:instrText xml:space="preserve"> SEQ Slika \* ARABIC </w:instrText>
      </w:r>
      <w:r w:rsidRPr="007A014C">
        <w:fldChar w:fldCharType="separate"/>
      </w:r>
      <w:r w:rsidR="00E97383">
        <w:t>16</w:t>
      </w:r>
      <w:r w:rsidRPr="007A014C">
        <w:fldChar w:fldCharType="end"/>
      </w:r>
      <w:r w:rsidRPr="007A014C">
        <w:t xml:space="preserve">: </w:t>
      </w:r>
      <w:r>
        <w:t xml:space="preserve">Struktura (levo) in medletni prirast (desno) kreditov </w:t>
      </w:r>
      <w:r w:rsidRPr="007A014C">
        <w:t xml:space="preserve">gospodinjstvom </w:t>
      </w:r>
      <w:r>
        <w:t xml:space="preserve"> v obdobju 2008</w:t>
      </w:r>
      <w:r w:rsidR="00A24FAF" w:rsidRPr="00407B5A">
        <w:t>–</w:t>
      </w:r>
      <w:r>
        <w:t xml:space="preserve">2020 </w:t>
      </w:r>
    </w:p>
    <w:p w14:paraId="1DC0C25B" w14:textId="77777777" w:rsidR="008336AC" w:rsidRDefault="008336AC" w:rsidP="008336AC">
      <w:pPr>
        <w:pStyle w:val="BesediloUMAR"/>
      </w:pPr>
      <w:r w:rsidRPr="00EB41A6">
        <w:rPr>
          <w:noProof/>
          <w:lang w:eastAsia="sl-SI"/>
        </w:rPr>
        <w:drawing>
          <wp:inline distT="0" distB="0" distL="0" distR="0" wp14:anchorId="0E73D859" wp14:editId="0D3F894E">
            <wp:extent cx="5759450" cy="23676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9450" cy="2367651"/>
                    </a:xfrm>
                    <a:prstGeom prst="rect">
                      <a:avLst/>
                    </a:prstGeom>
                    <a:noFill/>
                    <a:ln>
                      <a:noFill/>
                    </a:ln>
                  </pic:spPr>
                </pic:pic>
              </a:graphicData>
            </a:graphic>
          </wp:inline>
        </w:drawing>
      </w:r>
    </w:p>
    <w:p w14:paraId="06ECD5A2" w14:textId="77777777" w:rsidR="008336AC" w:rsidRDefault="008336AC" w:rsidP="008336AC">
      <w:pPr>
        <w:pStyle w:val="VirUMAR"/>
      </w:pPr>
      <w:bookmarkStart w:id="5" w:name="_Hlk69287850"/>
      <w:r w:rsidRPr="007A014C">
        <w:t xml:space="preserve">Vir: BS, preračuni UMAR. </w:t>
      </w:r>
    </w:p>
    <w:bookmarkEnd w:id="5"/>
    <w:p w14:paraId="46CC60A6" w14:textId="77777777" w:rsidR="008336AC" w:rsidRDefault="008336AC" w:rsidP="008336AC">
      <w:pPr>
        <w:pStyle w:val="BesediloUMAR"/>
      </w:pPr>
    </w:p>
    <w:p w14:paraId="29A48E02" w14:textId="7238EBEE" w:rsidR="008336AC" w:rsidRDefault="008336AC" w:rsidP="008336AC">
      <w:pPr>
        <w:pStyle w:val="BesediloUMAR"/>
      </w:pPr>
      <w:r w:rsidRPr="00911142">
        <w:rPr>
          <w:b/>
        </w:rPr>
        <w:t xml:space="preserve">Kljub povečevanju kreditiranja v letih </w:t>
      </w:r>
      <w:bookmarkStart w:id="6" w:name="_Hlk71104633"/>
      <w:r w:rsidRPr="00911142">
        <w:rPr>
          <w:b/>
        </w:rPr>
        <w:t>2015</w:t>
      </w:r>
      <w:r w:rsidR="00A24FAF" w:rsidRPr="00A24FAF">
        <w:rPr>
          <w:b/>
          <w:szCs w:val="20"/>
        </w:rPr>
        <w:t>–</w:t>
      </w:r>
      <w:r w:rsidRPr="00911142">
        <w:rPr>
          <w:b/>
        </w:rPr>
        <w:t>2019</w:t>
      </w:r>
      <w:bookmarkEnd w:id="6"/>
      <w:r w:rsidRPr="00911142">
        <w:rPr>
          <w:b/>
        </w:rPr>
        <w:t xml:space="preserve"> so slovenska gospodinjstva ostala nizko zadolžena. </w:t>
      </w:r>
      <w:r w:rsidR="000C6141">
        <w:t>Z</w:t>
      </w:r>
      <w:r w:rsidRPr="00911142">
        <w:t xml:space="preserve">adolženost gospodinjstev (in NPISG) </w:t>
      </w:r>
      <w:r w:rsidR="000C6141">
        <w:t xml:space="preserve">se do leta 2019 </w:t>
      </w:r>
      <w:r w:rsidRPr="00911142">
        <w:t xml:space="preserve">v Sloveniji ni povečala, saj </w:t>
      </w:r>
      <w:r w:rsidR="000C6141">
        <w:t xml:space="preserve">sta </w:t>
      </w:r>
      <w:r w:rsidRPr="00911142">
        <w:t xml:space="preserve">se v tem </w:t>
      </w:r>
      <w:r w:rsidRPr="00F3258F">
        <w:t>obdobju</w:t>
      </w:r>
      <w:r w:rsidRPr="00911142">
        <w:t xml:space="preserve"> močneje povečal</w:t>
      </w:r>
      <w:r w:rsidR="000C6141">
        <w:t>a</w:t>
      </w:r>
      <w:r w:rsidRPr="00911142">
        <w:t xml:space="preserve"> tudi BDP in razpoložljivi dohodek. Razmerje med obveznostmi gospodinjstev in BDP se je tako po letu 2012 zmanjševalo in leta 2019 doseglo 30,6 %, razmerje med obveznostmi gospodinjstev in razpoložljivim dohodkom pa se je v letu 2019 še znižalo na vrednost 51 %. Ob takšnih gibanjih se je povečeval tudi presežek finančnih sredstev nad obveznostmi gospodinjstev, ki je leta 2019 dosegel 43,4 mrd EUR.  </w:t>
      </w:r>
    </w:p>
    <w:p w14:paraId="28E8A411" w14:textId="77777777" w:rsidR="008336AC" w:rsidRDefault="008336AC" w:rsidP="008336AC">
      <w:pPr>
        <w:pStyle w:val="Caption"/>
      </w:pPr>
      <w:r w:rsidRPr="007A014C">
        <w:t xml:space="preserve">Slika </w:t>
      </w:r>
      <w:r w:rsidRPr="007A014C">
        <w:fldChar w:fldCharType="begin"/>
      </w:r>
      <w:r w:rsidRPr="007A014C">
        <w:instrText xml:space="preserve"> SEQ Slika \* ARABIC </w:instrText>
      </w:r>
      <w:r w:rsidRPr="007A014C">
        <w:fldChar w:fldCharType="separate"/>
      </w:r>
      <w:r w:rsidR="00E97383">
        <w:t>17</w:t>
      </w:r>
      <w:r w:rsidRPr="007A014C">
        <w:fldChar w:fldCharType="end"/>
      </w:r>
      <w:r w:rsidRPr="007A014C">
        <w:t xml:space="preserve">: </w:t>
      </w:r>
      <w:r>
        <w:t>Presežek finančnih sredstev nad obveznostmi</w:t>
      </w:r>
      <w:r w:rsidRPr="007A014C">
        <w:t xml:space="preserve"> gospodinjstev v Sloveniji </w:t>
      </w:r>
      <w:r>
        <w:t>v 2007</w:t>
      </w:r>
      <w:r w:rsidR="00A24FAF" w:rsidRPr="00407B5A">
        <w:t>–</w:t>
      </w:r>
      <w:r>
        <w:t>20</w:t>
      </w:r>
      <w:r w:rsidR="00BE40BE">
        <w:t>20</w:t>
      </w:r>
    </w:p>
    <w:p w14:paraId="7FEAE2A2" w14:textId="77777777" w:rsidR="008336AC" w:rsidRDefault="00BE40BE" w:rsidP="008336AC">
      <w:pPr>
        <w:pStyle w:val="BesediloUMAR"/>
      </w:pPr>
      <w:r w:rsidRPr="00BE40BE">
        <w:rPr>
          <w:noProof/>
          <w:lang w:eastAsia="sl-SI"/>
        </w:rPr>
        <w:drawing>
          <wp:inline distT="0" distB="0" distL="0" distR="0" wp14:anchorId="598326F0" wp14:editId="1779A878">
            <wp:extent cx="5759450" cy="207655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9450" cy="2076552"/>
                    </a:xfrm>
                    <a:prstGeom prst="rect">
                      <a:avLst/>
                    </a:prstGeom>
                    <a:noFill/>
                    <a:ln>
                      <a:noFill/>
                    </a:ln>
                  </pic:spPr>
                </pic:pic>
              </a:graphicData>
            </a:graphic>
          </wp:inline>
        </w:drawing>
      </w:r>
    </w:p>
    <w:p w14:paraId="71056579" w14:textId="77777777" w:rsidR="008336AC" w:rsidRDefault="008336AC" w:rsidP="008336AC">
      <w:pPr>
        <w:pStyle w:val="VirUMAR"/>
      </w:pPr>
      <w:r w:rsidRPr="007A014C">
        <w:t xml:space="preserve">Vir: Eurostat, preračuni UMAR. </w:t>
      </w:r>
    </w:p>
    <w:p w14:paraId="7712C046" w14:textId="77777777" w:rsidR="008336AC" w:rsidRDefault="008336AC" w:rsidP="008336AC">
      <w:pPr>
        <w:pStyle w:val="VirUMAR"/>
      </w:pPr>
    </w:p>
    <w:p w14:paraId="25673E3C" w14:textId="77777777" w:rsidR="008336AC" w:rsidRPr="00F5652D" w:rsidRDefault="008336AC" w:rsidP="008336AC">
      <w:pPr>
        <w:pStyle w:val="BesediloUMAR"/>
      </w:pPr>
      <w:r w:rsidRPr="00F3258F">
        <w:rPr>
          <w:b/>
        </w:rPr>
        <w:t>Zadolženost slovenskih gospodinjstev je nižja kot v povprečju EU.</w:t>
      </w:r>
      <w:r>
        <w:t xml:space="preserve"> </w:t>
      </w:r>
      <w:r w:rsidRPr="00F5652D">
        <w:t xml:space="preserve">V celotnem obdobju </w:t>
      </w:r>
      <w:r w:rsidR="00BE31D7" w:rsidRPr="00B74585">
        <w:t>20</w:t>
      </w:r>
      <w:r w:rsidR="00B74585" w:rsidRPr="00B74585">
        <w:t>07</w:t>
      </w:r>
      <w:r w:rsidR="00BE31D7" w:rsidRPr="00B74585">
        <w:rPr>
          <w:szCs w:val="20"/>
        </w:rPr>
        <w:t>–</w:t>
      </w:r>
      <w:r w:rsidR="00BE31D7" w:rsidRPr="00B74585">
        <w:t>2019</w:t>
      </w:r>
      <w:r w:rsidR="00B74585">
        <w:rPr>
          <w:b/>
        </w:rPr>
        <w:t xml:space="preserve"> </w:t>
      </w:r>
      <w:r w:rsidRPr="00F5652D">
        <w:t xml:space="preserve">je bilo razmerje med obveznostmi gospodinjstev in BDP oz. razpoložljivim dohodkom </w:t>
      </w:r>
      <w:r>
        <w:t>ter razmerje med obveznostmi gospodinjstev in</w:t>
      </w:r>
      <w:r w:rsidRPr="00F5652D">
        <w:t xml:space="preserve"> finančnimi sredstvi v Sloveniji precej nižje kot v povprečju EU28. </w:t>
      </w:r>
    </w:p>
    <w:p w14:paraId="04CB4091" w14:textId="77777777" w:rsidR="008336AC" w:rsidRPr="007A014C" w:rsidRDefault="008336AC" w:rsidP="008336AC">
      <w:pPr>
        <w:pStyle w:val="Caption"/>
      </w:pPr>
      <w:bookmarkStart w:id="7" w:name="_Hlk69907540"/>
      <w:r w:rsidRPr="007A014C">
        <w:t xml:space="preserve">Slika </w:t>
      </w:r>
      <w:r w:rsidRPr="007A014C">
        <w:fldChar w:fldCharType="begin"/>
      </w:r>
      <w:r w:rsidRPr="007A014C">
        <w:instrText xml:space="preserve"> SEQ Slika \* ARABIC </w:instrText>
      </w:r>
      <w:r w:rsidRPr="007A014C">
        <w:fldChar w:fldCharType="separate"/>
      </w:r>
      <w:r w:rsidR="00E97383">
        <w:t>18</w:t>
      </w:r>
      <w:r w:rsidRPr="007A014C">
        <w:fldChar w:fldCharType="end"/>
      </w:r>
      <w:r w:rsidRPr="007A014C">
        <w:t>: Obveznosti gospodinjstev v Sloveniji in EU glede na BDP in razpoložljivi dohodek (levo) ter glede na finančna sredstva (desno)</w:t>
      </w:r>
    </w:p>
    <w:bookmarkEnd w:id="7"/>
    <w:p w14:paraId="0478BA12" w14:textId="77777777" w:rsidR="008336AC" w:rsidRPr="007A014C" w:rsidRDefault="008336AC" w:rsidP="008336AC">
      <w:pPr>
        <w:pStyle w:val="BesediloUMAR"/>
      </w:pPr>
      <w:r w:rsidRPr="005C02A5">
        <w:rPr>
          <w:noProof/>
          <w:lang w:eastAsia="sl-SI"/>
        </w:rPr>
        <w:drawing>
          <wp:inline distT="0" distB="0" distL="0" distR="0" wp14:anchorId="3140D0EC" wp14:editId="1E9BB299">
            <wp:extent cx="5759450" cy="2357629"/>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9450" cy="2357629"/>
                    </a:xfrm>
                    <a:prstGeom prst="rect">
                      <a:avLst/>
                    </a:prstGeom>
                    <a:noFill/>
                    <a:ln>
                      <a:noFill/>
                    </a:ln>
                  </pic:spPr>
                </pic:pic>
              </a:graphicData>
            </a:graphic>
          </wp:inline>
        </w:drawing>
      </w:r>
    </w:p>
    <w:p w14:paraId="2686EB47" w14:textId="77777777" w:rsidR="008336AC" w:rsidRDefault="008336AC" w:rsidP="008336AC">
      <w:pPr>
        <w:pStyle w:val="VirUMAR"/>
      </w:pPr>
      <w:r w:rsidRPr="007A014C">
        <w:t xml:space="preserve">Vir: Eurostat, preračuni UMAR. </w:t>
      </w:r>
    </w:p>
    <w:p w14:paraId="20FCD91D" w14:textId="77777777" w:rsidR="008336AC" w:rsidRDefault="008336AC" w:rsidP="008336AC">
      <w:pPr>
        <w:pStyle w:val="VirUMAR"/>
        <w:rPr>
          <w:sz w:val="20"/>
        </w:rPr>
      </w:pPr>
    </w:p>
    <w:p w14:paraId="1F21EA9B" w14:textId="67D8DC6A" w:rsidR="008336AC" w:rsidRDefault="008336AC" w:rsidP="008336AC">
      <w:pPr>
        <w:pStyle w:val="BesediloUMAR"/>
        <w:rPr>
          <w:szCs w:val="20"/>
        </w:rPr>
      </w:pPr>
      <w:r w:rsidRPr="009C2FC1">
        <w:rPr>
          <w:b/>
        </w:rPr>
        <w:t>Zadolženost gospodinjstev se tudi v letu 2020 ni bistveno spremenila.</w:t>
      </w:r>
      <w:r>
        <w:rPr>
          <w:szCs w:val="20"/>
        </w:rPr>
        <w:t xml:space="preserve"> </w:t>
      </w:r>
      <w:r w:rsidRPr="00AF4A64">
        <w:rPr>
          <w:szCs w:val="20"/>
        </w:rPr>
        <w:t xml:space="preserve">Obseg </w:t>
      </w:r>
      <w:r w:rsidR="009C2FC1">
        <w:rPr>
          <w:szCs w:val="20"/>
        </w:rPr>
        <w:t>obveznosti j</w:t>
      </w:r>
      <w:r w:rsidRPr="00AF4A64">
        <w:rPr>
          <w:szCs w:val="20"/>
        </w:rPr>
        <w:t>e na zadnji dan leta ostal podoben kot konec leta 2019. V letu 2020 se je nadalje povečal razpoložljivi dohodek, s čimer se je zadolženost gospodinjstev merjena z razmerjem med obveznostmi in razpoložljivim dohodkom zmanjšala.</w:t>
      </w:r>
      <w:r>
        <w:rPr>
          <w:szCs w:val="20"/>
        </w:rPr>
        <w:t xml:space="preserve"> </w:t>
      </w:r>
      <w:r w:rsidRPr="009C2FC1">
        <w:rPr>
          <w:szCs w:val="20"/>
        </w:rPr>
        <w:t xml:space="preserve">Močneje so se povečala tudi finančna sredstva, predvsem vloge in gotovina, tako da se je </w:t>
      </w:r>
      <w:r w:rsidR="009C2FC1" w:rsidRPr="009C2FC1">
        <w:rPr>
          <w:szCs w:val="20"/>
        </w:rPr>
        <w:t>še</w:t>
      </w:r>
      <w:r w:rsidRPr="009C2FC1">
        <w:rPr>
          <w:szCs w:val="20"/>
        </w:rPr>
        <w:t xml:space="preserve"> izboljšalo tudi razmerje med obveznostmi in finančnimi sredstvi.</w:t>
      </w:r>
      <w:r w:rsidRPr="00AF4A64">
        <w:rPr>
          <w:szCs w:val="20"/>
        </w:rPr>
        <w:t xml:space="preserve"> </w:t>
      </w:r>
      <w:r w:rsidRPr="009C2FC1">
        <w:rPr>
          <w:szCs w:val="20"/>
        </w:rPr>
        <w:t xml:space="preserve">Ob zmanjšanju BDP se je zadolženost gospodinjstev merjena z razmerjem med obveznostmi in BDP </w:t>
      </w:r>
      <w:r w:rsidR="009C2FC1">
        <w:rPr>
          <w:szCs w:val="20"/>
        </w:rPr>
        <w:t xml:space="preserve">nekoliko </w:t>
      </w:r>
      <w:r w:rsidRPr="009C2FC1">
        <w:rPr>
          <w:szCs w:val="20"/>
        </w:rPr>
        <w:t>povečala.</w:t>
      </w:r>
      <w:r w:rsidRPr="00AF4A64">
        <w:rPr>
          <w:szCs w:val="20"/>
        </w:rPr>
        <w:t xml:space="preserve"> </w:t>
      </w:r>
    </w:p>
    <w:p w14:paraId="7331F135" w14:textId="77777777" w:rsidR="008336AC" w:rsidRDefault="008336AC" w:rsidP="008336AC">
      <w:pPr>
        <w:pStyle w:val="BesediloUMAR"/>
      </w:pPr>
      <w:r>
        <w:br w:type="page"/>
      </w:r>
    </w:p>
    <w:p w14:paraId="5DFF613C" w14:textId="77777777" w:rsidR="008336AC" w:rsidRDefault="008336AC" w:rsidP="008336AC">
      <w:pPr>
        <w:pStyle w:val="Heading1"/>
      </w:pPr>
      <w:r>
        <w:t>Zasebna potrošnja v letu 2021</w:t>
      </w:r>
    </w:p>
    <w:p w14:paraId="294212B1" w14:textId="77777777" w:rsidR="00635A61" w:rsidRDefault="00635A61" w:rsidP="000E11A5">
      <w:pPr>
        <w:pStyle w:val="BesediloUMAR"/>
      </w:pPr>
    </w:p>
    <w:p w14:paraId="66D3C63F" w14:textId="0392C86F" w:rsidR="00635A61" w:rsidRPr="00635A61" w:rsidRDefault="00635A61" w:rsidP="00635A61">
      <w:pPr>
        <w:pStyle w:val="BesediloUMAR"/>
      </w:pPr>
      <w:r w:rsidRPr="00796531">
        <w:rPr>
          <w:b/>
        </w:rPr>
        <w:t xml:space="preserve">Po podatkih o davčnem potrjevanju računov je bila prodaja </w:t>
      </w:r>
      <w:r w:rsidR="00304197" w:rsidRPr="00796531">
        <w:rPr>
          <w:b/>
        </w:rPr>
        <w:t>v prvem letošnjem četrtletju za 4,9 % nižja kot v prvem četrtletju leta 2020</w:t>
      </w:r>
      <w:r w:rsidRPr="00796531">
        <w:rPr>
          <w:b/>
        </w:rPr>
        <w:t>.</w:t>
      </w:r>
      <w:r w:rsidR="00304197">
        <w:t xml:space="preserve"> </w:t>
      </w:r>
      <w:r w:rsidR="00026ABE">
        <w:t xml:space="preserve">Po ponovnem </w:t>
      </w:r>
      <w:r w:rsidR="00D76E17">
        <w:t xml:space="preserve">zaprtju </w:t>
      </w:r>
      <w:proofErr w:type="spellStart"/>
      <w:r w:rsidR="00D76E17">
        <w:t>nenujnih</w:t>
      </w:r>
      <w:proofErr w:type="spellEnd"/>
      <w:r w:rsidR="00D76E17">
        <w:t xml:space="preserve"> trgovin in storitev, ki so prehodno poslovale okoli božičnih praznikov</w:t>
      </w:r>
      <w:r w:rsidR="00430F0D">
        <w:t>,</w:t>
      </w:r>
      <w:r w:rsidR="00D76E17">
        <w:t xml:space="preserve"> se je upad prodaje januarja povečal. </w:t>
      </w:r>
      <w:r w:rsidR="00430F0D">
        <w:t>S ponovnim odprtjem v februarju in o</w:t>
      </w:r>
      <w:r w:rsidR="00430F0D" w:rsidRPr="00430F0D">
        <w:t>dprav</w:t>
      </w:r>
      <w:r w:rsidR="00430F0D">
        <w:t>o</w:t>
      </w:r>
      <w:r w:rsidR="00430F0D" w:rsidRPr="00430F0D">
        <w:t xml:space="preserve"> omejitev pri prehodih občinsk</w:t>
      </w:r>
      <w:r w:rsidR="00430F0D">
        <w:t>ih</w:t>
      </w:r>
      <w:r w:rsidR="00430F0D" w:rsidRPr="00430F0D">
        <w:t xml:space="preserve"> mej</w:t>
      </w:r>
      <w:r w:rsidR="00430F0D">
        <w:t xml:space="preserve">, pa tudi boljši pojasnitvi </w:t>
      </w:r>
      <w:r w:rsidR="00430F0D" w:rsidRPr="00430F0D">
        <w:t xml:space="preserve">možnosti poslovanja s pravnimi osebami </w:t>
      </w:r>
      <w:r w:rsidR="00CA0863">
        <w:t xml:space="preserve">(predvsem v gostinstvu) </w:t>
      </w:r>
      <w:r w:rsidR="00430F0D">
        <w:t xml:space="preserve">se je upad februarja prepolovil. </w:t>
      </w:r>
      <w:r w:rsidRPr="00635A61">
        <w:t xml:space="preserve">V prvih dveh tednih marca je prodaja še zaostajala za lansko, kasneje pa jo je zaradi </w:t>
      </w:r>
      <w:r w:rsidR="00E17BDD">
        <w:t xml:space="preserve">nizke </w:t>
      </w:r>
      <w:r w:rsidRPr="00635A61">
        <w:t xml:space="preserve">osnove </w:t>
      </w:r>
      <w:r w:rsidR="00E17BDD">
        <w:t xml:space="preserve">v enakem obdobju lani, ko se je aktivnost zaradi epidemije precej zmanjšala, </w:t>
      </w:r>
      <w:r w:rsidRPr="00635A61">
        <w:t xml:space="preserve">močno presegla. Visoka medletna rast prodaje v drugi polovici marca je bila predvsem posledica visokih rasti prodaje v trgovini, kjer so bile lani v tem obdobju zaprte vse </w:t>
      </w:r>
      <w:proofErr w:type="spellStart"/>
      <w:r w:rsidRPr="00635A61">
        <w:t>nenujne</w:t>
      </w:r>
      <w:proofErr w:type="spellEnd"/>
      <w:r w:rsidRPr="00635A61">
        <w:t xml:space="preserve"> prodajalne.</w:t>
      </w:r>
      <w:r w:rsidR="00CA0863">
        <w:t xml:space="preserve"> Delno pa je bila rast povezana tudi s povečano prodajo pred ponovnim zaprtjem nekaterih trgovin (s 1. aprilom), razporeditvijo velikonočnih praznikov in dveh delovnih dni več, </w:t>
      </w:r>
      <w:r w:rsidR="00CA0863" w:rsidRPr="00AC7239">
        <w:t>zaradi česar je bil obseg prodaje v trgovini razmeroma v</w:t>
      </w:r>
      <w:r w:rsidR="00CA0863">
        <w:t>elik</w:t>
      </w:r>
      <w:r w:rsidR="00CA0863" w:rsidRPr="00AC7239">
        <w:t xml:space="preserve"> tudi v primerjavi z enakim obdobjem </w:t>
      </w:r>
      <w:proofErr w:type="spellStart"/>
      <w:r w:rsidR="00CA0863" w:rsidRPr="00AC7239">
        <w:t>predkriznega</w:t>
      </w:r>
      <w:proofErr w:type="spellEnd"/>
      <w:r w:rsidR="00CA0863" w:rsidRPr="00AC7239">
        <w:t xml:space="preserve"> leta 2019</w:t>
      </w:r>
      <w:r w:rsidR="00CA0863" w:rsidRPr="004C3B74">
        <w:t>.</w:t>
      </w:r>
      <w:r w:rsidR="00CA0863">
        <w:t xml:space="preserve"> </w:t>
      </w:r>
      <w:r w:rsidRPr="00635A61">
        <w:t xml:space="preserve">Ob odprtju teras gostinskih lokalov v nekaterih regijah in nekaterih delujočih nastanitvenih obratih so v drugi polovici meseca visoke medletne rasti zabeležili tudi pri točenju pijač in strežbi hrane ter v nastanitvenih obratih. </w:t>
      </w:r>
      <w:r w:rsidR="00CA0863">
        <w:t>Skupaj je prodaja v prvem letošnjem četrtletju za lansko zaostajala za 4,9 %</w:t>
      </w:r>
      <w:r w:rsidR="0054060D">
        <w:t>, kar je podoben</w:t>
      </w:r>
      <w:r w:rsidR="00E17BDD">
        <w:t xml:space="preserve"> medletni</w:t>
      </w:r>
      <w:r w:rsidR="0054060D">
        <w:t xml:space="preserve"> upad prodaje kot v lanskem tretjem četrtletju.</w:t>
      </w:r>
    </w:p>
    <w:p w14:paraId="656956B2" w14:textId="77777777" w:rsidR="000E11A5" w:rsidRDefault="000E11A5" w:rsidP="000E11A5">
      <w:pPr>
        <w:pStyle w:val="Caption"/>
      </w:pPr>
      <w:r w:rsidRPr="007A014C">
        <w:t xml:space="preserve">Slika </w:t>
      </w:r>
      <w:r w:rsidRPr="007A014C">
        <w:fldChar w:fldCharType="begin"/>
      </w:r>
      <w:r w:rsidRPr="007A014C">
        <w:instrText xml:space="preserve"> SEQ Slika \* ARABIC </w:instrText>
      </w:r>
      <w:r w:rsidRPr="007A014C">
        <w:fldChar w:fldCharType="separate"/>
      </w:r>
      <w:r>
        <w:t>19</w:t>
      </w:r>
      <w:r w:rsidRPr="007A014C">
        <w:fldChar w:fldCharType="end"/>
      </w:r>
      <w:r w:rsidRPr="007A014C">
        <w:t xml:space="preserve">: </w:t>
      </w:r>
      <w:r w:rsidR="00444940">
        <w:t>P</w:t>
      </w:r>
      <w:r w:rsidR="00B2706C">
        <w:t xml:space="preserve">rodaja po davčno potrjenih računih in zasebna potrošnja v 2020 in </w:t>
      </w:r>
      <w:r w:rsidR="00A57069">
        <w:t xml:space="preserve">prvem četrtletju </w:t>
      </w:r>
      <w:r w:rsidR="00B2706C">
        <w:t>2021</w:t>
      </w:r>
    </w:p>
    <w:p w14:paraId="152FD584" w14:textId="77777777" w:rsidR="009B5967" w:rsidRPr="009B5967" w:rsidRDefault="00796531" w:rsidP="009B5967">
      <w:pPr>
        <w:pStyle w:val="BesediloUMAR"/>
      </w:pPr>
      <w:r w:rsidRPr="00796531">
        <w:rPr>
          <w:noProof/>
          <w:lang w:eastAsia="sl-SI"/>
        </w:rPr>
        <w:drawing>
          <wp:inline distT="0" distB="0" distL="0" distR="0" wp14:anchorId="561F4849" wp14:editId="0924F4E9">
            <wp:extent cx="5759450" cy="236594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9450" cy="2365942"/>
                    </a:xfrm>
                    <a:prstGeom prst="rect">
                      <a:avLst/>
                    </a:prstGeom>
                    <a:noFill/>
                    <a:ln>
                      <a:noFill/>
                    </a:ln>
                  </pic:spPr>
                </pic:pic>
              </a:graphicData>
            </a:graphic>
          </wp:inline>
        </w:drawing>
      </w:r>
    </w:p>
    <w:p w14:paraId="671EDD2D" w14:textId="77777777" w:rsidR="00635A61" w:rsidRDefault="00635A61" w:rsidP="009B5967">
      <w:pPr>
        <w:pStyle w:val="VirUMAR"/>
      </w:pPr>
      <w:r>
        <w:t>Vir: FURS, SURS, preračuni UMAR.</w:t>
      </w:r>
    </w:p>
    <w:p w14:paraId="2617F857" w14:textId="77777777" w:rsidR="00635A61" w:rsidRPr="00635A61" w:rsidRDefault="00635A61" w:rsidP="00635A61">
      <w:pPr>
        <w:pStyle w:val="VirUMAR"/>
      </w:pPr>
    </w:p>
    <w:p w14:paraId="009EF827" w14:textId="3404EB63" w:rsidR="000E11A5" w:rsidRPr="000E11A5" w:rsidRDefault="00AD2295" w:rsidP="000E11A5">
      <w:pPr>
        <w:pStyle w:val="BesediloUMAR"/>
      </w:pPr>
      <w:r w:rsidRPr="00B74585">
        <w:rPr>
          <w:b/>
        </w:rPr>
        <w:t>Tudi nekateri drug</w:t>
      </w:r>
      <w:r w:rsidR="00E17BDD">
        <w:rPr>
          <w:b/>
        </w:rPr>
        <w:t>i</w:t>
      </w:r>
      <w:r w:rsidRPr="00B74585">
        <w:rPr>
          <w:b/>
        </w:rPr>
        <w:t xml:space="preserve"> kazalniki kažejo na</w:t>
      </w:r>
      <w:r w:rsidR="00411B87" w:rsidRPr="00B74585">
        <w:rPr>
          <w:b/>
        </w:rPr>
        <w:t xml:space="preserve"> nadaljevanje </w:t>
      </w:r>
      <w:r w:rsidR="00D67CE1" w:rsidRPr="00B74585">
        <w:rPr>
          <w:b/>
        </w:rPr>
        <w:t xml:space="preserve">medletnega </w:t>
      </w:r>
      <w:r w:rsidR="00411B87" w:rsidRPr="00B74585">
        <w:rPr>
          <w:b/>
        </w:rPr>
        <w:t xml:space="preserve">upada potrošnje </w:t>
      </w:r>
      <w:r w:rsidRPr="00B74585">
        <w:rPr>
          <w:b/>
        </w:rPr>
        <w:t xml:space="preserve">v prvem </w:t>
      </w:r>
      <w:r w:rsidR="00D67CE1" w:rsidRPr="00B74585">
        <w:rPr>
          <w:b/>
        </w:rPr>
        <w:t xml:space="preserve">letošnjem </w:t>
      </w:r>
      <w:r w:rsidRPr="00B74585">
        <w:rPr>
          <w:b/>
        </w:rPr>
        <w:t>četrtletju</w:t>
      </w:r>
      <w:r w:rsidR="00411B87" w:rsidRPr="00B74585">
        <w:rPr>
          <w:b/>
        </w:rPr>
        <w:t xml:space="preserve">, </w:t>
      </w:r>
      <w:r w:rsidR="00D67CE1" w:rsidRPr="00B74585">
        <w:rPr>
          <w:b/>
        </w:rPr>
        <w:t xml:space="preserve">se je </w:t>
      </w:r>
      <w:r w:rsidR="00E17BDD" w:rsidRPr="00B74585">
        <w:rPr>
          <w:b/>
        </w:rPr>
        <w:t xml:space="preserve">pa </w:t>
      </w:r>
      <w:r w:rsidR="00D67CE1" w:rsidRPr="00B74585">
        <w:rPr>
          <w:b/>
        </w:rPr>
        <w:t>potrošnja glede na zadnje lansko četrtletje okrepila.</w:t>
      </w:r>
      <w:r w:rsidR="00D67CE1" w:rsidRPr="00B74585">
        <w:t xml:space="preserve"> </w:t>
      </w:r>
      <w:r w:rsidR="000E11A5" w:rsidRPr="00B74585">
        <w:t xml:space="preserve">Ob odprtju </w:t>
      </w:r>
      <w:r w:rsidR="00D67CE1" w:rsidRPr="00B74585">
        <w:t xml:space="preserve">vseh </w:t>
      </w:r>
      <w:proofErr w:type="spellStart"/>
      <w:r w:rsidR="00D67CE1" w:rsidRPr="00B74585">
        <w:t>nenujnih</w:t>
      </w:r>
      <w:proofErr w:type="spellEnd"/>
      <w:r w:rsidR="000E11A5" w:rsidRPr="00B74585">
        <w:t xml:space="preserve"> prodajaln in</w:t>
      </w:r>
      <w:r w:rsidR="00D67CE1" w:rsidRPr="00B74585">
        <w:t xml:space="preserve"> nekaterih storitev</w:t>
      </w:r>
      <w:r w:rsidR="00D67CE1">
        <w:t xml:space="preserve"> ter </w:t>
      </w:r>
      <w:r w:rsidR="000E11A5" w:rsidRPr="000E11A5">
        <w:t xml:space="preserve">odpravi omejitve gibanja med občinami so se </w:t>
      </w:r>
      <w:r w:rsidR="00D67CE1">
        <w:t xml:space="preserve">v prvem četrtletju </w:t>
      </w:r>
      <w:r w:rsidR="000E11A5" w:rsidRPr="000E11A5">
        <w:t xml:space="preserve">povečali predvsem izdatki gospodinjstev v trgovini na drobno z </w:t>
      </w:r>
      <w:proofErr w:type="spellStart"/>
      <w:r w:rsidR="000E11A5" w:rsidRPr="000E11A5">
        <w:t>neživili</w:t>
      </w:r>
      <w:proofErr w:type="spellEnd"/>
      <w:r w:rsidR="000E11A5" w:rsidRPr="000E11A5">
        <w:t xml:space="preserve"> in z živili</w:t>
      </w:r>
      <w:r w:rsidR="00D67CE1">
        <w:t>, za nakupe osebnih avtomobilov</w:t>
      </w:r>
      <w:r w:rsidR="000E11A5" w:rsidRPr="000E11A5">
        <w:t xml:space="preserve"> ter za nekatere osebne storitve. Visok medletni upad izdatkov gospodinjstev </w:t>
      </w:r>
      <w:r w:rsidR="00D67CE1">
        <w:t xml:space="preserve">pa </w:t>
      </w:r>
      <w:r w:rsidR="000E11A5" w:rsidRPr="000E11A5">
        <w:t xml:space="preserve">se je nadaljeval v tistih storitvenih dejavnostih, ki so nadalje ostale pretežno zaprte (predvsem </w:t>
      </w:r>
      <w:r w:rsidR="00D67CE1">
        <w:t xml:space="preserve">v </w:t>
      </w:r>
      <w:r w:rsidR="000E11A5" w:rsidRPr="000E11A5">
        <w:t>kulturnih in razvedrilnih dejavnostih)</w:t>
      </w:r>
      <w:r w:rsidR="002F6212">
        <w:t>, pa tudi v nekaterih delno odprtih storitvah npr. gostinstvu, kjer je sicer marca lahko potekala strežba na terasah v nekaterih regijah, nastanitven</w:t>
      </w:r>
      <w:r w:rsidR="00E17BDD">
        <w:t>i</w:t>
      </w:r>
      <w:r w:rsidR="002F6212">
        <w:t xml:space="preserve"> del pa je bil za zasebno uporabo še vedno povsod zaprt</w:t>
      </w:r>
      <w:r w:rsidR="000E11A5" w:rsidRPr="000E11A5">
        <w:t xml:space="preserve">. </w:t>
      </w:r>
      <w:r w:rsidR="00D67CE1">
        <w:t>Ocenjujemo, da je s</w:t>
      </w:r>
      <w:r w:rsidR="000E11A5" w:rsidRPr="000E11A5">
        <w:t xml:space="preserve">topnja varčevanja gospodinjstev ob stabilnem razpoložljivem dohodku (na kar so vplivali tudi vladni ukrepi za omejitev posledic epidemije) </w:t>
      </w:r>
      <w:r w:rsidR="00D67CE1">
        <w:t xml:space="preserve">tudi </w:t>
      </w:r>
      <w:r w:rsidR="000E11A5" w:rsidRPr="000E11A5">
        <w:t>na začetku leta ostala visoka</w:t>
      </w:r>
      <w:r w:rsidR="00D67CE1">
        <w:t>, vendar o</w:t>
      </w:r>
      <w:r w:rsidR="000E11A5" w:rsidRPr="000E11A5">
        <w:t>b nekoliko povečanem trošenju gospodinjstev nekoliko nižja kot v lanskem zadnjem četrtletju</w:t>
      </w:r>
      <w:r w:rsidR="00D67CE1">
        <w:t xml:space="preserve">. </w:t>
      </w:r>
    </w:p>
    <w:p w14:paraId="6DA29BC6" w14:textId="77777777" w:rsidR="00304197" w:rsidRDefault="00304197" w:rsidP="00304197">
      <w:pPr>
        <w:pStyle w:val="Caption"/>
      </w:pPr>
      <w:r w:rsidRPr="007A014C">
        <w:t xml:space="preserve">Slika </w:t>
      </w:r>
      <w:r w:rsidRPr="007A014C">
        <w:fldChar w:fldCharType="begin"/>
      </w:r>
      <w:r w:rsidRPr="007A014C">
        <w:instrText xml:space="preserve"> SEQ Slika \* ARABIC </w:instrText>
      </w:r>
      <w:r w:rsidRPr="007A014C">
        <w:fldChar w:fldCharType="separate"/>
      </w:r>
      <w:r w:rsidR="00AD2295">
        <w:t>20</w:t>
      </w:r>
      <w:r w:rsidRPr="007A014C">
        <w:fldChar w:fldCharType="end"/>
      </w:r>
      <w:r w:rsidRPr="007A014C">
        <w:t xml:space="preserve">: </w:t>
      </w:r>
      <w:r>
        <w:t>Izbrani kazalniki potrošnje</w:t>
      </w:r>
    </w:p>
    <w:p w14:paraId="123EF032" w14:textId="77777777" w:rsidR="00B2706C" w:rsidRDefault="002F6212" w:rsidP="00B2706C">
      <w:pPr>
        <w:pStyle w:val="BesediloUMAR"/>
      </w:pPr>
      <w:r w:rsidRPr="002F6212">
        <w:rPr>
          <w:noProof/>
          <w:lang w:eastAsia="sl-SI"/>
        </w:rPr>
        <w:drawing>
          <wp:inline distT="0" distB="0" distL="0" distR="0" wp14:anchorId="69D440B2" wp14:editId="0EC2D365">
            <wp:extent cx="5759450" cy="209300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59450" cy="2093002"/>
                    </a:xfrm>
                    <a:prstGeom prst="rect">
                      <a:avLst/>
                    </a:prstGeom>
                    <a:noFill/>
                    <a:ln>
                      <a:noFill/>
                    </a:ln>
                  </pic:spPr>
                </pic:pic>
              </a:graphicData>
            </a:graphic>
          </wp:inline>
        </w:drawing>
      </w:r>
    </w:p>
    <w:p w14:paraId="13917786" w14:textId="77777777" w:rsidR="00411B87" w:rsidRDefault="00411B87" w:rsidP="00411B87">
      <w:pPr>
        <w:pStyle w:val="VirUMAR"/>
      </w:pPr>
      <w:r>
        <w:t xml:space="preserve">Vir: </w:t>
      </w:r>
      <w:proofErr w:type="spellStart"/>
      <w:r>
        <w:t>Mzi</w:t>
      </w:r>
      <w:proofErr w:type="spellEnd"/>
      <w:r>
        <w:t>, SURS, preračuni UMAR.</w:t>
      </w:r>
      <w:r w:rsidR="002F6212" w:rsidRPr="002F6212">
        <w:t xml:space="preserve"> Podatek za Q1 2021 je pri gostinstvu povprečna vrednost za januar in februar.</w:t>
      </w:r>
    </w:p>
    <w:p w14:paraId="4EA2FC7C" w14:textId="77777777" w:rsidR="00411B87" w:rsidRPr="00B2706C" w:rsidRDefault="00411B87" w:rsidP="00B2706C">
      <w:pPr>
        <w:pStyle w:val="BesediloUMAR"/>
      </w:pPr>
    </w:p>
    <w:p w14:paraId="5DBD12B6" w14:textId="35D63ED5" w:rsidR="008D16D2" w:rsidRPr="000E11A5" w:rsidRDefault="00B21A80" w:rsidP="000E11A5">
      <w:pPr>
        <w:pStyle w:val="BesediloUMAR"/>
      </w:pPr>
      <w:r>
        <w:rPr>
          <w:b/>
        </w:rPr>
        <w:t>V celotnem letu 2021</w:t>
      </w:r>
      <w:r w:rsidR="00304197" w:rsidRPr="00660C46">
        <w:rPr>
          <w:b/>
        </w:rPr>
        <w:t xml:space="preserve"> pričakujemo </w:t>
      </w:r>
      <w:r w:rsidR="00304197">
        <w:rPr>
          <w:b/>
        </w:rPr>
        <w:t xml:space="preserve">4-odstotno </w:t>
      </w:r>
      <w:r w:rsidR="00304197" w:rsidRPr="00660C46">
        <w:rPr>
          <w:b/>
        </w:rPr>
        <w:t>rast zasebne potrošnje</w:t>
      </w:r>
      <w:r w:rsidR="00293076">
        <w:rPr>
          <w:rStyle w:val="FootnoteReference"/>
          <w:b/>
        </w:rPr>
        <w:footnoteReference w:id="17"/>
      </w:r>
      <w:r w:rsidR="00304197" w:rsidRPr="00660C46">
        <w:rPr>
          <w:b/>
        </w:rPr>
        <w:t xml:space="preserve">. </w:t>
      </w:r>
      <w:r w:rsidR="00304197" w:rsidRPr="00135D0F">
        <w:t>Z</w:t>
      </w:r>
      <w:r w:rsidR="00304197" w:rsidRPr="00660C46">
        <w:t xml:space="preserve">aprtje </w:t>
      </w:r>
      <w:proofErr w:type="spellStart"/>
      <w:r w:rsidR="00304197" w:rsidRPr="00660C46">
        <w:t>nenujnih</w:t>
      </w:r>
      <w:proofErr w:type="spellEnd"/>
      <w:r w:rsidR="00304197">
        <w:rPr>
          <w:b/>
        </w:rPr>
        <w:t xml:space="preserve"> </w:t>
      </w:r>
      <w:r w:rsidR="00304197">
        <w:t>trgovin in storitev, ki s</w:t>
      </w:r>
      <w:r w:rsidR="00304197" w:rsidRPr="00660C46">
        <w:t>e</w:t>
      </w:r>
      <w:r w:rsidR="00304197">
        <w:t xml:space="preserve"> je v nekaterih delih nadaljevalo</w:t>
      </w:r>
      <w:r w:rsidR="00304197" w:rsidRPr="00660C46">
        <w:t xml:space="preserve"> </w:t>
      </w:r>
      <w:r w:rsidR="00B626E4">
        <w:t>v prvem četrtletju in na začetku aprila</w:t>
      </w:r>
      <w:r w:rsidR="00304197" w:rsidRPr="00660C46">
        <w:t xml:space="preserve"> </w:t>
      </w:r>
      <w:r w:rsidR="00B626E4">
        <w:t>in ostali ukrepi za zamejitev epidemije</w:t>
      </w:r>
      <w:r w:rsidR="00B626E4" w:rsidRPr="00660C46">
        <w:t xml:space="preserve"> </w:t>
      </w:r>
      <w:r w:rsidR="00B626E4">
        <w:t>so</w:t>
      </w:r>
      <w:r w:rsidR="00304197">
        <w:t xml:space="preserve"> vplival</w:t>
      </w:r>
      <w:r w:rsidR="00B626E4">
        <w:t>i</w:t>
      </w:r>
      <w:r w:rsidR="00304197">
        <w:t xml:space="preserve"> na </w:t>
      </w:r>
      <w:proofErr w:type="spellStart"/>
      <w:r w:rsidR="00304197">
        <w:t>zamaknitev</w:t>
      </w:r>
      <w:proofErr w:type="spellEnd"/>
      <w:r w:rsidR="00304197">
        <w:t xml:space="preserve"> okrevanja zasebne potrošnje v letošnjem letu. </w:t>
      </w:r>
      <w:r w:rsidR="004A3D11">
        <w:t>Tako p</w:t>
      </w:r>
      <w:r w:rsidR="00B626E4">
        <w:t xml:space="preserve">ričakujemo, da </w:t>
      </w:r>
      <w:r w:rsidR="00304197">
        <w:t xml:space="preserve">se bo </w:t>
      </w:r>
      <w:r w:rsidR="00D0041C">
        <w:t>zasebna potrošnja</w:t>
      </w:r>
      <w:r w:rsidR="00B626E4">
        <w:t xml:space="preserve"> ob večji </w:t>
      </w:r>
      <w:proofErr w:type="spellStart"/>
      <w:r w:rsidR="00B626E4">
        <w:t>precepljenosti</w:t>
      </w:r>
      <w:proofErr w:type="spellEnd"/>
      <w:r w:rsidR="00B626E4">
        <w:t xml:space="preserve">, odpravi večine ukrepov in zmanjšanju negotovosti </w:t>
      </w:r>
      <w:r w:rsidR="00304197">
        <w:t xml:space="preserve">pomembneje okrepila predvsem </w:t>
      </w:r>
      <w:r w:rsidR="00B626E4">
        <w:t xml:space="preserve">v </w:t>
      </w:r>
      <w:r w:rsidR="00304197">
        <w:t xml:space="preserve">drugi polovici </w:t>
      </w:r>
      <w:r w:rsidR="00B626E4">
        <w:t>leta.</w:t>
      </w:r>
      <w:r w:rsidR="00D0041C">
        <w:t xml:space="preserve"> </w:t>
      </w:r>
      <w:r w:rsidR="00444940">
        <w:t>Na okrevanje bo vplivalo tudi podaljšanje roka za unovčenje turističnih bonov, po katerem se lahko turistične bone unovči še do konca letošnjega leta</w:t>
      </w:r>
      <w:r w:rsidR="00444940">
        <w:rPr>
          <w:rStyle w:val="FootnoteReference"/>
        </w:rPr>
        <w:footnoteReference w:id="18"/>
      </w:r>
      <w:r w:rsidR="00A57069">
        <w:t>.</w:t>
      </w:r>
      <w:r w:rsidR="00444940">
        <w:t xml:space="preserve"> </w:t>
      </w:r>
      <w:r w:rsidR="00D0041C">
        <w:t xml:space="preserve">Ob tem pričakujemo nadaljnjo rast </w:t>
      </w:r>
      <w:r w:rsidR="00B626E4">
        <w:t xml:space="preserve"> </w:t>
      </w:r>
      <w:r w:rsidR="00D0041C">
        <w:t xml:space="preserve">razpoložljivega dohodka, na kar bodo </w:t>
      </w:r>
      <w:r w:rsidR="00D0041C" w:rsidRPr="00D0041C">
        <w:t>poleg</w:t>
      </w:r>
      <w:r w:rsidR="00304197" w:rsidRPr="00D0041C">
        <w:t xml:space="preserve"> okrevanj</w:t>
      </w:r>
      <w:r w:rsidR="00D0041C" w:rsidRPr="00D0041C">
        <w:t>a</w:t>
      </w:r>
      <w:r w:rsidR="00304197">
        <w:t xml:space="preserve"> razmer na trgu dela</w:t>
      </w:r>
      <w:r w:rsidR="00B626E4">
        <w:t xml:space="preserve"> </w:t>
      </w:r>
      <w:r w:rsidR="00D0041C">
        <w:t xml:space="preserve">vplivali tudi </w:t>
      </w:r>
      <w:r w:rsidR="00304197">
        <w:t>nadaljnj</w:t>
      </w:r>
      <w:r w:rsidR="00D0041C">
        <w:t>i</w:t>
      </w:r>
      <w:r w:rsidR="00304197">
        <w:t xml:space="preserve"> vladni ukrepi za omilitev posledic epidemije</w:t>
      </w:r>
      <w:r w:rsidR="00D0041C">
        <w:t xml:space="preserve"> in znižanje stopnje varčevanja.</w:t>
      </w:r>
    </w:p>
    <w:p w14:paraId="3983BF03" w14:textId="77777777" w:rsidR="008336AC" w:rsidRPr="00B01BAA" w:rsidRDefault="008336AC" w:rsidP="008336AC">
      <w:pPr>
        <w:pStyle w:val="BesediloUMAR"/>
      </w:pPr>
    </w:p>
    <w:p w14:paraId="0E43A957" w14:textId="77777777" w:rsidR="008336AC" w:rsidRPr="00F3258F" w:rsidRDefault="008336AC" w:rsidP="008336AC">
      <w:pPr>
        <w:pStyle w:val="BesediloUMAR"/>
        <w:rPr>
          <w:szCs w:val="20"/>
        </w:rPr>
      </w:pPr>
    </w:p>
    <w:p w14:paraId="54C41A83" w14:textId="77777777" w:rsidR="008336AC" w:rsidRPr="00CA4C1C" w:rsidRDefault="008336AC" w:rsidP="008336AC">
      <w:pPr>
        <w:pStyle w:val="BesediloUMAR"/>
      </w:pPr>
    </w:p>
    <w:p w14:paraId="0239FE5E" w14:textId="77777777" w:rsidR="008336AC" w:rsidRPr="00C40E92" w:rsidRDefault="008336AC" w:rsidP="008336AC">
      <w:pPr>
        <w:pStyle w:val="BesediloUMAR"/>
      </w:pPr>
    </w:p>
    <w:p w14:paraId="05E00969" w14:textId="77777777" w:rsidR="008336AC" w:rsidRDefault="008336AC" w:rsidP="008336AC">
      <w:pPr>
        <w:pStyle w:val="BesediloUMAR"/>
      </w:pPr>
    </w:p>
    <w:bookmarkEnd w:id="0"/>
    <w:bookmarkEnd w:id="1"/>
    <w:bookmarkEnd w:id="2"/>
    <w:p w14:paraId="7ED5A988" w14:textId="77777777" w:rsidR="001908FD" w:rsidRPr="008336AC" w:rsidRDefault="001908FD">
      <w:pPr>
        <w:spacing w:after="0" w:line="240" w:lineRule="auto"/>
        <w:rPr>
          <w:rFonts w:ascii="Myriad Pro" w:hAnsi="Myriad Pro" w:cs="Arial"/>
          <w:b/>
          <w:bCs/>
          <w:color w:val="9E001A" w:themeColor="accent1"/>
          <w:sz w:val="24"/>
          <w:szCs w:val="26"/>
        </w:rPr>
      </w:pPr>
      <w:r>
        <w:br w:type="page"/>
      </w:r>
    </w:p>
    <w:p w14:paraId="65D5B391" w14:textId="77777777" w:rsidR="001908FD" w:rsidRDefault="001908FD" w:rsidP="001908FD">
      <w:pPr>
        <w:pStyle w:val="Heading3"/>
        <w:numPr>
          <w:ilvl w:val="0"/>
          <w:numId w:val="0"/>
        </w:numPr>
      </w:pPr>
      <w:r>
        <w:t>Literatura in viri</w:t>
      </w:r>
    </w:p>
    <w:p w14:paraId="5256A541" w14:textId="77777777" w:rsidR="00422444" w:rsidRDefault="00422444" w:rsidP="001908FD">
      <w:pPr>
        <w:pStyle w:val="Heading3"/>
        <w:numPr>
          <w:ilvl w:val="0"/>
          <w:numId w:val="0"/>
        </w:numPr>
      </w:pPr>
      <w:bookmarkStart w:id="8" w:name="_Hlk69997092"/>
    </w:p>
    <w:p w14:paraId="610E97D0" w14:textId="77777777" w:rsidR="00422444" w:rsidRPr="00A522A7" w:rsidRDefault="00422444" w:rsidP="001908FD">
      <w:pPr>
        <w:pStyle w:val="LiteraturaUMAR"/>
      </w:pPr>
      <w:r w:rsidRPr="00343C13">
        <w:t>BS (2019). Gospodarska in finančna gibanja oktober 2019. Ljubljana: Banka Slov</w:t>
      </w:r>
      <w:r w:rsidR="0046476D">
        <w:t>e</w:t>
      </w:r>
      <w:r w:rsidRPr="00343C13">
        <w:t>nije. Pridobljeno na: https://bankaslovenije.blob.core.windows.net/publication-files/gdhahfmohlGE_gospodarska-in-financna-gibanja-oktober-2019.pdf</w:t>
      </w:r>
    </w:p>
    <w:p w14:paraId="07E2E14E" w14:textId="77777777" w:rsidR="00422444" w:rsidRPr="0046476D" w:rsidRDefault="00422444" w:rsidP="0046476D">
      <w:pPr>
        <w:pStyle w:val="LiteraturaUMAR"/>
      </w:pPr>
      <w:r w:rsidRPr="0046476D">
        <w:t xml:space="preserve">BS (2021). Podatkovna baza. Ljubljana: Banka Slovenije. Pridobljeno na: </w:t>
      </w:r>
      <w:hyperlink r:id="rId31" w:history="1">
        <w:r w:rsidR="0046476D" w:rsidRPr="0046476D">
          <w:rPr>
            <w:rStyle w:val="Hyperlink"/>
            <w:color w:val="auto"/>
            <w:u w:val="none"/>
          </w:rPr>
          <w:t>https://px.bsi.si/pxweb/sl/serije_slo/</w:t>
        </w:r>
      </w:hyperlink>
    </w:p>
    <w:p w14:paraId="25EA1F8A" w14:textId="77777777" w:rsidR="0046476D" w:rsidRPr="0046476D" w:rsidRDefault="0046476D" w:rsidP="0046476D">
      <w:pPr>
        <w:pStyle w:val="LiteraturaUMAR"/>
      </w:pPr>
      <w:r w:rsidRPr="0046476D">
        <w:t>ECB (20</w:t>
      </w:r>
      <w:r>
        <w:t>16</w:t>
      </w:r>
      <w:r w:rsidRPr="0046476D">
        <w:t>).</w:t>
      </w:r>
      <w:r>
        <w:rPr>
          <w:rFonts w:ascii="Arial" w:hAnsi="Arial" w:cs="Arial"/>
          <w:sz w:val="40"/>
          <w:szCs w:val="40"/>
        </w:rPr>
        <w:t xml:space="preserve"> </w:t>
      </w:r>
      <w:proofErr w:type="spellStart"/>
      <w:r w:rsidRPr="0046476D">
        <w:t>Savings</w:t>
      </w:r>
      <w:proofErr w:type="spellEnd"/>
      <w:r w:rsidRPr="0046476D">
        <w:t xml:space="preserve"> </w:t>
      </w:r>
      <w:proofErr w:type="spellStart"/>
      <w:r w:rsidRPr="0046476D">
        <w:t>and</w:t>
      </w:r>
      <w:proofErr w:type="spellEnd"/>
      <w:r w:rsidRPr="0046476D">
        <w:t xml:space="preserve"> </w:t>
      </w:r>
      <w:proofErr w:type="spellStart"/>
      <w:r w:rsidRPr="0046476D">
        <w:t>investment</w:t>
      </w:r>
      <w:proofErr w:type="spellEnd"/>
      <w:r w:rsidRPr="0046476D">
        <w:t xml:space="preserve"> </w:t>
      </w:r>
      <w:proofErr w:type="spellStart"/>
      <w:r w:rsidRPr="0046476D">
        <w:t>behaviour</w:t>
      </w:r>
      <w:proofErr w:type="spellEnd"/>
      <w:r w:rsidRPr="0046476D">
        <w:t xml:space="preserve"> in </w:t>
      </w:r>
      <w:proofErr w:type="spellStart"/>
      <w:r w:rsidRPr="0046476D">
        <w:t>the</w:t>
      </w:r>
      <w:proofErr w:type="spellEnd"/>
      <w:r w:rsidRPr="0046476D">
        <w:t xml:space="preserve"> euro area. Frankfurt: Evropska centralna banka. Pridobljeno na</w:t>
      </w:r>
      <w:r>
        <w:t xml:space="preserve">: </w:t>
      </w:r>
      <w:r w:rsidRPr="0046476D">
        <w:t>https://www.ecb.europa.eu/pub/pdf/scpops/ecbop167.en.pdf</w:t>
      </w:r>
    </w:p>
    <w:p w14:paraId="21C8BF6F" w14:textId="77777777" w:rsidR="00422444" w:rsidRDefault="00422444" w:rsidP="008336AC">
      <w:pPr>
        <w:pStyle w:val="LiteraturaUMAR"/>
        <w:rPr>
          <w:rStyle w:val="Hyperlink"/>
          <w:color w:val="auto"/>
          <w:u w:val="none"/>
        </w:rPr>
      </w:pPr>
      <w:r w:rsidRPr="001A2865">
        <w:t>Eurostat (202</w:t>
      </w:r>
      <w:r>
        <w:t>1</w:t>
      </w:r>
      <w:r w:rsidRPr="001A2865">
        <w:t xml:space="preserve">). Podatkovna baza. Luxembourg: Eurostat. Pridobljeno na: </w:t>
      </w:r>
      <w:hyperlink r:id="rId32" w:history="1">
        <w:r w:rsidRPr="001A2865">
          <w:rPr>
            <w:rStyle w:val="Hyperlink"/>
            <w:color w:val="auto"/>
            <w:u w:val="none"/>
          </w:rPr>
          <w:t>https://ec.europa.eu/eurostat/data/database</w:t>
        </w:r>
      </w:hyperlink>
    </w:p>
    <w:p w14:paraId="2D64D80C" w14:textId="77777777" w:rsidR="0054060D" w:rsidRPr="001A2865" w:rsidRDefault="0054060D" w:rsidP="008336AC">
      <w:pPr>
        <w:pStyle w:val="LiteraturaUMAR"/>
      </w:pPr>
      <w:r>
        <w:t xml:space="preserve">FURS (2021). Podatki o davčno potrjenih računih. </w:t>
      </w:r>
      <w:r w:rsidR="006905ED">
        <w:t xml:space="preserve">Interni podatki. </w:t>
      </w:r>
      <w:r>
        <w:t>Ljubljana: Finančna uprava Republike Slovenije.</w:t>
      </w:r>
    </w:p>
    <w:p w14:paraId="10C10C38" w14:textId="77777777" w:rsidR="00422444" w:rsidRDefault="00422444" w:rsidP="001908FD">
      <w:pPr>
        <w:pStyle w:val="LiteraturaUMAR"/>
      </w:pPr>
      <w:proofErr w:type="spellStart"/>
      <w:r>
        <w:t>Masterindex</w:t>
      </w:r>
      <w:proofErr w:type="spellEnd"/>
      <w:r>
        <w:t xml:space="preserve"> raziskava (2020). Kakšni so trendi in nakupovalne navade Slovencev? Ljubljana: </w:t>
      </w:r>
      <w:proofErr w:type="spellStart"/>
      <w:r>
        <w:t>Shopper's</w:t>
      </w:r>
      <w:proofErr w:type="spellEnd"/>
      <w:r>
        <w:t xml:space="preserve"> </w:t>
      </w:r>
      <w:proofErr w:type="spellStart"/>
      <w:r>
        <w:t>Mind</w:t>
      </w:r>
      <w:proofErr w:type="spellEnd"/>
      <w:r>
        <w:t xml:space="preserve">. Pridobljeno na: </w:t>
      </w:r>
      <w:r w:rsidRPr="0092693E">
        <w:t>https://smind.si/masterindex-raziskava-kaksni-trendi-nakupovalne-navade-slovencev/</w:t>
      </w:r>
    </w:p>
    <w:p w14:paraId="58FE7B3C" w14:textId="77777777" w:rsidR="00422444" w:rsidRPr="00E46BA5" w:rsidRDefault="00422444" w:rsidP="00AA507E">
      <w:pPr>
        <w:pStyle w:val="LiteraturaUMAR"/>
      </w:pPr>
      <w:r w:rsidRPr="00F43616">
        <w:t xml:space="preserve">Odlok o začasni prepovedi ponujanja in prodajanja blaga in storitev potrošnikom v Republiki Sloveniji. (2020). Ur. l. RS </w:t>
      </w:r>
      <w:hyperlink r:id="rId33" w:tgtFrame="_blank" w:tooltip="Odlok o začasni prepovedi ponujanja in prodajanja blaga in storitev potrošnikom v Republiki Sloveniji" w:history="1">
        <w:r w:rsidRPr="00E46BA5">
          <w:t>25/20</w:t>
        </w:r>
      </w:hyperlink>
      <w:r w:rsidRPr="00E46BA5">
        <w:t xml:space="preserve">, </w:t>
      </w:r>
      <w:hyperlink r:id="rId34" w:tgtFrame="_blank" w:tooltip="Odlok o dopolnitvi Odloka o začasni prepovedi ponujanja in prodajanja blaga in storitev potrošnikom v Republiki Sloveniji" w:history="1">
        <w:r w:rsidRPr="00E46BA5">
          <w:t>29/20</w:t>
        </w:r>
      </w:hyperlink>
      <w:r w:rsidRPr="00E46BA5">
        <w:t xml:space="preserve">, </w:t>
      </w:r>
      <w:hyperlink r:id="rId35" w:tgtFrame="_blank" w:tooltip="Odlok o spremembah in dopolnitvah Odloka o začasni prepovedi ponujanja in prodajanja blaga in storitev potrošnikom v Republiki Sloveniji" w:history="1">
        <w:r w:rsidRPr="00E46BA5">
          <w:t>32/20</w:t>
        </w:r>
      </w:hyperlink>
      <w:r w:rsidRPr="00E46BA5">
        <w:t xml:space="preserve">, </w:t>
      </w:r>
      <w:hyperlink r:id="rId36" w:tgtFrame="_blank" w:tooltip="Odlok o spremembi Odloka o začasni prepovedi ponujanja in prodajanja blaga in storitev potrošnikom v Republiki Sloveniji" w:history="1">
        <w:r w:rsidRPr="00E46BA5">
          <w:t>37/20</w:t>
        </w:r>
      </w:hyperlink>
      <w:r w:rsidRPr="00E46BA5">
        <w:t xml:space="preserve">, </w:t>
      </w:r>
      <w:hyperlink r:id="rId37" w:tgtFrame="_blank" w:tooltip="Odlok o spremembah in dopolnitvah Odloka o začasni prepovedi ponujanja in prodajanja blaga in storitev potrošnikom v Republiki Sloveniji" w:history="1">
        <w:r w:rsidRPr="00E46BA5">
          <w:t>42/20</w:t>
        </w:r>
      </w:hyperlink>
      <w:r w:rsidRPr="00E46BA5">
        <w:t xml:space="preserve">, </w:t>
      </w:r>
      <w:hyperlink r:id="rId38" w:tgtFrame="_blank" w:tooltip="Odlok o dopolnitvi Odloka o začasni prepovedi ponujanja in prodajanja blaga in storitev potrošnikom v Republiki Sloveniji" w:history="1">
        <w:r w:rsidRPr="00E46BA5">
          <w:t>44/20</w:t>
        </w:r>
      </w:hyperlink>
      <w:r w:rsidRPr="00E46BA5">
        <w:t xml:space="preserve">, </w:t>
      </w:r>
      <w:hyperlink r:id="rId39" w:tgtFrame="_blank" w:tooltip="Odlok o spremembi Odloka o začasni prepovedi ponujanja in prodajanja blaga in storitev potrošnikom v Republiki Sloveniji" w:history="1">
        <w:r w:rsidRPr="00E46BA5">
          <w:t>47/20</w:t>
        </w:r>
      </w:hyperlink>
      <w:r w:rsidRPr="00E46BA5">
        <w:t xml:space="preserve">, </w:t>
      </w:r>
      <w:hyperlink r:id="rId40" w:tgtFrame="_blank" w:tooltip="Odlok o spremembah in dopolnitvi Odloka o začasni prepovedi ponujanja in prodajanja blaga in storitev potrošnikom v Republiki Sloveniji" w:history="1">
        <w:r w:rsidRPr="00E46BA5">
          <w:t>53/20</w:t>
        </w:r>
      </w:hyperlink>
      <w:r w:rsidRPr="00E46BA5">
        <w:t xml:space="preserve">, </w:t>
      </w:r>
      <w:hyperlink r:id="rId41" w:tgtFrame="_blank" w:tooltip="Odlok o dopolnitvah Odloka o začasni prepovedi ponujanja in prodajanja blaga in storitev potrošnikom v Republiki Sloveniji" w:history="1">
        <w:r w:rsidRPr="00E46BA5">
          <w:t>58/20</w:t>
        </w:r>
      </w:hyperlink>
      <w:r w:rsidRPr="00E46BA5">
        <w:t xml:space="preserve">, </w:t>
      </w:r>
      <w:hyperlink r:id="rId42" w:tgtFrame="_blank" w:tooltip="Odlok o spremembah Odloka o začasni prepovedi ponujanja in prodajanja blaga in storitev potrošnikom v Republiki Sloveniji" w:history="1">
        <w:r w:rsidRPr="00E46BA5">
          <w:t>59/20</w:t>
        </w:r>
      </w:hyperlink>
      <w:r w:rsidRPr="00E46BA5">
        <w:t xml:space="preserve"> in </w:t>
      </w:r>
      <w:hyperlink r:id="rId43" w:tgtFrame="_blank" w:tooltip="Odlok o omejitvah ponujanja in prodajanja blaga in storitev potrošnikom v Republiki Sloveniji" w:history="1">
        <w:r w:rsidRPr="00E46BA5">
          <w:t>67/20</w:t>
        </w:r>
      </w:hyperlink>
      <w:r>
        <w:t>.</w:t>
      </w:r>
    </w:p>
    <w:p w14:paraId="35CAA429" w14:textId="77777777" w:rsidR="00422444" w:rsidRDefault="00422444" w:rsidP="003E4EB5">
      <w:pPr>
        <w:pStyle w:val="LiteraturaUMAR"/>
      </w:pPr>
      <w:r>
        <w:t xml:space="preserve">OPSI (2021). Odpri podatki Slovenije. Ljubljana: Ministrstvo za javno upravo. Pridobljeno na: </w:t>
      </w:r>
      <w:r w:rsidRPr="005A28E0">
        <w:t>https://podatki.gov.si/dataset/</w:t>
      </w:r>
    </w:p>
    <w:p w14:paraId="3A0879EF" w14:textId="77777777" w:rsidR="00422444" w:rsidRPr="00E46BA5" w:rsidRDefault="00422444" w:rsidP="001908FD">
      <w:pPr>
        <w:pStyle w:val="LiteraturaUMAR"/>
      </w:pPr>
      <w:r w:rsidRPr="00343C13">
        <w:t>Sklep o podaljšanju veljavnosti ukrepa za izboljšanje gospodarskega položaja na področju potrošnje turizma (2020). Ur. l. RS 152/20</w:t>
      </w:r>
      <w:r>
        <w:t>.</w:t>
      </w:r>
    </w:p>
    <w:p w14:paraId="723A92C6" w14:textId="77777777" w:rsidR="00422444" w:rsidRPr="001A2865" w:rsidRDefault="00422444" w:rsidP="008336AC">
      <w:pPr>
        <w:pStyle w:val="LiteraturaUMAR"/>
      </w:pPr>
      <w:r w:rsidRPr="001A2865">
        <w:t>SURS (202</w:t>
      </w:r>
      <w:r>
        <w:t>1</w:t>
      </w:r>
      <w:r w:rsidRPr="001A2865">
        <w:t xml:space="preserve">). SI-STAT </w:t>
      </w:r>
      <w:r w:rsidRPr="00E55E6C">
        <w:t>podatkovni portal. Ljubljana</w:t>
      </w:r>
      <w:r w:rsidRPr="001A2865">
        <w:t xml:space="preserve">: Statistični urad RS. Pridobljeno na: </w:t>
      </w:r>
      <w:hyperlink r:id="rId44" w:history="1">
        <w:r w:rsidRPr="001A2865">
          <w:t>http://pxweb.stat.si/pxweb/dialog/statfile2.asp</w:t>
        </w:r>
      </w:hyperlink>
      <w:r w:rsidRPr="001A2865">
        <w:t xml:space="preserve"> </w:t>
      </w:r>
    </w:p>
    <w:p w14:paraId="4C1DA4AC" w14:textId="77777777" w:rsidR="00422444" w:rsidRDefault="00422444" w:rsidP="00E55E6C">
      <w:pPr>
        <w:pStyle w:val="LiteraturaUMAR"/>
        <w:rPr>
          <w:rStyle w:val="Hyperlink"/>
          <w:color w:val="auto"/>
          <w:u w:val="none"/>
        </w:rPr>
      </w:pPr>
      <w:r w:rsidRPr="00E55E6C">
        <w:t xml:space="preserve">UMAR (2021). Pomladanska napoved gospodarskih gibanj. Ljubljana: Urad RS za makroekonomske analize in razvoj. Pridobljeno na: </w:t>
      </w:r>
      <w:hyperlink r:id="rId45" w:history="1">
        <w:r w:rsidRPr="00E55E6C">
          <w:rPr>
            <w:rStyle w:val="Hyperlink"/>
            <w:color w:val="auto"/>
            <w:u w:val="none"/>
          </w:rPr>
          <w:t>https://www.UMAR.gov.si/</w:t>
        </w:r>
      </w:hyperlink>
    </w:p>
    <w:p w14:paraId="2843464F" w14:textId="77777777" w:rsidR="0046476D" w:rsidRPr="0046476D" w:rsidRDefault="0046476D" w:rsidP="0046476D">
      <w:pPr>
        <w:pStyle w:val="LiteraturaUMAR"/>
        <w:rPr>
          <w:rStyle w:val="Hyperlink"/>
          <w:color w:val="auto"/>
          <w:u w:val="none"/>
        </w:rPr>
      </w:pPr>
      <w:r w:rsidRPr="00E55E6C">
        <w:t>UMAR (20</w:t>
      </w:r>
      <w:r w:rsidR="00713E92">
        <w:t>19</w:t>
      </w:r>
      <w:r w:rsidRPr="00E55E6C">
        <w:t>). Po</w:t>
      </w:r>
      <w:r>
        <w:t>ročilo o razvoju</w:t>
      </w:r>
      <w:r w:rsidRPr="00E55E6C">
        <w:t xml:space="preserve">. Ljubljana: Urad RS za makroekonomske analize in razvoj. Pridobljeno na: </w:t>
      </w:r>
      <w:hyperlink r:id="rId46" w:history="1">
        <w:r w:rsidRPr="00E55E6C">
          <w:rPr>
            <w:rStyle w:val="Hyperlink"/>
            <w:color w:val="auto"/>
            <w:u w:val="none"/>
          </w:rPr>
          <w:t>https://www.UMAR.gov.si/</w:t>
        </w:r>
      </w:hyperlink>
    </w:p>
    <w:p w14:paraId="37ED06C9" w14:textId="77777777" w:rsidR="00422444" w:rsidRPr="00E55E6C" w:rsidRDefault="00422444" w:rsidP="00E55E6C">
      <w:pPr>
        <w:pStyle w:val="LiteraturaUMAR"/>
      </w:pPr>
      <w:r w:rsidRPr="00E55E6C">
        <w:t>Zakon o interventnem ukrepu odloga plačila obveznosti kreditojemalcev (ZIUOPOK) (2020). Ur. l. RS št. 36/20 in 49/20 - ZIUZEOP.</w:t>
      </w:r>
    </w:p>
    <w:p w14:paraId="1B2A2ECE" w14:textId="77777777" w:rsidR="00422444" w:rsidRPr="00AA507E" w:rsidRDefault="00422444" w:rsidP="00E55E6C">
      <w:pPr>
        <w:pStyle w:val="LiteraturaUMAR"/>
      </w:pPr>
      <w:r>
        <w:t>Zakon o uravnoteženju javnih financ (ZUJF) (</w:t>
      </w:r>
      <w:r w:rsidRPr="00AA507E">
        <w:t xml:space="preserve">2012). Ur. L. RS št. </w:t>
      </w:r>
      <w:hyperlink r:id="rId47" w:tgtFrame="_blank" w:tooltip="Zakon za uravnoteženje javnih financ (ZUJF)" w:history="1">
        <w:r w:rsidRPr="00AA507E">
          <w:t>40/12</w:t>
        </w:r>
      </w:hyperlink>
      <w:r w:rsidRPr="00AA507E">
        <w:t xml:space="preserve">, </w:t>
      </w:r>
      <w:hyperlink r:id="rId48" w:tgtFrame="_blank" w:tooltip="Zakon o pokojninskem in invalidskem zavarovanju" w:history="1">
        <w:r w:rsidRPr="00AA507E">
          <w:t>96/12</w:t>
        </w:r>
      </w:hyperlink>
      <w:r w:rsidRPr="00AA507E">
        <w:t xml:space="preserve"> – ZPIZ-2, </w:t>
      </w:r>
      <w:hyperlink r:id="rId49" w:tgtFrame="_blank" w:tooltip="Zakon o izvrševanju proračunov Republike Slovenije za leti 2013 in 2014" w:history="1">
        <w:r w:rsidRPr="00AA507E">
          <w:t>104/12</w:t>
        </w:r>
      </w:hyperlink>
      <w:r w:rsidRPr="00AA507E">
        <w:t xml:space="preserve"> – ZIPRS1314, </w:t>
      </w:r>
      <w:hyperlink r:id="rId50" w:tgtFrame="_blank" w:tooltip="Zakon o dopolnitvi Zakona za uravnoteženje javnih financ" w:history="1">
        <w:r w:rsidRPr="00AA507E">
          <w:t>105/12</w:t>
        </w:r>
      </w:hyperlink>
      <w:r w:rsidRPr="00AA507E">
        <w:t xml:space="preserve">, </w:t>
      </w:r>
      <w:hyperlink r:id="rId51" w:tgtFrame="_blank" w:tooltip="Odločba o razveljavitvi drugega, tretjega in četrtega odstavka 143. člena Zakona za uravnoteženje financ in o ugotovitvi, da so bili drugi, tretji in četrti odstavek 143. člena Zakona za uravnoteženje javnih financ v delih, ki so se nanašali na upravičence do " w:history="1">
        <w:r w:rsidRPr="00AA507E">
          <w:t>25/13</w:t>
        </w:r>
      </w:hyperlink>
      <w:r w:rsidRPr="00AA507E">
        <w:t xml:space="preserve"> – </w:t>
      </w:r>
      <w:proofErr w:type="spellStart"/>
      <w:r w:rsidRPr="00AA507E">
        <w:t>odl</w:t>
      </w:r>
      <w:proofErr w:type="spellEnd"/>
      <w:r w:rsidRPr="00AA507E">
        <w:t xml:space="preserve">. US, </w:t>
      </w:r>
      <w:hyperlink r:id="rId52" w:tgtFrame="_blank" w:tooltip="Zakon o spremembah in dopolnitvah Zakona o izvrševanju proračunov Republike Slovenije za leti 2013 in 2014" w:history="1">
        <w:r w:rsidRPr="00AA507E">
          <w:t>46/13</w:t>
        </w:r>
      </w:hyperlink>
      <w:r w:rsidRPr="00AA507E">
        <w:t xml:space="preserve"> – ZIPRS1314-A, </w:t>
      </w:r>
      <w:hyperlink r:id="rId53" w:tgtFrame="_blank" w:tooltip="Zakon o štipendiranju" w:history="1">
        <w:r w:rsidRPr="00AA507E">
          <w:t>56/13</w:t>
        </w:r>
      </w:hyperlink>
      <w:r w:rsidRPr="00AA507E">
        <w:t xml:space="preserve"> – ZŠtip-1, </w:t>
      </w:r>
      <w:hyperlink r:id="rId54" w:tgtFrame="_blank" w:tooltip="Zakon o spremembah in dopolnitvah Zakona o osnovni šoli" w:history="1">
        <w:r w:rsidRPr="00AA507E">
          <w:t>63/13</w:t>
        </w:r>
      </w:hyperlink>
      <w:r w:rsidRPr="00AA507E">
        <w:t xml:space="preserve"> – ZOsn-I, </w:t>
      </w:r>
      <w:hyperlink r:id="rId55" w:tgtFrame="_blank" w:tooltip="Zakon o spremembah in dopolnitvah Zakona o Javni agenciji za knjigo Republike Slovenije" w:history="1">
        <w:r w:rsidRPr="00AA507E">
          <w:t>63/13</w:t>
        </w:r>
      </w:hyperlink>
      <w:r w:rsidRPr="00AA507E">
        <w:t xml:space="preserve"> – ZJAKRS-A, </w:t>
      </w:r>
      <w:hyperlink r:id="rId56" w:tgtFrame="_blank" w:tooltip="Zakon o spremembah in dopolnitvah Zakona o uveljavljanju pravic iz javnih sredstev" w:history="1">
        <w:r w:rsidRPr="00AA507E">
          <w:t>99/13</w:t>
        </w:r>
      </w:hyperlink>
      <w:r w:rsidRPr="00AA507E">
        <w:t xml:space="preserve"> – ZUPJS-C, </w:t>
      </w:r>
      <w:hyperlink r:id="rId57" w:tgtFrame="_blank" w:tooltip="Zakon o spremembah in dopolnitvah Zakona o socialno varstvenih prejemkih" w:history="1">
        <w:r w:rsidRPr="00AA507E">
          <w:t>99/13</w:t>
        </w:r>
      </w:hyperlink>
      <w:r w:rsidRPr="00AA507E">
        <w:t xml:space="preserve"> – </w:t>
      </w:r>
      <w:proofErr w:type="spellStart"/>
      <w:r w:rsidRPr="00AA507E">
        <w:t>ZSVarPre</w:t>
      </w:r>
      <w:proofErr w:type="spellEnd"/>
      <w:r w:rsidRPr="00AA507E">
        <w:t xml:space="preserve">-C, </w:t>
      </w:r>
      <w:hyperlink r:id="rId58" w:tgtFrame="_blank" w:tooltip="Zakon o izvrševanju proračunov Republike Slovenije za leti 2014 in 2015" w:history="1">
        <w:r w:rsidRPr="00AA507E">
          <w:t>101/13</w:t>
        </w:r>
      </w:hyperlink>
      <w:r w:rsidRPr="00AA507E">
        <w:t xml:space="preserve"> – ZIPRS1415, </w:t>
      </w:r>
      <w:hyperlink r:id="rId59" w:tgtFrame="_blank" w:tooltip="Zakon o davku na nepremičnine" w:history="1">
        <w:r w:rsidRPr="00AA507E">
          <w:t>101/13</w:t>
        </w:r>
      </w:hyperlink>
      <w:r w:rsidRPr="00AA507E">
        <w:t xml:space="preserve"> – </w:t>
      </w:r>
      <w:proofErr w:type="spellStart"/>
      <w:r w:rsidRPr="00AA507E">
        <w:t>ZDavNepr</w:t>
      </w:r>
      <w:proofErr w:type="spellEnd"/>
      <w:r w:rsidRPr="00AA507E">
        <w:t xml:space="preserve">, </w:t>
      </w:r>
      <w:hyperlink r:id="rId60" w:tgtFrame="_blank" w:tooltip="Odločba o ugotovitvi, da so prvi odstavek 188. člena Zakona za uravnoteženje javnih financ v zvezi z enajstim odstavkom 429. člena Zakona o pokojninskem in invalidskem zavarovanju, drugi, tretji in četrti odstavek 188. člena ter 246. člen Zakona za uravnotežen" w:history="1">
        <w:r w:rsidRPr="00AA507E">
          <w:t>107/13</w:t>
        </w:r>
      </w:hyperlink>
      <w:r w:rsidRPr="00AA507E">
        <w:t xml:space="preserve"> – </w:t>
      </w:r>
      <w:proofErr w:type="spellStart"/>
      <w:r w:rsidRPr="00AA507E">
        <w:t>odl</w:t>
      </w:r>
      <w:proofErr w:type="spellEnd"/>
      <w:r w:rsidRPr="00AA507E">
        <w:t xml:space="preserve">. US, </w:t>
      </w:r>
      <w:hyperlink r:id="rId61" w:tgtFrame="_blank" w:tooltip="Zakon o spremembah in dopolnitvah Zakona za uravnoteženje javnih financ" w:history="1">
        <w:r w:rsidRPr="00AA507E">
          <w:t>85/14</w:t>
        </w:r>
      </w:hyperlink>
      <w:r w:rsidRPr="00AA507E">
        <w:t xml:space="preserve">, </w:t>
      </w:r>
      <w:hyperlink r:id="rId62" w:tgtFrame="_blank" w:tooltip="Zakon o spremembah in dopolnitvah Zakona za uravnoteženje javnih financ" w:history="1">
        <w:r w:rsidRPr="00AA507E">
          <w:t>95/14</w:t>
        </w:r>
      </w:hyperlink>
      <w:r w:rsidRPr="00AA507E">
        <w:t xml:space="preserve">, </w:t>
      </w:r>
      <w:hyperlink r:id="rId63" w:tgtFrame="_blank" w:tooltip="Odločba o razveljavitvi drugega in tretjega odstavka 137. člena Zakona za uravnoteženje javnih financ" w:history="1">
        <w:r w:rsidRPr="00AA507E">
          <w:t>24/15</w:t>
        </w:r>
      </w:hyperlink>
      <w:r w:rsidRPr="00AA507E">
        <w:t xml:space="preserve"> – </w:t>
      </w:r>
      <w:proofErr w:type="spellStart"/>
      <w:r w:rsidRPr="00AA507E">
        <w:t>odl</w:t>
      </w:r>
      <w:proofErr w:type="spellEnd"/>
      <w:r w:rsidRPr="00AA507E">
        <w:t xml:space="preserve">. US, </w:t>
      </w:r>
      <w:hyperlink r:id="rId64" w:tgtFrame="_blank" w:tooltip="Zakon o spremembah Zakona za uravnoteženje javnih financ" w:history="1">
        <w:r w:rsidRPr="00AA507E">
          <w:t>90/15</w:t>
        </w:r>
      </w:hyperlink>
      <w:r w:rsidRPr="00AA507E">
        <w:t xml:space="preserve">, </w:t>
      </w:r>
      <w:hyperlink r:id="rId65" w:tgtFrame="_blank" w:tooltip="Zakon o dopolnitvi Zakona za uravnoteženje javnih financ" w:history="1">
        <w:r w:rsidRPr="00AA507E">
          <w:t>102/15</w:t>
        </w:r>
      </w:hyperlink>
      <w:r w:rsidRPr="00AA507E">
        <w:t xml:space="preserve">, </w:t>
      </w:r>
      <w:hyperlink r:id="rId66" w:tgtFrame="_blank" w:tooltip="Zakon o spremembah in dopolnitvah Zakona o dohodnini" w:history="1">
        <w:r w:rsidRPr="00AA507E">
          <w:t>63/16</w:t>
        </w:r>
      </w:hyperlink>
      <w:r w:rsidRPr="00AA507E">
        <w:t xml:space="preserve"> – ZDoh-2R, </w:t>
      </w:r>
      <w:hyperlink r:id="rId67" w:tgtFrame="_blank" w:tooltip="Zakon o množičnem vrednotenju nepremičnin" w:history="1">
        <w:r w:rsidRPr="00AA507E">
          <w:t>77/17</w:t>
        </w:r>
      </w:hyperlink>
      <w:r w:rsidRPr="00AA507E">
        <w:t xml:space="preserve"> – ZMVN-1, </w:t>
      </w:r>
      <w:hyperlink r:id="rId68" w:tgtFrame="_blank" w:tooltip="Zakon o spremembah in dopolnitvi Zakona o množičnem vrednotenju nepremičnin" w:history="1">
        <w:r w:rsidRPr="00AA507E">
          <w:t>33/19</w:t>
        </w:r>
      </w:hyperlink>
      <w:r w:rsidRPr="00AA507E">
        <w:t xml:space="preserve"> – ZMVN-1A, </w:t>
      </w:r>
      <w:hyperlink r:id="rId69" w:tgtFrame="_blank" w:tooltip="Zakon o spremembah Zakona za uravnoteženje javnih financ" w:history="1">
        <w:r w:rsidRPr="00AA507E">
          <w:t>72/19</w:t>
        </w:r>
      </w:hyperlink>
      <w:r w:rsidRPr="00AA507E">
        <w:t xml:space="preserve"> in </w:t>
      </w:r>
      <w:hyperlink r:id="rId70" w:tgtFrame="_blank" w:tooltip="Zakon o izvrševanju proračunov Republike Slovenije za leti 2021 in 2022" w:history="1">
        <w:r w:rsidRPr="00AA507E">
          <w:t>174/20</w:t>
        </w:r>
      </w:hyperlink>
      <w:r w:rsidRPr="00AA507E">
        <w:t xml:space="preserve"> – ZIPRS2122</w:t>
      </w:r>
      <w:r>
        <w:t>.</w:t>
      </w:r>
    </w:p>
    <w:p w14:paraId="3C5249E3" w14:textId="77777777" w:rsidR="00422444" w:rsidRPr="00F43616" w:rsidRDefault="00422444" w:rsidP="00763D2E">
      <w:pPr>
        <w:pStyle w:val="LiteraturaUMAR"/>
      </w:pPr>
      <w:r w:rsidRPr="00AA507E">
        <w:t>Zakon o uveljavljanju pravic iz javnih sredstev</w:t>
      </w:r>
      <w:r w:rsidRPr="00F43616">
        <w:rPr>
          <w:i/>
        </w:rPr>
        <w:t xml:space="preserve"> </w:t>
      </w:r>
      <w:r w:rsidRPr="00AA507E">
        <w:t xml:space="preserve">(ZUPJS) </w:t>
      </w:r>
      <w:r w:rsidRPr="00F43616">
        <w:t xml:space="preserve">(2012). Ur. l. RS 62/10, 40/11, 40/12 – ZUJF, 57/12 – ZPCP-2D, 14/13, 56/13 – ZŠtip-1, 99/13, 14/15 – ZUUJFO, 57/15, 90/15, 38/16 – </w:t>
      </w:r>
      <w:proofErr w:type="spellStart"/>
      <w:r w:rsidRPr="00F43616">
        <w:t>odl</w:t>
      </w:r>
      <w:proofErr w:type="spellEnd"/>
      <w:r w:rsidRPr="00F43616">
        <w:t xml:space="preserve">. US, 51/16 – </w:t>
      </w:r>
      <w:proofErr w:type="spellStart"/>
      <w:r w:rsidRPr="00F43616">
        <w:t>odl</w:t>
      </w:r>
      <w:proofErr w:type="spellEnd"/>
      <w:r w:rsidRPr="00F43616">
        <w:t>. US, 88/16, 61/17 – ZUPŠ, 75/17, 77/18 in 47/19.</w:t>
      </w:r>
    </w:p>
    <w:bookmarkEnd w:id="8"/>
    <w:p w14:paraId="3BE95405" w14:textId="77777777" w:rsidR="00A522A7" w:rsidRDefault="00A522A7" w:rsidP="008336AC">
      <w:pPr>
        <w:spacing w:after="0" w:line="240" w:lineRule="auto"/>
      </w:pPr>
    </w:p>
    <w:p w14:paraId="01491365" w14:textId="77777777" w:rsidR="00433EC8" w:rsidRPr="008336AC" w:rsidRDefault="009B0A34" w:rsidP="008336AC">
      <w:pPr>
        <w:spacing w:after="0" w:line="240" w:lineRule="auto"/>
        <w:rPr>
          <w:rFonts w:ascii="Myriad Pro" w:hAnsi="Myriad Pro"/>
          <w:sz w:val="20"/>
        </w:rPr>
      </w:pPr>
      <w:r w:rsidRPr="00B35647">
        <w:br w:type="page"/>
      </w:r>
      <w:r w:rsidR="008C0D58">
        <w:rPr>
          <w:noProof/>
          <w:lang w:eastAsia="sl-SI"/>
        </w:rPr>
        <w:drawing>
          <wp:anchor distT="0" distB="0" distL="114300" distR="114300" simplePos="0" relativeHeight="251664384" behindDoc="0" locked="0" layoutInCell="1" allowOverlap="1" wp14:anchorId="63347E4A" wp14:editId="6FDDCA5A">
            <wp:simplePos x="0" y="0"/>
            <wp:positionH relativeFrom="column">
              <wp:posOffset>-691515</wp:posOffset>
            </wp:positionH>
            <wp:positionV relativeFrom="paragraph">
              <wp:posOffset>-974725</wp:posOffset>
            </wp:positionV>
            <wp:extent cx="7165081" cy="10134600"/>
            <wp:effectExtent l="0" t="0" r="0" b="0"/>
            <wp:wrapNone/>
            <wp:docPr id="1" name="Picture 1" descr="Infografika s priporočili za ravnanje glede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fografika s priporočili za ravnanje glede Covid-19"/>
                    <pic:cNvPicPr/>
                  </pic:nvPicPr>
                  <pic:blipFill>
                    <a:blip r:embed="rId71" cstate="print">
                      <a:extLst>
                        <a:ext uri="{28A0092B-C50C-407E-A947-70E740481C1C}">
                          <a14:useLocalDpi xmlns:a14="http://schemas.microsoft.com/office/drawing/2010/main" val="0"/>
                        </a:ext>
                      </a:extLst>
                    </a:blip>
                    <a:stretch>
                      <a:fillRect/>
                    </a:stretch>
                  </pic:blipFill>
                  <pic:spPr>
                    <a:xfrm>
                      <a:off x="0" y="0"/>
                      <a:ext cx="7165081" cy="10134600"/>
                    </a:xfrm>
                    <a:prstGeom prst="rect">
                      <a:avLst/>
                    </a:prstGeom>
                  </pic:spPr>
                </pic:pic>
              </a:graphicData>
            </a:graphic>
            <wp14:sizeRelH relativeFrom="page">
              <wp14:pctWidth>0</wp14:pctWidth>
            </wp14:sizeRelH>
            <wp14:sizeRelV relativeFrom="page">
              <wp14:pctHeight>0</wp14:pctHeight>
            </wp14:sizeRelV>
          </wp:anchor>
        </w:drawing>
      </w:r>
    </w:p>
    <w:sectPr w:rsidR="00433EC8" w:rsidRPr="008336AC" w:rsidSect="00DA3486">
      <w:headerReference w:type="default" r:id="rId72"/>
      <w:pgSz w:w="11906" w:h="16838"/>
      <w:pgMar w:top="1701"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66F4" w14:textId="77777777" w:rsidR="00D674E9" w:rsidRDefault="00D674E9" w:rsidP="009E1648">
      <w:r>
        <w:separator/>
      </w:r>
    </w:p>
    <w:p w14:paraId="449096AD" w14:textId="77777777" w:rsidR="00D674E9" w:rsidRDefault="00D674E9" w:rsidP="009E1648"/>
    <w:p w14:paraId="79F14462" w14:textId="77777777" w:rsidR="00D674E9" w:rsidRDefault="00D674E9" w:rsidP="009E1648"/>
    <w:p w14:paraId="37D96621" w14:textId="77777777" w:rsidR="00D674E9" w:rsidRDefault="00D674E9" w:rsidP="009E1648"/>
    <w:p w14:paraId="2A2FC3A6" w14:textId="77777777" w:rsidR="00D674E9" w:rsidRDefault="00D674E9" w:rsidP="009E1648"/>
    <w:p w14:paraId="057191F9" w14:textId="77777777" w:rsidR="00D674E9" w:rsidRDefault="00D674E9" w:rsidP="009E1648"/>
    <w:p w14:paraId="70F9A8B0" w14:textId="77777777" w:rsidR="00D674E9" w:rsidRDefault="00D674E9" w:rsidP="009E1648"/>
    <w:p w14:paraId="34C960B9" w14:textId="77777777" w:rsidR="00D674E9" w:rsidRDefault="00D674E9" w:rsidP="009E1648"/>
    <w:p w14:paraId="2C906B8E" w14:textId="77777777" w:rsidR="00D674E9" w:rsidRDefault="00D674E9"/>
    <w:p w14:paraId="3B7AF1F7" w14:textId="77777777" w:rsidR="00D674E9" w:rsidRDefault="00D674E9"/>
    <w:p w14:paraId="76A1603A" w14:textId="77777777" w:rsidR="00D674E9" w:rsidRDefault="00D674E9" w:rsidP="00A540FA"/>
    <w:p w14:paraId="27F5868F" w14:textId="77777777" w:rsidR="00D674E9" w:rsidRDefault="00D674E9" w:rsidP="00A540FA"/>
    <w:p w14:paraId="1137EE99" w14:textId="77777777" w:rsidR="00D674E9" w:rsidRDefault="00D674E9" w:rsidP="00A540FA"/>
    <w:p w14:paraId="29C92479" w14:textId="77777777" w:rsidR="00D674E9" w:rsidRDefault="00D674E9" w:rsidP="00A540FA"/>
    <w:p w14:paraId="2488F4F9" w14:textId="77777777" w:rsidR="00D674E9" w:rsidRDefault="00D674E9" w:rsidP="00A540FA"/>
    <w:p w14:paraId="352AC515" w14:textId="77777777" w:rsidR="00D674E9" w:rsidRDefault="00D674E9"/>
  </w:endnote>
  <w:endnote w:type="continuationSeparator" w:id="0">
    <w:p w14:paraId="199DC1FF" w14:textId="77777777" w:rsidR="00D674E9" w:rsidRDefault="00D674E9" w:rsidP="009E1648">
      <w:r>
        <w:continuationSeparator/>
      </w:r>
    </w:p>
    <w:p w14:paraId="54281A25" w14:textId="77777777" w:rsidR="00D674E9" w:rsidRDefault="00D674E9" w:rsidP="009E1648"/>
    <w:p w14:paraId="217FD45C" w14:textId="77777777" w:rsidR="00D674E9" w:rsidRDefault="00D674E9" w:rsidP="009E1648"/>
    <w:p w14:paraId="40029BDF" w14:textId="77777777" w:rsidR="00D674E9" w:rsidRDefault="00D674E9" w:rsidP="009E1648"/>
    <w:p w14:paraId="3F229AAB" w14:textId="77777777" w:rsidR="00D674E9" w:rsidRDefault="00D674E9" w:rsidP="009E1648"/>
    <w:p w14:paraId="2D94781A" w14:textId="77777777" w:rsidR="00D674E9" w:rsidRDefault="00D674E9" w:rsidP="009E1648"/>
    <w:p w14:paraId="33D03917" w14:textId="77777777" w:rsidR="00D674E9" w:rsidRDefault="00D674E9" w:rsidP="009E1648"/>
    <w:p w14:paraId="562AF14F" w14:textId="77777777" w:rsidR="00D674E9" w:rsidRDefault="00D674E9" w:rsidP="009E1648"/>
    <w:p w14:paraId="48784841" w14:textId="77777777" w:rsidR="00D674E9" w:rsidRDefault="00D674E9"/>
    <w:p w14:paraId="4978B650" w14:textId="77777777" w:rsidR="00D674E9" w:rsidRDefault="00D674E9"/>
    <w:p w14:paraId="36F6E697" w14:textId="77777777" w:rsidR="00D674E9" w:rsidRDefault="00D674E9" w:rsidP="00A540FA"/>
    <w:p w14:paraId="38F90C4B" w14:textId="77777777" w:rsidR="00D674E9" w:rsidRDefault="00D674E9" w:rsidP="00A540FA"/>
    <w:p w14:paraId="45596021" w14:textId="77777777" w:rsidR="00D674E9" w:rsidRDefault="00D674E9" w:rsidP="00A540FA"/>
    <w:p w14:paraId="10C9A563" w14:textId="77777777" w:rsidR="00D674E9" w:rsidRDefault="00D674E9" w:rsidP="00A540FA"/>
    <w:p w14:paraId="22DA80D0" w14:textId="77777777" w:rsidR="00D674E9" w:rsidRDefault="00D674E9" w:rsidP="00A540FA"/>
    <w:p w14:paraId="338C67BB" w14:textId="77777777" w:rsidR="00D674E9" w:rsidRDefault="00D674E9"/>
  </w:endnote>
  <w:endnote w:type="continuationNotice" w:id="1">
    <w:p w14:paraId="0393890C" w14:textId="77777777" w:rsidR="00D674E9" w:rsidRDefault="00D674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CFF3" w14:textId="77777777" w:rsidR="00B35647" w:rsidRDefault="00B35647" w:rsidP="00B35647">
    <w:pPr>
      <w:pStyle w:val="Footer"/>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4BCF" w14:textId="77777777" w:rsidR="00D674E9" w:rsidRPr="009B56EE" w:rsidRDefault="00D674E9" w:rsidP="009B56EE">
      <w:pPr>
        <w:pStyle w:val="BesediloUMAR"/>
      </w:pPr>
      <w:r w:rsidRPr="009B56EE">
        <w:separator/>
      </w:r>
    </w:p>
  </w:footnote>
  <w:footnote w:type="continuationSeparator" w:id="0">
    <w:p w14:paraId="5A3804AF" w14:textId="77777777" w:rsidR="00D674E9" w:rsidRDefault="00D674E9">
      <w:r>
        <w:separator/>
      </w:r>
    </w:p>
  </w:footnote>
  <w:footnote w:type="continuationNotice" w:id="1">
    <w:p w14:paraId="7268DB2B" w14:textId="77777777" w:rsidR="00D674E9" w:rsidRDefault="00D674E9">
      <w:pPr>
        <w:spacing w:line="240" w:lineRule="auto"/>
      </w:pPr>
    </w:p>
  </w:footnote>
  <w:footnote w:id="2">
    <w:p w14:paraId="152ED6B5" w14:textId="77777777" w:rsidR="008336AC" w:rsidRPr="005522F1" w:rsidRDefault="008336AC" w:rsidP="00E17BDD">
      <w:pPr>
        <w:pStyle w:val="FootnoteText"/>
        <w:rPr>
          <w:rStyle w:val="FootnoteReference"/>
          <w:sz w:val="16"/>
          <w:vertAlign w:val="baseline"/>
        </w:rPr>
      </w:pPr>
      <w:r w:rsidRPr="005522F1">
        <w:rPr>
          <w:rStyle w:val="FootnoteReference"/>
          <w:sz w:val="16"/>
        </w:rPr>
        <w:footnoteRef/>
      </w:r>
      <w:r w:rsidRPr="005522F1">
        <w:rPr>
          <w:rStyle w:val="FootnoteReference"/>
          <w:sz w:val="14"/>
        </w:rPr>
        <w:t xml:space="preserve"> </w:t>
      </w:r>
      <w:r w:rsidRPr="005522F1">
        <w:rPr>
          <w:rStyle w:val="FootnoteReference"/>
          <w:sz w:val="16"/>
          <w:vertAlign w:val="baseline"/>
        </w:rPr>
        <w:t>Rasti so se  v primerjavi z rastmi v preteklih letih sicer precej umirile.</w:t>
      </w:r>
    </w:p>
  </w:footnote>
  <w:footnote w:id="3">
    <w:p w14:paraId="40EF8DB5" w14:textId="77777777" w:rsidR="008336AC" w:rsidRPr="005522F1" w:rsidRDefault="008336AC" w:rsidP="00E17BDD">
      <w:pPr>
        <w:pStyle w:val="FootnoteText"/>
        <w:rPr>
          <w:rStyle w:val="FootnoteReference"/>
          <w:sz w:val="16"/>
          <w:vertAlign w:val="baseline"/>
        </w:rPr>
      </w:pPr>
      <w:r w:rsidRPr="005522F1">
        <w:rPr>
          <w:rStyle w:val="FootnoteReference"/>
          <w:sz w:val="16"/>
        </w:rPr>
        <w:footnoteRef/>
      </w:r>
      <w:r w:rsidRPr="005522F1">
        <w:rPr>
          <w:rStyle w:val="FootnoteReference"/>
          <w:sz w:val="16"/>
          <w:vertAlign w:val="baseline"/>
        </w:rPr>
        <w:t xml:space="preserve"> Oboje deflacionirano z deflatorjem zasebne potrošnje.</w:t>
      </w:r>
    </w:p>
  </w:footnote>
  <w:footnote w:id="4">
    <w:p w14:paraId="411C3C2F" w14:textId="77777777" w:rsidR="008336AC" w:rsidRPr="005522F1" w:rsidRDefault="008336AC" w:rsidP="00E17BDD">
      <w:pPr>
        <w:pStyle w:val="FootnoteText"/>
        <w:rPr>
          <w:rStyle w:val="FootnoteReference"/>
          <w:sz w:val="16"/>
          <w:vertAlign w:val="baseline"/>
        </w:rPr>
      </w:pPr>
      <w:r w:rsidRPr="005522F1">
        <w:rPr>
          <w:rStyle w:val="FootnoteReference"/>
          <w:sz w:val="16"/>
        </w:rPr>
        <w:footnoteRef/>
      </w:r>
      <w:r w:rsidRPr="005522F1">
        <w:rPr>
          <w:rStyle w:val="FootnoteReference"/>
          <w:sz w:val="16"/>
          <w:vertAlign w:val="baseline"/>
        </w:rPr>
        <w:t xml:space="preserve"> Bruto razpoložljivi </w:t>
      </w:r>
      <w:r w:rsidRPr="005522F1">
        <w:t>dohodek zajema</w:t>
      </w:r>
      <w:r w:rsidRPr="005522F1">
        <w:rPr>
          <w:rStyle w:val="FootnoteReference"/>
          <w:sz w:val="16"/>
          <w:vertAlign w:val="baseline"/>
        </w:rPr>
        <w:t xml:space="preserve"> bruto prihodke gospodinjstev in nepridobitnih institucij, ki opravljajo storitve za gospodinjstva (NPISG) iz zaposlitev, socialnih prejemkov v denarju, poslovnih presežkov in raznovrstnih dohodkov in lastnine, zmanjšane za prispevke in davke. </w:t>
      </w:r>
    </w:p>
  </w:footnote>
  <w:footnote w:id="5">
    <w:p w14:paraId="733DB256" w14:textId="77777777" w:rsidR="008336AC" w:rsidRPr="005522F1" w:rsidRDefault="008336AC" w:rsidP="00E17BDD">
      <w:pPr>
        <w:pStyle w:val="FootnoteText"/>
        <w:rPr>
          <w:rStyle w:val="FootnoteReference"/>
          <w:sz w:val="16"/>
          <w:vertAlign w:val="baseline"/>
        </w:rPr>
      </w:pPr>
      <w:r w:rsidRPr="005522F1">
        <w:rPr>
          <w:rStyle w:val="FootnoteReference"/>
          <w:sz w:val="16"/>
        </w:rPr>
        <w:footnoteRef/>
      </w:r>
      <w:r w:rsidRPr="005522F1">
        <w:rPr>
          <w:rStyle w:val="FootnoteReference"/>
          <w:sz w:val="16"/>
        </w:rPr>
        <w:t xml:space="preserve"> </w:t>
      </w:r>
      <w:r w:rsidRPr="00E55E6C">
        <w:rPr>
          <w:rStyle w:val="FootnoteReference"/>
          <w:sz w:val="16"/>
          <w:vertAlign w:val="baseline"/>
        </w:rPr>
        <w:t xml:space="preserve">Zakon o uveljavljanju pravic iz javnih sredstev (spremenili so se pogoji za pridobivanje socialnih pravic z namenom boljšega ciljanja prejemnikov socialnih pomoči), </w:t>
      </w:r>
      <w:r w:rsidRPr="00AA507E">
        <w:rPr>
          <w:rStyle w:val="FootnoteReference"/>
          <w:sz w:val="16"/>
          <w:vertAlign w:val="baseline"/>
        </w:rPr>
        <w:t>Zakon o uravnoteženju javnih financ.</w:t>
      </w:r>
    </w:p>
  </w:footnote>
  <w:footnote w:id="6">
    <w:p w14:paraId="20EF703A" w14:textId="77777777" w:rsidR="008336AC" w:rsidRPr="005522F1" w:rsidRDefault="008336AC" w:rsidP="00E17BDD">
      <w:pPr>
        <w:pStyle w:val="FootnoteText"/>
        <w:rPr>
          <w:rStyle w:val="FootnoteReference"/>
          <w:sz w:val="16"/>
          <w:vertAlign w:val="baseline"/>
        </w:rPr>
      </w:pPr>
      <w:r w:rsidRPr="005522F1">
        <w:rPr>
          <w:rStyle w:val="FootnoteReference"/>
          <w:sz w:val="16"/>
        </w:rPr>
        <w:footnoteRef/>
      </w:r>
      <w:r w:rsidRPr="005522F1">
        <w:rPr>
          <w:rStyle w:val="FootnoteReference"/>
          <w:sz w:val="16"/>
          <w:vertAlign w:val="baseline"/>
        </w:rPr>
        <w:t xml:space="preserve"> </w:t>
      </w:r>
      <w:r w:rsidRPr="00B401DF">
        <w:rPr>
          <w:rStyle w:val="FootnoteReference"/>
          <w:sz w:val="16"/>
          <w:vertAlign w:val="baseline"/>
        </w:rPr>
        <w:t>Leta 201</w:t>
      </w:r>
      <w:r w:rsidRPr="00B401DF">
        <w:t>9</w:t>
      </w:r>
      <w:r w:rsidRPr="00B401DF">
        <w:rPr>
          <w:rStyle w:val="FootnoteReference"/>
          <w:sz w:val="16"/>
          <w:vertAlign w:val="baseline"/>
        </w:rPr>
        <w:t xml:space="preserve"> je bruto prilagojeni razpoložljivi dohodek gospodinjstev in NPISG predstavljal 7</w:t>
      </w:r>
      <w:r w:rsidRPr="00B401DF">
        <w:t>1,1</w:t>
      </w:r>
      <w:r w:rsidRPr="00B401DF">
        <w:rPr>
          <w:rStyle w:val="FootnoteReference"/>
          <w:sz w:val="16"/>
          <w:vertAlign w:val="baseline"/>
        </w:rPr>
        <w:t xml:space="preserve"> % BDP (leta 2008 70,</w:t>
      </w:r>
      <w:r w:rsidRPr="00B401DF">
        <w:t>8 </w:t>
      </w:r>
      <w:r w:rsidRPr="00B401DF">
        <w:rPr>
          <w:rStyle w:val="FootnoteReference"/>
          <w:sz w:val="16"/>
          <w:vertAlign w:val="baseline"/>
        </w:rPr>
        <w:t>%).</w:t>
      </w:r>
      <w:r w:rsidRPr="005522F1">
        <w:rPr>
          <w:rStyle w:val="FootnoteReference"/>
          <w:sz w:val="16"/>
          <w:vertAlign w:val="baseline"/>
        </w:rPr>
        <w:t xml:space="preserve"> </w:t>
      </w:r>
    </w:p>
  </w:footnote>
  <w:footnote w:id="7">
    <w:p w14:paraId="1CB1129A" w14:textId="77777777" w:rsidR="008336AC" w:rsidRPr="005522F1" w:rsidRDefault="008336AC" w:rsidP="00E17BDD">
      <w:pPr>
        <w:pStyle w:val="FootnoteText"/>
        <w:rPr>
          <w:rStyle w:val="FootnoteReference"/>
          <w:sz w:val="16"/>
          <w:vertAlign w:val="baseline"/>
        </w:rPr>
      </w:pPr>
      <w:r w:rsidRPr="005522F1">
        <w:rPr>
          <w:rStyle w:val="FootnoteReference"/>
          <w:sz w:val="16"/>
        </w:rPr>
        <w:footnoteRef/>
      </w:r>
      <w:r w:rsidRPr="005522F1">
        <w:rPr>
          <w:rStyle w:val="FootnoteReference"/>
          <w:sz w:val="16"/>
          <w:vertAlign w:val="baseline"/>
        </w:rPr>
        <w:t xml:space="preserve"> Poleg dohodka samostojnih podjetnikov k bruto raznovrstnemu dohodku prištevamo še gradnjo za lastno potrebo, obdelavo vrtičkov itd.</w:t>
      </w:r>
    </w:p>
  </w:footnote>
  <w:footnote w:id="8">
    <w:p w14:paraId="502353E5" w14:textId="77777777" w:rsidR="008336AC" w:rsidRDefault="008336AC" w:rsidP="00E17BDD">
      <w:pPr>
        <w:pStyle w:val="FootnoteText"/>
      </w:pPr>
      <w:r>
        <w:rPr>
          <w:rStyle w:val="FootnoteReference"/>
        </w:rPr>
        <w:footnoteRef/>
      </w:r>
      <w:r>
        <w:t xml:space="preserve"> </w:t>
      </w:r>
      <w:r w:rsidRPr="0030420F">
        <w:t>Odlok</w:t>
      </w:r>
      <w:r>
        <w:t>i</w:t>
      </w:r>
      <w:r w:rsidRPr="0030420F">
        <w:t xml:space="preserve"> o začasni </w:t>
      </w:r>
      <w:r w:rsidRPr="00E46BA5">
        <w:t>prepovedi ponujanja in prodajanja blaga in storitev potrošnikom v Republiki Sloveniji, 2020.</w:t>
      </w:r>
    </w:p>
  </w:footnote>
  <w:footnote w:id="9">
    <w:p w14:paraId="765649A3" w14:textId="77777777" w:rsidR="00256FA4" w:rsidRDefault="00256FA4" w:rsidP="00E17BDD">
      <w:pPr>
        <w:pStyle w:val="FootnoteText"/>
      </w:pPr>
      <w:r>
        <w:rPr>
          <w:rStyle w:val="FootnoteReference"/>
        </w:rPr>
        <w:footnoteRef/>
      </w:r>
      <w:r>
        <w:t xml:space="preserve"> Umar, 2019.</w:t>
      </w:r>
    </w:p>
  </w:footnote>
  <w:footnote w:id="10">
    <w:p w14:paraId="6753DD0F" w14:textId="77777777" w:rsidR="008336AC" w:rsidRPr="002E62C4" w:rsidRDefault="008336AC" w:rsidP="00E17BDD">
      <w:pPr>
        <w:pStyle w:val="FootnoteText"/>
        <w:rPr>
          <w:rStyle w:val="FootnoteReference"/>
          <w:sz w:val="16"/>
          <w:vertAlign w:val="baseline"/>
        </w:rPr>
      </w:pPr>
      <w:r w:rsidRPr="007A014C">
        <w:rPr>
          <w:rStyle w:val="FootnoteReference"/>
        </w:rPr>
        <w:footnoteRef/>
      </w:r>
      <w:r w:rsidRPr="007A014C">
        <w:rPr>
          <w:rStyle w:val="FootnoteReference"/>
        </w:rPr>
        <w:t xml:space="preserve"> </w:t>
      </w:r>
      <w:r w:rsidRPr="002E62C4">
        <w:rPr>
          <w:rStyle w:val="FootnoteReference"/>
          <w:sz w:val="16"/>
          <w:vertAlign w:val="baseline"/>
        </w:rPr>
        <w:t>Hrana, brezalkoholne in alkoholne pijače, tobak in mamila.</w:t>
      </w:r>
    </w:p>
  </w:footnote>
  <w:footnote w:id="11">
    <w:p w14:paraId="1754898E" w14:textId="77777777" w:rsidR="008336AC" w:rsidRPr="00B41728" w:rsidRDefault="008336AC" w:rsidP="00E17BDD">
      <w:pPr>
        <w:pStyle w:val="FootnoteText"/>
      </w:pPr>
      <w:r w:rsidRPr="00B41728">
        <w:rPr>
          <w:rStyle w:val="FootnoteReference"/>
          <w:sz w:val="16"/>
        </w:rPr>
        <w:footnoteRef/>
      </w:r>
      <w:r w:rsidRPr="00B41728">
        <w:rPr>
          <w:rStyle w:val="FootnoteReference"/>
          <w:sz w:val="16"/>
          <w:vertAlign w:val="baseline"/>
        </w:rPr>
        <w:t xml:space="preserve"> </w:t>
      </w:r>
      <w:r w:rsidRPr="00A522A7">
        <w:rPr>
          <w:rStyle w:val="FootnoteReference"/>
          <w:sz w:val="16"/>
          <w:vertAlign w:val="baseline"/>
        </w:rPr>
        <w:t>Raziskava Masterindex, januar 2020.</w:t>
      </w:r>
    </w:p>
  </w:footnote>
  <w:footnote w:id="12">
    <w:p w14:paraId="212DBECA" w14:textId="77777777" w:rsidR="008336AC" w:rsidRPr="007A014C" w:rsidRDefault="008336AC" w:rsidP="00E17BDD">
      <w:pPr>
        <w:pStyle w:val="FootnoteText"/>
        <w:rPr>
          <w:rStyle w:val="FootnoteReference"/>
          <w:vertAlign w:val="baseline"/>
        </w:rPr>
      </w:pPr>
      <w:r w:rsidRPr="00B41728">
        <w:rPr>
          <w:vertAlign w:val="superscript"/>
        </w:rPr>
        <w:footnoteRef/>
      </w:r>
      <w:r w:rsidRPr="007A014C">
        <w:rPr>
          <w:rStyle w:val="FootnoteReference"/>
          <w:vertAlign w:val="baseline"/>
        </w:rPr>
        <w:t xml:space="preserve"> </w:t>
      </w:r>
      <w:r w:rsidRPr="00B41728">
        <w:t>Za gospodinjstva in nepridobitne institucije, ki opravljajo storitve za gospodinjstva (NPISG).</w:t>
      </w:r>
    </w:p>
  </w:footnote>
  <w:footnote w:id="13">
    <w:p w14:paraId="72FD19AE" w14:textId="77777777" w:rsidR="008336AC" w:rsidRPr="007A014C" w:rsidRDefault="008336AC" w:rsidP="00E17BDD">
      <w:pPr>
        <w:pStyle w:val="FootnoteText"/>
      </w:pPr>
      <w:r w:rsidRPr="007A014C">
        <w:rPr>
          <w:rStyle w:val="FootnoteReference"/>
        </w:rPr>
        <w:footnoteRef/>
      </w:r>
      <w:r w:rsidRPr="007A014C">
        <w:rPr>
          <w:rStyle w:val="FootnoteReference"/>
        </w:rPr>
        <w:t xml:space="preserve"> </w:t>
      </w:r>
      <w:r w:rsidRPr="007A014C">
        <w:t>Gotovina in vloge, lastniški kapital, zavarovanja in pokojninske sheme ter ostalo (dolžniški vrednostni papirji, dana posojila in druge terjatve)</w:t>
      </w:r>
    </w:p>
  </w:footnote>
  <w:footnote w:id="14">
    <w:p w14:paraId="72CF214B" w14:textId="77777777" w:rsidR="008336AC" w:rsidRPr="007A014C" w:rsidRDefault="008336AC" w:rsidP="00E17BDD">
      <w:pPr>
        <w:pStyle w:val="FootnoteText"/>
      </w:pPr>
      <w:r w:rsidRPr="007A014C">
        <w:rPr>
          <w:rStyle w:val="FootnoteReference"/>
        </w:rPr>
        <w:footnoteRef/>
      </w:r>
      <w:r w:rsidRPr="007A014C">
        <w:rPr>
          <w:rStyle w:val="FootnoteReference"/>
        </w:rPr>
        <w:t xml:space="preserve"> </w:t>
      </w:r>
      <w:r w:rsidRPr="007A014C">
        <w:t xml:space="preserve">Finančna sredstva gospodinjstev so se sicer precej povečala tudi z zadnjo revizijo poleti 2019. Po podatkih </w:t>
      </w:r>
      <w:r w:rsidRPr="00343C13">
        <w:t>BS (Gospodarska in finančna gibanja, oktober 2019)</w:t>
      </w:r>
      <w:r w:rsidRPr="007A014C">
        <w:t xml:space="preserve"> so bile finančne transakcije gospodinjstev prilagojene za obdobje zadnjih dvanajstih let, pri čemer so se kumulativno terjatve gospodinjstev do domačih sektorjev povečale za približno 2,0 mrd EUR, terjatve do tujine pa za 4,3 mrd EUR. </w:t>
      </w:r>
    </w:p>
  </w:footnote>
  <w:footnote w:id="15">
    <w:p w14:paraId="0F3D2878" w14:textId="77777777" w:rsidR="008336AC" w:rsidRPr="0085798E" w:rsidRDefault="008336AC" w:rsidP="00E17BDD">
      <w:pPr>
        <w:pStyle w:val="FootnoteText"/>
      </w:pPr>
      <w:r w:rsidRPr="007A014C">
        <w:rPr>
          <w:rStyle w:val="FootnoteReference"/>
        </w:rPr>
        <w:footnoteRef/>
      </w:r>
      <w:r w:rsidRPr="007A014C">
        <w:rPr>
          <w:rStyle w:val="FootnoteReference"/>
          <w:vertAlign w:val="baseline"/>
        </w:rPr>
        <w:t xml:space="preserve"> </w:t>
      </w:r>
      <w:r w:rsidRPr="0085798E">
        <w:t>Savings and investment behaviour in the euro area, 2016.</w:t>
      </w:r>
    </w:p>
  </w:footnote>
  <w:footnote w:id="16">
    <w:p w14:paraId="38463E90" w14:textId="77777777" w:rsidR="008336AC" w:rsidRPr="0085798E" w:rsidRDefault="008336AC" w:rsidP="00E17BDD">
      <w:pPr>
        <w:pStyle w:val="FootnoteText"/>
      </w:pPr>
      <w:r>
        <w:rPr>
          <w:rStyle w:val="FootnoteReference"/>
        </w:rPr>
        <w:footnoteRef/>
      </w:r>
      <w:r>
        <w:t xml:space="preserve"> </w:t>
      </w:r>
      <w:r w:rsidRPr="0085798E">
        <w:t>Vlada je po izbruhu epidemije sprejela Zakon o interventnem ukrepu odloga plačil obveznosti kreditojemalcev, ki omogoča odlog plačila kreditnih obveznosti za obdobje 12 mesecev po uveljavitvi zakona.</w:t>
      </w:r>
    </w:p>
  </w:footnote>
  <w:footnote w:id="17">
    <w:p w14:paraId="77354E36" w14:textId="0B92CC97" w:rsidR="00293076" w:rsidRDefault="00293076">
      <w:pPr>
        <w:pStyle w:val="FootnoteText"/>
      </w:pPr>
      <w:r>
        <w:rPr>
          <w:rStyle w:val="FootnoteReference"/>
        </w:rPr>
        <w:footnoteRef/>
      </w:r>
      <w:r>
        <w:t xml:space="preserve"> Ocena rasti zasebne potrošnje za leto 2021 je bila pripravljena v začetku aprila 2021 v okviru Pomladanske napovedi gospodarskih gibanj (UMAR, 2021).</w:t>
      </w:r>
    </w:p>
  </w:footnote>
  <w:footnote w:id="18">
    <w:p w14:paraId="79DAF246" w14:textId="77777777" w:rsidR="00444940" w:rsidRDefault="00444940" w:rsidP="00E17BDD">
      <w:pPr>
        <w:pStyle w:val="FootnoteText"/>
      </w:pPr>
      <w:r>
        <w:rPr>
          <w:rStyle w:val="FootnoteReference"/>
        </w:rPr>
        <w:footnoteRef/>
      </w:r>
      <w:r>
        <w:t xml:space="preserve"> Lani je bilo unovčenih le za dobro tretjino turističnih bonov (po vrednosti).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0" w:type="dxa"/>
        <w:right w:w="0" w:type="dxa"/>
      </w:tblCellMar>
      <w:tblLook w:val="04A0" w:firstRow="1" w:lastRow="0" w:firstColumn="1" w:lastColumn="0" w:noHBand="0" w:noVBand="1"/>
    </w:tblPr>
    <w:tblGrid>
      <w:gridCol w:w="8276"/>
      <w:gridCol w:w="796"/>
    </w:tblGrid>
    <w:tr w:rsidR="004B4B54" w:rsidRPr="00A540FA" w14:paraId="37F09F14" w14:textId="77777777" w:rsidTr="00287C4E">
      <w:trPr>
        <w:trHeight w:val="552"/>
      </w:trPr>
      <w:tc>
        <w:tcPr>
          <w:tcW w:w="8276" w:type="dxa"/>
        </w:tcPr>
        <w:p w14:paraId="73804A38" w14:textId="77777777" w:rsidR="004B4B54" w:rsidRPr="00F43CB0" w:rsidRDefault="00A56E31" w:rsidP="004016AB">
          <w:pPr>
            <w:pStyle w:val="Header"/>
            <w:tabs>
              <w:tab w:val="clear" w:pos="4536"/>
              <w:tab w:val="clear" w:pos="9072"/>
              <w:tab w:val="right" w:pos="8276"/>
            </w:tabs>
            <w:spacing w:line="240" w:lineRule="auto"/>
            <w:rPr>
              <w:rFonts w:cstheme="minorHAnsi"/>
              <w:b/>
              <w:sz w:val="16"/>
            </w:rPr>
          </w:pPr>
          <w:r>
            <w:rPr>
              <w:rFonts w:cstheme="minorHAnsi"/>
              <w:b/>
              <w:sz w:val="16"/>
            </w:rPr>
            <w:t>UMAR</w:t>
          </w:r>
          <w:r w:rsidR="006667FE">
            <w:rPr>
              <w:rFonts w:cstheme="minorHAnsi"/>
              <w:b/>
              <w:sz w:val="16"/>
            </w:rPr>
            <w:t xml:space="preserve"> </w:t>
          </w:r>
          <w:r w:rsidR="004B4B54" w:rsidRPr="00F43CB0">
            <w:rPr>
              <w:rFonts w:cstheme="minorHAnsi"/>
              <w:b/>
              <w:sz w:val="16"/>
            </w:rPr>
            <w:t xml:space="preserve"> </w:t>
          </w:r>
          <w:r w:rsidRPr="00F43CB0">
            <w:rPr>
              <w:rFonts w:cstheme="minorHAnsi"/>
              <w:noProof/>
              <w:lang w:eastAsia="sl-SI"/>
            </w:rPr>
            <w:drawing>
              <wp:inline distT="0" distB="0" distL="0" distR="0" wp14:anchorId="43440315" wp14:editId="23372262">
                <wp:extent cx="58825" cy="763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sidR="006667FE">
            <w:rPr>
              <w:rFonts w:cstheme="minorHAnsi"/>
              <w:b/>
              <w:sz w:val="16"/>
            </w:rPr>
            <w:t xml:space="preserve"> </w:t>
          </w:r>
          <w:r>
            <w:rPr>
              <w:rFonts w:cstheme="minorHAnsi"/>
              <w:b/>
              <w:sz w:val="16"/>
            </w:rPr>
            <w:t xml:space="preserve"> </w:t>
          </w:r>
          <w:r w:rsidR="00EB7108">
            <w:rPr>
              <w:rFonts w:cstheme="minorHAnsi"/>
              <w:b/>
              <w:sz w:val="16"/>
            </w:rPr>
            <w:t>Zasebna potrošnja pred in med epidemijo covid-19</w:t>
          </w:r>
          <w:r w:rsidR="004016AB">
            <w:rPr>
              <w:rFonts w:cstheme="minorHAnsi"/>
              <w:b/>
              <w:sz w:val="16"/>
            </w:rPr>
            <w:tab/>
          </w:r>
        </w:p>
      </w:tc>
      <w:tc>
        <w:tcPr>
          <w:tcW w:w="796" w:type="dxa"/>
        </w:tcPr>
        <w:p w14:paraId="1BAC316B" w14:textId="77777777" w:rsidR="004B4B54" w:rsidRPr="00B607E3" w:rsidRDefault="004B4B54" w:rsidP="007444EC">
          <w:pPr>
            <w:pStyle w:val="Header"/>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sidR="000F6F1D">
            <w:rPr>
              <w:rFonts w:cstheme="minorHAnsi"/>
              <w:b/>
              <w:noProof/>
              <w:sz w:val="16"/>
              <w:szCs w:val="16"/>
            </w:rPr>
            <w:t>17</w:t>
          </w:r>
          <w:r w:rsidRPr="00B607E3">
            <w:rPr>
              <w:rFonts w:cstheme="minorHAnsi"/>
              <w:b/>
              <w:sz w:val="16"/>
              <w:szCs w:val="16"/>
            </w:rPr>
            <w:fldChar w:fldCharType="end"/>
          </w:r>
        </w:p>
      </w:tc>
    </w:tr>
  </w:tbl>
  <w:p w14:paraId="25138780" w14:textId="77777777" w:rsidR="004B4B54" w:rsidRDefault="004B4B54"/>
  <w:p w14:paraId="79420D0B" w14:textId="77777777" w:rsidR="00F76910" w:rsidRDefault="00F769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060CD8"/>
    <w:multiLevelType w:val="multilevel"/>
    <w:tmpl w:val="3E48A548"/>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CB66A94"/>
    <w:multiLevelType w:val="singleLevel"/>
    <w:tmpl w:val="BEAEA458"/>
    <w:lvl w:ilvl="0">
      <w:start w:val="1"/>
      <w:numFmt w:val="decimal"/>
      <w:pStyle w:val="LiteraturaUMAR"/>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245"/>
    <w:rsid w:val="000026EC"/>
    <w:rsid w:val="00002CAF"/>
    <w:rsid w:val="000032F1"/>
    <w:rsid w:val="00003E9D"/>
    <w:rsid w:val="00004DAC"/>
    <w:rsid w:val="00006657"/>
    <w:rsid w:val="00006975"/>
    <w:rsid w:val="00006BC6"/>
    <w:rsid w:val="000071B5"/>
    <w:rsid w:val="00007719"/>
    <w:rsid w:val="00013848"/>
    <w:rsid w:val="000141E1"/>
    <w:rsid w:val="00014DA7"/>
    <w:rsid w:val="00021400"/>
    <w:rsid w:val="00021509"/>
    <w:rsid w:val="00023A5C"/>
    <w:rsid w:val="00023FFD"/>
    <w:rsid w:val="0002452C"/>
    <w:rsid w:val="00024FA0"/>
    <w:rsid w:val="000267E2"/>
    <w:rsid w:val="00026ABE"/>
    <w:rsid w:val="00026ACB"/>
    <w:rsid w:val="0003011B"/>
    <w:rsid w:val="00033FF7"/>
    <w:rsid w:val="00035FBD"/>
    <w:rsid w:val="000365D0"/>
    <w:rsid w:val="0003700F"/>
    <w:rsid w:val="0003751E"/>
    <w:rsid w:val="00037DDD"/>
    <w:rsid w:val="0004147D"/>
    <w:rsid w:val="00041BCA"/>
    <w:rsid w:val="00042B8F"/>
    <w:rsid w:val="000438D4"/>
    <w:rsid w:val="00054645"/>
    <w:rsid w:val="0005475A"/>
    <w:rsid w:val="000547F0"/>
    <w:rsid w:val="000572B9"/>
    <w:rsid w:val="00057C74"/>
    <w:rsid w:val="00060302"/>
    <w:rsid w:val="00066A45"/>
    <w:rsid w:val="0007025B"/>
    <w:rsid w:val="00070B55"/>
    <w:rsid w:val="000720A9"/>
    <w:rsid w:val="00072E0A"/>
    <w:rsid w:val="0007354C"/>
    <w:rsid w:val="00075D73"/>
    <w:rsid w:val="00077993"/>
    <w:rsid w:val="00077C63"/>
    <w:rsid w:val="00077E9C"/>
    <w:rsid w:val="0008109A"/>
    <w:rsid w:val="00083E22"/>
    <w:rsid w:val="00084484"/>
    <w:rsid w:val="000918F3"/>
    <w:rsid w:val="0009247A"/>
    <w:rsid w:val="000929C6"/>
    <w:rsid w:val="00092DA8"/>
    <w:rsid w:val="000936DA"/>
    <w:rsid w:val="000968B4"/>
    <w:rsid w:val="000969D0"/>
    <w:rsid w:val="00096DB6"/>
    <w:rsid w:val="000A1F78"/>
    <w:rsid w:val="000A528A"/>
    <w:rsid w:val="000A6E55"/>
    <w:rsid w:val="000A78C0"/>
    <w:rsid w:val="000B0C7C"/>
    <w:rsid w:val="000B177F"/>
    <w:rsid w:val="000B1E80"/>
    <w:rsid w:val="000B2CC4"/>
    <w:rsid w:val="000B3619"/>
    <w:rsid w:val="000B48FF"/>
    <w:rsid w:val="000B75F3"/>
    <w:rsid w:val="000C1C5A"/>
    <w:rsid w:val="000C2CAF"/>
    <w:rsid w:val="000C43BF"/>
    <w:rsid w:val="000C4E62"/>
    <w:rsid w:val="000C5063"/>
    <w:rsid w:val="000C6141"/>
    <w:rsid w:val="000C66F6"/>
    <w:rsid w:val="000D0C8F"/>
    <w:rsid w:val="000D1E72"/>
    <w:rsid w:val="000D4CA8"/>
    <w:rsid w:val="000E0B25"/>
    <w:rsid w:val="000E11A5"/>
    <w:rsid w:val="000E1358"/>
    <w:rsid w:val="000E3BEC"/>
    <w:rsid w:val="000E70CE"/>
    <w:rsid w:val="000E7B27"/>
    <w:rsid w:val="000E7BCB"/>
    <w:rsid w:val="000F0B06"/>
    <w:rsid w:val="000F23D6"/>
    <w:rsid w:val="000F2B1C"/>
    <w:rsid w:val="000F37C8"/>
    <w:rsid w:val="000F6F1D"/>
    <w:rsid w:val="000F6F5D"/>
    <w:rsid w:val="00100DB9"/>
    <w:rsid w:val="00102756"/>
    <w:rsid w:val="0010366B"/>
    <w:rsid w:val="0010507E"/>
    <w:rsid w:val="00105A87"/>
    <w:rsid w:val="00105D95"/>
    <w:rsid w:val="00106B4D"/>
    <w:rsid w:val="00106BE5"/>
    <w:rsid w:val="00107A6B"/>
    <w:rsid w:val="00107A7C"/>
    <w:rsid w:val="00110C49"/>
    <w:rsid w:val="00110FEB"/>
    <w:rsid w:val="00115051"/>
    <w:rsid w:val="001153EC"/>
    <w:rsid w:val="0011551D"/>
    <w:rsid w:val="001161F4"/>
    <w:rsid w:val="001170C5"/>
    <w:rsid w:val="00117115"/>
    <w:rsid w:val="00117342"/>
    <w:rsid w:val="0011783D"/>
    <w:rsid w:val="00121772"/>
    <w:rsid w:val="00124C9D"/>
    <w:rsid w:val="00127B1E"/>
    <w:rsid w:val="00130A1A"/>
    <w:rsid w:val="0013312D"/>
    <w:rsid w:val="0013548A"/>
    <w:rsid w:val="00135CF8"/>
    <w:rsid w:val="00135D0F"/>
    <w:rsid w:val="00137AB5"/>
    <w:rsid w:val="001406F5"/>
    <w:rsid w:val="00140706"/>
    <w:rsid w:val="001412D8"/>
    <w:rsid w:val="00141E1A"/>
    <w:rsid w:val="00143E7F"/>
    <w:rsid w:val="001455D8"/>
    <w:rsid w:val="001479ED"/>
    <w:rsid w:val="00150E9F"/>
    <w:rsid w:val="0015528E"/>
    <w:rsid w:val="00161445"/>
    <w:rsid w:val="00161611"/>
    <w:rsid w:val="0016173F"/>
    <w:rsid w:val="00162561"/>
    <w:rsid w:val="00165810"/>
    <w:rsid w:val="001673B5"/>
    <w:rsid w:val="001673FC"/>
    <w:rsid w:val="001709CB"/>
    <w:rsid w:val="00175219"/>
    <w:rsid w:val="00175D93"/>
    <w:rsid w:val="001764AB"/>
    <w:rsid w:val="001770F0"/>
    <w:rsid w:val="001800CD"/>
    <w:rsid w:val="00181502"/>
    <w:rsid w:val="00181CCA"/>
    <w:rsid w:val="0018519C"/>
    <w:rsid w:val="001908FD"/>
    <w:rsid w:val="001910C2"/>
    <w:rsid w:val="001917B6"/>
    <w:rsid w:val="00195F97"/>
    <w:rsid w:val="0019720D"/>
    <w:rsid w:val="001A0885"/>
    <w:rsid w:val="001A1629"/>
    <w:rsid w:val="001A63B0"/>
    <w:rsid w:val="001B2F40"/>
    <w:rsid w:val="001B3E00"/>
    <w:rsid w:val="001B6398"/>
    <w:rsid w:val="001C20B3"/>
    <w:rsid w:val="001C3A0A"/>
    <w:rsid w:val="001C487D"/>
    <w:rsid w:val="001C4D46"/>
    <w:rsid w:val="001C5AF2"/>
    <w:rsid w:val="001D0A6E"/>
    <w:rsid w:val="001D0B2F"/>
    <w:rsid w:val="001D1834"/>
    <w:rsid w:val="001D3A3F"/>
    <w:rsid w:val="001D65E7"/>
    <w:rsid w:val="001D663D"/>
    <w:rsid w:val="001E07FD"/>
    <w:rsid w:val="001E0960"/>
    <w:rsid w:val="001E7BEE"/>
    <w:rsid w:val="001F0482"/>
    <w:rsid w:val="001F1537"/>
    <w:rsid w:val="001F166C"/>
    <w:rsid w:val="001F1F26"/>
    <w:rsid w:val="001F379C"/>
    <w:rsid w:val="001F60CF"/>
    <w:rsid w:val="001F62CF"/>
    <w:rsid w:val="00203C04"/>
    <w:rsid w:val="00205616"/>
    <w:rsid w:val="002111FC"/>
    <w:rsid w:val="00212697"/>
    <w:rsid w:val="002136D3"/>
    <w:rsid w:val="00214084"/>
    <w:rsid w:val="00214A8B"/>
    <w:rsid w:val="00217E32"/>
    <w:rsid w:val="00220A86"/>
    <w:rsid w:val="00220E84"/>
    <w:rsid w:val="002225D3"/>
    <w:rsid w:val="00225170"/>
    <w:rsid w:val="0022533F"/>
    <w:rsid w:val="002257A9"/>
    <w:rsid w:val="00230DE5"/>
    <w:rsid w:val="00232BBE"/>
    <w:rsid w:val="0023463D"/>
    <w:rsid w:val="00234DFD"/>
    <w:rsid w:val="00235E12"/>
    <w:rsid w:val="00243D25"/>
    <w:rsid w:val="00244E0B"/>
    <w:rsid w:val="00250B99"/>
    <w:rsid w:val="00252660"/>
    <w:rsid w:val="00252F81"/>
    <w:rsid w:val="002531D4"/>
    <w:rsid w:val="00253567"/>
    <w:rsid w:val="00256FA4"/>
    <w:rsid w:val="002572F0"/>
    <w:rsid w:val="002577FF"/>
    <w:rsid w:val="002602BF"/>
    <w:rsid w:val="002628DA"/>
    <w:rsid w:val="00263E3D"/>
    <w:rsid w:val="00265B02"/>
    <w:rsid w:val="00265E7B"/>
    <w:rsid w:val="00266A6D"/>
    <w:rsid w:val="00266B89"/>
    <w:rsid w:val="00272C68"/>
    <w:rsid w:val="00274A6B"/>
    <w:rsid w:val="002750B5"/>
    <w:rsid w:val="00275CAC"/>
    <w:rsid w:val="002800D2"/>
    <w:rsid w:val="00281355"/>
    <w:rsid w:val="00282A01"/>
    <w:rsid w:val="00287C4E"/>
    <w:rsid w:val="002901C9"/>
    <w:rsid w:val="00291052"/>
    <w:rsid w:val="00291B55"/>
    <w:rsid w:val="0029204B"/>
    <w:rsid w:val="00293076"/>
    <w:rsid w:val="00295489"/>
    <w:rsid w:val="00296655"/>
    <w:rsid w:val="00296ADF"/>
    <w:rsid w:val="00296B59"/>
    <w:rsid w:val="002A0E59"/>
    <w:rsid w:val="002A1940"/>
    <w:rsid w:val="002A368E"/>
    <w:rsid w:val="002A6C97"/>
    <w:rsid w:val="002B06FB"/>
    <w:rsid w:val="002B3773"/>
    <w:rsid w:val="002B3890"/>
    <w:rsid w:val="002B3CB4"/>
    <w:rsid w:val="002B3FA8"/>
    <w:rsid w:val="002B5937"/>
    <w:rsid w:val="002B5D48"/>
    <w:rsid w:val="002B631F"/>
    <w:rsid w:val="002C0D76"/>
    <w:rsid w:val="002C42D3"/>
    <w:rsid w:val="002D0D1B"/>
    <w:rsid w:val="002D1D30"/>
    <w:rsid w:val="002D4281"/>
    <w:rsid w:val="002D460E"/>
    <w:rsid w:val="002D5102"/>
    <w:rsid w:val="002E032A"/>
    <w:rsid w:val="002E37AA"/>
    <w:rsid w:val="002E45C6"/>
    <w:rsid w:val="002F36AC"/>
    <w:rsid w:val="002F5D0F"/>
    <w:rsid w:val="002F6212"/>
    <w:rsid w:val="002F62CB"/>
    <w:rsid w:val="0030011D"/>
    <w:rsid w:val="003014DC"/>
    <w:rsid w:val="00304197"/>
    <w:rsid w:val="00305924"/>
    <w:rsid w:val="00306706"/>
    <w:rsid w:val="00307D34"/>
    <w:rsid w:val="003119D2"/>
    <w:rsid w:val="00315406"/>
    <w:rsid w:val="0031550F"/>
    <w:rsid w:val="00330829"/>
    <w:rsid w:val="0033107B"/>
    <w:rsid w:val="003312A2"/>
    <w:rsid w:val="00334607"/>
    <w:rsid w:val="00336899"/>
    <w:rsid w:val="00337A12"/>
    <w:rsid w:val="00340546"/>
    <w:rsid w:val="0034152B"/>
    <w:rsid w:val="00341E37"/>
    <w:rsid w:val="00341EEF"/>
    <w:rsid w:val="00343039"/>
    <w:rsid w:val="00343C13"/>
    <w:rsid w:val="00344940"/>
    <w:rsid w:val="00344FE4"/>
    <w:rsid w:val="00347515"/>
    <w:rsid w:val="00351251"/>
    <w:rsid w:val="0035126D"/>
    <w:rsid w:val="00351BD0"/>
    <w:rsid w:val="003529F5"/>
    <w:rsid w:val="00353175"/>
    <w:rsid w:val="00353D73"/>
    <w:rsid w:val="00354A68"/>
    <w:rsid w:val="00355D20"/>
    <w:rsid w:val="00363A1A"/>
    <w:rsid w:val="00364CEA"/>
    <w:rsid w:val="003656BC"/>
    <w:rsid w:val="00365B36"/>
    <w:rsid w:val="00365CA9"/>
    <w:rsid w:val="003663C9"/>
    <w:rsid w:val="00367549"/>
    <w:rsid w:val="00373951"/>
    <w:rsid w:val="00373E63"/>
    <w:rsid w:val="00374268"/>
    <w:rsid w:val="003743DD"/>
    <w:rsid w:val="00374A64"/>
    <w:rsid w:val="00375C3D"/>
    <w:rsid w:val="00376234"/>
    <w:rsid w:val="00380DEB"/>
    <w:rsid w:val="00383F11"/>
    <w:rsid w:val="003844E5"/>
    <w:rsid w:val="00385490"/>
    <w:rsid w:val="00386ACD"/>
    <w:rsid w:val="0038783C"/>
    <w:rsid w:val="00390A78"/>
    <w:rsid w:val="00391645"/>
    <w:rsid w:val="003926AD"/>
    <w:rsid w:val="00393271"/>
    <w:rsid w:val="003936E4"/>
    <w:rsid w:val="00394200"/>
    <w:rsid w:val="003944B6"/>
    <w:rsid w:val="00394B17"/>
    <w:rsid w:val="00395593"/>
    <w:rsid w:val="00396660"/>
    <w:rsid w:val="003A130C"/>
    <w:rsid w:val="003A1CC3"/>
    <w:rsid w:val="003A2CA0"/>
    <w:rsid w:val="003A2EB1"/>
    <w:rsid w:val="003A4B98"/>
    <w:rsid w:val="003A4C58"/>
    <w:rsid w:val="003A5848"/>
    <w:rsid w:val="003A6C2F"/>
    <w:rsid w:val="003A7D45"/>
    <w:rsid w:val="003A7F44"/>
    <w:rsid w:val="003B1BDA"/>
    <w:rsid w:val="003B2E0E"/>
    <w:rsid w:val="003B3D3D"/>
    <w:rsid w:val="003B5F73"/>
    <w:rsid w:val="003B64A5"/>
    <w:rsid w:val="003B7CD1"/>
    <w:rsid w:val="003C3406"/>
    <w:rsid w:val="003C3E4B"/>
    <w:rsid w:val="003D2EFD"/>
    <w:rsid w:val="003D39EE"/>
    <w:rsid w:val="003D431F"/>
    <w:rsid w:val="003D65E1"/>
    <w:rsid w:val="003D7EE3"/>
    <w:rsid w:val="003E0B22"/>
    <w:rsid w:val="003E193D"/>
    <w:rsid w:val="003E1D01"/>
    <w:rsid w:val="003E2BA4"/>
    <w:rsid w:val="003E31F6"/>
    <w:rsid w:val="003E3A2D"/>
    <w:rsid w:val="003E4990"/>
    <w:rsid w:val="003E5C63"/>
    <w:rsid w:val="003F058C"/>
    <w:rsid w:val="003F090C"/>
    <w:rsid w:val="003F18D2"/>
    <w:rsid w:val="003F1B14"/>
    <w:rsid w:val="003F1D22"/>
    <w:rsid w:val="003F26A8"/>
    <w:rsid w:val="003F33CD"/>
    <w:rsid w:val="003F5FD3"/>
    <w:rsid w:val="003F6AB1"/>
    <w:rsid w:val="00400465"/>
    <w:rsid w:val="00400DE5"/>
    <w:rsid w:val="004016AB"/>
    <w:rsid w:val="00402400"/>
    <w:rsid w:val="004029BB"/>
    <w:rsid w:val="00402B00"/>
    <w:rsid w:val="00404473"/>
    <w:rsid w:val="00404841"/>
    <w:rsid w:val="004049B7"/>
    <w:rsid w:val="00407C0D"/>
    <w:rsid w:val="00407E3C"/>
    <w:rsid w:val="00411B87"/>
    <w:rsid w:val="00411FE9"/>
    <w:rsid w:val="00413A61"/>
    <w:rsid w:val="004155C8"/>
    <w:rsid w:val="00415D75"/>
    <w:rsid w:val="00416D9C"/>
    <w:rsid w:val="00422444"/>
    <w:rsid w:val="0042350D"/>
    <w:rsid w:val="00423D6C"/>
    <w:rsid w:val="004248C0"/>
    <w:rsid w:val="0042577D"/>
    <w:rsid w:val="00427E7B"/>
    <w:rsid w:val="00430947"/>
    <w:rsid w:val="00430F0D"/>
    <w:rsid w:val="004316F7"/>
    <w:rsid w:val="00431FB3"/>
    <w:rsid w:val="00433EC8"/>
    <w:rsid w:val="00435423"/>
    <w:rsid w:val="00437CB6"/>
    <w:rsid w:val="00440FB2"/>
    <w:rsid w:val="00441504"/>
    <w:rsid w:val="0044242E"/>
    <w:rsid w:val="0044421E"/>
    <w:rsid w:val="004448D1"/>
    <w:rsid w:val="00444940"/>
    <w:rsid w:val="00446186"/>
    <w:rsid w:val="0044754D"/>
    <w:rsid w:val="00447A71"/>
    <w:rsid w:val="00452B84"/>
    <w:rsid w:val="004539A0"/>
    <w:rsid w:val="00454751"/>
    <w:rsid w:val="00457C59"/>
    <w:rsid w:val="004610CF"/>
    <w:rsid w:val="00461535"/>
    <w:rsid w:val="00463654"/>
    <w:rsid w:val="0046366D"/>
    <w:rsid w:val="0046476D"/>
    <w:rsid w:val="00467B42"/>
    <w:rsid w:val="00470031"/>
    <w:rsid w:val="00471237"/>
    <w:rsid w:val="00471568"/>
    <w:rsid w:val="00471713"/>
    <w:rsid w:val="00471D85"/>
    <w:rsid w:val="004730B8"/>
    <w:rsid w:val="00474F4F"/>
    <w:rsid w:val="0047533F"/>
    <w:rsid w:val="0047635E"/>
    <w:rsid w:val="004774EA"/>
    <w:rsid w:val="004774F9"/>
    <w:rsid w:val="00477DBE"/>
    <w:rsid w:val="00481B30"/>
    <w:rsid w:val="00481E14"/>
    <w:rsid w:val="00484DF1"/>
    <w:rsid w:val="00485096"/>
    <w:rsid w:val="00485174"/>
    <w:rsid w:val="004856A5"/>
    <w:rsid w:val="0048594C"/>
    <w:rsid w:val="0048599C"/>
    <w:rsid w:val="00487357"/>
    <w:rsid w:val="00487D9F"/>
    <w:rsid w:val="00487DB9"/>
    <w:rsid w:val="00487FA1"/>
    <w:rsid w:val="004901C2"/>
    <w:rsid w:val="0049345B"/>
    <w:rsid w:val="0049356B"/>
    <w:rsid w:val="004945BD"/>
    <w:rsid w:val="00495854"/>
    <w:rsid w:val="00495889"/>
    <w:rsid w:val="00496165"/>
    <w:rsid w:val="004964EE"/>
    <w:rsid w:val="004966FB"/>
    <w:rsid w:val="00497805"/>
    <w:rsid w:val="004A318E"/>
    <w:rsid w:val="004A3312"/>
    <w:rsid w:val="004A3C6A"/>
    <w:rsid w:val="004A3D11"/>
    <w:rsid w:val="004A45DA"/>
    <w:rsid w:val="004B275E"/>
    <w:rsid w:val="004B3384"/>
    <w:rsid w:val="004B39ED"/>
    <w:rsid w:val="004B4B54"/>
    <w:rsid w:val="004C0235"/>
    <w:rsid w:val="004C1588"/>
    <w:rsid w:val="004C1673"/>
    <w:rsid w:val="004C22C6"/>
    <w:rsid w:val="004C4982"/>
    <w:rsid w:val="004C5AD3"/>
    <w:rsid w:val="004C6B99"/>
    <w:rsid w:val="004D1933"/>
    <w:rsid w:val="004D1C81"/>
    <w:rsid w:val="004D22FB"/>
    <w:rsid w:val="004D2B31"/>
    <w:rsid w:val="004D33D1"/>
    <w:rsid w:val="004D372F"/>
    <w:rsid w:val="004D3EC0"/>
    <w:rsid w:val="004D51EA"/>
    <w:rsid w:val="004D5670"/>
    <w:rsid w:val="004D6D6F"/>
    <w:rsid w:val="004D78A9"/>
    <w:rsid w:val="004E26C0"/>
    <w:rsid w:val="004E538D"/>
    <w:rsid w:val="004F09ED"/>
    <w:rsid w:val="004F0F3E"/>
    <w:rsid w:val="004F1872"/>
    <w:rsid w:val="004F25F6"/>
    <w:rsid w:val="004F2BE3"/>
    <w:rsid w:val="004F38FC"/>
    <w:rsid w:val="004F3C08"/>
    <w:rsid w:val="004F54A2"/>
    <w:rsid w:val="004F62F9"/>
    <w:rsid w:val="004F6889"/>
    <w:rsid w:val="0050010C"/>
    <w:rsid w:val="00501B23"/>
    <w:rsid w:val="00501BD9"/>
    <w:rsid w:val="00502FA8"/>
    <w:rsid w:val="0050550D"/>
    <w:rsid w:val="0050616E"/>
    <w:rsid w:val="00507640"/>
    <w:rsid w:val="0050798F"/>
    <w:rsid w:val="00510461"/>
    <w:rsid w:val="005119E9"/>
    <w:rsid w:val="00513691"/>
    <w:rsid w:val="005139FA"/>
    <w:rsid w:val="00513F8E"/>
    <w:rsid w:val="0051582D"/>
    <w:rsid w:val="0051702C"/>
    <w:rsid w:val="00520E00"/>
    <w:rsid w:val="00521939"/>
    <w:rsid w:val="005237FD"/>
    <w:rsid w:val="0052552A"/>
    <w:rsid w:val="00525FE4"/>
    <w:rsid w:val="00530590"/>
    <w:rsid w:val="0053228F"/>
    <w:rsid w:val="00532FEB"/>
    <w:rsid w:val="005331FB"/>
    <w:rsid w:val="00534995"/>
    <w:rsid w:val="00537053"/>
    <w:rsid w:val="0054060D"/>
    <w:rsid w:val="0054083E"/>
    <w:rsid w:val="00543646"/>
    <w:rsid w:val="00543748"/>
    <w:rsid w:val="0054632F"/>
    <w:rsid w:val="0054650F"/>
    <w:rsid w:val="005472C7"/>
    <w:rsid w:val="00550662"/>
    <w:rsid w:val="00551677"/>
    <w:rsid w:val="00555663"/>
    <w:rsid w:val="0055724C"/>
    <w:rsid w:val="00560321"/>
    <w:rsid w:val="005604EC"/>
    <w:rsid w:val="0056113D"/>
    <w:rsid w:val="00562453"/>
    <w:rsid w:val="005633C7"/>
    <w:rsid w:val="00564898"/>
    <w:rsid w:val="00571A1B"/>
    <w:rsid w:val="005727D4"/>
    <w:rsid w:val="00575C6D"/>
    <w:rsid w:val="00577D88"/>
    <w:rsid w:val="00585C7B"/>
    <w:rsid w:val="005861F1"/>
    <w:rsid w:val="0058622D"/>
    <w:rsid w:val="00586C8F"/>
    <w:rsid w:val="00587AA5"/>
    <w:rsid w:val="00590676"/>
    <w:rsid w:val="0059231A"/>
    <w:rsid w:val="00593328"/>
    <w:rsid w:val="00594ACA"/>
    <w:rsid w:val="00594B4F"/>
    <w:rsid w:val="005955CD"/>
    <w:rsid w:val="00596071"/>
    <w:rsid w:val="00596BFA"/>
    <w:rsid w:val="005A1D18"/>
    <w:rsid w:val="005A265B"/>
    <w:rsid w:val="005A28E0"/>
    <w:rsid w:val="005A7F55"/>
    <w:rsid w:val="005B0540"/>
    <w:rsid w:val="005B0D84"/>
    <w:rsid w:val="005B3500"/>
    <w:rsid w:val="005B3B73"/>
    <w:rsid w:val="005B4654"/>
    <w:rsid w:val="005B6E4D"/>
    <w:rsid w:val="005C00FC"/>
    <w:rsid w:val="005C161F"/>
    <w:rsid w:val="005C2526"/>
    <w:rsid w:val="005C2CEA"/>
    <w:rsid w:val="005C441B"/>
    <w:rsid w:val="005C5C18"/>
    <w:rsid w:val="005C60C3"/>
    <w:rsid w:val="005C6830"/>
    <w:rsid w:val="005D0DF9"/>
    <w:rsid w:val="005D1010"/>
    <w:rsid w:val="005D17C6"/>
    <w:rsid w:val="005D1D02"/>
    <w:rsid w:val="005D1FEF"/>
    <w:rsid w:val="005D40BC"/>
    <w:rsid w:val="005D46FD"/>
    <w:rsid w:val="005D50A8"/>
    <w:rsid w:val="005D6BEE"/>
    <w:rsid w:val="005D6EE4"/>
    <w:rsid w:val="005D741E"/>
    <w:rsid w:val="005E2A7C"/>
    <w:rsid w:val="005E3DEA"/>
    <w:rsid w:val="005F333F"/>
    <w:rsid w:val="005F3BD9"/>
    <w:rsid w:val="005F3C8A"/>
    <w:rsid w:val="005F4578"/>
    <w:rsid w:val="005F4B6E"/>
    <w:rsid w:val="005F52F4"/>
    <w:rsid w:val="005F7F5A"/>
    <w:rsid w:val="006000A1"/>
    <w:rsid w:val="006040E6"/>
    <w:rsid w:val="00604372"/>
    <w:rsid w:val="006051DB"/>
    <w:rsid w:val="00605B8A"/>
    <w:rsid w:val="006119CB"/>
    <w:rsid w:val="006134EC"/>
    <w:rsid w:val="0061384F"/>
    <w:rsid w:val="006151CF"/>
    <w:rsid w:val="0061586C"/>
    <w:rsid w:val="00617A5B"/>
    <w:rsid w:val="00617F94"/>
    <w:rsid w:val="006217FD"/>
    <w:rsid w:val="00622948"/>
    <w:rsid w:val="00622F9B"/>
    <w:rsid w:val="00626525"/>
    <w:rsid w:val="0063281E"/>
    <w:rsid w:val="00632C88"/>
    <w:rsid w:val="00633AA6"/>
    <w:rsid w:val="006342D6"/>
    <w:rsid w:val="00634D6B"/>
    <w:rsid w:val="00635A61"/>
    <w:rsid w:val="00637ECF"/>
    <w:rsid w:val="00641386"/>
    <w:rsid w:val="0064491A"/>
    <w:rsid w:val="006501DA"/>
    <w:rsid w:val="006556AC"/>
    <w:rsid w:val="00655CD6"/>
    <w:rsid w:val="0066357F"/>
    <w:rsid w:val="006658A7"/>
    <w:rsid w:val="006667FE"/>
    <w:rsid w:val="00666BE2"/>
    <w:rsid w:val="006674A7"/>
    <w:rsid w:val="0066780A"/>
    <w:rsid w:val="0067227C"/>
    <w:rsid w:val="006730C0"/>
    <w:rsid w:val="00674223"/>
    <w:rsid w:val="0067505F"/>
    <w:rsid w:val="00677435"/>
    <w:rsid w:val="006839FC"/>
    <w:rsid w:val="00686F72"/>
    <w:rsid w:val="006905ED"/>
    <w:rsid w:val="006909E4"/>
    <w:rsid w:val="00691861"/>
    <w:rsid w:val="00693AF7"/>
    <w:rsid w:val="00693BD3"/>
    <w:rsid w:val="006954CB"/>
    <w:rsid w:val="006966BC"/>
    <w:rsid w:val="006969C3"/>
    <w:rsid w:val="006A2EF0"/>
    <w:rsid w:val="006B1D3D"/>
    <w:rsid w:val="006B20DE"/>
    <w:rsid w:val="006B2E64"/>
    <w:rsid w:val="006B7AE0"/>
    <w:rsid w:val="006C086E"/>
    <w:rsid w:val="006C09F7"/>
    <w:rsid w:val="006C1815"/>
    <w:rsid w:val="006C403C"/>
    <w:rsid w:val="006C4B8D"/>
    <w:rsid w:val="006C4DBB"/>
    <w:rsid w:val="006C6647"/>
    <w:rsid w:val="006C680F"/>
    <w:rsid w:val="006C7E4C"/>
    <w:rsid w:val="006D0C34"/>
    <w:rsid w:val="006D1872"/>
    <w:rsid w:val="006D1AFD"/>
    <w:rsid w:val="006D48B0"/>
    <w:rsid w:val="006D4C24"/>
    <w:rsid w:val="006D7195"/>
    <w:rsid w:val="006E2C8C"/>
    <w:rsid w:val="006E4FDE"/>
    <w:rsid w:val="006E78F4"/>
    <w:rsid w:val="006E7DEF"/>
    <w:rsid w:val="006F4BBF"/>
    <w:rsid w:val="006F5351"/>
    <w:rsid w:val="006F5A58"/>
    <w:rsid w:val="00701097"/>
    <w:rsid w:val="00701E95"/>
    <w:rsid w:val="00703342"/>
    <w:rsid w:val="00704190"/>
    <w:rsid w:val="00704A07"/>
    <w:rsid w:val="00705590"/>
    <w:rsid w:val="00706494"/>
    <w:rsid w:val="0070699D"/>
    <w:rsid w:val="0071002E"/>
    <w:rsid w:val="007123CD"/>
    <w:rsid w:val="0071240A"/>
    <w:rsid w:val="00713E92"/>
    <w:rsid w:val="0071423C"/>
    <w:rsid w:val="007149B8"/>
    <w:rsid w:val="00717AD3"/>
    <w:rsid w:val="007209FA"/>
    <w:rsid w:val="00722488"/>
    <w:rsid w:val="0072522B"/>
    <w:rsid w:val="00725D56"/>
    <w:rsid w:val="00727AA2"/>
    <w:rsid w:val="00731841"/>
    <w:rsid w:val="00732BAD"/>
    <w:rsid w:val="00733E66"/>
    <w:rsid w:val="007340C3"/>
    <w:rsid w:val="007345C0"/>
    <w:rsid w:val="00736DB1"/>
    <w:rsid w:val="0073783D"/>
    <w:rsid w:val="007439FD"/>
    <w:rsid w:val="007444E2"/>
    <w:rsid w:val="007444EC"/>
    <w:rsid w:val="00744F0D"/>
    <w:rsid w:val="00747002"/>
    <w:rsid w:val="007532FA"/>
    <w:rsid w:val="007538F0"/>
    <w:rsid w:val="00753CE9"/>
    <w:rsid w:val="00756DFB"/>
    <w:rsid w:val="00757461"/>
    <w:rsid w:val="00757564"/>
    <w:rsid w:val="00761FD7"/>
    <w:rsid w:val="00763700"/>
    <w:rsid w:val="00763CDB"/>
    <w:rsid w:val="00763D2E"/>
    <w:rsid w:val="00765C58"/>
    <w:rsid w:val="007661DC"/>
    <w:rsid w:val="00770703"/>
    <w:rsid w:val="00771744"/>
    <w:rsid w:val="00772268"/>
    <w:rsid w:val="007731CD"/>
    <w:rsid w:val="007736C3"/>
    <w:rsid w:val="00774B58"/>
    <w:rsid w:val="00774D84"/>
    <w:rsid w:val="007759EA"/>
    <w:rsid w:val="00776443"/>
    <w:rsid w:val="00776801"/>
    <w:rsid w:val="00781D29"/>
    <w:rsid w:val="00781F66"/>
    <w:rsid w:val="0078243B"/>
    <w:rsid w:val="00784074"/>
    <w:rsid w:val="00784670"/>
    <w:rsid w:val="007849F1"/>
    <w:rsid w:val="007860F8"/>
    <w:rsid w:val="00787735"/>
    <w:rsid w:val="00787EC1"/>
    <w:rsid w:val="00787F5E"/>
    <w:rsid w:val="007915C0"/>
    <w:rsid w:val="00792BEF"/>
    <w:rsid w:val="007960DF"/>
    <w:rsid w:val="00796531"/>
    <w:rsid w:val="00796692"/>
    <w:rsid w:val="007A3179"/>
    <w:rsid w:val="007A3C64"/>
    <w:rsid w:val="007B34D6"/>
    <w:rsid w:val="007B6137"/>
    <w:rsid w:val="007B7666"/>
    <w:rsid w:val="007B7CC6"/>
    <w:rsid w:val="007C26AB"/>
    <w:rsid w:val="007C3A38"/>
    <w:rsid w:val="007C4C71"/>
    <w:rsid w:val="007C58E1"/>
    <w:rsid w:val="007C5ADD"/>
    <w:rsid w:val="007C6528"/>
    <w:rsid w:val="007D02D4"/>
    <w:rsid w:val="007D22BF"/>
    <w:rsid w:val="007D35A9"/>
    <w:rsid w:val="007D4FDE"/>
    <w:rsid w:val="007D5FE5"/>
    <w:rsid w:val="007D6B1B"/>
    <w:rsid w:val="007E2B35"/>
    <w:rsid w:val="007E56AE"/>
    <w:rsid w:val="007E5FB3"/>
    <w:rsid w:val="007F1CC9"/>
    <w:rsid w:val="007F24FB"/>
    <w:rsid w:val="007F3981"/>
    <w:rsid w:val="00803E1C"/>
    <w:rsid w:val="00804622"/>
    <w:rsid w:val="00805108"/>
    <w:rsid w:val="00806D14"/>
    <w:rsid w:val="008101ED"/>
    <w:rsid w:val="008118B7"/>
    <w:rsid w:val="00811F1B"/>
    <w:rsid w:val="00812202"/>
    <w:rsid w:val="008135D9"/>
    <w:rsid w:val="008139D4"/>
    <w:rsid w:val="00813F73"/>
    <w:rsid w:val="00816849"/>
    <w:rsid w:val="00816CD8"/>
    <w:rsid w:val="0082247E"/>
    <w:rsid w:val="00824448"/>
    <w:rsid w:val="00825445"/>
    <w:rsid w:val="00825CC5"/>
    <w:rsid w:val="008261A9"/>
    <w:rsid w:val="00826216"/>
    <w:rsid w:val="00830962"/>
    <w:rsid w:val="0083280E"/>
    <w:rsid w:val="00833551"/>
    <w:rsid w:val="008336AC"/>
    <w:rsid w:val="008336EA"/>
    <w:rsid w:val="00835CBB"/>
    <w:rsid w:val="00835D43"/>
    <w:rsid w:val="008374CD"/>
    <w:rsid w:val="008416E2"/>
    <w:rsid w:val="00841F72"/>
    <w:rsid w:val="00847855"/>
    <w:rsid w:val="00847870"/>
    <w:rsid w:val="008507C3"/>
    <w:rsid w:val="00852D36"/>
    <w:rsid w:val="00853A3B"/>
    <w:rsid w:val="008542A0"/>
    <w:rsid w:val="008544BC"/>
    <w:rsid w:val="008544ED"/>
    <w:rsid w:val="00855B2E"/>
    <w:rsid w:val="008577F4"/>
    <w:rsid w:val="008621D2"/>
    <w:rsid w:val="00863095"/>
    <w:rsid w:val="008639E8"/>
    <w:rsid w:val="00865904"/>
    <w:rsid w:val="00867CC9"/>
    <w:rsid w:val="00870DED"/>
    <w:rsid w:val="0087311A"/>
    <w:rsid w:val="0087606A"/>
    <w:rsid w:val="00880D8D"/>
    <w:rsid w:val="00880DE7"/>
    <w:rsid w:val="00881457"/>
    <w:rsid w:val="00882888"/>
    <w:rsid w:val="00886E25"/>
    <w:rsid w:val="00887956"/>
    <w:rsid w:val="00890FA1"/>
    <w:rsid w:val="00895B4C"/>
    <w:rsid w:val="00897D11"/>
    <w:rsid w:val="008A3347"/>
    <w:rsid w:val="008A3961"/>
    <w:rsid w:val="008A5C0C"/>
    <w:rsid w:val="008A5FC7"/>
    <w:rsid w:val="008B068D"/>
    <w:rsid w:val="008B18F0"/>
    <w:rsid w:val="008B4AB1"/>
    <w:rsid w:val="008B6EC2"/>
    <w:rsid w:val="008B7525"/>
    <w:rsid w:val="008C0D58"/>
    <w:rsid w:val="008C2631"/>
    <w:rsid w:val="008C4268"/>
    <w:rsid w:val="008C44ED"/>
    <w:rsid w:val="008D0E22"/>
    <w:rsid w:val="008D16D2"/>
    <w:rsid w:val="008D2F0E"/>
    <w:rsid w:val="008D64B9"/>
    <w:rsid w:val="008E1911"/>
    <w:rsid w:val="008E1ECC"/>
    <w:rsid w:val="008E2858"/>
    <w:rsid w:val="008E32CA"/>
    <w:rsid w:val="008F0A52"/>
    <w:rsid w:val="008F1409"/>
    <w:rsid w:val="008F19FA"/>
    <w:rsid w:val="008F27B7"/>
    <w:rsid w:val="008F3146"/>
    <w:rsid w:val="008F329B"/>
    <w:rsid w:val="008F35C6"/>
    <w:rsid w:val="008F4F89"/>
    <w:rsid w:val="008F5E24"/>
    <w:rsid w:val="00900064"/>
    <w:rsid w:val="00901025"/>
    <w:rsid w:val="0090185E"/>
    <w:rsid w:val="00901ACE"/>
    <w:rsid w:val="00901DB2"/>
    <w:rsid w:val="00912B20"/>
    <w:rsid w:val="009138CB"/>
    <w:rsid w:val="00914772"/>
    <w:rsid w:val="00921E98"/>
    <w:rsid w:val="00922D25"/>
    <w:rsid w:val="00923AFA"/>
    <w:rsid w:val="00923B83"/>
    <w:rsid w:val="0092535E"/>
    <w:rsid w:val="00925373"/>
    <w:rsid w:val="0092693E"/>
    <w:rsid w:val="00932310"/>
    <w:rsid w:val="00932E92"/>
    <w:rsid w:val="00933E33"/>
    <w:rsid w:val="00936DB4"/>
    <w:rsid w:val="009400F0"/>
    <w:rsid w:val="00941D0A"/>
    <w:rsid w:val="0094225F"/>
    <w:rsid w:val="009436C9"/>
    <w:rsid w:val="009457C6"/>
    <w:rsid w:val="00947E74"/>
    <w:rsid w:val="009525B3"/>
    <w:rsid w:val="00956337"/>
    <w:rsid w:val="009627CD"/>
    <w:rsid w:val="00963048"/>
    <w:rsid w:val="00965315"/>
    <w:rsid w:val="00967DEC"/>
    <w:rsid w:val="0097063C"/>
    <w:rsid w:val="0097070F"/>
    <w:rsid w:val="00973B3C"/>
    <w:rsid w:val="00977E7C"/>
    <w:rsid w:val="00981CCF"/>
    <w:rsid w:val="00986CB8"/>
    <w:rsid w:val="00987E90"/>
    <w:rsid w:val="0099400D"/>
    <w:rsid w:val="00995AB6"/>
    <w:rsid w:val="0099612C"/>
    <w:rsid w:val="00996BF0"/>
    <w:rsid w:val="009A02AF"/>
    <w:rsid w:val="009A0AA1"/>
    <w:rsid w:val="009A3A04"/>
    <w:rsid w:val="009A5245"/>
    <w:rsid w:val="009A7FC8"/>
    <w:rsid w:val="009B0030"/>
    <w:rsid w:val="009B0A34"/>
    <w:rsid w:val="009B469A"/>
    <w:rsid w:val="009B56EE"/>
    <w:rsid w:val="009B5967"/>
    <w:rsid w:val="009B5D75"/>
    <w:rsid w:val="009B7C4C"/>
    <w:rsid w:val="009C11C3"/>
    <w:rsid w:val="009C1561"/>
    <w:rsid w:val="009C2471"/>
    <w:rsid w:val="009C2527"/>
    <w:rsid w:val="009C27DC"/>
    <w:rsid w:val="009C2FC1"/>
    <w:rsid w:val="009C4DDF"/>
    <w:rsid w:val="009C5658"/>
    <w:rsid w:val="009C6C39"/>
    <w:rsid w:val="009D02DD"/>
    <w:rsid w:val="009D0F39"/>
    <w:rsid w:val="009D4A53"/>
    <w:rsid w:val="009D6F28"/>
    <w:rsid w:val="009D702B"/>
    <w:rsid w:val="009E1648"/>
    <w:rsid w:val="009E2576"/>
    <w:rsid w:val="009E3791"/>
    <w:rsid w:val="009E60E6"/>
    <w:rsid w:val="009E627A"/>
    <w:rsid w:val="009E660C"/>
    <w:rsid w:val="009E6EA1"/>
    <w:rsid w:val="009F174F"/>
    <w:rsid w:val="009F2785"/>
    <w:rsid w:val="009F330F"/>
    <w:rsid w:val="009F5424"/>
    <w:rsid w:val="00A01F8A"/>
    <w:rsid w:val="00A02AF2"/>
    <w:rsid w:val="00A02FC4"/>
    <w:rsid w:val="00A030BA"/>
    <w:rsid w:val="00A03F4D"/>
    <w:rsid w:val="00A04ED7"/>
    <w:rsid w:val="00A0586D"/>
    <w:rsid w:val="00A05D92"/>
    <w:rsid w:val="00A10664"/>
    <w:rsid w:val="00A1240D"/>
    <w:rsid w:val="00A12E4C"/>
    <w:rsid w:val="00A148E1"/>
    <w:rsid w:val="00A149C2"/>
    <w:rsid w:val="00A157BE"/>
    <w:rsid w:val="00A21F90"/>
    <w:rsid w:val="00A23281"/>
    <w:rsid w:val="00A242AE"/>
    <w:rsid w:val="00A24FAF"/>
    <w:rsid w:val="00A271A3"/>
    <w:rsid w:val="00A30109"/>
    <w:rsid w:val="00A30C4A"/>
    <w:rsid w:val="00A32666"/>
    <w:rsid w:val="00A33A1F"/>
    <w:rsid w:val="00A3547C"/>
    <w:rsid w:val="00A35AF0"/>
    <w:rsid w:val="00A4374F"/>
    <w:rsid w:val="00A479C5"/>
    <w:rsid w:val="00A50610"/>
    <w:rsid w:val="00A51E1C"/>
    <w:rsid w:val="00A522A7"/>
    <w:rsid w:val="00A52DF1"/>
    <w:rsid w:val="00A53E2D"/>
    <w:rsid w:val="00A540FA"/>
    <w:rsid w:val="00A56E31"/>
    <w:rsid w:val="00A57069"/>
    <w:rsid w:val="00A57D65"/>
    <w:rsid w:val="00A600FE"/>
    <w:rsid w:val="00A61130"/>
    <w:rsid w:val="00A62BAF"/>
    <w:rsid w:val="00A63099"/>
    <w:rsid w:val="00A637C9"/>
    <w:rsid w:val="00A6402E"/>
    <w:rsid w:val="00A647F3"/>
    <w:rsid w:val="00A65C05"/>
    <w:rsid w:val="00A7070D"/>
    <w:rsid w:val="00A716E2"/>
    <w:rsid w:val="00A71860"/>
    <w:rsid w:val="00A7408A"/>
    <w:rsid w:val="00A74277"/>
    <w:rsid w:val="00A74EFF"/>
    <w:rsid w:val="00A77D2B"/>
    <w:rsid w:val="00A81144"/>
    <w:rsid w:val="00A8210E"/>
    <w:rsid w:val="00A836E7"/>
    <w:rsid w:val="00A837E1"/>
    <w:rsid w:val="00A83835"/>
    <w:rsid w:val="00A8446A"/>
    <w:rsid w:val="00A87994"/>
    <w:rsid w:val="00A9191A"/>
    <w:rsid w:val="00A92630"/>
    <w:rsid w:val="00A92A65"/>
    <w:rsid w:val="00A947DF"/>
    <w:rsid w:val="00AA0164"/>
    <w:rsid w:val="00AA0F51"/>
    <w:rsid w:val="00AA1566"/>
    <w:rsid w:val="00AA1A80"/>
    <w:rsid w:val="00AA1D6E"/>
    <w:rsid w:val="00AA507E"/>
    <w:rsid w:val="00AA5404"/>
    <w:rsid w:val="00AA5EF3"/>
    <w:rsid w:val="00AA6CE9"/>
    <w:rsid w:val="00AA796C"/>
    <w:rsid w:val="00AB09C9"/>
    <w:rsid w:val="00AB1E38"/>
    <w:rsid w:val="00AB276E"/>
    <w:rsid w:val="00AB2BDC"/>
    <w:rsid w:val="00AB2D21"/>
    <w:rsid w:val="00AB514D"/>
    <w:rsid w:val="00AB68DF"/>
    <w:rsid w:val="00AB770E"/>
    <w:rsid w:val="00AC0949"/>
    <w:rsid w:val="00AC2293"/>
    <w:rsid w:val="00AC23C3"/>
    <w:rsid w:val="00AC5AF3"/>
    <w:rsid w:val="00AD1692"/>
    <w:rsid w:val="00AD208C"/>
    <w:rsid w:val="00AD2295"/>
    <w:rsid w:val="00AD46D5"/>
    <w:rsid w:val="00AD492E"/>
    <w:rsid w:val="00AD53FA"/>
    <w:rsid w:val="00AD78D7"/>
    <w:rsid w:val="00AD7EE1"/>
    <w:rsid w:val="00AE10D2"/>
    <w:rsid w:val="00AE2805"/>
    <w:rsid w:val="00AE3561"/>
    <w:rsid w:val="00AE35C2"/>
    <w:rsid w:val="00AE438F"/>
    <w:rsid w:val="00AF2E43"/>
    <w:rsid w:val="00AF4BD4"/>
    <w:rsid w:val="00AF5825"/>
    <w:rsid w:val="00B00D38"/>
    <w:rsid w:val="00B045D1"/>
    <w:rsid w:val="00B1008F"/>
    <w:rsid w:val="00B107CA"/>
    <w:rsid w:val="00B10C74"/>
    <w:rsid w:val="00B122B4"/>
    <w:rsid w:val="00B12FF0"/>
    <w:rsid w:val="00B155DD"/>
    <w:rsid w:val="00B15C74"/>
    <w:rsid w:val="00B1676B"/>
    <w:rsid w:val="00B16F29"/>
    <w:rsid w:val="00B201D8"/>
    <w:rsid w:val="00B21A80"/>
    <w:rsid w:val="00B22F4C"/>
    <w:rsid w:val="00B2706C"/>
    <w:rsid w:val="00B35647"/>
    <w:rsid w:val="00B3615D"/>
    <w:rsid w:val="00B36A91"/>
    <w:rsid w:val="00B3702F"/>
    <w:rsid w:val="00B371B2"/>
    <w:rsid w:val="00B37623"/>
    <w:rsid w:val="00B426E6"/>
    <w:rsid w:val="00B434E0"/>
    <w:rsid w:val="00B438C8"/>
    <w:rsid w:val="00B44E41"/>
    <w:rsid w:val="00B45979"/>
    <w:rsid w:val="00B47A45"/>
    <w:rsid w:val="00B514FD"/>
    <w:rsid w:val="00B54069"/>
    <w:rsid w:val="00B550F2"/>
    <w:rsid w:val="00B560A6"/>
    <w:rsid w:val="00B607E3"/>
    <w:rsid w:val="00B626E4"/>
    <w:rsid w:val="00B63504"/>
    <w:rsid w:val="00B638F6"/>
    <w:rsid w:val="00B64CD8"/>
    <w:rsid w:val="00B65FA9"/>
    <w:rsid w:val="00B724BA"/>
    <w:rsid w:val="00B74585"/>
    <w:rsid w:val="00B75916"/>
    <w:rsid w:val="00B75EE2"/>
    <w:rsid w:val="00B7609F"/>
    <w:rsid w:val="00B767D7"/>
    <w:rsid w:val="00B77A5C"/>
    <w:rsid w:val="00B80CF5"/>
    <w:rsid w:val="00B813D7"/>
    <w:rsid w:val="00B81785"/>
    <w:rsid w:val="00B81A22"/>
    <w:rsid w:val="00B82E45"/>
    <w:rsid w:val="00B83BE7"/>
    <w:rsid w:val="00B83EB7"/>
    <w:rsid w:val="00B84351"/>
    <w:rsid w:val="00B85066"/>
    <w:rsid w:val="00B85FA5"/>
    <w:rsid w:val="00B904AA"/>
    <w:rsid w:val="00B91D24"/>
    <w:rsid w:val="00B92FB5"/>
    <w:rsid w:val="00B93C61"/>
    <w:rsid w:val="00B94B1F"/>
    <w:rsid w:val="00B951D5"/>
    <w:rsid w:val="00B95EA1"/>
    <w:rsid w:val="00B96F89"/>
    <w:rsid w:val="00BA0EC6"/>
    <w:rsid w:val="00BA23F1"/>
    <w:rsid w:val="00BA3AE0"/>
    <w:rsid w:val="00BA4571"/>
    <w:rsid w:val="00BA6D9F"/>
    <w:rsid w:val="00BB1C7E"/>
    <w:rsid w:val="00BB213C"/>
    <w:rsid w:val="00BB247E"/>
    <w:rsid w:val="00BB3F75"/>
    <w:rsid w:val="00BB505E"/>
    <w:rsid w:val="00BB539F"/>
    <w:rsid w:val="00BB5712"/>
    <w:rsid w:val="00BB6382"/>
    <w:rsid w:val="00BC1C29"/>
    <w:rsid w:val="00BC4993"/>
    <w:rsid w:val="00BC4F2C"/>
    <w:rsid w:val="00BC76A6"/>
    <w:rsid w:val="00BD4DE8"/>
    <w:rsid w:val="00BD5C16"/>
    <w:rsid w:val="00BE0341"/>
    <w:rsid w:val="00BE117F"/>
    <w:rsid w:val="00BE31D7"/>
    <w:rsid w:val="00BE3732"/>
    <w:rsid w:val="00BE3DAE"/>
    <w:rsid w:val="00BE40BE"/>
    <w:rsid w:val="00BE4897"/>
    <w:rsid w:val="00BE49D4"/>
    <w:rsid w:val="00BE55C3"/>
    <w:rsid w:val="00BE5AD1"/>
    <w:rsid w:val="00BE5E05"/>
    <w:rsid w:val="00BF00D5"/>
    <w:rsid w:val="00BF3456"/>
    <w:rsid w:val="00BF3D71"/>
    <w:rsid w:val="00BF688F"/>
    <w:rsid w:val="00BF7667"/>
    <w:rsid w:val="00BF7EAB"/>
    <w:rsid w:val="00C0037D"/>
    <w:rsid w:val="00C0057E"/>
    <w:rsid w:val="00C02607"/>
    <w:rsid w:val="00C03D73"/>
    <w:rsid w:val="00C047F1"/>
    <w:rsid w:val="00C055A6"/>
    <w:rsid w:val="00C0565A"/>
    <w:rsid w:val="00C07CEA"/>
    <w:rsid w:val="00C11ED3"/>
    <w:rsid w:val="00C166CD"/>
    <w:rsid w:val="00C200C8"/>
    <w:rsid w:val="00C23E2B"/>
    <w:rsid w:val="00C2435B"/>
    <w:rsid w:val="00C24E64"/>
    <w:rsid w:val="00C30182"/>
    <w:rsid w:val="00C32C57"/>
    <w:rsid w:val="00C36BAB"/>
    <w:rsid w:val="00C40038"/>
    <w:rsid w:val="00C40E92"/>
    <w:rsid w:val="00C41181"/>
    <w:rsid w:val="00C42146"/>
    <w:rsid w:val="00C43BBD"/>
    <w:rsid w:val="00C453A8"/>
    <w:rsid w:val="00C475AF"/>
    <w:rsid w:val="00C500CC"/>
    <w:rsid w:val="00C50570"/>
    <w:rsid w:val="00C50BE0"/>
    <w:rsid w:val="00C525F6"/>
    <w:rsid w:val="00C52E1F"/>
    <w:rsid w:val="00C52FC3"/>
    <w:rsid w:val="00C53A5D"/>
    <w:rsid w:val="00C54592"/>
    <w:rsid w:val="00C56118"/>
    <w:rsid w:val="00C5680B"/>
    <w:rsid w:val="00C56B2A"/>
    <w:rsid w:val="00C5740D"/>
    <w:rsid w:val="00C5748F"/>
    <w:rsid w:val="00C57DED"/>
    <w:rsid w:val="00C60027"/>
    <w:rsid w:val="00C610C0"/>
    <w:rsid w:val="00C63E97"/>
    <w:rsid w:val="00C64AD2"/>
    <w:rsid w:val="00C66804"/>
    <w:rsid w:val="00C70492"/>
    <w:rsid w:val="00C71B4C"/>
    <w:rsid w:val="00C71CBD"/>
    <w:rsid w:val="00C72360"/>
    <w:rsid w:val="00C73240"/>
    <w:rsid w:val="00C76913"/>
    <w:rsid w:val="00C7748A"/>
    <w:rsid w:val="00C7779E"/>
    <w:rsid w:val="00C77FD3"/>
    <w:rsid w:val="00C824F7"/>
    <w:rsid w:val="00C85995"/>
    <w:rsid w:val="00C86814"/>
    <w:rsid w:val="00C92340"/>
    <w:rsid w:val="00C9246C"/>
    <w:rsid w:val="00C92F5E"/>
    <w:rsid w:val="00C93B11"/>
    <w:rsid w:val="00C94362"/>
    <w:rsid w:val="00CA0863"/>
    <w:rsid w:val="00CA1D5E"/>
    <w:rsid w:val="00CA37B1"/>
    <w:rsid w:val="00CA387F"/>
    <w:rsid w:val="00CA4C1C"/>
    <w:rsid w:val="00CA6C96"/>
    <w:rsid w:val="00CB06BD"/>
    <w:rsid w:val="00CB36AD"/>
    <w:rsid w:val="00CB4E86"/>
    <w:rsid w:val="00CB560C"/>
    <w:rsid w:val="00CB6664"/>
    <w:rsid w:val="00CB7058"/>
    <w:rsid w:val="00CC1DD1"/>
    <w:rsid w:val="00CC2626"/>
    <w:rsid w:val="00CC28D2"/>
    <w:rsid w:val="00CC7CC0"/>
    <w:rsid w:val="00CC7E33"/>
    <w:rsid w:val="00CD40DF"/>
    <w:rsid w:val="00CD432D"/>
    <w:rsid w:val="00CD605E"/>
    <w:rsid w:val="00CE03CD"/>
    <w:rsid w:val="00CE0A6D"/>
    <w:rsid w:val="00CE0C27"/>
    <w:rsid w:val="00CE1396"/>
    <w:rsid w:val="00CE2225"/>
    <w:rsid w:val="00CE5E57"/>
    <w:rsid w:val="00CE6D73"/>
    <w:rsid w:val="00CE7996"/>
    <w:rsid w:val="00CF24CE"/>
    <w:rsid w:val="00CF5DDE"/>
    <w:rsid w:val="00CF623C"/>
    <w:rsid w:val="00D0041C"/>
    <w:rsid w:val="00D01AE0"/>
    <w:rsid w:val="00D01EB5"/>
    <w:rsid w:val="00D01F75"/>
    <w:rsid w:val="00D02F94"/>
    <w:rsid w:val="00D100FC"/>
    <w:rsid w:val="00D1060A"/>
    <w:rsid w:val="00D11999"/>
    <w:rsid w:val="00D1212F"/>
    <w:rsid w:val="00D12E86"/>
    <w:rsid w:val="00D142E1"/>
    <w:rsid w:val="00D146D5"/>
    <w:rsid w:val="00D15EE0"/>
    <w:rsid w:val="00D17034"/>
    <w:rsid w:val="00D22DA7"/>
    <w:rsid w:val="00D26069"/>
    <w:rsid w:val="00D302CC"/>
    <w:rsid w:val="00D3263F"/>
    <w:rsid w:val="00D364AA"/>
    <w:rsid w:val="00D36E92"/>
    <w:rsid w:val="00D37EFE"/>
    <w:rsid w:val="00D41181"/>
    <w:rsid w:val="00D4386F"/>
    <w:rsid w:val="00D44FE5"/>
    <w:rsid w:val="00D50AB4"/>
    <w:rsid w:val="00D52C76"/>
    <w:rsid w:val="00D56DEC"/>
    <w:rsid w:val="00D61039"/>
    <w:rsid w:val="00D63900"/>
    <w:rsid w:val="00D63DB9"/>
    <w:rsid w:val="00D64796"/>
    <w:rsid w:val="00D6595C"/>
    <w:rsid w:val="00D66667"/>
    <w:rsid w:val="00D67382"/>
    <w:rsid w:val="00D674E9"/>
    <w:rsid w:val="00D67CE1"/>
    <w:rsid w:val="00D705E1"/>
    <w:rsid w:val="00D71159"/>
    <w:rsid w:val="00D76E17"/>
    <w:rsid w:val="00D77916"/>
    <w:rsid w:val="00D77D88"/>
    <w:rsid w:val="00D82C2A"/>
    <w:rsid w:val="00D83D84"/>
    <w:rsid w:val="00D85442"/>
    <w:rsid w:val="00D86267"/>
    <w:rsid w:val="00D862F1"/>
    <w:rsid w:val="00D86C63"/>
    <w:rsid w:val="00D90D0F"/>
    <w:rsid w:val="00D92B68"/>
    <w:rsid w:val="00D95305"/>
    <w:rsid w:val="00D963ED"/>
    <w:rsid w:val="00DA02F7"/>
    <w:rsid w:val="00DA1F19"/>
    <w:rsid w:val="00DA2EAA"/>
    <w:rsid w:val="00DA3486"/>
    <w:rsid w:val="00DA7D75"/>
    <w:rsid w:val="00DB1C17"/>
    <w:rsid w:val="00DB2577"/>
    <w:rsid w:val="00DB2A47"/>
    <w:rsid w:val="00DB3F24"/>
    <w:rsid w:val="00DB5113"/>
    <w:rsid w:val="00DC1380"/>
    <w:rsid w:val="00DC1B9A"/>
    <w:rsid w:val="00DC26E4"/>
    <w:rsid w:val="00DC26F6"/>
    <w:rsid w:val="00DC2848"/>
    <w:rsid w:val="00DC305D"/>
    <w:rsid w:val="00DC4347"/>
    <w:rsid w:val="00DC7DF8"/>
    <w:rsid w:val="00DD4080"/>
    <w:rsid w:val="00DE26F9"/>
    <w:rsid w:val="00DE3607"/>
    <w:rsid w:val="00DE5022"/>
    <w:rsid w:val="00DE6D08"/>
    <w:rsid w:val="00DF1C90"/>
    <w:rsid w:val="00DF1FEA"/>
    <w:rsid w:val="00DF3078"/>
    <w:rsid w:val="00DF567A"/>
    <w:rsid w:val="00DF709F"/>
    <w:rsid w:val="00DF777C"/>
    <w:rsid w:val="00E01653"/>
    <w:rsid w:val="00E100BA"/>
    <w:rsid w:val="00E1338F"/>
    <w:rsid w:val="00E14771"/>
    <w:rsid w:val="00E162C5"/>
    <w:rsid w:val="00E171D2"/>
    <w:rsid w:val="00E17BDD"/>
    <w:rsid w:val="00E2567D"/>
    <w:rsid w:val="00E35522"/>
    <w:rsid w:val="00E402B8"/>
    <w:rsid w:val="00E4053F"/>
    <w:rsid w:val="00E41A80"/>
    <w:rsid w:val="00E42EFE"/>
    <w:rsid w:val="00E43059"/>
    <w:rsid w:val="00E4547C"/>
    <w:rsid w:val="00E46BA5"/>
    <w:rsid w:val="00E47687"/>
    <w:rsid w:val="00E47F60"/>
    <w:rsid w:val="00E47F9F"/>
    <w:rsid w:val="00E52D30"/>
    <w:rsid w:val="00E55E6C"/>
    <w:rsid w:val="00E56ECC"/>
    <w:rsid w:val="00E56FBC"/>
    <w:rsid w:val="00E571AD"/>
    <w:rsid w:val="00E57AD2"/>
    <w:rsid w:val="00E60966"/>
    <w:rsid w:val="00E71624"/>
    <w:rsid w:val="00E71E41"/>
    <w:rsid w:val="00E72ACF"/>
    <w:rsid w:val="00E7465A"/>
    <w:rsid w:val="00E81D39"/>
    <w:rsid w:val="00E8317D"/>
    <w:rsid w:val="00E838DA"/>
    <w:rsid w:val="00E84EF7"/>
    <w:rsid w:val="00E855DE"/>
    <w:rsid w:val="00E87633"/>
    <w:rsid w:val="00E8774C"/>
    <w:rsid w:val="00E9270C"/>
    <w:rsid w:val="00E95014"/>
    <w:rsid w:val="00E97383"/>
    <w:rsid w:val="00EA0B3A"/>
    <w:rsid w:val="00EA1B99"/>
    <w:rsid w:val="00EA61C6"/>
    <w:rsid w:val="00EA61C7"/>
    <w:rsid w:val="00EA7277"/>
    <w:rsid w:val="00EB071D"/>
    <w:rsid w:val="00EB5559"/>
    <w:rsid w:val="00EB5B82"/>
    <w:rsid w:val="00EB5C23"/>
    <w:rsid w:val="00EB67A4"/>
    <w:rsid w:val="00EB7108"/>
    <w:rsid w:val="00EC00B2"/>
    <w:rsid w:val="00EC02BB"/>
    <w:rsid w:val="00EC293E"/>
    <w:rsid w:val="00EC2E5D"/>
    <w:rsid w:val="00EC35DA"/>
    <w:rsid w:val="00EC3F6C"/>
    <w:rsid w:val="00EC78CF"/>
    <w:rsid w:val="00EC7E96"/>
    <w:rsid w:val="00ED12FD"/>
    <w:rsid w:val="00ED1C7D"/>
    <w:rsid w:val="00ED1EFE"/>
    <w:rsid w:val="00ED222C"/>
    <w:rsid w:val="00ED53E3"/>
    <w:rsid w:val="00ED6923"/>
    <w:rsid w:val="00ED71F8"/>
    <w:rsid w:val="00ED7E59"/>
    <w:rsid w:val="00EE5402"/>
    <w:rsid w:val="00EE6BD9"/>
    <w:rsid w:val="00EE6DFB"/>
    <w:rsid w:val="00EE7B76"/>
    <w:rsid w:val="00EF00FF"/>
    <w:rsid w:val="00EF1FAC"/>
    <w:rsid w:val="00EF351C"/>
    <w:rsid w:val="00EF4A8B"/>
    <w:rsid w:val="00EF4C70"/>
    <w:rsid w:val="00EF4DF5"/>
    <w:rsid w:val="00EF6D2F"/>
    <w:rsid w:val="00F00DBD"/>
    <w:rsid w:val="00F0161D"/>
    <w:rsid w:val="00F02AD4"/>
    <w:rsid w:val="00F02E77"/>
    <w:rsid w:val="00F044BD"/>
    <w:rsid w:val="00F04AA9"/>
    <w:rsid w:val="00F04C07"/>
    <w:rsid w:val="00F04C77"/>
    <w:rsid w:val="00F067C5"/>
    <w:rsid w:val="00F146F6"/>
    <w:rsid w:val="00F14F84"/>
    <w:rsid w:val="00F168D8"/>
    <w:rsid w:val="00F20854"/>
    <w:rsid w:val="00F20BAD"/>
    <w:rsid w:val="00F21006"/>
    <w:rsid w:val="00F22E73"/>
    <w:rsid w:val="00F266D5"/>
    <w:rsid w:val="00F267DB"/>
    <w:rsid w:val="00F314E4"/>
    <w:rsid w:val="00F326B5"/>
    <w:rsid w:val="00F32F09"/>
    <w:rsid w:val="00F34E4E"/>
    <w:rsid w:val="00F356EA"/>
    <w:rsid w:val="00F371DB"/>
    <w:rsid w:val="00F37B0C"/>
    <w:rsid w:val="00F43CB0"/>
    <w:rsid w:val="00F43FBB"/>
    <w:rsid w:val="00F45418"/>
    <w:rsid w:val="00F45BA7"/>
    <w:rsid w:val="00F468ED"/>
    <w:rsid w:val="00F47618"/>
    <w:rsid w:val="00F47EDC"/>
    <w:rsid w:val="00F50628"/>
    <w:rsid w:val="00F50D6E"/>
    <w:rsid w:val="00F54777"/>
    <w:rsid w:val="00F54E0F"/>
    <w:rsid w:val="00F56F61"/>
    <w:rsid w:val="00F57C55"/>
    <w:rsid w:val="00F61C64"/>
    <w:rsid w:val="00F6642F"/>
    <w:rsid w:val="00F6783F"/>
    <w:rsid w:val="00F7040B"/>
    <w:rsid w:val="00F70E22"/>
    <w:rsid w:val="00F72346"/>
    <w:rsid w:val="00F758B8"/>
    <w:rsid w:val="00F76910"/>
    <w:rsid w:val="00F76BF2"/>
    <w:rsid w:val="00F76F39"/>
    <w:rsid w:val="00F8044E"/>
    <w:rsid w:val="00F80B42"/>
    <w:rsid w:val="00F8107B"/>
    <w:rsid w:val="00F81B2B"/>
    <w:rsid w:val="00F81F7D"/>
    <w:rsid w:val="00F8318F"/>
    <w:rsid w:val="00F83532"/>
    <w:rsid w:val="00F838A6"/>
    <w:rsid w:val="00F85D25"/>
    <w:rsid w:val="00F86AD3"/>
    <w:rsid w:val="00F91B32"/>
    <w:rsid w:val="00F92DA9"/>
    <w:rsid w:val="00F935C1"/>
    <w:rsid w:val="00F938A5"/>
    <w:rsid w:val="00F944CB"/>
    <w:rsid w:val="00F9728B"/>
    <w:rsid w:val="00FA02D9"/>
    <w:rsid w:val="00FA2BC2"/>
    <w:rsid w:val="00FA3974"/>
    <w:rsid w:val="00FA51E5"/>
    <w:rsid w:val="00FA6FE2"/>
    <w:rsid w:val="00FA703B"/>
    <w:rsid w:val="00FB1AC1"/>
    <w:rsid w:val="00FB5F5D"/>
    <w:rsid w:val="00FB63FA"/>
    <w:rsid w:val="00FB6FB0"/>
    <w:rsid w:val="00FB7A1E"/>
    <w:rsid w:val="00FC17BD"/>
    <w:rsid w:val="00FC225E"/>
    <w:rsid w:val="00FC2624"/>
    <w:rsid w:val="00FC27DC"/>
    <w:rsid w:val="00FC2FDB"/>
    <w:rsid w:val="00FC4A55"/>
    <w:rsid w:val="00FC69C8"/>
    <w:rsid w:val="00FC7274"/>
    <w:rsid w:val="00FD013A"/>
    <w:rsid w:val="00FD10AF"/>
    <w:rsid w:val="00FD227E"/>
    <w:rsid w:val="00FD2392"/>
    <w:rsid w:val="00FD2422"/>
    <w:rsid w:val="00FD5276"/>
    <w:rsid w:val="00FD6A49"/>
    <w:rsid w:val="00FE0769"/>
    <w:rsid w:val="00FE334C"/>
    <w:rsid w:val="00FE374D"/>
    <w:rsid w:val="00FE3914"/>
    <w:rsid w:val="00FE4644"/>
    <w:rsid w:val="00FE4B4C"/>
    <w:rsid w:val="00FF2D03"/>
    <w:rsid w:val="00FF6180"/>
    <w:rsid w:val="00FF695F"/>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9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8"/>
    <w:lsdException w:name="heading 5" w:uiPriority="8"/>
    <w:lsdException w:name="heading 6" w:uiPriority="8"/>
    <w:lsdException w:name="heading 7" w:semiHidden="1" w:uiPriority="8" w:unhideWhenUsed="1"/>
    <w:lsdException w:name="heading 8" w:semiHidden="1" w:uiPriority="8" w:unhideWhenUsed="1"/>
    <w:lsdException w:name="heading 9" w:semiHidden="1" w:uiPriority="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20A9"/>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_UMAR"/>
    <w:next w:val="BesediloUMAR"/>
    <w:link w:val="Heading1Char"/>
    <w:uiPriority w:val="1"/>
    <w:qFormat/>
    <w:rsid w:val="001161F4"/>
    <w:pPr>
      <w:keepNext/>
      <w:keepLines/>
      <w:pageBreakBefore/>
      <w:numPr>
        <w:numId w:val="2"/>
      </w:numPr>
      <w:spacing w:before="200" w:after="100" w:line="288" w:lineRule="auto"/>
      <w:ind w:left="357" w:hanging="357"/>
      <w:outlineLvl w:val="0"/>
    </w:pPr>
    <w:rPr>
      <w:rFonts w:ascii="Myriad Pro" w:eastAsiaTheme="minorHAnsi" w:hAnsi="Myriad Pro" w:cs="Arial"/>
      <w:b/>
      <w:bCs/>
      <w:color w:val="9E001A" w:themeColor="accent1"/>
      <w:kern w:val="32"/>
      <w:sz w:val="28"/>
      <w:szCs w:val="22"/>
      <w:lang w:eastAsia="en-US"/>
    </w:rPr>
  </w:style>
  <w:style w:type="paragraph" w:styleId="Heading2">
    <w:name w:val="heading 2"/>
    <w:aliases w:val="Heading 2_UMAR"/>
    <w:next w:val="BesediloUMAR"/>
    <w:link w:val="Heading2Char"/>
    <w:uiPriority w:val="2"/>
    <w:qFormat/>
    <w:rsid w:val="001161F4"/>
    <w:pPr>
      <w:keepNext/>
      <w:keepLines/>
      <w:numPr>
        <w:ilvl w:val="1"/>
        <w:numId w:val="2"/>
      </w:numPr>
      <w:spacing w:before="200" w:after="100" w:line="288" w:lineRule="auto"/>
      <w:contextualSpacing/>
      <w:outlineLvl w:val="1"/>
    </w:pPr>
    <w:rPr>
      <w:rFonts w:ascii="Myriad Pro" w:eastAsiaTheme="minorHAnsi" w:hAnsi="Myriad Pro" w:cstheme="minorBidi"/>
      <w:b/>
      <w:color w:val="9E001A" w:themeColor="accent1"/>
      <w:sz w:val="24"/>
      <w:szCs w:val="22"/>
      <w:lang w:eastAsia="en-US"/>
    </w:rPr>
  </w:style>
  <w:style w:type="paragraph" w:styleId="Heading3">
    <w:name w:val="heading 3"/>
    <w:aliases w:val="Heading 3_UMAR"/>
    <w:next w:val="BesediloUMAR"/>
    <w:link w:val="Heading3Char"/>
    <w:uiPriority w:val="3"/>
    <w:qFormat/>
    <w:rsid w:val="001161F4"/>
    <w:pPr>
      <w:keepNext/>
      <w:keepLines/>
      <w:numPr>
        <w:ilvl w:val="2"/>
        <w:numId w:val="2"/>
      </w:numPr>
      <w:spacing w:before="200" w:after="100" w:line="288" w:lineRule="auto"/>
      <w:contextualSpacing/>
      <w:outlineLvl w:val="2"/>
    </w:pPr>
    <w:rPr>
      <w:rFonts w:ascii="Myriad Pro" w:eastAsiaTheme="minorHAnsi" w:hAnsi="Myriad Pro" w:cs="Arial"/>
      <w:b/>
      <w:bCs/>
      <w:color w:val="9E001A" w:themeColor="accent1"/>
      <w:sz w:val="24"/>
      <w:szCs w:val="26"/>
      <w:lang w:eastAsia="en-US"/>
    </w:rPr>
  </w:style>
  <w:style w:type="paragraph" w:styleId="Heading4">
    <w:name w:val="heading 4"/>
    <w:basedOn w:val="Normal"/>
    <w:next w:val="Normal"/>
    <w:uiPriority w:val="8"/>
    <w:unhideWhenUsed/>
    <w:rsid w:val="001161F4"/>
    <w:pPr>
      <w:keepNext/>
      <w:numPr>
        <w:ilvl w:val="3"/>
        <w:numId w:val="2"/>
      </w:numPr>
      <w:spacing w:before="360" w:after="240"/>
      <w:outlineLvl w:val="3"/>
    </w:pPr>
    <w:rPr>
      <w:rFonts w:ascii="Myriad Pro" w:hAnsi="Myriad Pro"/>
      <w:b/>
      <w:bCs/>
    </w:rPr>
  </w:style>
  <w:style w:type="paragraph" w:styleId="Heading5">
    <w:name w:val="heading 5"/>
    <w:basedOn w:val="Normal"/>
    <w:next w:val="Normal"/>
    <w:uiPriority w:val="8"/>
    <w:unhideWhenUsed/>
    <w:rsid w:val="001161F4"/>
    <w:pPr>
      <w:numPr>
        <w:ilvl w:val="4"/>
        <w:numId w:val="2"/>
      </w:numPr>
      <w:spacing w:before="240" w:after="60"/>
      <w:outlineLvl w:val="4"/>
    </w:pPr>
    <w:rPr>
      <w:rFonts w:ascii="Myriad Pro" w:hAnsi="Myriad Pro"/>
      <w:b/>
      <w:bCs/>
      <w:iCs/>
      <w:szCs w:val="26"/>
    </w:rPr>
  </w:style>
  <w:style w:type="paragraph" w:styleId="Heading6">
    <w:name w:val="heading 6"/>
    <w:basedOn w:val="Normal"/>
    <w:next w:val="Normal"/>
    <w:uiPriority w:val="8"/>
    <w:unhideWhenUsed/>
    <w:rsid w:val="001161F4"/>
    <w:pPr>
      <w:numPr>
        <w:ilvl w:val="5"/>
        <w:numId w:val="2"/>
      </w:numPr>
      <w:spacing w:before="240" w:after="60"/>
      <w:outlineLvl w:val="5"/>
    </w:pPr>
    <w:rPr>
      <w:rFonts w:ascii="Myriad Pro" w:hAnsi="Myriad Pro"/>
      <w:b/>
      <w:bCs/>
    </w:rPr>
  </w:style>
  <w:style w:type="paragraph" w:styleId="Heading7">
    <w:name w:val="heading 7"/>
    <w:basedOn w:val="Normal"/>
    <w:next w:val="Normal"/>
    <w:uiPriority w:val="8"/>
    <w:unhideWhenUsed/>
    <w:rsid w:val="001161F4"/>
    <w:pPr>
      <w:numPr>
        <w:ilvl w:val="6"/>
        <w:numId w:val="2"/>
      </w:numPr>
      <w:spacing w:before="240" w:after="60"/>
      <w:outlineLvl w:val="6"/>
    </w:pPr>
    <w:rPr>
      <w:rFonts w:ascii="Myriad Pro" w:hAnsi="Myriad Pro"/>
    </w:rPr>
  </w:style>
  <w:style w:type="paragraph" w:styleId="Heading8">
    <w:name w:val="heading 8"/>
    <w:basedOn w:val="Normal"/>
    <w:next w:val="Normal"/>
    <w:uiPriority w:val="8"/>
    <w:unhideWhenUsed/>
    <w:rsid w:val="001161F4"/>
    <w:pPr>
      <w:numPr>
        <w:ilvl w:val="7"/>
        <w:numId w:val="2"/>
      </w:numPr>
      <w:spacing w:before="240" w:after="60"/>
      <w:outlineLvl w:val="7"/>
    </w:pPr>
    <w:rPr>
      <w:rFonts w:ascii="Myriad Pro" w:hAnsi="Myriad Pro"/>
      <w:i/>
      <w:iCs/>
    </w:rPr>
  </w:style>
  <w:style w:type="paragraph" w:styleId="Heading9">
    <w:name w:val="heading 9"/>
    <w:basedOn w:val="Normal"/>
    <w:next w:val="Normal"/>
    <w:uiPriority w:val="8"/>
    <w:unhideWhenUsed/>
    <w:rsid w:val="001161F4"/>
    <w:pPr>
      <w:numPr>
        <w:ilvl w:val="8"/>
        <w:numId w:val="2"/>
      </w:numPr>
      <w:spacing w:before="240" w:after="60"/>
      <w:outlineLvl w:val="8"/>
    </w:pPr>
    <w:rPr>
      <w:rFonts w:ascii="Myriad Pro" w:hAnsi="Myriad Pro" w:cs="Arial"/>
    </w:rPr>
  </w:style>
  <w:style w:type="character" w:default="1" w:styleId="DefaultParagraphFont">
    <w:name w:val="Default Paragraph Font"/>
    <w:uiPriority w:val="1"/>
    <w:semiHidden/>
    <w:unhideWhenUsed/>
    <w:rsid w:val="000720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20A9"/>
  </w:style>
  <w:style w:type="paragraph" w:styleId="FootnoteText">
    <w:name w:val="footnote text"/>
    <w:aliases w:val="Sprotna opomba-besedilo,Char Char,Char Char Char Char,Char Char Char,Sprotna opomba - besedilo Znak1,Sprotna opomba - besedilo Znak Znak2,Sprotna opomba - besedilo Znak1 Znak Znak1,Sprotna opomba - besedilo Znak1 Znak Znak Znak,fn,Char Ch"/>
    <w:basedOn w:val="BesediloUMAR"/>
    <w:link w:val="FootnoteTextChar"/>
    <w:autoRedefine/>
    <w:uiPriority w:val="8"/>
    <w:qFormat/>
    <w:rsid w:val="001161F4"/>
    <w:rPr>
      <w:sz w:val="16"/>
      <w:szCs w:val="14"/>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fn Char"/>
    <w:basedOn w:val="DefaultParagraphFont"/>
    <w:link w:val="FootnoteText"/>
    <w:uiPriority w:val="8"/>
    <w:rsid w:val="001161F4"/>
    <w:rPr>
      <w:rFonts w:ascii="Myriad Pro" w:eastAsiaTheme="minorHAnsi" w:hAnsi="Myriad Pro" w:cstheme="minorBidi"/>
      <w:sz w:val="16"/>
      <w:szCs w:val="14"/>
      <w:lang w:eastAsia="en-US"/>
    </w:rPr>
  </w:style>
  <w:style w:type="character" w:styleId="FootnoteReference">
    <w:name w:val="footnote reference"/>
    <w:aliases w:val="Footnote symbol,Fussnota,Footnote,Footnote reference number,note TESI,SUPERS,EN Footnote Reference,-E Fußnotenzeichen,Times 10 Point,Exposant 3 Point,E...,nota de rodapé,Footnote Reference_LVL6,Footnote Reference_LVL61,Footnot,stylish"/>
    <w:basedOn w:val="DefaultParagraphFont"/>
    <w:link w:val="FootnoteReferneceCarcter"/>
    <w:uiPriority w:val="8"/>
    <w:rsid w:val="001161F4"/>
    <w:rPr>
      <w:rFonts w:ascii="Myriad Pro" w:hAnsi="Myriad Pro"/>
      <w:sz w:val="18"/>
      <w:vertAlign w:val="superscript"/>
    </w:rPr>
  </w:style>
  <w:style w:type="paragraph" w:styleId="Caption">
    <w:name w:val="caption"/>
    <w:aliases w:val="Okvir/Slika/Tabela_UMAR"/>
    <w:basedOn w:val="TableofFigures"/>
    <w:next w:val="BesediloUMAR"/>
    <w:link w:val="CaptionChar"/>
    <w:uiPriority w:val="4"/>
    <w:qFormat/>
    <w:rsid w:val="001161F4"/>
    <w:pPr>
      <w:keepNext/>
      <w:keepLines/>
      <w:spacing w:before="240" w:after="60"/>
      <w:contextualSpacing/>
    </w:pPr>
    <w:rPr>
      <w:b/>
      <w:bCs/>
    </w:rPr>
  </w:style>
  <w:style w:type="paragraph" w:styleId="Footer">
    <w:name w:val="footer"/>
    <w:basedOn w:val="Normal"/>
    <w:next w:val="Normal"/>
    <w:link w:val="FooterChar"/>
    <w:autoRedefine/>
    <w:uiPriority w:val="99"/>
    <w:rsid w:val="001161F4"/>
    <w:pPr>
      <w:framePr w:wrap="around" w:vAnchor="text" w:hAnchor="margin" w:xAlign="center" w:y="1"/>
      <w:tabs>
        <w:tab w:val="center" w:pos="4536"/>
        <w:tab w:val="right" w:pos="9072"/>
      </w:tabs>
      <w:spacing w:after="0" w:line="288" w:lineRule="auto"/>
      <w:jc w:val="center"/>
    </w:pPr>
    <w:rPr>
      <w:rFonts w:ascii="Myriad Pro" w:hAnsi="Myriad Pro"/>
      <w:noProof/>
      <w:sz w:val="16"/>
      <w:szCs w:val="16"/>
    </w:rPr>
  </w:style>
  <w:style w:type="paragraph" w:styleId="TableofFigures">
    <w:name w:val="table of figures"/>
    <w:basedOn w:val="BesediloUMAR"/>
    <w:next w:val="BesediloUMAR"/>
    <w:autoRedefine/>
    <w:uiPriority w:val="99"/>
    <w:rsid w:val="001161F4"/>
    <w:pPr>
      <w:tabs>
        <w:tab w:val="right" w:leader="dot" w:pos="9070"/>
      </w:tabs>
    </w:pPr>
    <w:rPr>
      <w:noProof/>
      <w:szCs w:val="20"/>
    </w:rPr>
  </w:style>
  <w:style w:type="paragraph" w:styleId="TableofAuthorities">
    <w:name w:val="table of authorities"/>
    <w:basedOn w:val="Normal"/>
    <w:next w:val="Normal"/>
    <w:semiHidden/>
    <w:rsid w:val="001161F4"/>
    <w:pPr>
      <w:ind w:left="220" w:hanging="220"/>
    </w:pPr>
  </w:style>
  <w:style w:type="paragraph" w:styleId="TOAHeading">
    <w:name w:val="toa heading"/>
    <w:basedOn w:val="Normal"/>
    <w:next w:val="Normal"/>
    <w:semiHidden/>
    <w:rsid w:val="001161F4"/>
    <w:pPr>
      <w:spacing w:before="120"/>
    </w:pPr>
    <w:rPr>
      <w:rFonts w:cs="Arial"/>
      <w:b/>
      <w:bCs/>
    </w:rPr>
  </w:style>
  <w:style w:type="paragraph" w:styleId="TOC1">
    <w:name w:val="toc 1"/>
    <w:basedOn w:val="BesediloUMAR"/>
    <w:next w:val="BesediloUMAR"/>
    <w:autoRedefine/>
    <w:uiPriority w:val="39"/>
    <w:rsid w:val="001161F4"/>
    <w:pPr>
      <w:tabs>
        <w:tab w:val="left" w:pos="340"/>
        <w:tab w:val="right" w:leader="dot" w:pos="9070"/>
      </w:tabs>
      <w:spacing w:before="100" w:after="100"/>
    </w:pPr>
    <w:rPr>
      <w:rFonts w:cs="Arial"/>
      <w:noProof/>
      <w:szCs w:val="20"/>
    </w:rPr>
  </w:style>
  <w:style w:type="paragraph" w:styleId="TOC2">
    <w:name w:val="toc 2"/>
    <w:basedOn w:val="BesediloUMAR"/>
    <w:next w:val="BesediloUMAR"/>
    <w:autoRedefine/>
    <w:uiPriority w:val="39"/>
    <w:rsid w:val="001161F4"/>
    <w:pPr>
      <w:tabs>
        <w:tab w:val="right" w:leader="dot" w:pos="9070"/>
      </w:tabs>
      <w:spacing w:before="100" w:after="100"/>
      <w:ind w:left="340"/>
    </w:pPr>
    <w:rPr>
      <w:noProof/>
    </w:rPr>
  </w:style>
  <w:style w:type="paragraph" w:styleId="TOC3">
    <w:name w:val="toc 3"/>
    <w:next w:val="BesediloUMAR"/>
    <w:autoRedefine/>
    <w:uiPriority w:val="39"/>
    <w:rsid w:val="001161F4"/>
    <w:pPr>
      <w:tabs>
        <w:tab w:val="right" w:leader="dot" w:pos="9070"/>
      </w:tabs>
      <w:spacing w:after="100" w:line="288" w:lineRule="auto"/>
      <w:ind w:left="680"/>
      <w:jc w:val="both"/>
    </w:pPr>
    <w:rPr>
      <w:rFonts w:ascii="Myriad Pro" w:eastAsiaTheme="minorHAnsi" w:hAnsi="Myriad Pro" w:cstheme="minorBidi"/>
      <w:szCs w:val="22"/>
      <w:lang w:eastAsia="en-US"/>
    </w:rPr>
  </w:style>
  <w:style w:type="paragraph" w:styleId="TOC4">
    <w:name w:val="toc 4"/>
    <w:basedOn w:val="Normal"/>
    <w:autoRedefine/>
    <w:semiHidden/>
    <w:rsid w:val="001161F4"/>
    <w:pPr>
      <w:spacing w:after="20"/>
      <w:ind w:left="340"/>
      <w:contextualSpacing/>
    </w:pPr>
  </w:style>
  <w:style w:type="paragraph" w:styleId="TOC5">
    <w:name w:val="toc 5"/>
    <w:basedOn w:val="Normal"/>
    <w:autoRedefine/>
    <w:semiHidden/>
    <w:rsid w:val="001161F4"/>
    <w:pPr>
      <w:spacing w:after="20"/>
      <w:contextualSpacing/>
    </w:pPr>
  </w:style>
  <w:style w:type="paragraph" w:styleId="TOC6">
    <w:name w:val="toc 6"/>
    <w:basedOn w:val="Normal"/>
    <w:next w:val="Normal"/>
    <w:autoRedefine/>
    <w:semiHidden/>
    <w:rsid w:val="001161F4"/>
    <w:pPr>
      <w:ind w:left="1100"/>
    </w:pPr>
  </w:style>
  <w:style w:type="paragraph" w:styleId="TOC7">
    <w:name w:val="toc 7"/>
    <w:basedOn w:val="Normal"/>
    <w:next w:val="Normal"/>
    <w:autoRedefine/>
    <w:semiHidden/>
    <w:rsid w:val="001161F4"/>
    <w:pPr>
      <w:ind w:left="1320"/>
    </w:pPr>
  </w:style>
  <w:style w:type="paragraph" w:styleId="TOC8">
    <w:name w:val="toc 8"/>
    <w:basedOn w:val="Normal"/>
    <w:next w:val="Normal"/>
    <w:autoRedefine/>
    <w:semiHidden/>
    <w:rsid w:val="001161F4"/>
    <w:pPr>
      <w:ind w:left="1540"/>
    </w:pPr>
  </w:style>
  <w:style w:type="paragraph" w:styleId="TOC9">
    <w:name w:val="toc 9"/>
    <w:basedOn w:val="Normal"/>
    <w:next w:val="Normal"/>
    <w:autoRedefine/>
    <w:semiHidden/>
    <w:rsid w:val="001161F4"/>
    <w:pPr>
      <w:ind w:left="1760"/>
    </w:pPr>
  </w:style>
  <w:style w:type="paragraph" w:styleId="CommentText">
    <w:name w:val="annotation text"/>
    <w:basedOn w:val="Normal"/>
    <w:link w:val="CommentTextChar"/>
    <w:semiHidden/>
    <w:rsid w:val="001161F4"/>
    <w:rPr>
      <w:szCs w:val="20"/>
    </w:rPr>
  </w:style>
  <w:style w:type="character" w:styleId="CommentReference">
    <w:name w:val="annotation reference"/>
    <w:basedOn w:val="DefaultParagraphFont"/>
    <w:semiHidden/>
    <w:rsid w:val="001161F4"/>
    <w:rPr>
      <w:sz w:val="16"/>
      <w:szCs w:val="16"/>
    </w:rPr>
  </w:style>
  <w:style w:type="paragraph" w:styleId="EndnoteText">
    <w:name w:val="endnote text"/>
    <w:basedOn w:val="Normal"/>
    <w:autoRedefine/>
    <w:semiHidden/>
    <w:rsid w:val="001161F4"/>
    <w:rPr>
      <w:szCs w:val="20"/>
    </w:rPr>
  </w:style>
  <w:style w:type="character" w:styleId="EndnoteReference">
    <w:name w:val="endnote reference"/>
    <w:basedOn w:val="DefaultParagraphFont"/>
    <w:semiHidden/>
    <w:rsid w:val="001161F4"/>
    <w:rPr>
      <w:vertAlign w:val="superscript"/>
    </w:rPr>
  </w:style>
  <w:style w:type="paragraph" w:styleId="MacroText">
    <w:name w:val="macro"/>
    <w:semiHidden/>
    <w:rsid w:val="001161F4"/>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Index1">
    <w:name w:val="index 1"/>
    <w:basedOn w:val="Normal"/>
    <w:next w:val="Normal"/>
    <w:autoRedefine/>
    <w:semiHidden/>
    <w:rsid w:val="001161F4"/>
    <w:pPr>
      <w:ind w:left="220" w:hanging="220"/>
    </w:pPr>
  </w:style>
  <w:style w:type="paragraph" w:styleId="IndexHeading">
    <w:name w:val="index heading"/>
    <w:basedOn w:val="Normal"/>
    <w:next w:val="Index1"/>
    <w:semiHidden/>
    <w:rsid w:val="001161F4"/>
    <w:rPr>
      <w:rFonts w:cs="Arial"/>
      <w:b/>
      <w:bCs/>
    </w:rPr>
  </w:style>
  <w:style w:type="paragraph" w:styleId="Index2">
    <w:name w:val="index 2"/>
    <w:basedOn w:val="Normal"/>
    <w:next w:val="Normal"/>
    <w:autoRedefine/>
    <w:semiHidden/>
    <w:rsid w:val="001161F4"/>
    <w:pPr>
      <w:ind w:left="440" w:hanging="220"/>
    </w:pPr>
  </w:style>
  <w:style w:type="paragraph" w:styleId="Index3">
    <w:name w:val="index 3"/>
    <w:basedOn w:val="Normal"/>
    <w:next w:val="Normal"/>
    <w:autoRedefine/>
    <w:semiHidden/>
    <w:rsid w:val="001161F4"/>
    <w:pPr>
      <w:ind w:left="660" w:hanging="220"/>
    </w:pPr>
  </w:style>
  <w:style w:type="paragraph" w:styleId="Index4">
    <w:name w:val="index 4"/>
    <w:basedOn w:val="Normal"/>
    <w:next w:val="Normal"/>
    <w:autoRedefine/>
    <w:semiHidden/>
    <w:rsid w:val="001161F4"/>
    <w:pPr>
      <w:ind w:left="880" w:hanging="220"/>
    </w:pPr>
  </w:style>
  <w:style w:type="paragraph" w:styleId="Index5">
    <w:name w:val="index 5"/>
    <w:basedOn w:val="Normal"/>
    <w:next w:val="Normal"/>
    <w:autoRedefine/>
    <w:semiHidden/>
    <w:rsid w:val="001161F4"/>
    <w:pPr>
      <w:ind w:left="1100" w:hanging="220"/>
    </w:pPr>
  </w:style>
  <w:style w:type="paragraph" w:styleId="Index6">
    <w:name w:val="index 6"/>
    <w:basedOn w:val="Normal"/>
    <w:next w:val="Normal"/>
    <w:autoRedefine/>
    <w:semiHidden/>
    <w:rsid w:val="001161F4"/>
    <w:pPr>
      <w:ind w:left="1320" w:hanging="220"/>
    </w:pPr>
  </w:style>
  <w:style w:type="paragraph" w:styleId="Index7">
    <w:name w:val="index 7"/>
    <w:basedOn w:val="Normal"/>
    <w:next w:val="Normal"/>
    <w:autoRedefine/>
    <w:semiHidden/>
    <w:rsid w:val="001161F4"/>
    <w:pPr>
      <w:ind w:left="1540" w:hanging="220"/>
    </w:pPr>
  </w:style>
  <w:style w:type="paragraph" w:styleId="Index8">
    <w:name w:val="index 8"/>
    <w:basedOn w:val="Normal"/>
    <w:next w:val="Normal"/>
    <w:autoRedefine/>
    <w:semiHidden/>
    <w:rsid w:val="001161F4"/>
    <w:pPr>
      <w:ind w:left="1760" w:hanging="220"/>
    </w:pPr>
  </w:style>
  <w:style w:type="paragraph" w:styleId="Index9">
    <w:name w:val="index 9"/>
    <w:basedOn w:val="Normal"/>
    <w:next w:val="Normal"/>
    <w:autoRedefine/>
    <w:semiHidden/>
    <w:rsid w:val="001161F4"/>
    <w:pPr>
      <w:ind w:left="1980" w:hanging="220"/>
    </w:pPr>
  </w:style>
  <w:style w:type="paragraph" w:styleId="DocumentMap">
    <w:name w:val="Document Map"/>
    <w:basedOn w:val="Normal"/>
    <w:semiHidden/>
    <w:rsid w:val="001161F4"/>
    <w:pPr>
      <w:shd w:val="clear" w:color="auto" w:fill="000080"/>
    </w:pPr>
    <w:rPr>
      <w:rFonts w:ascii="Tahoma" w:hAnsi="Tahoma" w:cs="Tahoma"/>
      <w:szCs w:val="20"/>
    </w:rPr>
  </w:style>
  <w:style w:type="character" w:customStyle="1" w:styleId="VodilnistavekUMAR">
    <w:name w:val="Vodilni stavek_UMAR"/>
    <w:basedOn w:val="DefaultParagraphFont"/>
    <w:qFormat/>
    <w:rsid w:val="001161F4"/>
    <w:rPr>
      <w:b/>
    </w:rPr>
  </w:style>
  <w:style w:type="paragraph" w:styleId="BalloonText">
    <w:name w:val="Balloon Text"/>
    <w:basedOn w:val="Normal"/>
    <w:semiHidden/>
    <w:rsid w:val="001161F4"/>
    <w:rPr>
      <w:rFonts w:ascii="Tahoma" w:hAnsi="Tahoma" w:cs="Tahoma"/>
      <w:sz w:val="16"/>
      <w:szCs w:val="16"/>
    </w:rPr>
  </w:style>
  <w:style w:type="character" w:customStyle="1" w:styleId="HeaderChar">
    <w:name w:val="Header Char"/>
    <w:basedOn w:val="DefaultParagraphFont"/>
    <w:link w:val="Header"/>
    <w:uiPriority w:val="99"/>
    <w:rsid w:val="001161F4"/>
    <w:rPr>
      <w:rFonts w:ascii="Myriad Pro" w:eastAsiaTheme="minorHAnsi" w:hAnsi="Myriad Pro" w:cstheme="minorBidi"/>
      <w:sz w:val="22"/>
      <w:szCs w:val="22"/>
      <w:lang w:eastAsia="en-US"/>
    </w:rPr>
  </w:style>
  <w:style w:type="table" w:styleId="TableGrid">
    <w:name w:val="Table Grid"/>
    <w:basedOn w:val="TableNormal"/>
    <w:uiPriority w:val="59"/>
    <w:rsid w:val="001161F4"/>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1161F4"/>
    <w:pPr>
      <w:tabs>
        <w:tab w:val="center" w:pos="4536"/>
        <w:tab w:val="right" w:pos="9072"/>
      </w:tabs>
    </w:pPr>
    <w:rPr>
      <w:rFonts w:ascii="Myriad Pro" w:hAnsi="Myriad Pro"/>
    </w:rPr>
  </w:style>
  <w:style w:type="character" w:styleId="Hyperlink">
    <w:name w:val="Hyperlink"/>
    <w:basedOn w:val="BesediloUMARChar"/>
    <w:uiPriority w:val="99"/>
    <w:rsid w:val="001161F4"/>
    <w:rPr>
      <w:rFonts w:ascii="Myriad Pro" w:eastAsiaTheme="minorHAnsi" w:hAnsi="Myriad Pro" w:cstheme="minorBidi"/>
      <w:color w:val="0000FF"/>
      <w:szCs w:val="22"/>
      <w:u w:val="single"/>
      <w:lang w:eastAsia="en-US"/>
    </w:rPr>
  </w:style>
  <w:style w:type="character" w:styleId="Emphasis">
    <w:name w:val="Emphasis"/>
    <w:aliases w:val="Italic poudarek_UMAR"/>
    <w:basedOn w:val="BesediloUMARChar"/>
    <w:qFormat/>
    <w:rsid w:val="001161F4"/>
    <w:rPr>
      <w:rFonts w:ascii="Myriad Pro" w:eastAsiaTheme="minorHAnsi" w:hAnsi="Myriad Pro" w:cstheme="minorBidi"/>
      <w:i/>
      <w:iCs/>
      <w:szCs w:val="22"/>
      <w:lang w:eastAsia="en-US"/>
    </w:rPr>
  </w:style>
  <w:style w:type="character" w:customStyle="1" w:styleId="Heading3Char">
    <w:name w:val="Heading 3 Char"/>
    <w:aliases w:val="Heading 3_UMAR Char"/>
    <w:basedOn w:val="DefaultParagraphFont"/>
    <w:link w:val="Heading3"/>
    <w:uiPriority w:val="3"/>
    <w:rsid w:val="001161F4"/>
    <w:rPr>
      <w:rFonts w:ascii="Myriad Pro" w:eastAsiaTheme="minorHAnsi" w:hAnsi="Myriad Pro" w:cs="Arial"/>
      <w:b/>
      <w:bCs/>
      <w:color w:val="9E001A" w:themeColor="accent1"/>
      <w:sz w:val="24"/>
      <w:szCs w:val="26"/>
      <w:lang w:eastAsia="en-US"/>
    </w:rPr>
  </w:style>
  <w:style w:type="character" w:customStyle="1" w:styleId="Heading2Char">
    <w:name w:val="Heading 2 Char"/>
    <w:aliases w:val="Heading 2_UMAR Char"/>
    <w:basedOn w:val="DefaultParagraphFont"/>
    <w:link w:val="Heading2"/>
    <w:uiPriority w:val="2"/>
    <w:rsid w:val="001161F4"/>
    <w:rPr>
      <w:rFonts w:ascii="Myriad Pro" w:eastAsiaTheme="minorHAnsi" w:hAnsi="Myriad Pro" w:cstheme="minorBidi"/>
      <w:b/>
      <w:color w:val="9E001A" w:themeColor="accent1"/>
      <w:sz w:val="24"/>
      <w:szCs w:val="22"/>
      <w:lang w:eastAsia="en-US"/>
    </w:rPr>
  </w:style>
  <w:style w:type="character" w:customStyle="1" w:styleId="Heading1Char">
    <w:name w:val="Heading 1 Char"/>
    <w:aliases w:val="Heading 1_UMAR Char"/>
    <w:basedOn w:val="DefaultParagraphFont"/>
    <w:link w:val="Heading1"/>
    <w:uiPriority w:val="1"/>
    <w:rsid w:val="001161F4"/>
    <w:rPr>
      <w:rFonts w:ascii="Myriad Pro" w:eastAsiaTheme="minorHAnsi" w:hAnsi="Myriad Pro" w:cs="Arial"/>
      <w:b/>
      <w:bCs/>
      <w:color w:val="9E001A" w:themeColor="accent1"/>
      <w:kern w:val="32"/>
      <w:sz w:val="28"/>
      <w:szCs w:val="22"/>
      <w:lang w:eastAsia="en-US"/>
    </w:rPr>
  </w:style>
  <w:style w:type="character" w:styleId="PlaceholderText">
    <w:name w:val="Placeholder Text"/>
    <w:basedOn w:val="DefaultParagraphFont"/>
    <w:uiPriority w:val="99"/>
    <w:semiHidden/>
    <w:rsid w:val="001161F4"/>
    <w:rPr>
      <w:color w:val="808080"/>
    </w:rPr>
  </w:style>
  <w:style w:type="character" w:customStyle="1" w:styleId="FooterChar">
    <w:name w:val="Footer Char"/>
    <w:basedOn w:val="DefaultParagraphFont"/>
    <w:link w:val="Footer"/>
    <w:uiPriority w:val="99"/>
    <w:rsid w:val="001161F4"/>
    <w:rPr>
      <w:rFonts w:ascii="Myriad Pro" w:eastAsiaTheme="minorHAnsi" w:hAnsi="Myriad Pro" w:cstheme="minorBidi"/>
      <w:noProof/>
      <w:sz w:val="16"/>
      <w:szCs w:val="16"/>
      <w:lang w:eastAsia="en-US"/>
    </w:rPr>
  </w:style>
  <w:style w:type="paragraph" w:customStyle="1" w:styleId="BesediloUMAR">
    <w:name w:val="Besedilo_UMAR"/>
    <w:link w:val="BesediloUMARChar"/>
    <w:qFormat/>
    <w:rsid w:val="001161F4"/>
    <w:pPr>
      <w:spacing w:line="288" w:lineRule="auto"/>
      <w:jc w:val="both"/>
    </w:pPr>
    <w:rPr>
      <w:rFonts w:ascii="Myriad Pro" w:eastAsiaTheme="minorHAnsi" w:hAnsi="Myriad Pro" w:cstheme="minorBidi"/>
      <w:szCs w:val="22"/>
      <w:lang w:eastAsia="en-US"/>
    </w:rPr>
  </w:style>
  <w:style w:type="character" w:customStyle="1" w:styleId="BesediloUMARChar">
    <w:name w:val="Besedilo_UMAR Char"/>
    <w:basedOn w:val="DefaultParagraphFont"/>
    <w:link w:val="BesediloUMAR"/>
    <w:rsid w:val="001161F4"/>
    <w:rPr>
      <w:rFonts w:ascii="Myriad Pro" w:eastAsiaTheme="minorHAnsi" w:hAnsi="Myriad Pro" w:cstheme="minorBidi"/>
      <w:szCs w:val="22"/>
      <w:lang w:eastAsia="en-US"/>
    </w:rPr>
  </w:style>
  <w:style w:type="paragraph" w:customStyle="1" w:styleId="VirUMAR">
    <w:name w:val="Vir_UMAR"/>
    <w:basedOn w:val="BesediloUMAR"/>
    <w:link w:val="VirUMARChar"/>
    <w:uiPriority w:val="6"/>
    <w:qFormat/>
    <w:rsid w:val="001161F4"/>
    <w:pPr>
      <w:spacing w:before="40" w:line="240" w:lineRule="auto"/>
    </w:pPr>
    <w:rPr>
      <w:sz w:val="16"/>
    </w:rPr>
  </w:style>
  <w:style w:type="character" w:customStyle="1" w:styleId="VirUMARChar">
    <w:name w:val="Vir_UMAR Char"/>
    <w:basedOn w:val="DefaultParagraphFont"/>
    <w:link w:val="VirUMAR"/>
    <w:uiPriority w:val="6"/>
    <w:rsid w:val="001161F4"/>
    <w:rPr>
      <w:rFonts w:ascii="Myriad Pro" w:eastAsiaTheme="minorHAnsi" w:hAnsi="Myriad Pro" w:cstheme="minorBidi"/>
      <w:sz w:val="16"/>
      <w:szCs w:val="22"/>
      <w:lang w:eastAsia="en-US"/>
    </w:rPr>
  </w:style>
  <w:style w:type="character" w:customStyle="1" w:styleId="CaptionChar">
    <w:name w:val="Caption Char"/>
    <w:aliases w:val="Okvir/Slika/Tabela_UMAR Char"/>
    <w:basedOn w:val="DefaultParagraphFont"/>
    <w:link w:val="Caption"/>
    <w:uiPriority w:val="4"/>
    <w:rsid w:val="001161F4"/>
    <w:rPr>
      <w:rFonts w:ascii="Myriad Pro" w:eastAsiaTheme="minorHAnsi" w:hAnsi="Myriad Pro" w:cstheme="minorBidi"/>
      <w:b/>
      <w:bCs/>
      <w:noProof/>
      <w:lang w:eastAsia="en-US"/>
    </w:rPr>
  </w:style>
  <w:style w:type="paragraph" w:customStyle="1" w:styleId="TabelaglavadesnoUMAR">
    <w:name w:val="Tabela glava desno_UMAR"/>
    <w:link w:val="TabelaglavadesnoUMARChar"/>
    <w:uiPriority w:val="5"/>
    <w:qFormat/>
    <w:rsid w:val="001161F4"/>
    <w:pPr>
      <w:spacing w:before="10" w:after="10" w:line="220" w:lineRule="atLeast"/>
      <w:jc w:val="right"/>
    </w:pPr>
    <w:rPr>
      <w:rFonts w:ascii="Myriad Pro" w:eastAsiaTheme="minorHAnsi" w:hAnsi="Myriad Pro" w:cs="Calibri"/>
      <w:b/>
      <w:bCs/>
      <w:sz w:val="18"/>
      <w:szCs w:val="18"/>
      <w:lang w:eastAsia="en-US"/>
    </w:rPr>
  </w:style>
  <w:style w:type="character" w:customStyle="1" w:styleId="TabelaglavadesnoUMARChar">
    <w:name w:val="Tabela glava desno_UMAR Char"/>
    <w:basedOn w:val="DefaultParagraphFont"/>
    <w:link w:val="TabelaglavadesnoUMAR"/>
    <w:uiPriority w:val="5"/>
    <w:rsid w:val="001161F4"/>
    <w:rPr>
      <w:rFonts w:ascii="Myriad Pro" w:eastAsiaTheme="minorHAnsi" w:hAnsi="Myriad Pro"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1161F4"/>
    <w:pPr>
      <w:jc w:val="left"/>
    </w:pPr>
  </w:style>
  <w:style w:type="paragraph" w:customStyle="1" w:styleId="TabelalevoUMAR">
    <w:name w:val="Tabela levo_UMAR"/>
    <w:basedOn w:val="TabelaglavalevoUMAR"/>
    <w:link w:val="TabelalevoUMARChar"/>
    <w:uiPriority w:val="5"/>
    <w:qFormat/>
    <w:rsid w:val="001161F4"/>
    <w:rPr>
      <w:b w:val="0"/>
    </w:rPr>
  </w:style>
  <w:style w:type="character" w:customStyle="1" w:styleId="TabelaglavalevoUMARChar">
    <w:name w:val="Tabela glava levo_UMAR Char"/>
    <w:basedOn w:val="TabelaglavadesnoUMARChar"/>
    <w:link w:val="TabelaglavalevoUMAR"/>
    <w:uiPriority w:val="5"/>
    <w:rsid w:val="001161F4"/>
    <w:rPr>
      <w:rFonts w:ascii="Myriad Pro" w:eastAsiaTheme="minorHAnsi" w:hAnsi="Myriad Pro" w:cs="Calibri"/>
      <w:b/>
      <w:bCs/>
      <w:sz w:val="18"/>
      <w:szCs w:val="18"/>
      <w:lang w:eastAsia="en-US"/>
    </w:rPr>
  </w:style>
  <w:style w:type="paragraph" w:customStyle="1" w:styleId="TabeladesnoUMAR">
    <w:name w:val="Tabela desno_UMAR"/>
    <w:basedOn w:val="TabelaglavadesnoUMAR"/>
    <w:link w:val="TabeladesnoUMARChar"/>
    <w:uiPriority w:val="5"/>
    <w:qFormat/>
    <w:rsid w:val="001161F4"/>
    <w:rPr>
      <w:b w:val="0"/>
    </w:rPr>
  </w:style>
  <w:style w:type="character" w:customStyle="1" w:styleId="TabelalevoUMARChar">
    <w:name w:val="Tabela levo_UMAR Char"/>
    <w:basedOn w:val="TabelaglavalevoUMARChar"/>
    <w:link w:val="TabelalevoUMAR"/>
    <w:uiPriority w:val="5"/>
    <w:rsid w:val="001161F4"/>
    <w:rPr>
      <w:rFonts w:ascii="Myriad Pro" w:eastAsiaTheme="minorHAnsi" w:hAnsi="Myriad Pro" w:cs="Calibri"/>
      <w:b w:val="0"/>
      <w:bCs/>
      <w:sz w:val="18"/>
      <w:szCs w:val="18"/>
      <w:lang w:eastAsia="en-US"/>
    </w:rPr>
  </w:style>
  <w:style w:type="character" w:customStyle="1" w:styleId="TabeladesnoUMARChar">
    <w:name w:val="Tabela desno_UMAR Char"/>
    <w:basedOn w:val="TabelaglavadesnoUMARChar"/>
    <w:link w:val="TabeladesnoUMAR"/>
    <w:uiPriority w:val="5"/>
    <w:rsid w:val="001161F4"/>
    <w:rPr>
      <w:rFonts w:ascii="Myriad Pro" w:eastAsiaTheme="minorHAnsi" w:hAnsi="Myriad Pro" w:cs="Calibri"/>
      <w:b w:val="0"/>
      <w:bCs/>
      <w:sz w:val="18"/>
      <w:szCs w:val="18"/>
      <w:lang w:eastAsia="en-US"/>
    </w:rPr>
  </w:style>
  <w:style w:type="character" w:customStyle="1" w:styleId="BoldpoudarekUMAR">
    <w:name w:val="Bold poudarek_UMAR"/>
    <w:basedOn w:val="BesediloUMARChar"/>
    <w:qFormat/>
    <w:rsid w:val="001161F4"/>
    <w:rPr>
      <w:rFonts w:ascii="Myriad Pro" w:eastAsiaTheme="minorHAnsi" w:hAnsi="Myriad Pro" w:cstheme="minorBidi"/>
      <w:b/>
      <w:szCs w:val="22"/>
      <w:lang w:eastAsia="en-US"/>
    </w:rPr>
  </w:style>
  <w:style w:type="paragraph" w:customStyle="1" w:styleId="NaslovnicanaslovUMAR">
    <w:name w:val="Naslovnica_naslov_UMAR"/>
    <w:basedOn w:val="Heading2"/>
    <w:link w:val="NaslovnicanaslovUMARChar"/>
    <w:uiPriority w:val="99"/>
    <w:qFormat/>
    <w:rsid w:val="001161F4"/>
  </w:style>
  <w:style w:type="character" w:customStyle="1" w:styleId="NaslovnicanaslovUMARChar">
    <w:name w:val="Naslovnica_naslov_UMAR Char"/>
    <w:basedOn w:val="DefaultParagraphFont"/>
    <w:link w:val="NaslovnicanaslovUMAR"/>
    <w:uiPriority w:val="99"/>
    <w:rsid w:val="001161F4"/>
    <w:rPr>
      <w:rFonts w:ascii="Myriad Pro" w:eastAsiaTheme="minorHAnsi" w:hAnsi="Myriad Pro" w:cstheme="minorBidi"/>
      <w:b/>
      <w:color w:val="9E001A" w:themeColor="accent1"/>
      <w:sz w:val="24"/>
      <w:szCs w:val="22"/>
      <w:lang w:eastAsia="en-US"/>
    </w:rPr>
  </w:style>
  <w:style w:type="table" w:styleId="TableGridLight">
    <w:name w:val="Grid Table Light"/>
    <w:aliases w:val="UMAR tabela"/>
    <w:basedOn w:val="TableNormal"/>
    <w:uiPriority w:val="40"/>
    <w:rsid w:val="001161F4"/>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PlainTable1">
    <w:name w:val="Plain Table 1"/>
    <w:basedOn w:val="TableNormal"/>
    <w:uiPriority w:val="41"/>
    <w:rsid w:val="001161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161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161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161F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161F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1161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1161F4"/>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1161F4"/>
    <w:pPr>
      <w:spacing w:line="240" w:lineRule="auto"/>
    </w:pPr>
    <w:rPr>
      <w:b/>
      <w:bCs/>
    </w:rPr>
  </w:style>
  <w:style w:type="character" w:customStyle="1" w:styleId="CommentTextChar">
    <w:name w:val="Comment Text Char"/>
    <w:basedOn w:val="DefaultParagraphFont"/>
    <w:link w:val="CommentText"/>
    <w:semiHidden/>
    <w:rsid w:val="001161F4"/>
    <w:rPr>
      <w:rFonts w:asciiTheme="minorHAnsi" w:eastAsiaTheme="minorHAnsi" w:hAnsiTheme="minorHAnsi" w:cstheme="minorBidi"/>
      <w:sz w:val="22"/>
      <w:lang w:eastAsia="en-US"/>
    </w:rPr>
  </w:style>
  <w:style w:type="character" w:customStyle="1" w:styleId="CommentSubjectChar">
    <w:name w:val="Comment Subject Char"/>
    <w:basedOn w:val="CommentTextChar"/>
    <w:link w:val="CommentSubject"/>
    <w:semiHidden/>
    <w:rsid w:val="001161F4"/>
    <w:rPr>
      <w:rFonts w:asciiTheme="minorHAnsi" w:eastAsiaTheme="minorHAnsi" w:hAnsiTheme="minorHAnsi" w:cstheme="minorBidi"/>
      <w:b/>
      <w:bCs/>
      <w:sz w:val="22"/>
      <w:lang w:eastAsia="en-US"/>
    </w:rPr>
  </w:style>
  <w:style w:type="table" w:customStyle="1" w:styleId="UMARokvir">
    <w:name w:val="UMAR okvir"/>
    <w:basedOn w:val="TableNormal"/>
    <w:uiPriority w:val="99"/>
    <w:rsid w:val="001161F4"/>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TableNormal"/>
    <w:uiPriority w:val="99"/>
    <w:rsid w:val="001161F4"/>
    <w:pPr>
      <w:jc w:val="center"/>
    </w:pPr>
    <w:rPr>
      <w:rFonts w:ascii="Myriad Pro" w:hAnsi="Myriad Pro"/>
    </w:rPr>
    <w:tblPr/>
    <w:tcPr>
      <w:vAlign w:val="center"/>
    </w:tcPr>
    <w:tblStylePr w:type="lastCol">
      <w:pPr>
        <w:jc w:val="right"/>
      </w:pPr>
    </w:tblStylePr>
  </w:style>
  <w:style w:type="paragraph" w:styleId="TOCHeading">
    <w:name w:val="TOC Heading"/>
    <w:basedOn w:val="Heading1"/>
    <w:next w:val="Normal"/>
    <w:uiPriority w:val="39"/>
    <w:unhideWhenUsed/>
    <w:rsid w:val="001161F4"/>
    <w:pPr>
      <w:numPr>
        <w:numId w:val="0"/>
      </w:numPr>
      <w:spacing w:before="240" w:after="0" w:line="259" w:lineRule="auto"/>
      <w:outlineLvl w:val="9"/>
    </w:pPr>
    <w:rPr>
      <w:rFonts w:eastAsiaTheme="majorEastAsia" w:cstheme="majorBidi"/>
      <w:b w:val="0"/>
      <w:bCs w:val="0"/>
      <w:color w:val="760013" w:themeColor="accent1" w:themeShade="BF"/>
      <w:kern w:val="0"/>
      <w:sz w:val="32"/>
      <w:szCs w:val="32"/>
      <w:lang w:val="en-US"/>
    </w:rPr>
  </w:style>
  <w:style w:type="paragraph" w:styleId="ListParagraph">
    <w:name w:val="List Paragraph"/>
    <w:basedOn w:val="Normal"/>
    <w:uiPriority w:val="34"/>
    <w:rsid w:val="001161F4"/>
    <w:pPr>
      <w:ind w:left="720"/>
      <w:contextualSpacing/>
    </w:pPr>
    <w:rPr>
      <w:rFonts w:ascii="Myriad Pro" w:hAnsi="Myriad Pro"/>
    </w:rPr>
  </w:style>
  <w:style w:type="paragraph" w:customStyle="1" w:styleId="LiteraturaUMAR">
    <w:name w:val="Literatura_UMAR"/>
    <w:basedOn w:val="BesediloUMAR"/>
    <w:link w:val="LiteraturaUMARChar"/>
    <w:uiPriority w:val="7"/>
    <w:qFormat/>
    <w:rsid w:val="001161F4"/>
    <w:pPr>
      <w:numPr>
        <w:numId w:val="1"/>
      </w:numPr>
      <w:jc w:val="left"/>
    </w:pPr>
  </w:style>
  <w:style w:type="character" w:customStyle="1" w:styleId="LiteraturaUMARChar">
    <w:name w:val="Literatura_UMAR Char"/>
    <w:basedOn w:val="BesediloUMARChar"/>
    <w:link w:val="LiteraturaUMAR"/>
    <w:uiPriority w:val="7"/>
    <w:rsid w:val="001161F4"/>
    <w:rPr>
      <w:rFonts w:ascii="Myriad Pro" w:eastAsiaTheme="minorHAnsi" w:hAnsi="Myriad Pro" w:cstheme="minorBidi"/>
      <w:szCs w:val="22"/>
      <w:lang w:eastAsia="en-US"/>
    </w:rPr>
  </w:style>
  <w:style w:type="paragraph" w:customStyle="1" w:styleId="FootnoteReferneceCarcter">
    <w:name w:val="Footnote Refernece Carácter"/>
    <w:aliases w:val="ftref Carácter,4_G Carácter"/>
    <w:basedOn w:val="Normal"/>
    <w:link w:val="FootnoteReference"/>
    <w:uiPriority w:val="8"/>
    <w:rsid w:val="008336AC"/>
    <w:pPr>
      <w:spacing w:before="120" w:line="240" w:lineRule="exact"/>
      <w:jc w:val="both"/>
    </w:pPr>
    <w:rPr>
      <w:rFonts w:ascii="Myriad Pro" w:eastAsia="Times New Roman" w:hAnsi="Myriad Pro" w:cs="Times New Roman"/>
      <w:sz w:val="18"/>
      <w:szCs w:val="20"/>
      <w:vertAlign w:val="superscript"/>
      <w:lang w:eastAsia="sl-SI"/>
    </w:rPr>
  </w:style>
  <w:style w:type="character" w:customStyle="1" w:styleId="A0">
    <w:name w:val="A0"/>
    <w:uiPriority w:val="99"/>
    <w:rsid w:val="008336AC"/>
    <w:rPr>
      <w:rFonts w:cs="Myriad Pro"/>
      <w:color w:val="000000"/>
      <w:sz w:val="18"/>
      <w:szCs w:val="18"/>
    </w:rPr>
  </w:style>
  <w:style w:type="paragraph" w:customStyle="1" w:styleId="TekstEO">
    <w:name w:val="Tekst_EO"/>
    <w:basedOn w:val="Normal"/>
    <w:link w:val="TekstEOChar"/>
    <w:qFormat/>
    <w:rsid w:val="00635A61"/>
    <w:pPr>
      <w:spacing w:after="0" w:line="240" w:lineRule="auto"/>
      <w:jc w:val="both"/>
    </w:pPr>
    <w:rPr>
      <w:rFonts w:ascii="Myriad Pro" w:eastAsia="Times New Roman" w:hAnsi="Myriad Pro" w:cs="Times New Roman"/>
      <w:sz w:val="18"/>
      <w:szCs w:val="18"/>
    </w:rPr>
  </w:style>
  <w:style w:type="paragraph" w:customStyle="1" w:styleId="TekstgrafEO">
    <w:name w:val="Tekst graf_EO"/>
    <w:basedOn w:val="TekstEO"/>
    <w:link w:val="TekstgrafEOChar"/>
    <w:qFormat/>
    <w:rsid w:val="00635A61"/>
    <w:pPr>
      <w:ind w:left="340"/>
    </w:pPr>
  </w:style>
  <w:style w:type="character" w:customStyle="1" w:styleId="TekstEOChar">
    <w:name w:val="Tekst_EO Char"/>
    <w:basedOn w:val="DefaultParagraphFont"/>
    <w:link w:val="TekstEO"/>
    <w:rsid w:val="00635A61"/>
    <w:rPr>
      <w:rFonts w:ascii="Myriad Pro" w:hAnsi="Myriad Pro"/>
      <w:sz w:val="18"/>
      <w:szCs w:val="18"/>
      <w:lang w:eastAsia="en-US"/>
    </w:rPr>
  </w:style>
  <w:style w:type="character" w:customStyle="1" w:styleId="TekstgrafEOChar">
    <w:name w:val="Tekst graf_EO Char"/>
    <w:basedOn w:val="TekstEOChar"/>
    <w:link w:val="TekstgrafEO"/>
    <w:rsid w:val="00635A61"/>
    <w:rPr>
      <w:rFonts w:ascii="Myriad Pro" w:hAnsi="Myriad Pro"/>
      <w:sz w:val="18"/>
      <w:szCs w:val="18"/>
      <w:lang w:eastAsia="en-US"/>
    </w:rPr>
  </w:style>
  <w:style w:type="character" w:customStyle="1" w:styleId="UnresolvedMention1">
    <w:name w:val="Unresolved Mention1"/>
    <w:basedOn w:val="DefaultParagraphFont"/>
    <w:uiPriority w:val="99"/>
    <w:semiHidden/>
    <w:unhideWhenUsed/>
    <w:rsid w:val="005A28E0"/>
    <w:rPr>
      <w:color w:val="605E5C"/>
      <w:shd w:val="clear" w:color="auto" w:fill="E1DFDD"/>
    </w:rPr>
  </w:style>
  <w:style w:type="paragraph" w:customStyle="1" w:styleId="TekstPOR">
    <w:name w:val="Tekst_POR"/>
    <w:basedOn w:val="Normal"/>
    <w:link w:val="TekstPORChar"/>
    <w:qFormat/>
    <w:rsid w:val="00763D2E"/>
    <w:pPr>
      <w:spacing w:before="20" w:after="20" w:line="240" w:lineRule="auto"/>
      <w:jc w:val="both"/>
    </w:pPr>
    <w:rPr>
      <w:rFonts w:ascii="Arial" w:eastAsia="Calibri" w:hAnsi="Arial" w:cs="Times New Roman"/>
      <w:noProof/>
      <w:sz w:val="19"/>
    </w:rPr>
  </w:style>
  <w:style w:type="character" w:customStyle="1" w:styleId="TekstPORChar">
    <w:name w:val="Tekst_POR Char"/>
    <w:basedOn w:val="DefaultParagraphFont"/>
    <w:link w:val="TekstPOR"/>
    <w:rsid w:val="00763D2E"/>
    <w:rPr>
      <w:rFonts w:ascii="Arial" w:eastAsia="Calibri" w:hAnsi="Arial"/>
      <w:noProof/>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55156">
      <w:bodyDiv w:val="1"/>
      <w:marLeft w:val="0"/>
      <w:marRight w:val="0"/>
      <w:marTop w:val="0"/>
      <w:marBottom w:val="0"/>
      <w:divBdr>
        <w:top w:val="none" w:sz="0" w:space="0" w:color="auto"/>
        <w:left w:val="none" w:sz="0" w:space="0" w:color="auto"/>
        <w:bottom w:val="none" w:sz="0" w:space="0" w:color="auto"/>
        <w:right w:val="none" w:sz="0" w:space="0" w:color="auto"/>
      </w:divBdr>
    </w:div>
    <w:div w:id="513955789">
      <w:bodyDiv w:val="1"/>
      <w:marLeft w:val="0"/>
      <w:marRight w:val="0"/>
      <w:marTop w:val="0"/>
      <w:marBottom w:val="0"/>
      <w:divBdr>
        <w:top w:val="none" w:sz="0" w:space="0" w:color="auto"/>
        <w:left w:val="none" w:sz="0" w:space="0" w:color="auto"/>
        <w:bottom w:val="none" w:sz="0" w:space="0" w:color="auto"/>
        <w:right w:val="none" w:sz="0" w:space="0" w:color="auto"/>
      </w:divBdr>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emf"/><Relationship Id="rId21" Type="http://schemas.openxmlformats.org/officeDocument/2006/relationships/image" Target="media/image13.emf"/><Relationship Id="rId42" Type="http://schemas.openxmlformats.org/officeDocument/2006/relationships/hyperlink" Target="http://www.uradni-list.si/1/objava.jsp?sop=2020-01-0872" TargetMode="External"/><Relationship Id="rId47" Type="http://schemas.openxmlformats.org/officeDocument/2006/relationships/hyperlink" Target="http://www.uradni-list.si/1/objava.jsp?sop=2012-01-1700" TargetMode="External"/><Relationship Id="rId63" Type="http://schemas.openxmlformats.org/officeDocument/2006/relationships/hyperlink" Target="http://www.uradni-list.si/1/objava.jsp?sop=2015-01-1001" TargetMode="External"/><Relationship Id="rId68" Type="http://schemas.openxmlformats.org/officeDocument/2006/relationships/hyperlink" Target="http://www.uradni-list.si/1/objava.jsp?sop=2019-01-1493" TargetMode="Externa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hyperlink" Target="https://ec.europa.eu/eurostat/data/database" TargetMode="External"/><Relationship Id="rId37" Type="http://schemas.openxmlformats.org/officeDocument/2006/relationships/hyperlink" Target="http://www.uradni-list.si/1/objava.jsp?sop=2020-01-0724" TargetMode="External"/><Relationship Id="rId40" Type="http://schemas.openxmlformats.org/officeDocument/2006/relationships/hyperlink" Target="http://www.uradni-list.si/1/objava.jsp?sop=2020-01-0797" TargetMode="External"/><Relationship Id="rId45" Type="http://schemas.openxmlformats.org/officeDocument/2006/relationships/hyperlink" Target="https://www.umar.gov.si/" TargetMode="External"/><Relationship Id="rId53" Type="http://schemas.openxmlformats.org/officeDocument/2006/relationships/hyperlink" Target="http://www.uradni-list.si/1/objava.jsp?sop=2013-01-2139" TargetMode="External"/><Relationship Id="rId58" Type="http://schemas.openxmlformats.org/officeDocument/2006/relationships/hyperlink" Target="http://www.uradni-list.si/1/objava.jsp?sop=2013-01-3675" TargetMode="External"/><Relationship Id="rId66" Type="http://schemas.openxmlformats.org/officeDocument/2006/relationships/hyperlink" Target="http://www.uradni-list.si/1/objava.jsp?sop=2016-01-2686"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uradni-list.si/1/objava.jsp?sop=2014-01-3442" TargetMode="External"/><Relationship Id="rId19" Type="http://schemas.openxmlformats.org/officeDocument/2006/relationships/image" Target="media/image1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hyperlink" Target="http://www.uradni-list.si/1/objava.jsp?sop=2020-01-0648" TargetMode="External"/><Relationship Id="rId43" Type="http://schemas.openxmlformats.org/officeDocument/2006/relationships/hyperlink" Target="http://www.uradni-list.si/1/objava.jsp?sop=2020-01-1026" TargetMode="External"/><Relationship Id="rId48" Type="http://schemas.openxmlformats.org/officeDocument/2006/relationships/hyperlink" Target="http://www.uradni-list.si/1/objava.jsp?sop=2012-01-3693" TargetMode="External"/><Relationship Id="rId56" Type="http://schemas.openxmlformats.org/officeDocument/2006/relationships/hyperlink" Target="http://www.uradni-list.si/1/objava.jsp?sop=2013-01-3548" TargetMode="External"/><Relationship Id="rId64" Type="http://schemas.openxmlformats.org/officeDocument/2006/relationships/hyperlink" Target="http://www.uradni-list.si/1/objava.jsp?sop=2015-01-3504" TargetMode="External"/><Relationship Id="rId69" Type="http://schemas.openxmlformats.org/officeDocument/2006/relationships/hyperlink" Target="http://www.uradni-list.si/1/objava.jsp?sop=2019-01-3207" TargetMode="External"/><Relationship Id="rId8" Type="http://schemas.openxmlformats.org/officeDocument/2006/relationships/image" Target="media/image1.png"/><Relationship Id="rId51" Type="http://schemas.openxmlformats.org/officeDocument/2006/relationships/hyperlink" Target="http://www.uradni-list.si/1/objava.jsp?sop=2013-01-0892"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hyperlink" Target="http://www.uradni-list.si/1/objava.jsp?sop=2020-01-0570" TargetMode="External"/><Relationship Id="rId38" Type="http://schemas.openxmlformats.org/officeDocument/2006/relationships/hyperlink" Target="http://www.uradni-list.si/1/objava.jsp?sop=2020-01-0738" TargetMode="External"/><Relationship Id="rId46" Type="http://schemas.openxmlformats.org/officeDocument/2006/relationships/hyperlink" Target="https://www.umar.gov.si/" TargetMode="External"/><Relationship Id="rId59" Type="http://schemas.openxmlformats.org/officeDocument/2006/relationships/hyperlink" Target="http://www.uradni-list.si/1/objava.jsp?sop=2013-01-3676" TargetMode="External"/><Relationship Id="rId67" Type="http://schemas.openxmlformats.org/officeDocument/2006/relationships/hyperlink" Target="http://www.uradni-list.si/1/objava.jsp?sop=2017-01-3730" TargetMode="External"/><Relationship Id="rId20" Type="http://schemas.openxmlformats.org/officeDocument/2006/relationships/image" Target="media/image12.emf"/><Relationship Id="rId41" Type="http://schemas.openxmlformats.org/officeDocument/2006/relationships/hyperlink" Target="http://www.uradni-list.si/1/objava.jsp?sop=2020-01-0868" TargetMode="External"/><Relationship Id="rId54" Type="http://schemas.openxmlformats.org/officeDocument/2006/relationships/hyperlink" Target="http://www.uradni-list.si/1/objava.jsp?sop=2013-01-2519" TargetMode="External"/><Relationship Id="rId62" Type="http://schemas.openxmlformats.org/officeDocument/2006/relationships/hyperlink" Target="http://www.uradni-list.si/1/objava.jsp?sop=2014-01-3951" TargetMode="External"/><Relationship Id="rId70" Type="http://schemas.openxmlformats.org/officeDocument/2006/relationships/hyperlink" Target="http://www.uradni-list.si/1/objava.jsp?sop=2020-01-308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hyperlink" Target="http://www.uradni-list.si/1/objava.jsp?sop=2020-01-0687" TargetMode="External"/><Relationship Id="rId49" Type="http://schemas.openxmlformats.org/officeDocument/2006/relationships/hyperlink" Target="http://www.uradni-list.si/1/objava.jsp?sop=2012-01-3990" TargetMode="External"/><Relationship Id="rId57" Type="http://schemas.openxmlformats.org/officeDocument/2006/relationships/hyperlink" Target="http://www.uradni-list.si/1/objava.jsp?sop=2013-01-3549" TargetMode="External"/><Relationship Id="rId10" Type="http://schemas.openxmlformats.org/officeDocument/2006/relationships/footer" Target="footer1.xml"/><Relationship Id="rId31" Type="http://schemas.openxmlformats.org/officeDocument/2006/relationships/hyperlink" Target="https://px.bsi.si/pxweb/sl/serije_slo/" TargetMode="External"/><Relationship Id="rId44" Type="http://schemas.openxmlformats.org/officeDocument/2006/relationships/hyperlink" Target="http://pxweb.stat.si/pxweb/dialog/statfile2.asp" TargetMode="External"/><Relationship Id="rId52" Type="http://schemas.openxmlformats.org/officeDocument/2006/relationships/hyperlink" Target="http://www.uradni-list.si/1/objava.jsp?sop=2013-01-1756" TargetMode="External"/><Relationship Id="rId60" Type="http://schemas.openxmlformats.org/officeDocument/2006/relationships/hyperlink" Target="http://www.uradni-list.si/1/objava.jsp?sop=2013-01-3887" TargetMode="External"/><Relationship Id="rId65" Type="http://schemas.openxmlformats.org/officeDocument/2006/relationships/hyperlink" Target="http://www.uradni-list.si/1/objava.jsp?sop=2015-01-4084"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image" Target="media/image10.emf"/><Relationship Id="rId39" Type="http://schemas.openxmlformats.org/officeDocument/2006/relationships/hyperlink" Target="http://www.uradni-list.si/1/objava.jsp?sop=2020-01-0761" TargetMode="External"/><Relationship Id="rId34" Type="http://schemas.openxmlformats.org/officeDocument/2006/relationships/hyperlink" Target="http://www.uradni-list.si/1/objava.jsp?sop=2020-01-0599" TargetMode="External"/><Relationship Id="rId50" Type="http://schemas.openxmlformats.org/officeDocument/2006/relationships/hyperlink" Target="http://www.uradni-list.si/1/objava.jsp?sop=2012-01-4001" TargetMode="External"/><Relationship Id="rId55" Type="http://schemas.openxmlformats.org/officeDocument/2006/relationships/hyperlink" Target="http://www.uradni-list.si/1/objava.jsp?sop=2013-01-2520" TargetMode="External"/><Relationship Id="rId7" Type="http://schemas.openxmlformats.org/officeDocument/2006/relationships/endnotes" Target="endnotes.xml"/><Relationship Id="rId71" Type="http://schemas.openxmlformats.org/officeDocument/2006/relationships/image" Target="media/image23.jpeg"/></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23FE6-A56B-4F57-B148-AA07CDA1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4201</Words>
  <Characters>32054</Characters>
  <Application>Microsoft Office Word</Application>
  <DocSecurity>0</DocSecurity>
  <Lines>267</Lines>
  <Paragraphs>72</Paragraphs>
  <ScaleCrop>false</ScaleCrop>
  <Company/>
  <LinksUpToDate>false</LinksUpToDate>
  <CharactersWithSpaces>36183</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2021-05-13T06:52:00Z</dcterms:created>
  <dcterms:modified xsi:type="dcterms:W3CDTF">2021-05-13T06:52:00Z</dcterms:modified>
</cp:coreProperties>
</file>