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654AB" w14:textId="1147B4FF" w:rsidR="0050616E" w:rsidRPr="0050616E" w:rsidRDefault="00471713" w:rsidP="00285D75">
      <w:pPr>
        <w:pStyle w:val="TekstPOR"/>
      </w:pPr>
      <w:r>
        <w:rPr>
          <w:noProof/>
          <w:lang w:eastAsia="sl-SI"/>
        </w:rPr>
        <w:drawing>
          <wp:anchor distT="0" distB="0" distL="114300" distR="114300" simplePos="0" relativeHeight="251661312" behindDoc="0" locked="0" layoutInCell="1" allowOverlap="1" wp14:anchorId="27585D9D" wp14:editId="5E652825">
            <wp:simplePos x="0" y="0"/>
            <wp:positionH relativeFrom="page">
              <wp:posOffset>0</wp:posOffset>
            </wp:positionH>
            <wp:positionV relativeFrom="paragraph">
              <wp:posOffset>-1076325</wp:posOffset>
            </wp:positionV>
            <wp:extent cx="4737100" cy="10815955"/>
            <wp:effectExtent l="0" t="0" r="6350" b="4445"/>
            <wp:wrapNone/>
            <wp:docPr id="21"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Picture 21"/>
                    <pic:cNvPicPr>
                      <a:picLocks/>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37100" cy="10815955"/>
                    </a:xfrm>
                    <a:prstGeom prst="rect">
                      <a:avLst/>
                    </a:prstGeom>
                  </pic:spPr>
                </pic:pic>
              </a:graphicData>
            </a:graphic>
            <wp14:sizeRelH relativeFrom="margin">
              <wp14:pctWidth>0</wp14:pctWidth>
            </wp14:sizeRelH>
            <wp14:sizeRelV relativeFrom="margin">
              <wp14:pctHeight>0</wp14:pctHeight>
            </wp14:sizeRelV>
          </wp:anchor>
        </w:drawing>
      </w:r>
      <w:r w:rsidR="00341E37">
        <w:rPr>
          <w:noProof/>
          <w:lang w:eastAsia="sl-SI"/>
        </w:rPr>
        <w:drawing>
          <wp:anchor distT="0" distB="0" distL="114300" distR="114300" simplePos="0" relativeHeight="251663360" behindDoc="0" locked="0" layoutInCell="1" allowOverlap="1" wp14:anchorId="6030F93F" wp14:editId="51D6CA4A">
            <wp:simplePos x="0" y="0"/>
            <wp:positionH relativeFrom="column">
              <wp:posOffset>4939343</wp:posOffset>
            </wp:positionH>
            <wp:positionV relativeFrom="paragraph">
              <wp:posOffset>-626110</wp:posOffset>
            </wp:positionV>
            <wp:extent cx="1294227" cy="365859"/>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MAR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94227" cy="365859"/>
                    </a:xfrm>
                    <a:prstGeom prst="rect">
                      <a:avLst/>
                    </a:prstGeom>
                  </pic:spPr>
                </pic:pic>
              </a:graphicData>
            </a:graphic>
            <wp14:sizeRelH relativeFrom="margin">
              <wp14:pctWidth>0</wp14:pctWidth>
            </wp14:sizeRelH>
            <wp14:sizeRelV relativeFrom="margin">
              <wp14:pctHeight>0</wp14:pctHeight>
            </wp14:sizeRelV>
          </wp:anchor>
        </w:drawing>
      </w:r>
    </w:p>
    <w:p w14:paraId="2C5AF21F" w14:textId="06F74C2B" w:rsidR="0050616E" w:rsidRPr="0050616E" w:rsidRDefault="00D26338" w:rsidP="00FF5B7E">
      <w:pPr>
        <w:sectPr w:rsidR="0050616E" w:rsidRPr="0050616E" w:rsidSect="007C3A38">
          <w:headerReference w:type="even" r:id="rId10"/>
          <w:headerReference w:type="default" r:id="rId11"/>
          <w:footerReference w:type="even" r:id="rId12"/>
          <w:footerReference w:type="default" r:id="rId13"/>
          <w:headerReference w:type="first" r:id="rId14"/>
          <w:footerReference w:type="first" r:id="rId15"/>
          <w:pgSz w:w="11906" w:h="16838"/>
          <w:pgMar w:top="1701" w:right="1418" w:bottom="1418" w:left="1418" w:header="709" w:footer="709" w:gutter="0"/>
          <w:pgNumType w:fmt="lowerRoman" w:start="1"/>
          <w:cols w:space="708"/>
        </w:sectPr>
      </w:pPr>
      <w:bookmarkStart w:id="0" w:name="_Hlk68861605"/>
      <w:bookmarkEnd w:id="0"/>
      <w:r>
        <w:rPr>
          <w:noProof/>
        </w:rPr>
        <mc:AlternateContent>
          <mc:Choice Requires="wps">
            <w:drawing>
              <wp:anchor distT="0" distB="0" distL="114300" distR="114300" simplePos="0" relativeHeight="251659262" behindDoc="0" locked="0" layoutInCell="1" allowOverlap="1" wp14:anchorId="65496565" wp14:editId="541E0957">
                <wp:simplePos x="0" y="0"/>
                <wp:positionH relativeFrom="margin">
                  <wp:posOffset>2890520</wp:posOffset>
                </wp:positionH>
                <wp:positionV relativeFrom="paragraph">
                  <wp:posOffset>1613535</wp:posOffset>
                </wp:positionV>
                <wp:extent cx="3404870" cy="7578090"/>
                <wp:effectExtent l="0" t="0" r="5080" b="381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4870" cy="7578090"/>
                        </a:xfrm>
                        <a:prstGeom prst="rect">
                          <a:avLst/>
                        </a:prstGeom>
                        <a:noFill/>
                        <a:ln w="6350">
                          <a:noFill/>
                        </a:ln>
                        <a:effectLst/>
                      </wps:spPr>
                      <wps:txbx>
                        <w:txbxContent>
                          <w:p w14:paraId="6FFDE982" w14:textId="77777777" w:rsidR="003A0569" w:rsidRPr="0050616E" w:rsidRDefault="003A0569" w:rsidP="0050616E">
                            <w:pPr>
                              <w:pStyle w:val="NaslovnicanaslovUMAR"/>
                              <w:numPr>
                                <w:ilvl w:val="0"/>
                                <w:numId w:val="0"/>
                              </w:numPr>
                              <w:spacing w:line="760" w:lineRule="exact"/>
                              <w:rPr>
                                <w:color w:val="auto"/>
                                <w:sz w:val="76"/>
                                <w:szCs w:val="76"/>
                              </w:rPr>
                            </w:pPr>
                          </w:p>
                          <w:p w14:paraId="7F0EF5D9" w14:textId="77777777" w:rsidR="003A0569" w:rsidRPr="0050616E" w:rsidRDefault="003A0569" w:rsidP="0050616E">
                            <w:pPr>
                              <w:pStyle w:val="NaslovnicanaslovUMAR"/>
                              <w:numPr>
                                <w:ilvl w:val="0"/>
                                <w:numId w:val="0"/>
                              </w:numPr>
                              <w:spacing w:line="240" w:lineRule="auto"/>
                              <w:rPr>
                                <w:color w:val="auto"/>
                                <w:sz w:val="26"/>
                                <w:szCs w:val="26"/>
                              </w:rPr>
                            </w:pPr>
                            <w:r w:rsidRPr="0050616E">
                              <w:rPr>
                                <w:color w:val="auto"/>
                                <w:sz w:val="26"/>
                                <w:szCs w:val="26"/>
                              </w:rPr>
                              <w:t>Kratke analize</w:t>
                            </w:r>
                          </w:p>
                          <w:p w14:paraId="7BFA9551" w14:textId="4472690B" w:rsidR="003A0569" w:rsidRPr="0050616E" w:rsidRDefault="003A0569" w:rsidP="0050616E">
                            <w:pPr>
                              <w:pStyle w:val="NaslovnicanaslovUMAR"/>
                              <w:numPr>
                                <w:ilvl w:val="0"/>
                                <w:numId w:val="0"/>
                              </w:numPr>
                              <w:spacing w:line="240" w:lineRule="auto"/>
                              <w:rPr>
                                <w:b w:val="0"/>
                                <w:bCs/>
                                <w:color w:val="auto"/>
                                <w:sz w:val="26"/>
                                <w:szCs w:val="26"/>
                              </w:rPr>
                            </w:pPr>
                            <w:r>
                              <w:rPr>
                                <w:b w:val="0"/>
                                <w:bCs/>
                                <w:color w:val="auto"/>
                                <w:sz w:val="26"/>
                                <w:szCs w:val="26"/>
                              </w:rPr>
                              <w:t>September 2023</w:t>
                            </w:r>
                          </w:p>
                          <w:p w14:paraId="573F3EA2" w14:textId="77777777" w:rsidR="003A0569" w:rsidRPr="0050616E" w:rsidRDefault="003A0569" w:rsidP="0050616E">
                            <w:pPr>
                              <w:pStyle w:val="NaslovnicanaslovUMAR"/>
                              <w:numPr>
                                <w:ilvl w:val="0"/>
                                <w:numId w:val="0"/>
                              </w:numPr>
                              <w:spacing w:line="760" w:lineRule="exact"/>
                              <w:rPr>
                                <w:color w:val="auto"/>
                                <w:sz w:val="52"/>
                                <w:szCs w:val="52"/>
                              </w:rPr>
                            </w:pPr>
                          </w:p>
                          <w:p w14:paraId="3052B095" w14:textId="4EF6F300" w:rsidR="003A0569" w:rsidRPr="0050616E" w:rsidRDefault="003A0569" w:rsidP="0050616E">
                            <w:pPr>
                              <w:pStyle w:val="NaslovnicanaslovUMAR"/>
                              <w:numPr>
                                <w:ilvl w:val="0"/>
                                <w:numId w:val="0"/>
                              </w:numPr>
                              <w:spacing w:after="240" w:line="760" w:lineRule="exact"/>
                              <w:rPr>
                                <w:b w:val="0"/>
                                <w:bCs/>
                                <w:color w:val="auto"/>
                                <w:sz w:val="52"/>
                                <w:szCs w:val="52"/>
                              </w:rPr>
                            </w:pPr>
                            <w:r>
                              <w:rPr>
                                <w:b w:val="0"/>
                                <w:bCs/>
                                <w:color w:val="auto"/>
                                <w:sz w:val="52"/>
                                <w:szCs w:val="52"/>
                              </w:rPr>
                              <w:t>Jože Markič</w:t>
                            </w:r>
                          </w:p>
                          <w:p w14:paraId="7B27B469" w14:textId="243F84EC" w:rsidR="003A0569" w:rsidRPr="0050616E" w:rsidRDefault="003A0569" w:rsidP="0050616E">
                            <w:pPr>
                              <w:pStyle w:val="NaslovnicanaslovUMAR"/>
                              <w:numPr>
                                <w:ilvl w:val="0"/>
                                <w:numId w:val="0"/>
                              </w:numPr>
                              <w:spacing w:line="760" w:lineRule="exact"/>
                              <w:rPr>
                                <w:color w:val="auto"/>
                                <w:sz w:val="76"/>
                                <w:szCs w:val="76"/>
                              </w:rPr>
                            </w:pPr>
                            <w:r>
                              <w:rPr>
                                <w:color w:val="auto"/>
                                <w:sz w:val="76"/>
                                <w:szCs w:val="76"/>
                              </w:rPr>
                              <w:t>Vpliv salda tekočega računa in drugih dejavnikov na mednarodn</w:t>
                            </w:r>
                            <w:r w:rsidR="0076213D">
                              <w:rPr>
                                <w:color w:val="auto"/>
                                <w:sz w:val="76"/>
                                <w:szCs w:val="76"/>
                              </w:rPr>
                              <w:t>e</w:t>
                            </w:r>
                            <w:r>
                              <w:rPr>
                                <w:color w:val="auto"/>
                                <w:sz w:val="76"/>
                                <w:szCs w:val="76"/>
                              </w:rPr>
                              <w:t xml:space="preserve"> naložb</w:t>
                            </w:r>
                            <w:r w:rsidR="0076213D">
                              <w:rPr>
                                <w:color w:val="auto"/>
                                <w:sz w:val="76"/>
                                <w:szCs w:val="76"/>
                              </w:rPr>
                              <w:t xml:space="preserve">e </w:t>
                            </w:r>
                            <w:r>
                              <w:rPr>
                                <w:color w:val="auto"/>
                                <w:sz w:val="76"/>
                                <w:szCs w:val="76"/>
                              </w:rPr>
                              <w:t xml:space="preserve"> Slovenije</w:t>
                            </w:r>
                          </w:p>
                        </w:txbxContent>
                      </wps:txbx>
                      <wps:bodyPr rot="0" spcFirstLastPara="0" vertOverflow="overflow" horzOverflow="overflow" vert="vert270" wrap="square" lIns="0" tIns="0" rIns="1800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496565" id="_x0000_t202" coordsize="21600,21600" o:spt="202" path="m,l,21600r21600,l21600,xe">
                <v:stroke joinstyle="miter"/>
                <v:path gradientshapeok="t" o:connecttype="rect"/>
              </v:shapetype>
              <v:shape id="Text Box 2" o:spid="_x0000_s1026" type="#_x0000_t202" style="position:absolute;margin-left:227.6pt;margin-top:127.05pt;width:268.1pt;height:596.7pt;z-index:2516592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" filled="f" stroked="f" strokeweight=".5pt">
                <v:textbox style="layout-flow:vertical;mso-layout-flow-alt:bottom-to-top" inset="0,0,.5mm,0">
                  <w:txbxContent>
                    <w:p w14:paraId="6FFDE982" w14:textId="77777777" w:rsidR="003A0569" w:rsidRPr="0050616E" w:rsidRDefault="003A0569" w:rsidP="0050616E">
                      <w:pPr>
                        <w:pStyle w:val="NaslovnicanaslovUMAR"/>
                        <w:numPr>
                          <w:ilvl w:val="0"/>
                          <w:numId w:val="0"/>
                        </w:numPr>
                        <w:spacing w:line="760" w:lineRule="exact"/>
                        <w:rPr>
                          <w:color w:val="auto"/>
                          <w:sz w:val="76"/>
                          <w:szCs w:val="76"/>
                        </w:rPr>
                      </w:pPr>
                    </w:p>
                    <w:p w14:paraId="7F0EF5D9" w14:textId="77777777" w:rsidR="003A0569" w:rsidRPr="0050616E" w:rsidRDefault="003A0569" w:rsidP="0050616E">
                      <w:pPr>
                        <w:pStyle w:val="NaslovnicanaslovUMAR"/>
                        <w:numPr>
                          <w:ilvl w:val="0"/>
                          <w:numId w:val="0"/>
                        </w:numPr>
                        <w:spacing w:line="240" w:lineRule="auto"/>
                        <w:rPr>
                          <w:color w:val="auto"/>
                          <w:sz w:val="26"/>
                          <w:szCs w:val="26"/>
                        </w:rPr>
                      </w:pPr>
                      <w:r w:rsidRPr="0050616E">
                        <w:rPr>
                          <w:color w:val="auto"/>
                          <w:sz w:val="26"/>
                          <w:szCs w:val="26"/>
                        </w:rPr>
                        <w:t>Kratke analize</w:t>
                      </w:r>
                    </w:p>
                    <w:p w14:paraId="7BFA9551" w14:textId="4472690B" w:rsidR="003A0569" w:rsidRPr="0050616E" w:rsidRDefault="003A0569" w:rsidP="0050616E">
                      <w:pPr>
                        <w:pStyle w:val="NaslovnicanaslovUMAR"/>
                        <w:numPr>
                          <w:ilvl w:val="0"/>
                          <w:numId w:val="0"/>
                        </w:numPr>
                        <w:spacing w:line="240" w:lineRule="auto"/>
                        <w:rPr>
                          <w:b w:val="0"/>
                          <w:bCs/>
                          <w:color w:val="auto"/>
                          <w:sz w:val="26"/>
                          <w:szCs w:val="26"/>
                        </w:rPr>
                      </w:pPr>
                      <w:r>
                        <w:rPr>
                          <w:b w:val="0"/>
                          <w:bCs/>
                          <w:color w:val="auto"/>
                          <w:sz w:val="26"/>
                          <w:szCs w:val="26"/>
                        </w:rPr>
                        <w:t>September 2023</w:t>
                      </w:r>
                    </w:p>
                    <w:p w14:paraId="573F3EA2" w14:textId="77777777" w:rsidR="003A0569" w:rsidRPr="0050616E" w:rsidRDefault="003A0569" w:rsidP="0050616E">
                      <w:pPr>
                        <w:pStyle w:val="NaslovnicanaslovUMAR"/>
                        <w:numPr>
                          <w:ilvl w:val="0"/>
                          <w:numId w:val="0"/>
                        </w:numPr>
                        <w:spacing w:line="760" w:lineRule="exact"/>
                        <w:rPr>
                          <w:color w:val="auto"/>
                          <w:sz w:val="52"/>
                          <w:szCs w:val="52"/>
                        </w:rPr>
                      </w:pPr>
                    </w:p>
                    <w:p w14:paraId="3052B095" w14:textId="4EF6F300" w:rsidR="003A0569" w:rsidRPr="0050616E" w:rsidRDefault="003A0569" w:rsidP="0050616E">
                      <w:pPr>
                        <w:pStyle w:val="NaslovnicanaslovUMAR"/>
                        <w:numPr>
                          <w:ilvl w:val="0"/>
                          <w:numId w:val="0"/>
                        </w:numPr>
                        <w:spacing w:after="240" w:line="760" w:lineRule="exact"/>
                        <w:rPr>
                          <w:b w:val="0"/>
                          <w:bCs/>
                          <w:color w:val="auto"/>
                          <w:sz w:val="52"/>
                          <w:szCs w:val="52"/>
                        </w:rPr>
                      </w:pPr>
                      <w:r>
                        <w:rPr>
                          <w:b w:val="0"/>
                          <w:bCs/>
                          <w:color w:val="auto"/>
                          <w:sz w:val="52"/>
                          <w:szCs w:val="52"/>
                        </w:rPr>
                        <w:t>Jože Markič</w:t>
                      </w:r>
                    </w:p>
                    <w:p w14:paraId="7B27B469" w14:textId="243F84EC" w:rsidR="003A0569" w:rsidRPr="0050616E" w:rsidRDefault="003A0569" w:rsidP="0050616E">
                      <w:pPr>
                        <w:pStyle w:val="NaslovnicanaslovUMAR"/>
                        <w:numPr>
                          <w:ilvl w:val="0"/>
                          <w:numId w:val="0"/>
                        </w:numPr>
                        <w:spacing w:line="760" w:lineRule="exact"/>
                        <w:rPr>
                          <w:color w:val="auto"/>
                          <w:sz w:val="76"/>
                          <w:szCs w:val="76"/>
                        </w:rPr>
                      </w:pPr>
                      <w:r>
                        <w:rPr>
                          <w:color w:val="auto"/>
                          <w:sz w:val="76"/>
                          <w:szCs w:val="76"/>
                        </w:rPr>
                        <w:t>Vpliv salda tekočega računa in drugih dejavnikov na mednarodn</w:t>
                      </w:r>
                      <w:r w:rsidR="0076213D">
                        <w:rPr>
                          <w:color w:val="auto"/>
                          <w:sz w:val="76"/>
                          <w:szCs w:val="76"/>
                        </w:rPr>
                        <w:t>e</w:t>
                      </w:r>
                      <w:r>
                        <w:rPr>
                          <w:color w:val="auto"/>
                          <w:sz w:val="76"/>
                          <w:szCs w:val="76"/>
                        </w:rPr>
                        <w:t xml:space="preserve"> naložb</w:t>
                      </w:r>
                      <w:r w:rsidR="0076213D">
                        <w:rPr>
                          <w:color w:val="auto"/>
                          <w:sz w:val="76"/>
                          <w:szCs w:val="76"/>
                        </w:rPr>
                        <w:t xml:space="preserve">e </w:t>
                      </w:r>
                      <w:r>
                        <w:rPr>
                          <w:color w:val="auto"/>
                          <w:sz w:val="76"/>
                          <w:szCs w:val="76"/>
                        </w:rPr>
                        <w:t xml:space="preserve"> Slovenije</w:t>
                      </w:r>
                    </w:p>
                  </w:txbxContent>
                </v:textbox>
                <w10:wrap anchorx="margin"/>
              </v:shape>
            </w:pict>
          </mc:Fallback>
        </mc:AlternateContent>
      </w:r>
      <w:r w:rsidR="0050616E">
        <w:tab/>
      </w:r>
    </w:p>
    <w:p w14:paraId="56F6B4A8" w14:textId="699B5705" w:rsidR="00AF3AD4" w:rsidRDefault="00471713" w:rsidP="00F12988">
      <w:pPr>
        <w:pStyle w:val="Heading1"/>
        <w:numPr>
          <w:ilvl w:val="0"/>
          <w:numId w:val="0"/>
        </w:numPr>
      </w:pPr>
      <w:bookmarkStart w:id="1" w:name="_Toc525304171"/>
      <w:bookmarkStart w:id="2" w:name="_Toc527616894"/>
      <w:bookmarkStart w:id="3" w:name="_Toc528328881"/>
      <w:r w:rsidRPr="00471713">
        <w:lastRenderedPageBreak/>
        <w:t>Povzetek</w:t>
      </w:r>
    </w:p>
    <w:p w14:paraId="6005A719" w14:textId="77777777" w:rsidR="00E577BC" w:rsidRDefault="00E577BC" w:rsidP="00E577BC">
      <w:pPr>
        <w:pStyle w:val="BesediloUMAR"/>
      </w:pPr>
    </w:p>
    <w:p w14:paraId="42211D4D" w14:textId="57301F5A" w:rsidR="00E577BC" w:rsidRPr="00E577BC" w:rsidRDefault="00E577BC" w:rsidP="00E577BC">
      <w:pPr>
        <w:pStyle w:val="BesediloUMAR"/>
        <w:rPr>
          <w:b/>
          <w:bCs/>
        </w:rPr>
      </w:pPr>
      <w:r w:rsidRPr="00E577BC">
        <w:rPr>
          <w:b/>
          <w:bCs/>
        </w:rPr>
        <w:t xml:space="preserve">Stanje mednarodnih naložb ali mednarodna investicijska pozicija Slovenije izkazuje stanje celotnih terjatev in obveznosti, ki jih ima domače gospodarstvo do tujine ob koncu vsakega leta, s strukturo, ki je enaka strukturi finančnega računa plačilne bilance. Položaj mednarodnih naložb je pomemben </w:t>
      </w:r>
      <w:bookmarkStart w:id="4" w:name="_Hlk140671500"/>
      <w:r w:rsidR="008C462C">
        <w:rPr>
          <w:b/>
          <w:bCs/>
        </w:rPr>
        <w:t>pokazatelj</w:t>
      </w:r>
      <w:r w:rsidRPr="00E577BC">
        <w:rPr>
          <w:b/>
          <w:bCs/>
        </w:rPr>
        <w:t xml:space="preserve"> finančnega stanja </w:t>
      </w:r>
      <w:bookmarkEnd w:id="4"/>
      <w:r w:rsidRPr="00E577BC">
        <w:rPr>
          <w:b/>
          <w:bCs/>
        </w:rPr>
        <w:t>in kreditne sposobnosti gospodarstva. Neto pozicija stanja mednarodnih naložb je kazalnik, ki omogoča analizo plačilnobilančnih tokov in stanj (po instrumentih in sektorjih) ter s tem dinamičen vpogled v različne dejavnike zunanjega neravnovesja. Spremembe stanja mednarodnih naložb med dvema zaporednima letoma so odraz transakcij v plačilni bilanci (salda tekočega in kapitalskega računa ter neto napak in izpustitev) in vrednostnih prilagoditev zaradi cenovnih, tečajnih ter ostalih sprememb.</w:t>
      </w:r>
    </w:p>
    <w:p w14:paraId="65D1F462" w14:textId="77777777" w:rsidR="007332CD" w:rsidRDefault="007332CD" w:rsidP="00E577BC">
      <w:pPr>
        <w:pStyle w:val="BesediloUMAR"/>
        <w:rPr>
          <w:rStyle w:val="CommentReference"/>
          <w:rFonts w:asciiTheme="minorHAnsi" w:hAnsiTheme="minorHAnsi"/>
        </w:rPr>
      </w:pPr>
    </w:p>
    <w:p w14:paraId="01C9FD3D" w14:textId="7B70E657" w:rsidR="0003786F" w:rsidRDefault="00E577BC" w:rsidP="00E577BC">
      <w:pPr>
        <w:pStyle w:val="BesediloUMAR"/>
        <w:rPr>
          <w:b/>
          <w:bCs/>
        </w:rPr>
      </w:pPr>
      <w:r w:rsidRPr="00E577BC">
        <w:rPr>
          <w:b/>
          <w:bCs/>
        </w:rPr>
        <w:t>V obdobju med finančno-gospodarsko krizo in energetsko krizo (2009–2022) se je celotna neto zadolženost Slovenije do tujine močno znižala, in sicer za 14mrd EUR (s 14,9 mrd EUR konec leta 2008 na 0,</w:t>
      </w:r>
      <w:r w:rsidR="007332CD">
        <w:rPr>
          <w:b/>
          <w:bCs/>
        </w:rPr>
        <w:t>9</w:t>
      </w:r>
      <w:r w:rsidRPr="00E577BC">
        <w:rPr>
          <w:b/>
          <w:bCs/>
        </w:rPr>
        <w:t xml:space="preserve"> mrd EUR konec leta 2022</w:t>
      </w:r>
      <w:r w:rsidR="003B7667">
        <w:rPr>
          <w:b/>
          <w:bCs/>
        </w:rPr>
        <w:t>).</w:t>
      </w:r>
      <w:r w:rsidRPr="00E577BC">
        <w:rPr>
          <w:b/>
          <w:bCs/>
        </w:rPr>
        <w:t xml:space="preserve"> </w:t>
      </w:r>
      <w:r w:rsidR="0003786F" w:rsidRPr="00E577BC">
        <w:rPr>
          <w:b/>
          <w:bCs/>
        </w:rPr>
        <w:t xml:space="preserve">V obdobju </w:t>
      </w:r>
      <w:r w:rsidR="00132801">
        <w:rPr>
          <w:b/>
          <w:bCs/>
        </w:rPr>
        <w:t xml:space="preserve">razmeroma </w:t>
      </w:r>
      <w:r w:rsidR="0003786F" w:rsidRPr="00E577BC">
        <w:rPr>
          <w:b/>
          <w:bCs/>
        </w:rPr>
        <w:t>stabilnega stanja mednarodnih naložb (2009</w:t>
      </w:r>
      <w:r w:rsidR="00132801">
        <w:rPr>
          <w:b/>
          <w:bCs/>
        </w:rPr>
        <w:t>–</w:t>
      </w:r>
      <w:r w:rsidR="0003786F" w:rsidRPr="00E577BC">
        <w:rPr>
          <w:b/>
          <w:bCs/>
        </w:rPr>
        <w:t xml:space="preserve">2012) se je zasebni sektor začel razdolževati, povečala se je neto zadolženost države, neto dolžniška pozicija </w:t>
      </w:r>
      <w:r w:rsidR="0003786F" w:rsidRPr="00105026">
        <w:rPr>
          <w:b/>
          <w:bCs/>
        </w:rPr>
        <w:t>mednarodnih naložb BS</w:t>
      </w:r>
      <w:r w:rsidR="0003786F" w:rsidRPr="00E577BC">
        <w:rPr>
          <w:b/>
          <w:bCs/>
        </w:rPr>
        <w:t xml:space="preserve"> se je nekoliko poslabšala. Neto odliv zasebnega sektorja je bil nadomeščen s financiranjem prek ECB in z zadolževanjem države.</w:t>
      </w:r>
      <w:r w:rsidR="0003786F">
        <w:rPr>
          <w:b/>
          <w:bCs/>
        </w:rPr>
        <w:t xml:space="preserve"> </w:t>
      </w:r>
      <w:r w:rsidR="0003786F" w:rsidRPr="00E577BC">
        <w:rPr>
          <w:b/>
          <w:bCs/>
        </w:rPr>
        <w:t>V obdobju 2013</w:t>
      </w:r>
      <w:r w:rsidR="003373CC">
        <w:rPr>
          <w:b/>
          <w:bCs/>
        </w:rPr>
        <w:t>–</w:t>
      </w:r>
      <w:r w:rsidR="0003786F" w:rsidRPr="00E577BC">
        <w:rPr>
          <w:b/>
          <w:bCs/>
        </w:rPr>
        <w:t xml:space="preserve">2021 se je mednarodna investicijska pozicija Slovenije postopoma izboljšala zaradi presežkov na tekočem računu plačilne bilance. </w:t>
      </w:r>
      <w:r w:rsidR="0003786F" w:rsidRPr="003B7667">
        <w:rPr>
          <w:rFonts w:cs="Arial"/>
          <w:b/>
          <w:bCs/>
          <w:szCs w:val="20"/>
        </w:rPr>
        <w:t>Podjetja so zaradi krepitve tujega povpraševanja in tudi izboljšanja stroškovne konkurenčnosti precej povečala tržni delež na svetovnem trgu. Ob zmerni rasti domačega trošenja je bila rast uvoza počasnejša od rasti izvoza.</w:t>
      </w:r>
      <w:r w:rsidR="0003786F">
        <w:rPr>
          <w:b/>
          <w:bCs/>
        </w:rPr>
        <w:t xml:space="preserve"> </w:t>
      </w:r>
      <w:r w:rsidR="0003786F" w:rsidRPr="00E577BC">
        <w:rPr>
          <w:b/>
          <w:bCs/>
        </w:rPr>
        <w:t xml:space="preserve">Presežek agregatnega varčevanja nad investicijami se je odražal v </w:t>
      </w:r>
      <w:r w:rsidR="0003786F">
        <w:rPr>
          <w:b/>
          <w:bCs/>
        </w:rPr>
        <w:t xml:space="preserve">neto </w:t>
      </w:r>
      <w:r w:rsidR="0003786F" w:rsidRPr="00E577BC">
        <w:rPr>
          <w:b/>
          <w:bCs/>
        </w:rPr>
        <w:t>povečanju terjatev do tujine.</w:t>
      </w:r>
    </w:p>
    <w:p w14:paraId="5EAB14DE" w14:textId="77777777" w:rsidR="007332CD" w:rsidRDefault="007332CD" w:rsidP="0003786F">
      <w:pPr>
        <w:pStyle w:val="BesediloUMAR"/>
        <w:rPr>
          <w:rFonts w:cs="Arial"/>
          <w:b/>
          <w:bCs/>
          <w:szCs w:val="20"/>
        </w:rPr>
      </w:pPr>
    </w:p>
    <w:p w14:paraId="7FB8F9B4" w14:textId="00CBECE0" w:rsidR="0003786F" w:rsidRPr="00663652" w:rsidRDefault="0003786F" w:rsidP="00E577BC">
      <w:pPr>
        <w:pStyle w:val="BesediloUMAR"/>
        <w:rPr>
          <w:b/>
          <w:bCs/>
        </w:rPr>
      </w:pPr>
      <w:r w:rsidRPr="003B7667">
        <w:rPr>
          <w:rFonts w:cs="Arial"/>
          <w:b/>
          <w:bCs/>
          <w:szCs w:val="20"/>
        </w:rPr>
        <w:t>Po desetih letih presežka se je saldo tekočega računa leta 2022 prevesil v primanjkljaj (</w:t>
      </w:r>
      <w:r w:rsidR="003373CC">
        <w:rPr>
          <w:rFonts w:cs="Arial"/>
          <w:b/>
          <w:bCs/>
          <w:szCs w:val="20"/>
        </w:rPr>
        <w:t>–</w:t>
      </w:r>
      <w:r w:rsidR="007332CD">
        <w:rPr>
          <w:rFonts w:cs="Arial"/>
          <w:b/>
          <w:bCs/>
          <w:szCs w:val="20"/>
        </w:rPr>
        <w:t>1</w:t>
      </w:r>
      <w:r w:rsidR="006C6A5D">
        <w:rPr>
          <w:rFonts w:cs="Arial"/>
          <w:b/>
          <w:bCs/>
          <w:szCs w:val="20"/>
        </w:rPr>
        <w:t xml:space="preserve"> </w:t>
      </w:r>
      <w:r w:rsidRPr="003B7667">
        <w:rPr>
          <w:rFonts w:cs="Arial"/>
          <w:b/>
          <w:bCs/>
          <w:szCs w:val="20"/>
        </w:rPr>
        <w:t>% BDP)</w:t>
      </w:r>
      <w:r>
        <w:rPr>
          <w:rFonts w:cs="Arial"/>
          <w:b/>
          <w:bCs/>
          <w:szCs w:val="20"/>
        </w:rPr>
        <w:t>,</w:t>
      </w:r>
      <w:r w:rsidRPr="003B7667">
        <w:rPr>
          <w:rFonts w:cs="Arial"/>
          <w:b/>
          <w:bCs/>
          <w:szCs w:val="20"/>
        </w:rPr>
        <w:t xml:space="preserve"> </w:t>
      </w:r>
      <w:r w:rsidR="000C3D35">
        <w:rPr>
          <w:rFonts w:cs="Arial"/>
          <w:b/>
          <w:bCs/>
          <w:szCs w:val="20"/>
        </w:rPr>
        <w:br/>
      </w:r>
      <w:r w:rsidR="00AA45AE">
        <w:rPr>
          <w:rFonts w:cs="Arial"/>
          <w:b/>
          <w:bCs/>
          <w:szCs w:val="20"/>
        </w:rPr>
        <w:t xml:space="preserve">največ je k temu </w:t>
      </w:r>
      <w:r w:rsidRPr="0056169C">
        <w:rPr>
          <w:rFonts w:cs="Arial"/>
          <w:b/>
          <w:bCs/>
          <w:szCs w:val="20"/>
        </w:rPr>
        <w:t xml:space="preserve">prispevala blagovna menjava. K nižjemu blagovnemu saldu, ki se je v letu 2022 prevesil v primanjkljaj, je količinski učinek prispeval 2 mrd EUR, pogoji menjave pa </w:t>
      </w:r>
      <w:r w:rsidR="0019577E">
        <w:rPr>
          <w:rFonts w:cs="Arial"/>
          <w:b/>
          <w:bCs/>
          <w:szCs w:val="20"/>
        </w:rPr>
        <w:t>1</w:t>
      </w:r>
      <w:r w:rsidRPr="0056169C">
        <w:rPr>
          <w:rFonts w:cs="Arial"/>
          <w:b/>
          <w:bCs/>
          <w:szCs w:val="20"/>
        </w:rPr>
        <w:t xml:space="preserve"> mrd EUR. </w:t>
      </w:r>
      <w:r w:rsidR="000C3D35">
        <w:rPr>
          <w:rFonts w:cs="Arial"/>
          <w:b/>
          <w:bCs/>
          <w:szCs w:val="20"/>
        </w:rPr>
        <w:br/>
      </w:r>
      <w:r>
        <w:rPr>
          <w:rFonts w:cs="Arial"/>
          <w:b/>
          <w:bCs/>
          <w:szCs w:val="20"/>
        </w:rPr>
        <w:t>V letu 2022 je d</w:t>
      </w:r>
      <w:r>
        <w:rPr>
          <w:b/>
          <w:bCs/>
        </w:rPr>
        <w:t>enarna</w:t>
      </w:r>
      <w:r w:rsidRPr="00E577BC">
        <w:rPr>
          <w:b/>
          <w:bCs/>
        </w:rPr>
        <w:t xml:space="preserve"> politika z dvigovanjem referenčnih obrestnih mer zaostrila pogoje zadolževanja v evrskem območju</w:t>
      </w:r>
      <w:r w:rsidR="00663652">
        <w:rPr>
          <w:b/>
          <w:bCs/>
        </w:rPr>
        <w:t>. Zahtevana</w:t>
      </w:r>
      <w:r>
        <w:rPr>
          <w:b/>
          <w:bCs/>
        </w:rPr>
        <w:t xml:space="preserve"> donosnost</w:t>
      </w:r>
      <w:r w:rsidR="00770E71">
        <w:rPr>
          <w:b/>
          <w:bCs/>
        </w:rPr>
        <w:t xml:space="preserve"> obveznic</w:t>
      </w:r>
      <w:r w:rsidR="0019577E">
        <w:rPr>
          <w:b/>
          <w:bCs/>
        </w:rPr>
        <w:t>, ki jih je izdala država,</w:t>
      </w:r>
      <w:r>
        <w:rPr>
          <w:b/>
          <w:bCs/>
        </w:rPr>
        <w:t xml:space="preserve"> </w:t>
      </w:r>
      <w:r w:rsidR="00663652">
        <w:rPr>
          <w:b/>
          <w:bCs/>
        </w:rPr>
        <w:t xml:space="preserve">se je </w:t>
      </w:r>
      <w:r>
        <w:rPr>
          <w:b/>
          <w:bCs/>
        </w:rPr>
        <w:t>povečala</w:t>
      </w:r>
      <w:r w:rsidR="00663652">
        <w:rPr>
          <w:b/>
          <w:bCs/>
        </w:rPr>
        <w:t xml:space="preserve">, cene obstoječih vrednostnih papirjev pa so občutno padle. </w:t>
      </w:r>
      <w:r w:rsidRPr="00E577BC">
        <w:rPr>
          <w:b/>
          <w:bCs/>
        </w:rPr>
        <w:t>V letu 2022 se je celotna neto zadolženost Slovenije znižala zaradi padca tržne vrednosti</w:t>
      </w:r>
      <w:r w:rsidR="00770E71">
        <w:rPr>
          <w:b/>
          <w:bCs/>
        </w:rPr>
        <w:t xml:space="preserve"> v </w:t>
      </w:r>
      <w:r w:rsidRPr="00E577BC">
        <w:rPr>
          <w:b/>
          <w:bCs/>
        </w:rPr>
        <w:t>državnih obveznic</w:t>
      </w:r>
      <w:r w:rsidR="006B58CC">
        <w:rPr>
          <w:b/>
          <w:bCs/>
        </w:rPr>
        <w:t>ah</w:t>
      </w:r>
      <w:r w:rsidRPr="00E577BC">
        <w:rPr>
          <w:b/>
          <w:bCs/>
        </w:rPr>
        <w:t xml:space="preserve">, ki so bile </w:t>
      </w:r>
      <w:r w:rsidR="000C1D9E">
        <w:rPr>
          <w:b/>
          <w:bCs/>
        </w:rPr>
        <w:t xml:space="preserve">visoke </w:t>
      </w:r>
      <w:r w:rsidRPr="00E577BC">
        <w:rPr>
          <w:b/>
          <w:bCs/>
        </w:rPr>
        <w:t>tudi zaradi pretekle denarne politike ECB, k</w:t>
      </w:r>
      <w:r w:rsidR="007115B7">
        <w:rPr>
          <w:b/>
          <w:bCs/>
        </w:rPr>
        <w:t>i</w:t>
      </w:r>
      <w:r w:rsidRPr="00E577BC">
        <w:rPr>
          <w:b/>
          <w:bCs/>
        </w:rPr>
        <w:t xml:space="preserve"> je redno odkupovala obveznice in s tem povečanim povpraševanjem vplivala na cen</w:t>
      </w:r>
      <w:r w:rsidR="000C1D9E">
        <w:rPr>
          <w:b/>
          <w:bCs/>
        </w:rPr>
        <w:t>e</w:t>
      </w:r>
      <w:r w:rsidRPr="00E577BC">
        <w:rPr>
          <w:b/>
          <w:bCs/>
        </w:rPr>
        <w:t xml:space="preserve"> obveznic.</w:t>
      </w:r>
      <w:r>
        <w:rPr>
          <w:b/>
          <w:bCs/>
        </w:rPr>
        <w:t xml:space="preserve"> </w:t>
      </w:r>
    </w:p>
    <w:bookmarkEnd w:id="1"/>
    <w:bookmarkEnd w:id="2"/>
    <w:bookmarkEnd w:id="3"/>
    <w:p w14:paraId="00148A35" w14:textId="570FA236" w:rsidR="00921B87" w:rsidRPr="004C200D" w:rsidRDefault="00921B87" w:rsidP="00921B87">
      <w:pPr>
        <w:pStyle w:val="Heading1"/>
        <w:numPr>
          <w:ilvl w:val="0"/>
          <w:numId w:val="7"/>
        </w:numPr>
      </w:pPr>
      <w:r>
        <w:lastRenderedPageBreak/>
        <w:t>Uvod</w:t>
      </w:r>
    </w:p>
    <w:p w14:paraId="2F0BE7C0" w14:textId="1FFA8FF0" w:rsidR="00921B87" w:rsidRPr="00382D5B" w:rsidRDefault="00921B87" w:rsidP="00921B87">
      <w:pPr>
        <w:autoSpaceDE w:val="0"/>
        <w:autoSpaceDN w:val="0"/>
        <w:adjustRightInd w:val="0"/>
        <w:spacing w:after="0" w:line="288" w:lineRule="auto"/>
        <w:jc w:val="both"/>
        <w:rPr>
          <w:rFonts w:ascii="Myriad Pro" w:eastAsia="Calibri" w:hAnsi="Myriad Pro" w:cs="Arial"/>
          <w:sz w:val="20"/>
          <w:szCs w:val="20"/>
        </w:rPr>
      </w:pPr>
      <w:r w:rsidRPr="00382D5B">
        <w:rPr>
          <w:rFonts w:ascii="Myriad Pro" w:eastAsia="Calibri" w:hAnsi="Myriad Pro" w:cs="Arial"/>
          <w:sz w:val="20"/>
          <w:szCs w:val="20"/>
        </w:rPr>
        <w:t>Stanje mednarodnih naložb ali mednarodna investicijska pozicija Slovenije</w:t>
      </w:r>
      <w:r w:rsidRPr="00E577BC">
        <w:rPr>
          <w:rFonts w:ascii="Myriad Pro" w:eastAsia="Calibri" w:hAnsi="Myriad Pro" w:cs="Arial"/>
          <w:sz w:val="20"/>
          <w:szCs w:val="20"/>
        </w:rPr>
        <w:t xml:space="preserve"> izkazuje stanje celotnih terjatev in obveznosti</w:t>
      </w:r>
      <w:r w:rsidR="007115B7">
        <w:rPr>
          <w:rFonts w:ascii="Myriad Pro" w:eastAsia="Calibri" w:hAnsi="Myriad Pro" w:cs="Arial"/>
          <w:sz w:val="20"/>
          <w:szCs w:val="20"/>
        </w:rPr>
        <w:t xml:space="preserve"> domačega gospodarstva </w:t>
      </w:r>
      <w:r w:rsidRPr="00E577BC">
        <w:rPr>
          <w:rFonts w:ascii="Myriad Pro" w:eastAsia="Calibri" w:hAnsi="Myriad Pro" w:cs="Arial"/>
          <w:sz w:val="20"/>
          <w:szCs w:val="20"/>
        </w:rPr>
        <w:t xml:space="preserve">do tujine ob koncu vsakega leta, s strukturo, ki je enaka strukturi finančnega računa plačilne bilance. Poleg dolžniških instrumentov, ki so vključeni v bruto zunanje terjatve in bruto zunanji dolg, vključuje še terjatve in obveznosti iz lastniških razmerij ter </w:t>
      </w:r>
      <w:r w:rsidRPr="00F03ED1">
        <w:rPr>
          <w:rFonts w:ascii="Myriad Pro" w:eastAsia="Calibri" w:hAnsi="Myriad Pro" w:cs="Arial"/>
          <w:sz w:val="20"/>
          <w:szCs w:val="20"/>
        </w:rPr>
        <w:t>finančne derivative. Negativna</w:t>
      </w:r>
      <w:r w:rsidRPr="00E577BC">
        <w:rPr>
          <w:rFonts w:ascii="Myriad Pro" w:eastAsia="Calibri" w:hAnsi="Myriad Pro" w:cs="Arial"/>
          <w:sz w:val="20"/>
          <w:szCs w:val="20"/>
        </w:rPr>
        <w:t xml:space="preserve"> pozicija kaže, da obveznosti celotnega gospodarstva do tujine presegajo imetja v tujini. Položaj mednarodnih naložb je tudi pomemben barometer finančnega stanja in kreditne sposobnosti gospodarstva. Neto pozicija stanja mednarodnih naložb je kazalnik, ki omogoča analizo plačilnobilančnih tokov in stanj (po instrumentih in sektorjih) ter s tem dinamičen vpogled v različne dejavnike zunanjega neravnovesja. Neto dolžniška pozicija do tujine se izboljša (poslabša) bodisi zaradi večjih presežkov (primanjkljajev) na tekočem računu in/ali zaradi vrednostnih sprememb, ki z večjo vpetostjo držav v mednarodne kapitalske tokove postajajo vse pomembnejši dejavnik razvoja neto pozicije do tujine. Spremembe stanja mednarodnih naložb med dvema zaporednima letoma so odraz transakcij v plačilni bilanci (salda tekočega in kapitalskega računa ter neto napak in izpustitev) in vrednostnih prilagoditev zaradi cenovnih, tečajnih ter ostalih sprememb. Analiza strukture sprememb stanja mednarodnih naložb je pomembno orodje ekonomske politike države pri sprejemanju ukrepov za izboljšanje konkurenčnosti izvoza, znižanja javnofinančnega primanjkljaja in spodbujanja gospodarske rasti.</w:t>
      </w:r>
    </w:p>
    <w:p w14:paraId="76C67F32" w14:textId="77777777" w:rsidR="00921B87" w:rsidRPr="00E577BC" w:rsidRDefault="00921B87" w:rsidP="00921B87">
      <w:pPr>
        <w:autoSpaceDE w:val="0"/>
        <w:autoSpaceDN w:val="0"/>
        <w:adjustRightInd w:val="0"/>
        <w:spacing w:after="0" w:line="288" w:lineRule="auto"/>
        <w:jc w:val="both"/>
        <w:rPr>
          <w:rFonts w:ascii="Myriad Pro" w:eastAsia="Calibri" w:hAnsi="Myriad Pro" w:cs="Arial"/>
          <w:sz w:val="20"/>
          <w:szCs w:val="20"/>
        </w:rPr>
      </w:pPr>
    </w:p>
    <w:p w14:paraId="380AA830" w14:textId="77777777" w:rsidR="00921B87" w:rsidRPr="00E577BC" w:rsidRDefault="00921B87" w:rsidP="00921B87">
      <w:pPr>
        <w:autoSpaceDE w:val="0"/>
        <w:autoSpaceDN w:val="0"/>
        <w:adjustRightInd w:val="0"/>
        <w:spacing w:after="0" w:line="288" w:lineRule="auto"/>
        <w:jc w:val="both"/>
        <w:rPr>
          <w:rFonts w:ascii="Myriad Pro" w:eastAsia="Calibri" w:hAnsi="Myriad Pro" w:cs="Arial"/>
          <w:b/>
          <w:bCs/>
          <w:sz w:val="20"/>
          <w:szCs w:val="20"/>
        </w:rPr>
      </w:pPr>
    </w:p>
    <w:p w14:paraId="0BE2F934" w14:textId="77777777" w:rsidR="00921B87" w:rsidRPr="00E577BC" w:rsidRDefault="00921B87" w:rsidP="00921B87">
      <w:pPr>
        <w:autoSpaceDE w:val="0"/>
        <w:autoSpaceDN w:val="0"/>
        <w:adjustRightInd w:val="0"/>
        <w:spacing w:after="0" w:line="288" w:lineRule="auto"/>
        <w:jc w:val="both"/>
        <w:rPr>
          <w:rFonts w:ascii="Myriad Pro" w:eastAsia="Calibri" w:hAnsi="Myriad Pro" w:cs="Arial"/>
          <w:b/>
          <w:bCs/>
          <w:sz w:val="20"/>
          <w:szCs w:val="20"/>
        </w:rPr>
      </w:pPr>
    </w:p>
    <w:p w14:paraId="1D7F0979" w14:textId="77777777" w:rsidR="00921B87" w:rsidRPr="00E577BC" w:rsidRDefault="00921B87" w:rsidP="00921B87">
      <w:pPr>
        <w:autoSpaceDE w:val="0"/>
        <w:autoSpaceDN w:val="0"/>
        <w:adjustRightInd w:val="0"/>
        <w:spacing w:after="0" w:line="288" w:lineRule="auto"/>
        <w:jc w:val="both"/>
        <w:rPr>
          <w:rFonts w:ascii="Myriad Pro" w:eastAsia="Calibri" w:hAnsi="Myriad Pro" w:cs="Arial"/>
          <w:b/>
          <w:bCs/>
          <w:sz w:val="20"/>
          <w:szCs w:val="20"/>
        </w:rPr>
      </w:pPr>
    </w:p>
    <w:p w14:paraId="470DE055" w14:textId="77777777" w:rsidR="00D26338" w:rsidRDefault="00D26338">
      <w:pPr>
        <w:spacing w:after="0" w:line="240" w:lineRule="auto"/>
        <w:rPr>
          <w:rFonts w:ascii="Myriad Pro" w:eastAsia="Calibri" w:hAnsi="Myriad Pro" w:cs="Arial"/>
          <w:b/>
          <w:bCs/>
          <w:sz w:val="20"/>
          <w:szCs w:val="20"/>
        </w:rPr>
      </w:pPr>
      <w:r>
        <w:rPr>
          <w:rFonts w:ascii="Myriad Pro" w:eastAsia="Calibri" w:hAnsi="Myriad Pro" w:cs="Arial"/>
          <w:b/>
          <w:bCs/>
          <w:sz w:val="20"/>
          <w:szCs w:val="20"/>
        </w:rPr>
        <w:br w:type="page"/>
      </w:r>
    </w:p>
    <w:p w14:paraId="5D554C4B" w14:textId="4BE26372" w:rsidR="00921B87" w:rsidRPr="00D26338" w:rsidRDefault="00921B87" w:rsidP="00921B87">
      <w:pPr>
        <w:autoSpaceDE w:val="0"/>
        <w:autoSpaceDN w:val="0"/>
        <w:adjustRightInd w:val="0"/>
        <w:spacing w:after="0" w:line="288" w:lineRule="auto"/>
        <w:jc w:val="both"/>
        <w:rPr>
          <w:rFonts w:ascii="Myriad Pro" w:eastAsia="Calibri" w:hAnsi="Myriad Pro" w:cs="Arial"/>
          <w:sz w:val="20"/>
          <w:szCs w:val="20"/>
        </w:rPr>
      </w:pPr>
      <w:r w:rsidRPr="00E577BC">
        <w:rPr>
          <w:rFonts w:ascii="Myriad Pro" w:eastAsia="Calibri" w:hAnsi="Myriad Pro" w:cs="Arial"/>
          <w:sz w:val="20"/>
          <w:szCs w:val="20"/>
        </w:rPr>
        <w:lastRenderedPageBreak/>
        <w:t>Povezave med plačilno bilanco in stanjem mednarodnih naložb kaže slika 1.</w:t>
      </w:r>
    </w:p>
    <w:p w14:paraId="2C5CBBC7" w14:textId="013B7673" w:rsidR="00921B87" w:rsidRPr="00E577BC" w:rsidRDefault="00921B87" w:rsidP="00D26338">
      <w:pPr>
        <w:pStyle w:val="Caption"/>
      </w:pPr>
      <w:r w:rsidRPr="00E577BC">
        <w:t>Slika</w:t>
      </w:r>
      <w:r w:rsidR="005B5CD9">
        <w:t xml:space="preserve"> 1</w:t>
      </w:r>
      <w:r w:rsidRPr="00E577BC">
        <w:t>: Povezave med plačilnobilančnimi tokovi in stanjem mednarodnih naložb</w:t>
      </w:r>
    </w:p>
    <w:p w14:paraId="7C9C95A9" w14:textId="613BBD84" w:rsidR="00921B87" w:rsidRPr="0054607D" w:rsidRDefault="00D26338" w:rsidP="00921B87">
      <w:pPr>
        <w:spacing w:line="240" w:lineRule="auto"/>
        <w:rPr>
          <w:rFonts w:ascii="Arial" w:eastAsia="Calibri" w:hAnsi="Arial" w:cs="Arial"/>
          <w:sz w:val="20"/>
          <w:szCs w:val="20"/>
        </w:rPr>
      </w:pPr>
      <w:r w:rsidRPr="00E577BC">
        <w:rPr>
          <w:rFonts w:ascii="Arial" w:hAnsi="Arial"/>
          <w:noProof/>
          <w:sz w:val="24"/>
          <w:lang w:val="en-US"/>
        </w:rPr>
        <mc:AlternateContent>
          <mc:Choice Requires="wps">
            <w:drawing>
              <wp:anchor distT="0" distB="0" distL="114300" distR="114300" simplePos="0" relativeHeight="251710464" behindDoc="0" locked="0" layoutInCell="1" allowOverlap="1" wp14:anchorId="70097168" wp14:editId="0F73FA96">
                <wp:simplePos x="0" y="0"/>
                <wp:positionH relativeFrom="column">
                  <wp:posOffset>1042670</wp:posOffset>
                </wp:positionH>
                <wp:positionV relativeFrom="paragraph">
                  <wp:posOffset>7620</wp:posOffset>
                </wp:positionV>
                <wp:extent cx="819150" cy="1080000"/>
                <wp:effectExtent l="0" t="0" r="19050" b="25400"/>
                <wp:wrapNone/>
                <wp:docPr id="14515692" name="Pravokotni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1080000"/>
                        </a:xfrm>
                        <a:prstGeom prst="rect">
                          <a:avLst/>
                        </a:prstGeom>
                        <a:solidFill>
                          <a:srgbClr val="FFFFFF"/>
                        </a:solidFill>
                        <a:ln w="9525">
                          <a:solidFill>
                            <a:srgbClr val="000000"/>
                          </a:solidFill>
                          <a:miter lim="800000"/>
                          <a:headEnd/>
                          <a:tailEnd/>
                        </a:ln>
                      </wps:spPr>
                      <wps:txbx>
                        <w:txbxContent>
                          <w:p w14:paraId="4FFDE90B" w14:textId="77777777" w:rsidR="003A0569" w:rsidRPr="00C15D7A" w:rsidRDefault="003A0569" w:rsidP="0054607D">
                            <w:pPr>
                              <w:pStyle w:val="BesediloUMAR"/>
                              <w:jc w:val="center"/>
                            </w:pPr>
                            <w:r w:rsidRPr="00C15D7A">
                              <w:t>Tekoči račun plačilne bilance</w:t>
                            </w:r>
                          </w:p>
                          <w:p w14:paraId="5AE23398" w14:textId="77777777" w:rsidR="003A0569" w:rsidRPr="00C15D7A" w:rsidRDefault="003A0569" w:rsidP="0054607D">
                            <w:pPr>
                              <w:pStyle w:val="BesediloUMAR"/>
                              <w:jc w:val="center"/>
                            </w:pPr>
                            <w:r w:rsidRPr="00C15D7A">
                              <w:t>v obdobju »t«</w:t>
                            </w:r>
                          </w:p>
                          <w:p w14:paraId="32E23DF0" w14:textId="77777777" w:rsidR="003A0569" w:rsidRPr="00CA0210" w:rsidRDefault="003A0569" w:rsidP="0054607D">
                            <w:pPr>
                              <w:pStyle w:val="BesediloUMA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97168" id="Pravokotnik 5" o:spid="_x0000_s1027" style="position:absolute;margin-left:82.1pt;margin-top:.6pt;width:64.5pt;height:85.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">
                <v:textbox>
                  <w:txbxContent>
                    <w:p w14:paraId="4FFDE90B" w14:textId="77777777" w:rsidR="003A0569" w:rsidRPr="00C15D7A" w:rsidRDefault="003A0569" w:rsidP="0054607D">
                      <w:pPr>
                        <w:pStyle w:val="BesediloUMAR"/>
                        <w:jc w:val="center"/>
                      </w:pPr>
                      <w:r w:rsidRPr="00C15D7A">
                        <w:t>Tekoči račun plačilne bilance</w:t>
                      </w:r>
                    </w:p>
                    <w:p w14:paraId="5AE23398" w14:textId="77777777" w:rsidR="003A0569" w:rsidRPr="00C15D7A" w:rsidRDefault="003A0569" w:rsidP="0054607D">
                      <w:pPr>
                        <w:pStyle w:val="BesediloUMAR"/>
                        <w:jc w:val="center"/>
                      </w:pPr>
                      <w:r w:rsidRPr="00C15D7A">
                        <w:t>v obdobju »t«</w:t>
                      </w:r>
                    </w:p>
                    <w:p w14:paraId="32E23DF0" w14:textId="77777777" w:rsidR="003A0569" w:rsidRPr="00CA0210" w:rsidRDefault="003A0569" w:rsidP="0054607D">
                      <w:pPr>
                        <w:pStyle w:val="BesediloUMAR"/>
                        <w:jc w:val="center"/>
                      </w:pPr>
                    </w:p>
                  </w:txbxContent>
                </v:textbox>
              </v:rect>
            </w:pict>
          </mc:Fallback>
        </mc:AlternateContent>
      </w:r>
    </w:p>
    <w:p w14:paraId="1E266277" w14:textId="77777777" w:rsidR="00921B87" w:rsidRPr="0054607D" w:rsidRDefault="00921B87" w:rsidP="00921B87">
      <w:pPr>
        <w:spacing w:line="240" w:lineRule="auto"/>
        <w:rPr>
          <w:rFonts w:ascii="Arial" w:eastAsia="Calibri" w:hAnsi="Arial" w:cs="Arial"/>
          <w:sz w:val="20"/>
          <w:szCs w:val="20"/>
        </w:rPr>
      </w:pPr>
    </w:p>
    <w:p w14:paraId="419C42A0" w14:textId="77777777" w:rsidR="00921B87" w:rsidRPr="0054607D" w:rsidRDefault="00921B87" w:rsidP="00921B87">
      <w:pPr>
        <w:spacing w:line="240" w:lineRule="auto"/>
        <w:rPr>
          <w:rFonts w:ascii="Arial" w:eastAsia="Calibri" w:hAnsi="Arial" w:cs="Arial"/>
          <w:sz w:val="20"/>
          <w:szCs w:val="20"/>
        </w:rPr>
      </w:pPr>
    </w:p>
    <w:p w14:paraId="22B4D456" w14:textId="77777777" w:rsidR="00921B87" w:rsidRPr="0054607D" w:rsidRDefault="00921B87" w:rsidP="00921B87">
      <w:pPr>
        <w:spacing w:line="240" w:lineRule="auto"/>
        <w:rPr>
          <w:rFonts w:ascii="Arial" w:eastAsia="Calibri" w:hAnsi="Arial" w:cs="Arial"/>
          <w:sz w:val="20"/>
          <w:szCs w:val="20"/>
        </w:rPr>
      </w:pPr>
    </w:p>
    <w:p w14:paraId="0E42A36A" w14:textId="77777777" w:rsidR="00921B87" w:rsidRPr="0054607D" w:rsidRDefault="00921B87" w:rsidP="0054607D">
      <w:pPr>
        <w:spacing w:after="0" w:line="240" w:lineRule="auto"/>
        <w:rPr>
          <w:rFonts w:ascii="Arial" w:eastAsia="Calibri" w:hAnsi="Arial" w:cs="Arial"/>
          <w:sz w:val="20"/>
          <w:szCs w:val="20"/>
        </w:rPr>
      </w:pPr>
      <w:r w:rsidRPr="0054607D">
        <w:rPr>
          <w:rFonts w:ascii="Arial" w:eastAsia="Calibri" w:hAnsi="Arial" w:cs="Arial"/>
          <w:sz w:val="20"/>
          <w:szCs w:val="20"/>
        </w:rPr>
        <w:t xml:space="preserve">                                                    </w:t>
      </w:r>
    </w:p>
    <w:p w14:paraId="2D83C784" w14:textId="4FDFE6A2" w:rsidR="00921B87" w:rsidRPr="0054607D" w:rsidRDefault="00921B87" w:rsidP="0054607D">
      <w:pPr>
        <w:pStyle w:val="BesediloUMAR"/>
        <w:rPr>
          <w:szCs w:val="20"/>
        </w:rPr>
      </w:pPr>
      <w:r w:rsidRPr="0054607D">
        <w:rPr>
          <w:noProof/>
          <w:szCs w:val="20"/>
          <w:lang w:val="en-US"/>
        </w:rPr>
        <mc:AlternateContent>
          <mc:Choice Requires="wps">
            <w:drawing>
              <wp:anchor distT="0" distB="0" distL="114300" distR="114300" simplePos="0" relativeHeight="251711488" behindDoc="0" locked="0" layoutInCell="1" allowOverlap="1" wp14:anchorId="6F8CA642" wp14:editId="39DA52C6">
                <wp:simplePos x="0" y="0"/>
                <wp:positionH relativeFrom="column">
                  <wp:posOffset>1023620</wp:posOffset>
                </wp:positionH>
                <wp:positionV relativeFrom="paragraph">
                  <wp:posOffset>211455</wp:posOffset>
                </wp:positionV>
                <wp:extent cx="831850" cy="1080000"/>
                <wp:effectExtent l="0" t="0" r="25400" b="25400"/>
                <wp:wrapNone/>
                <wp:docPr id="1975072863" name="Pravokotni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831850" cy="1080000"/>
                        </a:xfrm>
                        <a:prstGeom prst="rect">
                          <a:avLst/>
                        </a:prstGeom>
                        <a:solidFill>
                          <a:srgbClr val="FFFFFF"/>
                        </a:solidFill>
                        <a:ln w="9525">
                          <a:solidFill>
                            <a:srgbClr val="000000"/>
                          </a:solidFill>
                          <a:miter lim="800000"/>
                          <a:headEnd/>
                          <a:tailEnd/>
                        </a:ln>
                      </wps:spPr>
                      <wps:txbx>
                        <w:txbxContent>
                          <w:p w14:paraId="2C6EF35C" w14:textId="77777777" w:rsidR="003A0569" w:rsidRDefault="003A0569" w:rsidP="0054607D">
                            <w:pPr>
                              <w:pStyle w:val="BesediloUMAR"/>
                              <w:jc w:val="center"/>
                            </w:pPr>
                            <w:r w:rsidRPr="00CA0210">
                              <w:t>Kapitalski račun plačilne bilance</w:t>
                            </w:r>
                          </w:p>
                          <w:p w14:paraId="377ADBBA" w14:textId="77777777" w:rsidR="003A0569" w:rsidRDefault="003A0569" w:rsidP="0054607D">
                            <w:pPr>
                              <w:pStyle w:val="BesediloUMAR"/>
                              <w:jc w:val="center"/>
                            </w:pPr>
                            <w:r w:rsidRPr="00CA0210">
                              <w:t>v obdob</w:t>
                            </w:r>
                            <w:r>
                              <w:t>j</w:t>
                            </w:r>
                            <w:r w:rsidRPr="00CA0210">
                              <w:t>u »t«</w:t>
                            </w:r>
                          </w:p>
                          <w:p w14:paraId="7F4C3719" w14:textId="5E39A8CC" w:rsidR="003A0569" w:rsidRDefault="003A0569" w:rsidP="0054607D">
                            <w:pPr>
                              <w:pStyle w:val="BesediloUMA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8CA642" id="Pravokotnik 6" o:spid="_x0000_s1028" style="position:absolute;left:0;text-align:left;margin-left:80.6pt;margin-top:16.65pt;width:65.5pt;height:85.05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">
                <v:textbox>
                  <w:txbxContent>
                    <w:p w14:paraId="2C6EF35C" w14:textId="77777777" w:rsidR="003A0569" w:rsidRDefault="003A0569" w:rsidP="0054607D">
                      <w:pPr>
                        <w:pStyle w:val="BesediloUMAR"/>
                        <w:jc w:val="center"/>
                      </w:pPr>
                      <w:r w:rsidRPr="00CA0210">
                        <w:t>Kapitalski račun plačilne bilance</w:t>
                      </w:r>
                    </w:p>
                    <w:p w14:paraId="377ADBBA" w14:textId="77777777" w:rsidR="003A0569" w:rsidRDefault="003A0569" w:rsidP="0054607D">
                      <w:pPr>
                        <w:pStyle w:val="BesediloUMAR"/>
                        <w:jc w:val="center"/>
                      </w:pPr>
                      <w:r w:rsidRPr="00CA0210">
                        <w:t>v obdob</w:t>
                      </w:r>
                      <w:r>
                        <w:t>j</w:t>
                      </w:r>
                      <w:r w:rsidRPr="00CA0210">
                        <w:t>u »t«</w:t>
                      </w:r>
                    </w:p>
                    <w:p w14:paraId="7F4C3719" w14:textId="5E39A8CC" w:rsidR="003A0569" w:rsidRDefault="003A0569" w:rsidP="0054607D">
                      <w:pPr>
                        <w:pStyle w:val="BesediloUMAR"/>
                        <w:jc w:val="center"/>
                      </w:pPr>
                    </w:p>
                  </w:txbxContent>
                </v:textbox>
              </v:rect>
            </w:pict>
          </mc:Fallback>
        </mc:AlternateContent>
      </w:r>
      <w:r w:rsidRPr="0054607D">
        <w:rPr>
          <w:szCs w:val="20"/>
        </w:rPr>
        <w:t xml:space="preserve">                                 </w:t>
      </w:r>
      <w:r w:rsidR="0054607D" w:rsidRPr="0054607D">
        <w:rPr>
          <w:szCs w:val="20"/>
        </w:rPr>
        <w:t xml:space="preserve">             </w:t>
      </w:r>
      <w:r w:rsidRPr="0054607D">
        <w:rPr>
          <w:szCs w:val="20"/>
        </w:rPr>
        <w:t xml:space="preserve">      +</w:t>
      </w:r>
    </w:p>
    <w:p w14:paraId="3389DAA9" w14:textId="77777777" w:rsidR="00921B87" w:rsidRPr="0054607D" w:rsidRDefault="00921B87" w:rsidP="00921B87">
      <w:pPr>
        <w:spacing w:line="240" w:lineRule="auto"/>
        <w:rPr>
          <w:rFonts w:ascii="Arial" w:eastAsia="Calibri" w:hAnsi="Arial" w:cs="Arial"/>
          <w:sz w:val="20"/>
          <w:szCs w:val="20"/>
        </w:rPr>
      </w:pPr>
    </w:p>
    <w:p w14:paraId="4A9658B7" w14:textId="77777777" w:rsidR="00921B87" w:rsidRPr="0054607D" w:rsidRDefault="00921B87" w:rsidP="00921B87">
      <w:pPr>
        <w:spacing w:line="240" w:lineRule="auto"/>
        <w:rPr>
          <w:rFonts w:ascii="Arial" w:eastAsia="Calibri" w:hAnsi="Arial" w:cs="Arial"/>
          <w:sz w:val="20"/>
          <w:szCs w:val="20"/>
        </w:rPr>
      </w:pPr>
      <w:r w:rsidRPr="0054607D">
        <w:rPr>
          <w:rFonts w:ascii="Arial" w:eastAsia="Calibri" w:hAnsi="Arial" w:cs="Arial"/>
          <w:sz w:val="20"/>
          <w:szCs w:val="20"/>
        </w:rPr>
        <w:t xml:space="preserve">                                                      </w:t>
      </w:r>
    </w:p>
    <w:p w14:paraId="04D63DB9" w14:textId="77777777" w:rsidR="00921B87" w:rsidRPr="0054607D" w:rsidRDefault="00921B87" w:rsidP="00921B87">
      <w:pPr>
        <w:spacing w:line="240" w:lineRule="auto"/>
        <w:rPr>
          <w:rFonts w:ascii="Arial" w:eastAsia="Calibri" w:hAnsi="Arial" w:cs="Arial"/>
          <w:sz w:val="20"/>
          <w:szCs w:val="20"/>
        </w:rPr>
      </w:pPr>
      <w:r w:rsidRPr="0054607D">
        <w:rPr>
          <w:rFonts w:ascii="Arial" w:eastAsia="Calibri" w:hAnsi="Arial" w:cs="Arial"/>
          <w:sz w:val="20"/>
          <w:szCs w:val="20"/>
        </w:rPr>
        <w:t xml:space="preserve">                                       </w:t>
      </w:r>
    </w:p>
    <w:p w14:paraId="2A0AA27F" w14:textId="77777777" w:rsidR="00921B87" w:rsidRPr="0054607D" w:rsidRDefault="00921B87" w:rsidP="00921B87">
      <w:pPr>
        <w:spacing w:line="240" w:lineRule="auto"/>
        <w:rPr>
          <w:rFonts w:ascii="Arial" w:eastAsia="Calibri" w:hAnsi="Arial" w:cs="Arial"/>
          <w:sz w:val="20"/>
          <w:szCs w:val="20"/>
        </w:rPr>
      </w:pPr>
    </w:p>
    <w:p w14:paraId="7508B621" w14:textId="48DAD3F4" w:rsidR="00921B87" w:rsidRPr="0054607D" w:rsidRDefault="00921B87" w:rsidP="0054607D">
      <w:pPr>
        <w:spacing w:after="0" w:line="240" w:lineRule="auto"/>
        <w:rPr>
          <w:rFonts w:ascii="Arial" w:eastAsia="Calibri" w:hAnsi="Arial" w:cs="Arial"/>
          <w:sz w:val="20"/>
          <w:szCs w:val="20"/>
        </w:rPr>
      </w:pPr>
    </w:p>
    <w:p w14:paraId="6A400194" w14:textId="1B6013AF" w:rsidR="00921B87" w:rsidRPr="0054607D" w:rsidRDefault="00921B87" w:rsidP="0054607D">
      <w:pPr>
        <w:pStyle w:val="BesediloUMAR"/>
        <w:rPr>
          <w:szCs w:val="20"/>
        </w:rPr>
      </w:pPr>
      <w:r w:rsidRPr="0054607D">
        <w:rPr>
          <w:noProof/>
          <w:szCs w:val="20"/>
          <w:lang w:val="en-US"/>
        </w:rPr>
        <mc:AlternateContent>
          <mc:Choice Requires="wps">
            <w:drawing>
              <wp:anchor distT="0" distB="0" distL="114300" distR="114300" simplePos="0" relativeHeight="251714560" behindDoc="0" locked="0" layoutInCell="1" allowOverlap="1" wp14:anchorId="1A92AA91" wp14:editId="353DF58E">
                <wp:simplePos x="0" y="0"/>
                <wp:positionH relativeFrom="column">
                  <wp:posOffset>1055370</wp:posOffset>
                </wp:positionH>
                <wp:positionV relativeFrom="paragraph">
                  <wp:posOffset>205105</wp:posOffset>
                </wp:positionV>
                <wp:extent cx="812800" cy="792000"/>
                <wp:effectExtent l="0" t="0" r="25400" b="27305"/>
                <wp:wrapNone/>
                <wp:docPr id="277615401" name="Pravokotni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812800" cy="792000"/>
                        </a:xfrm>
                        <a:prstGeom prst="rect">
                          <a:avLst/>
                        </a:prstGeom>
                        <a:solidFill>
                          <a:srgbClr val="FFFFFF"/>
                        </a:solidFill>
                        <a:ln w="9525">
                          <a:solidFill>
                            <a:srgbClr val="000000"/>
                          </a:solidFill>
                          <a:miter lim="800000"/>
                          <a:headEnd/>
                          <a:tailEnd/>
                        </a:ln>
                      </wps:spPr>
                      <wps:txbx>
                        <w:txbxContent>
                          <w:p w14:paraId="29EAB3B1" w14:textId="77777777" w:rsidR="003A0569" w:rsidRPr="00CA7529" w:rsidRDefault="003A0569" w:rsidP="0054607D">
                            <w:pPr>
                              <w:pStyle w:val="BesediloUMAR"/>
                              <w:jc w:val="center"/>
                            </w:pPr>
                            <w:r w:rsidRPr="00CA7529">
                              <w:t>Statistična napaka</w:t>
                            </w:r>
                          </w:p>
                          <w:p w14:paraId="2BFC5FA6" w14:textId="77777777" w:rsidR="003A0569" w:rsidRPr="00717C1B" w:rsidRDefault="003A0569" w:rsidP="0054607D">
                            <w:pPr>
                              <w:pStyle w:val="BesediloUMAR"/>
                              <w:jc w:val="center"/>
                            </w:pPr>
                            <w:r w:rsidRPr="00CA0210">
                              <w:t>v obdobju »t«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92AA91" id="Pravokotnik 7" o:spid="_x0000_s1029" style="position:absolute;left:0;text-align:left;margin-left:83.1pt;margin-top:16.15pt;width:64pt;height:62.35pt;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">
                <v:textbox>
                  <w:txbxContent>
                    <w:p w14:paraId="29EAB3B1" w14:textId="77777777" w:rsidR="003A0569" w:rsidRPr="00CA7529" w:rsidRDefault="003A0569" w:rsidP="0054607D">
                      <w:pPr>
                        <w:pStyle w:val="BesediloUMAR"/>
                        <w:jc w:val="center"/>
                      </w:pPr>
                      <w:r w:rsidRPr="00CA7529">
                        <w:t>Statistična napaka</w:t>
                      </w:r>
                    </w:p>
                    <w:p w14:paraId="2BFC5FA6" w14:textId="77777777" w:rsidR="003A0569" w:rsidRPr="00717C1B" w:rsidRDefault="003A0569" w:rsidP="0054607D">
                      <w:pPr>
                        <w:pStyle w:val="BesediloUMAR"/>
                        <w:jc w:val="center"/>
                      </w:pPr>
                      <w:r w:rsidRPr="00CA0210">
                        <w:t>v obdobju »t«</w:t>
                      </w:r>
                    </w:p>
                  </w:txbxContent>
                </v:textbox>
              </v:rect>
            </w:pict>
          </mc:Fallback>
        </mc:AlternateContent>
      </w:r>
      <w:r w:rsidR="0054607D" w:rsidRPr="0054607D">
        <w:rPr>
          <w:szCs w:val="20"/>
        </w:rPr>
        <w:t xml:space="preserve">                                                    </w:t>
      </w:r>
      <w:r w:rsidRPr="0054607D">
        <w:rPr>
          <w:szCs w:val="20"/>
        </w:rPr>
        <w:t>+</w:t>
      </w:r>
    </w:p>
    <w:p w14:paraId="348972B1" w14:textId="77777777" w:rsidR="00921B87" w:rsidRPr="0054607D" w:rsidRDefault="00921B87" w:rsidP="00921B87">
      <w:pPr>
        <w:spacing w:line="240" w:lineRule="auto"/>
        <w:rPr>
          <w:rFonts w:ascii="Arial" w:eastAsia="Calibri" w:hAnsi="Arial" w:cs="Arial"/>
          <w:sz w:val="20"/>
          <w:szCs w:val="20"/>
        </w:rPr>
      </w:pPr>
    </w:p>
    <w:p w14:paraId="1801C7AC" w14:textId="77777777" w:rsidR="00921B87" w:rsidRPr="0054607D" w:rsidRDefault="00921B87" w:rsidP="00921B87">
      <w:pPr>
        <w:spacing w:line="240" w:lineRule="auto"/>
        <w:rPr>
          <w:rFonts w:ascii="Arial" w:eastAsia="Calibri" w:hAnsi="Arial" w:cs="Arial"/>
          <w:sz w:val="20"/>
          <w:szCs w:val="20"/>
        </w:rPr>
      </w:pPr>
      <w:r w:rsidRPr="0054607D">
        <w:rPr>
          <w:rFonts w:ascii="Arial" w:eastAsia="Calibri" w:hAnsi="Arial" w:cs="Arial"/>
          <w:sz w:val="20"/>
          <w:szCs w:val="20"/>
        </w:rPr>
        <w:t xml:space="preserve">                                                   </w:t>
      </w:r>
    </w:p>
    <w:p w14:paraId="1755BD05" w14:textId="77777777" w:rsidR="00921B87" w:rsidRPr="0054607D" w:rsidRDefault="00921B87" w:rsidP="00921B87">
      <w:pPr>
        <w:spacing w:line="240" w:lineRule="auto"/>
        <w:rPr>
          <w:rFonts w:ascii="Arial" w:eastAsia="Calibri" w:hAnsi="Arial" w:cs="Arial"/>
          <w:sz w:val="20"/>
          <w:szCs w:val="20"/>
        </w:rPr>
      </w:pPr>
      <w:r w:rsidRPr="0054607D">
        <w:rPr>
          <w:rFonts w:ascii="Arial" w:eastAsia="Calibri" w:hAnsi="Arial" w:cs="Arial"/>
          <w:sz w:val="20"/>
          <w:szCs w:val="20"/>
        </w:rPr>
        <w:t xml:space="preserve">                                       </w:t>
      </w:r>
    </w:p>
    <w:p w14:paraId="4F4130BF" w14:textId="77777777" w:rsidR="00921B87" w:rsidRPr="0054607D" w:rsidRDefault="00921B87" w:rsidP="0054607D">
      <w:pPr>
        <w:spacing w:after="0" w:line="240" w:lineRule="auto"/>
        <w:rPr>
          <w:rFonts w:ascii="Arial" w:eastAsia="Calibri" w:hAnsi="Arial" w:cs="Arial"/>
          <w:sz w:val="20"/>
          <w:szCs w:val="20"/>
        </w:rPr>
      </w:pPr>
      <w:r w:rsidRPr="0054607D">
        <w:rPr>
          <w:rFonts w:ascii="Arial" w:eastAsia="Calibri" w:hAnsi="Arial" w:cs="Arial"/>
          <w:sz w:val="20"/>
          <w:szCs w:val="20"/>
        </w:rPr>
        <w:t xml:space="preserve">                                       </w:t>
      </w:r>
    </w:p>
    <w:p w14:paraId="12F7F79D" w14:textId="4371D850" w:rsidR="00921B87" w:rsidRPr="0054607D" w:rsidRDefault="00E31B1F" w:rsidP="0054607D">
      <w:pPr>
        <w:pStyle w:val="BesediloUMAR"/>
        <w:rPr>
          <w:szCs w:val="20"/>
        </w:rPr>
      </w:pPr>
      <w:r w:rsidRPr="0054607D">
        <w:rPr>
          <w:noProof/>
          <w:szCs w:val="20"/>
          <w:lang w:val="en-US"/>
        </w:rPr>
        <mc:AlternateContent>
          <mc:Choice Requires="wps">
            <w:drawing>
              <wp:anchor distT="0" distB="0" distL="114300" distR="114300" simplePos="0" relativeHeight="251712512" behindDoc="0" locked="0" layoutInCell="1" allowOverlap="1" wp14:anchorId="4514C9A4" wp14:editId="23978233">
                <wp:simplePos x="0" y="0"/>
                <wp:positionH relativeFrom="column">
                  <wp:posOffset>2026920</wp:posOffset>
                </wp:positionH>
                <wp:positionV relativeFrom="paragraph">
                  <wp:posOffset>210820</wp:posOffset>
                </wp:positionV>
                <wp:extent cx="838200" cy="1080000"/>
                <wp:effectExtent l="0" t="0" r="19050" b="25400"/>
                <wp:wrapNone/>
                <wp:docPr id="640609296" name="Pravokotni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838200" cy="1080000"/>
                        </a:xfrm>
                        <a:prstGeom prst="rect">
                          <a:avLst/>
                        </a:prstGeom>
                        <a:solidFill>
                          <a:srgbClr val="FFFFFF"/>
                        </a:solidFill>
                        <a:ln w="9525">
                          <a:solidFill>
                            <a:srgbClr val="000000"/>
                          </a:solidFill>
                          <a:miter lim="800000"/>
                          <a:headEnd/>
                          <a:tailEnd/>
                        </a:ln>
                      </wps:spPr>
                      <wps:txbx>
                        <w:txbxContent>
                          <w:p w14:paraId="2661FFFD" w14:textId="77777777" w:rsidR="003A0569" w:rsidRPr="0040550A" w:rsidRDefault="003A0569" w:rsidP="00921B87">
                            <w:pPr>
                              <w:jc w:val="center"/>
                              <w:rPr>
                                <w:rFonts w:ascii="Myriad Pro" w:hAnsi="Myriad Pro"/>
                                <w:sz w:val="20"/>
                                <w:szCs w:val="20"/>
                              </w:rPr>
                            </w:pPr>
                            <w:r>
                              <w:rPr>
                                <w:rFonts w:ascii="Myriad Pro" w:hAnsi="Myriad Pro"/>
                                <w:sz w:val="20"/>
                                <w:szCs w:val="20"/>
                              </w:rPr>
                              <w:t>Cenovne</w:t>
                            </w:r>
                            <w:r w:rsidRPr="0040550A">
                              <w:rPr>
                                <w:rFonts w:ascii="Myriad Pro" w:hAnsi="Myriad Pro"/>
                                <w:sz w:val="20"/>
                                <w:szCs w:val="20"/>
                              </w:rPr>
                              <w:t xml:space="preserve"> spremembe</w:t>
                            </w:r>
                          </w:p>
                          <w:p w14:paraId="18A663D4" w14:textId="77777777" w:rsidR="003A0569" w:rsidRPr="0040550A" w:rsidRDefault="003A0569" w:rsidP="00921B87">
                            <w:pPr>
                              <w:jc w:val="center"/>
                              <w:rPr>
                                <w:rFonts w:ascii="Myriad Pro" w:hAnsi="Myriad Pro"/>
                                <w:sz w:val="20"/>
                                <w:szCs w:val="20"/>
                              </w:rPr>
                            </w:pPr>
                            <w:r>
                              <w:rPr>
                                <w:rFonts w:ascii="Myriad Pro" w:hAnsi="Myriad Pro"/>
                                <w:sz w:val="20"/>
                                <w:szCs w:val="20"/>
                              </w:rPr>
                              <w:t xml:space="preserve"> </w:t>
                            </w:r>
                            <w:r w:rsidRPr="0040550A">
                              <w:rPr>
                                <w:rFonts w:ascii="Myriad Pro" w:hAnsi="Myriad Pro"/>
                                <w:sz w:val="20"/>
                                <w:szCs w:val="20"/>
                              </w:rPr>
                              <w:t>v obdobju »t«</w:t>
                            </w:r>
                          </w:p>
                          <w:p w14:paraId="42508A77" w14:textId="77777777" w:rsidR="003A0569" w:rsidRDefault="003A0569" w:rsidP="00921B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4C9A4" id="Pravokotnik 8" o:spid="_x0000_s1030" style="position:absolute;left:0;text-align:left;margin-left:159.6pt;margin-top:16.6pt;width:66pt;height:85.05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">
                <v:textbox>
                  <w:txbxContent>
                    <w:p w14:paraId="2661FFFD" w14:textId="77777777" w:rsidR="003A0569" w:rsidRPr="0040550A" w:rsidRDefault="003A0569" w:rsidP="00921B87">
                      <w:pPr>
                        <w:jc w:val="center"/>
                        <w:rPr>
                          <w:rFonts w:ascii="Myriad Pro" w:hAnsi="Myriad Pro"/>
                          <w:sz w:val="20"/>
                          <w:szCs w:val="20"/>
                        </w:rPr>
                      </w:pPr>
                      <w:r>
                        <w:rPr>
                          <w:rFonts w:ascii="Myriad Pro" w:hAnsi="Myriad Pro"/>
                          <w:sz w:val="20"/>
                          <w:szCs w:val="20"/>
                        </w:rPr>
                        <w:t>Cenovne</w:t>
                      </w:r>
                      <w:r w:rsidRPr="0040550A">
                        <w:rPr>
                          <w:rFonts w:ascii="Myriad Pro" w:hAnsi="Myriad Pro"/>
                          <w:sz w:val="20"/>
                          <w:szCs w:val="20"/>
                        </w:rPr>
                        <w:t xml:space="preserve"> spremembe</w:t>
                      </w:r>
                    </w:p>
                    <w:p w14:paraId="18A663D4" w14:textId="77777777" w:rsidR="003A0569" w:rsidRPr="0040550A" w:rsidRDefault="003A0569" w:rsidP="00921B87">
                      <w:pPr>
                        <w:jc w:val="center"/>
                        <w:rPr>
                          <w:rFonts w:ascii="Myriad Pro" w:hAnsi="Myriad Pro"/>
                          <w:sz w:val="20"/>
                          <w:szCs w:val="20"/>
                        </w:rPr>
                      </w:pPr>
                      <w:r>
                        <w:rPr>
                          <w:rFonts w:ascii="Myriad Pro" w:hAnsi="Myriad Pro"/>
                          <w:sz w:val="20"/>
                          <w:szCs w:val="20"/>
                        </w:rPr>
                        <w:t xml:space="preserve"> </w:t>
                      </w:r>
                      <w:r w:rsidRPr="0040550A">
                        <w:rPr>
                          <w:rFonts w:ascii="Myriad Pro" w:hAnsi="Myriad Pro"/>
                          <w:sz w:val="20"/>
                          <w:szCs w:val="20"/>
                        </w:rPr>
                        <w:t>v obdobju »t«</w:t>
                      </w:r>
                    </w:p>
                    <w:p w14:paraId="42508A77" w14:textId="77777777" w:rsidR="003A0569" w:rsidRDefault="003A0569" w:rsidP="00921B87"/>
                  </w:txbxContent>
                </v:textbox>
              </v:rect>
            </w:pict>
          </mc:Fallback>
        </mc:AlternateContent>
      </w:r>
      <w:r w:rsidR="00921B87" w:rsidRPr="0054607D">
        <w:rPr>
          <w:szCs w:val="20"/>
        </w:rPr>
        <w:t xml:space="preserve">                                   </w:t>
      </w:r>
      <w:r w:rsidR="0054607D" w:rsidRPr="0054607D">
        <w:rPr>
          <w:szCs w:val="20"/>
        </w:rPr>
        <w:t xml:space="preserve">              </w:t>
      </w:r>
      <w:r w:rsidR="00921B87" w:rsidRPr="0054607D">
        <w:rPr>
          <w:szCs w:val="20"/>
        </w:rPr>
        <w:t xml:space="preserve">    =          </w:t>
      </w:r>
    </w:p>
    <w:p w14:paraId="4DE30EE9" w14:textId="018445B1" w:rsidR="00921B87" w:rsidRPr="0054607D" w:rsidRDefault="0054607D" w:rsidP="0054607D">
      <w:pPr>
        <w:spacing w:after="240" w:line="240" w:lineRule="auto"/>
        <w:rPr>
          <w:rFonts w:ascii="Arial" w:eastAsia="Calibri" w:hAnsi="Arial" w:cs="Arial"/>
          <w:sz w:val="20"/>
          <w:szCs w:val="20"/>
        </w:rPr>
      </w:pPr>
      <w:r w:rsidRPr="0054607D">
        <w:rPr>
          <w:noProof/>
          <w:sz w:val="20"/>
          <w:szCs w:val="20"/>
          <w:lang w:val="en-US"/>
        </w:rPr>
        <mc:AlternateContent>
          <mc:Choice Requires="wps">
            <w:drawing>
              <wp:anchor distT="0" distB="0" distL="114300" distR="114300" simplePos="0" relativeHeight="251709440" behindDoc="0" locked="0" layoutInCell="1" allowOverlap="1" wp14:anchorId="0D999CB5" wp14:editId="38817A5E">
                <wp:simplePos x="0" y="0"/>
                <wp:positionH relativeFrom="margin">
                  <wp:posOffset>13970</wp:posOffset>
                </wp:positionH>
                <wp:positionV relativeFrom="paragraph">
                  <wp:posOffset>27305</wp:posOffset>
                </wp:positionV>
                <wp:extent cx="920750" cy="1080000"/>
                <wp:effectExtent l="0" t="0" r="12700" b="25400"/>
                <wp:wrapNone/>
                <wp:docPr id="1823505356" name="Pravokotni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20750" cy="1080000"/>
                        </a:xfrm>
                        <a:prstGeom prst="rect">
                          <a:avLst/>
                        </a:prstGeom>
                        <a:solidFill>
                          <a:srgbClr val="FFFFFF"/>
                        </a:solidFill>
                        <a:ln w="9525">
                          <a:solidFill>
                            <a:srgbClr val="000000"/>
                          </a:solidFill>
                          <a:miter lim="800000"/>
                          <a:headEnd/>
                          <a:tailEnd/>
                        </a:ln>
                      </wps:spPr>
                      <wps:txbx>
                        <w:txbxContent>
                          <w:p w14:paraId="71C9E367" w14:textId="0E02123B" w:rsidR="003A0569" w:rsidRDefault="003A0569" w:rsidP="0054607D">
                            <w:pPr>
                              <w:pStyle w:val="BesediloUMAR"/>
                              <w:jc w:val="center"/>
                            </w:pPr>
                            <w:r w:rsidRPr="00CA0210">
                              <w:t xml:space="preserve">Stanje </w:t>
                            </w:r>
                            <w:r>
                              <w:t>mednarodnih</w:t>
                            </w:r>
                            <w:r w:rsidRPr="00CA0210">
                              <w:t xml:space="preserve"> </w:t>
                            </w:r>
                            <w:r>
                              <w:t>naložb</w:t>
                            </w:r>
                          </w:p>
                          <w:p w14:paraId="6925D66F" w14:textId="77777777" w:rsidR="003A0569" w:rsidRPr="00CA0210" w:rsidRDefault="003A0569" w:rsidP="0054607D">
                            <w:pPr>
                              <w:pStyle w:val="BesediloUMAR"/>
                              <w:jc w:val="center"/>
                            </w:pPr>
                            <w:r w:rsidRPr="00CA0210">
                              <w:t>konec obdobja »t-1«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999CB5" id="Pravokotnik 9" o:spid="_x0000_s1031" style="position:absolute;margin-left:1.1pt;margin-top:2.15pt;width:72.5pt;height:85.05pt;flip:y;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">
                <v:textbox>
                  <w:txbxContent>
                    <w:p w14:paraId="71C9E367" w14:textId="0E02123B" w:rsidR="003A0569" w:rsidRDefault="003A0569" w:rsidP="0054607D">
                      <w:pPr>
                        <w:pStyle w:val="BesediloUMAR"/>
                        <w:jc w:val="center"/>
                      </w:pPr>
                      <w:r w:rsidRPr="00CA0210">
                        <w:t xml:space="preserve">Stanje </w:t>
                      </w:r>
                      <w:r>
                        <w:t>mednarodnih</w:t>
                      </w:r>
                      <w:r w:rsidRPr="00CA0210">
                        <w:t xml:space="preserve"> </w:t>
                      </w:r>
                      <w:r>
                        <w:t>naložb</w:t>
                      </w:r>
                    </w:p>
                    <w:p w14:paraId="6925D66F" w14:textId="77777777" w:rsidR="003A0569" w:rsidRPr="00CA0210" w:rsidRDefault="003A0569" w:rsidP="0054607D">
                      <w:pPr>
                        <w:pStyle w:val="BesediloUMAR"/>
                        <w:jc w:val="center"/>
                      </w:pPr>
                      <w:r w:rsidRPr="00CA0210">
                        <w:t>konec obdobja »t-1«</w:t>
                      </w:r>
                    </w:p>
                  </w:txbxContent>
                </v:textbox>
                <w10:wrap anchorx="margin"/>
              </v:rect>
            </w:pict>
          </mc:Fallback>
        </mc:AlternateContent>
      </w:r>
      <w:r w:rsidRPr="0054607D">
        <w:rPr>
          <w:noProof/>
          <w:sz w:val="20"/>
          <w:szCs w:val="20"/>
          <w:lang w:val="en-US"/>
        </w:rPr>
        <mc:AlternateContent>
          <mc:Choice Requires="wps">
            <w:drawing>
              <wp:anchor distT="0" distB="0" distL="114300" distR="114300" simplePos="0" relativeHeight="251715584" behindDoc="0" locked="0" layoutInCell="1" allowOverlap="1" wp14:anchorId="151867D6" wp14:editId="55BFC8A4">
                <wp:simplePos x="0" y="0"/>
                <wp:positionH relativeFrom="column">
                  <wp:posOffset>1052195</wp:posOffset>
                </wp:positionH>
                <wp:positionV relativeFrom="paragraph">
                  <wp:posOffset>36830</wp:posOffset>
                </wp:positionV>
                <wp:extent cx="825500" cy="1080000"/>
                <wp:effectExtent l="0" t="0" r="12700" b="25400"/>
                <wp:wrapNone/>
                <wp:docPr id="138528934" name="Pravokotni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00" cy="1080000"/>
                        </a:xfrm>
                        <a:prstGeom prst="rect">
                          <a:avLst/>
                        </a:prstGeom>
                        <a:solidFill>
                          <a:srgbClr val="FFFFFF"/>
                        </a:solidFill>
                        <a:ln w="9525">
                          <a:solidFill>
                            <a:srgbClr val="000000"/>
                          </a:solidFill>
                          <a:miter lim="800000"/>
                          <a:headEnd/>
                          <a:tailEnd/>
                        </a:ln>
                      </wps:spPr>
                      <wps:txbx>
                        <w:txbxContent>
                          <w:p w14:paraId="26DCD7E4" w14:textId="00822C11" w:rsidR="003A0569" w:rsidRDefault="003A0569" w:rsidP="0054607D">
                            <w:pPr>
                              <w:pStyle w:val="BesediloUMAR"/>
                              <w:jc w:val="center"/>
                            </w:pPr>
                            <w:r w:rsidRPr="00CA0210">
                              <w:t>Finančni račun plačilne bilance</w:t>
                            </w:r>
                          </w:p>
                          <w:p w14:paraId="01530572" w14:textId="77777777" w:rsidR="003A0569" w:rsidRPr="00CA0210" w:rsidRDefault="003A0569" w:rsidP="0054607D">
                            <w:pPr>
                              <w:pStyle w:val="BesediloUMAR"/>
                              <w:jc w:val="center"/>
                            </w:pPr>
                            <w:r w:rsidRPr="00CA0210">
                              <w:t>v obdobju »t«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867D6" id="Pravokotnik 10" o:spid="_x0000_s1032" style="position:absolute;margin-left:82.85pt;margin-top:2.9pt;width:65pt;height:85.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">
                <v:textbox>
                  <w:txbxContent>
                    <w:p w14:paraId="26DCD7E4" w14:textId="00822C11" w:rsidR="003A0569" w:rsidRDefault="003A0569" w:rsidP="0054607D">
                      <w:pPr>
                        <w:pStyle w:val="BesediloUMAR"/>
                        <w:jc w:val="center"/>
                      </w:pPr>
                      <w:r w:rsidRPr="00CA0210">
                        <w:t>Finančni račun plačilne bilance</w:t>
                      </w:r>
                    </w:p>
                    <w:p w14:paraId="01530572" w14:textId="77777777" w:rsidR="003A0569" w:rsidRPr="00CA0210" w:rsidRDefault="003A0569" w:rsidP="0054607D">
                      <w:pPr>
                        <w:pStyle w:val="BesediloUMAR"/>
                        <w:jc w:val="center"/>
                      </w:pPr>
                      <w:r w:rsidRPr="00CA0210">
                        <w:t>v obdobju »t«</w:t>
                      </w:r>
                    </w:p>
                  </w:txbxContent>
                </v:textbox>
              </v:rect>
            </w:pict>
          </mc:Fallback>
        </mc:AlternateContent>
      </w:r>
      <w:r w:rsidRPr="0054607D">
        <w:rPr>
          <w:noProof/>
          <w:sz w:val="20"/>
          <w:szCs w:val="20"/>
          <w:lang w:val="en-US"/>
        </w:rPr>
        <mc:AlternateContent>
          <mc:Choice Requires="wps">
            <w:drawing>
              <wp:anchor distT="0" distB="0" distL="114300" distR="114300" simplePos="0" relativeHeight="251713536" behindDoc="0" locked="0" layoutInCell="1" allowOverlap="1" wp14:anchorId="0F163F63" wp14:editId="0FD1B7CA">
                <wp:simplePos x="0" y="0"/>
                <wp:positionH relativeFrom="column">
                  <wp:posOffset>5141595</wp:posOffset>
                </wp:positionH>
                <wp:positionV relativeFrom="paragraph">
                  <wp:posOffset>13335</wp:posOffset>
                </wp:positionV>
                <wp:extent cx="920750" cy="1080000"/>
                <wp:effectExtent l="0" t="0" r="12700" b="25400"/>
                <wp:wrapNone/>
                <wp:docPr id="448971434" name="Pravokotni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0" cy="1080000"/>
                        </a:xfrm>
                        <a:prstGeom prst="rect">
                          <a:avLst/>
                        </a:prstGeom>
                        <a:solidFill>
                          <a:srgbClr val="FFFFFF"/>
                        </a:solidFill>
                        <a:ln w="9525">
                          <a:solidFill>
                            <a:srgbClr val="000000"/>
                          </a:solidFill>
                          <a:miter lim="800000"/>
                          <a:headEnd/>
                          <a:tailEnd/>
                        </a:ln>
                      </wps:spPr>
                      <wps:txbx>
                        <w:txbxContent>
                          <w:p w14:paraId="0BEE2EB0" w14:textId="77777777" w:rsidR="003A0569" w:rsidRDefault="003A0569" w:rsidP="00921B87">
                            <w:pPr>
                              <w:jc w:val="center"/>
                              <w:rPr>
                                <w:rFonts w:ascii="Myriad Pro" w:hAnsi="Myriad Pro"/>
                                <w:sz w:val="20"/>
                                <w:szCs w:val="20"/>
                              </w:rPr>
                            </w:pPr>
                            <w:r w:rsidRPr="00DE5F43">
                              <w:rPr>
                                <w:rFonts w:ascii="Myriad Pro" w:hAnsi="Myriad Pro"/>
                                <w:sz w:val="20"/>
                                <w:szCs w:val="20"/>
                              </w:rPr>
                              <w:t xml:space="preserve">Stanje </w:t>
                            </w:r>
                            <w:r>
                              <w:rPr>
                                <w:rFonts w:ascii="Myriad Pro" w:hAnsi="Myriad Pro"/>
                                <w:sz w:val="20"/>
                                <w:szCs w:val="20"/>
                              </w:rPr>
                              <w:t>mednarodnih naložb</w:t>
                            </w:r>
                            <w:r w:rsidRPr="00DE5F43">
                              <w:rPr>
                                <w:rFonts w:ascii="Myriad Pro" w:hAnsi="Myriad Pro"/>
                                <w:sz w:val="20"/>
                                <w:szCs w:val="20"/>
                              </w:rPr>
                              <w:t xml:space="preserve"> </w:t>
                            </w:r>
                          </w:p>
                          <w:p w14:paraId="4B81BF13" w14:textId="77777777" w:rsidR="003A0569" w:rsidRPr="00DE5F43" w:rsidRDefault="003A0569" w:rsidP="00921B87">
                            <w:pPr>
                              <w:jc w:val="center"/>
                              <w:rPr>
                                <w:rFonts w:ascii="Myriad Pro" w:hAnsi="Myriad Pro"/>
                                <w:sz w:val="20"/>
                                <w:szCs w:val="20"/>
                              </w:rPr>
                            </w:pPr>
                            <w:r w:rsidRPr="00DE5F43">
                              <w:rPr>
                                <w:rFonts w:ascii="Myriad Pro" w:hAnsi="Myriad Pro"/>
                                <w:sz w:val="20"/>
                                <w:szCs w:val="20"/>
                              </w:rPr>
                              <w:t>konec obdobja »t«</w:t>
                            </w:r>
                          </w:p>
                          <w:p w14:paraId="4B8C0B07" w14:textId="77777777" w:rsidR="003A0569" w:rsidRDefault="003A0569" w:rsidP="00921B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63F63" id="Pravokotnik 11" o:spid="_x0000_s1033" style="position:absolute;margin-left:404.85pt;margin-top:1.05pt;width:72.5pt;height:85.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">
                <v:textbox>
                  <w:txbxContent>
                    <w:p w14:paraId="0BEE2EB0" w14:textId="77777777" w:rsidR="003A0569" w:rsidRDefault="003A0569" w:rsidP="00921B87">
                      <w:pPr>
                        <w:jc w:val="center"/>
                        <w:rPr>
                          <w:rFonts w:ascii="Myriad Pro" w:hAnsi="Myriad Pro"/>
                          <w:sz w:val="20"/>
                          <w:szCs w:val="20"/>
                        </w:rPr>
                      </w:pPr>
                      <w:r w:rsidRPr="00DE5F43">
                        <w:rPr>
                          <w:rFonts w:ascii="Myriad Pro" w:hAnsi="Myriad Pro"/>
                          <w:sz w:val="20"/>
                          <w:szCs w:val="20"/>
                        </w:rPr>
                        <w:t xml:space="preserve">Stanje </w:t>
                      </w:r>
                      <w:r>
                        <w:rPr>
                          <w:rFonts w:ascii="Myriad Pro" w:hAnsi="Myriad Pro"/>
                          <w:sz w:val="20"/>
                          <w:szCs w:val="20"/>
                        </w:rPr>
                        <w:t>mednarodnih naložb</w:t>
                      </w:r>
                      <w:r w:rsidRPr="00DE5F43">
                        <w:rPr>
                          <w:rFonts w:ascii="Myriad Pro" w:hAnsi="Myriad Pro"/>
                          <w:sz w:val="20"/>
                          <w:szCs w:val="20"/>
                        </w:rPr>
                        <w:t xml:space="preserve"> </w:t>
                      </w:r>
                    </w:p>
                    <w:p w14:paraId="4B81BF13" w14:textId="77777777" w:rsidR="003A0569" w:rsidRPr="00DE5F43" w:rsidRDefault="003A0569" w:rsidP="00921B87">
                      <w:pPr>
                        <w:jc w:val="center"/>
                        <w:rPr>
                          <w:rFonts w:ascii="Myriad Pro" w:hAnsi="Myriad Pro"/>
                          <w:sz w:val="20"/>
                          <w:szCs w:val="20"/>
                        </w:rPr>
                      </w:pPr>
                      <w:r w:rsidRPr="00DE5F43">
                        <w:rPr>
                          <w:rFonts w:ascii="Myriad Pro" w:hAnsi="Myriad Pro"/>
                          <w:sz w:val="20"/>
                          <w:szCs w:val="20"/>
                        </w:rPr>
                        <w:t>konec obdobja »t«</w:t>
                      </w:r>
                    </w:p>
                    <w:p w14:paraId="4B8C0B07" w14:textId="77777777" w:rsidR="003A0569" w:rsidRDefault="003A0569" w:rsidP="00921B87"/>
                  </w:txbxContent>
                </v:textbox>
              </v:rect>
            </w:pict>
          </mc:Fallback>
        </mc:AlternateContent>
      </w:r>
      <w:r w:rsidRPr="0054607D">
        <w:rPr>
          <w:noProof/>
          <w:sz w:val="20"/>
          <w:szCs w:val="20"/>
          <w:lang w:val="en-US"/>
        </w:rPr>
        <mc:AlternateContent>
          <mc:Choice Requires="wps">
            <w:drawing>
              <wp:anchor distT="0" distB="0" distL="114300" distR="114300" simplePos="0" relativeHeight="251717632" behindDoc="0" locked="0" layoutInCell="1" allowOverlap="1" wp14:anchorId="51DEEC2B" wp14:editId="3B583245">
                <wp:simplePos x="0" y="0"/>
                <wp:positionH relativeFrom="column">
                  <wp:posOffset>4100195</wp:posOffset>
                </wp:positionH>
                <wp:positionV relativeFrom="paragraph">
                  <wp:posOffset>25400</wp:posOffset>
                </wp:positionV>
                <wp:extent cx="844550" cy="1080000"/>
                <wp:effectExtent l="0" t="0" r="12700" b="25400"/>
                <wp:wrapNone/>
                <wp:docPr id="1803209206" name="Pravokotni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844550" cy="1080000"/>
                        </a:xfrm>
                        <a:prstGeom prst="rect">
                          <a:avLst/>
                        </a:prstGeom>
                        <a:solidFill>
                          <a:srgbClr val="FFFFFF"/>
                        </a:solidFill>
                        <a:ln w="9525">
                          <a:solidFill>
                            <a:srgbClr val="000000"/>
                          </a:solidFill>
                          <a:miter lim="800000"/>
                          <a:headEnd/>
                          <a:tailEnd/>
                        </a:ln>
                      </wps:spPr>
                      <wps:txbx>
                        <w:txbxContent>
                          <w:p w14:paraId="568FDE30" w14:textId="77777777" w:rsidR="003A0569" w:rsidRPr="0040550A" w:rsidRDefault="003A0569" w:rsidP="00921B87">
                            <w:pPr>
                              <w:jc w:val="center"/>
                              <w:rPr>
                                <w:rFonts w:ascii="Myriad Pro" w:hAnsi="Myriad Pro"/>
                                <w:sz w:val="20"/>
                                <w:szCs w:val="20"/>
                              </w:rPr>
                            </w:pPr>
                            <w:r>
                              <w:rPr>
                                <w:rFonts w:ascii="Myriad Pro" w:hAnsi="Myriad Pro"/>
                                <w:sz w:val="20"/>
                                <w:szCs w:val="20"/>
                              </w:rPr>
                              <w:t>Ostale</w:t>
                            </w:r>
                            <w:r w:rsidRPr="0040550A">
                              <w:rPr>
                                <w:rFonts w:ascii="Myriad Pro" w:hAnsi="Myriad Pro"/>
                                <w:sz w:val="20"/>
                                <w:szCs w:val="20"/>
                              </w:rPr>
                              <w:t xml:space="preserve"> spremembe</w:t>
                            </w:r>
                          </w:p>
                          <w:p w14:paraId="684BBEB0" w14:textId="77777777" w:rsidR="003A0569" w:rsidRPr="0040550A" w:rsidRDefault="003A0569" w:rsidP="00921B87">
                            <w:pPr>
                              <w:jc w:val="center"/>
                              <w:rPr>
                                <w:rFonts w:ascii="Myriad Pro" w:hAnsi="Myriad Pro"/>
                                <w:sz w:val="20"/>
                                <w:szCs w:val="20"/>
                              </w:rPr>
                            </w:pPr>
                            <w:r>
                              <w:rPr>
                                <w:rFonts w:ascii="Myriad Pro" w:hAnsi="Myriad Pro"/>
                                <w:sz w:val="20"/>
                                <w:szCs w:val="20"/>
                              </w:rPr>
                              <w:t xml:space="preserve"> </w:t>
                            </w:r>
                            <w:r w:rsidRPr="0040550A">
                              <w:rPr>
                                <w:rFonts w:ascii="Myriad Pro" w:hAnsi="Myriad Pro"/>
                                <w:sz w:val="20"/>
                                <w:szCs w:val="20"/>
                              </w:rPr>
                              <w:t>v obdobju »t«</w:t>
                            </w:r>
                          </w:p>
                          <w:p w14:paraId="3CDF4B51" w14:textId="77777777" w:rsidR="003A0569" w:rsidRDefault="003A0569" w:rsidP="00921B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EEC2B" id="_x0000_s1034" style="position:absolute;margin-left:322.85pt;margin-top:2pt;width:66.5pt;height:85.05p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">
                <v:textbox>
                  <w:txbxContent>
                    <w:p w14:paraId="568FDE30" w14:textId="77777777" w:rsidR="003A0569" w:rsidRPr="0040550A" w:rsidRDefault="003A0569" w:rsidP="00921B87">
                      <w:pPr>
                        <w:jc w:val="center"/>
                        <w:rPr>
                          <w:rFonts w:ascii="Myriad Pro" w:hAnsi="Myriad Pro"/>
                          <w:sz w:val="20"/>
                          <w:szCs w:val="20"/>
                        </w:rPr>
                      </w:pPr>
                      <w:r>
                        <w:rPr>
                          <w:rFonts w:ascii="Myriad Pro" w:hAnsi="Myriad Pro"/>
                          <w:sz w:val="20"/>
                          <w:szCs w:val="20"/>
                        </w:rPr>
                        <w:t>Ostale</w:t>
                      </w:r>
                      <w:r w:rsidRPr="0040550A">
                        <w:rPr>
                          <w:rFonts w:ascii="Myriad Pro" w:hAnsi="Myriad Pro"/>
                          <w:sz w:val="20"/>
                          <w:szCs w:val="20"/>
                        </w:rPr>
                        <w:t xml:space="preserve"> spremembe</w:t>
                      </w:r>
                    </w:p>
                    <w:p w14:paraId="684BBEB0" w14:textId="77777777" w:rsidR="003A0569" w:rsidRPr="0040550A" w:rsidRDefault="003A0569" w:rsidP="00921B87">
                      <w:pPr>
                        <w:jc w:val="center"/>
                        <w:rPr>
                          <w:rFonts w:ascii="Myriad Pro" w:hAnsi="Myriad Pro"/>
                          <w:sz w:val="20"/>
                          <w:szCs w:val="20"/>
                        </w:rPr>
                      </w:pPr>
                      <w:r>
                        <w:rPr>
                          <w:rFonts w:ascii="Myriad Pro" w:hAnsi="Myriad Pro"/>
                          <w:sz w:val="20"/>
                          <w:szCs w:val="20"/>
                        </w:rPr>
                        <w:t xml:space="preserve"> </w:t>
                      </w:r>
                      <w:r w:rsidRPr="0040550A">
                        <w:rPr>
                          <w:rFonts w:ascii="Myriad Pro" w:hAnsi="Myriad Pro"/>
                          <w:sz w:val="20"/>
                          <w:szCs w:val="20"/>
                        </w:rPr>
                        <w:t>v obdobju »t«</w:t>
                      </w:r>
                    </w:p>
                    <w:p w14:paraId="3CDF4B51" w14:textId="77777777" w:rsidR="003A0569" w:rsidRDefault="003A0569" w:rsidP="00921B87"/>
                  </w:txbxContent>
                </v:textbox>
              </v:rect>
            </w:pict>
          </mc:Fallback>
        </mc:AlternateContent>
      </w:r>
      <w:r w:rsidRPr="0054607D">
        <w:rPr>
          <w:noProof/>
          <w:sz w:val="20"/>
          <w:szCs w:val="20"/>
          <w:lang w:val="en-US"/>
        </w:rPr>
        <mc:AlternateContent>
          <mc:Choice Requires="wps">
            <w:drawing>
              <wp:anchor distT="0" distB="0" distL="114300" distR="114300" simplePos="0" relativeHeight="251716608" behindDoc="0" locked="0" layoutInCell="1" allowOverlap="1" wp14:anchorId="3FE4BBC3" wp14:editId="7339B30D">
                <wp:simplePos x="0" y="0"/>
                <wp:positionH relativeFrom="column">
                  <wp:posOffset>3039745</wp:posOffset>
                </wp:positionH>
                <wp:positionV relativeFrom="paragraph">
                  <wp:posOffset>26035</wp:posOffset>
                </wp:positionV>
                <wp:extent cx="863600" cy="1080000"/>
                <wp:effectExtent l="0" t="0" r="12700" b="25400"/>
                <wp:wrapNone/>
                <wp:docPr id="841035150" name="Pravokotni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863600" cy="1080000"/>
                        </a:xfrm>
                        <a:prstGeom prst="rect">
                          <a:avLst/>
                        </a:prstGeom>
                        <a:solidFill>
                          <a:srgbClr val="FFFFFF"/>
                        </a:solidFill>
                        <a:ln w="9525">
                          <a:solidFill>
                            <a:srgbClr val="000000"/>
                          </a:solidFill>
                          <a:miter lim="800000"/>
                          <a:headEnd/>
                          <a:tailEnd/>
                        </a:ln>
                      </wps:spPr>
                      <wps:txbx>
                        <w:txbxContent>
                          <w:p w14:paraId="5D59330C" w14:textId="77777777" w:rsidR="003A0569" w:rsidRPr="0040550A" w:rsidRDefault="003A0569" w:rsidP="00921B87">
                            <w:pPr>
                              <w:jc w:val="center"/>
                              <w:rPr>
                                <w:rFonts w:ascii="Myriad Pro" w:hAnsi="Myriad Pro"/>
                                <w:sz w:val="20"/>
                                <w:szCs w:val="20"/>
                              </w:rPr>
                            </w:pPr>
                            <w:r>
                              <w:rPr>
                                <w:rFonts w:ascii="Myriad Pro" w:hAnsi="Myriad Pro"/>
                                <w:sz w:val="20"/>
                                <w:szCs w:val="20"/>
                              </w:rPr>
                              <w:t>Tečajne</w:t>
                            </w:r>
                            <w:r w:rsidRPr="0040550A">
                              <w:rPr>
                                <w:rFonts w:ascii="Myriad Pro" w:hAnsi="Myriad Pro"/>
                                <w:sz w:val="20"/>
                                <w:szCs w:val="20"/>
                              </w:rPr>
                              <w:t xml:space="preserve"> spremembe</w:t>
                            </w:r>
                          </w:p>
                          <w:p w14:paraId="42083E48" w14:textId="77777777" w:rsidR="003A0569" w:rsidRPr="0040550A" w:rsidRDefault="003A0569" w:rsidP="00921B87">
                            <w:pPr>
                              <w:jc w:val="center"/>
                              <w:rPr>
                                <w:rFonts w:ascii="Myriad Pro" w:hAnsi="Myriad Pro"/>
                                <w:sz w:val="20"/>
                                <w:szCs w:val="20"/>
                              </w:rPr>
                            </w:pPr>
                            <w:r>
                              <w:rPr>
                                <w:rFonts w:ascii="Myriad Pro" w:hAnsi="Myriad Pro"/>
                                <w:sz w:val="20"/>
                                <w:szCs w:val="20"/>
                              </w:rPr>
                              <w:t xml:space="preserve"> </w:t>
                            </w:r>
                            <w:r w:rsidRPr="0040550A">
                              <w:rPr>
                                <w:rFonts w:ascii="Myriad Pro" w:hAnsi="Myriad Pro"/>
                                <w:sz w:val="20"/>
                                <w:szCs w:val="20"/>
                              </w:rPr>
                              <w:t>v obdobju »t«</w:t>
                            </w:r>
                          </w:p>
                          <w:p w14:paraId="514A31B6" w14:textId="77777777" w:rsidR="003A0569" w:rsidRDefault="003A0569" w:rsidP="00921B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4BBC3" id="_x0000_s1035" style="position:absolute;margin-left:239.35pt;margin-top:2.05pt;width:68pt;height:85.05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">
                <v:textbox>
                  <w:txbxContent>
                    <w:p w14:paraId="5D59330C" w14:textId="77777777" w:rsidR="003A0569" w:rsidRPr="0040550A" w:rsidRDefault="003A0569" w:rsidP="00921B87">
                      <w:pPr>
                        <w:jc w:val="center"/>
                        <w:rPr>
                          <w:rFonts w:ascii="Myriad Pro" w:hAnsi="Myriad Pro"/>
                          <w:sz w:val="20"/>
                          <w:szCs w:val="20"/>
                        </w:rPr>
                      </w:pPr>
                      <w:r>
                        <w:rPr>
                          <w:rFonts w:ascii="Myriad Pro" w:hAnsi="Myriad Pro"/>
                          <w:sz w:val="20"/>
                          <w:szCs w:val="20"/>
                        </w:rPr>
                        <w:t>Tečajne</w:t>
                      </w:r>
                      <w:r w:rsidRPr="0040550A">
                        <w:rPr>
                          <w:rFonts w:ascii="Myriad Pro" w:hAnsi="Myriad Pro"/>
                          <w:sz w:val="20"/>
                          <w:szCs w:val="20"/>
                        </w:rPr>
                        <w:t xml:space="preserve"> spremembe</w:t>
                      </w:r>
                    </w:p>
                    <w:p w14:paraId="42083E48" w14:textId="77777777" w:rsidR="003A0569" w:rsidRPr="0040550A" w:rsidRDefault="003A0569" w:rsidP="00921B87">
                      <w:pPr>
                        <w:jc w:val="center"/>
                        <w:rPr>
                          <w:rFonts w:ascii="Myriad Pro" w:hAnsi="Myriad Pro"/>
                          <w:sz w:val="20"/>
                          <w:szCs w:val="20"/>
                        </w:rPr>
                      </w:pPr>
                      <w:r>
                        <w:rPr>
                          <w:rFonts w:ascii="Myriad Pro" w:hAnsi="Myriad Pro"/>
                          <w:sz w:val="20"/>
                          <w:szCs w:val="20"/>
                        </w:rPr>
                        <w:t xml:space="preserve"> </w:t>
                      </w:r>
                      <w:r w:rsidRPr="0040550A">
                        <w:rPr>
                          <w:rFonts w:ascii="Myriad Pro" w:hAnsi="Myriad Pro"/>
                          <w:sz w:val="20"/>
                          <w:szCs w:val="20"/>
                        </w:rPr>
                        <w:t>v obdobju »t«</w:t>
                      </w:r>
                    </w:p>
                    <w:p w14:paraId="514A31B6" w14:textId="77777777" w:rsidR="003A0569" w:rsidRDefault="003A0569" w:rsidP="00921B87"/>
                  </w:txbxContent>
                </v:textbox>
              </v:rect>
            </w:pict>
          </mc:Fallback>
        </mc:AlternateContent>
      </w:r>
      <w:r w:rsidR="00921B87" w:rsidRPr="0054607D">
        <w:rPr>
          <w:rFonts w:ascii="Arial" w:eastAsia="Calibri" w:hAnsi="Arial" w:cs="Arial"/>
          <w:sz w:val="20"/>
          <w:szCs w:val="20"/>
        </w:rPr>
        <w:t xml:space="preserve">                              </w:t>
      </w:r>
    </w:p>
    <w:p w14:paraId="1ABFE86C" w14:textId="77777777" w:rsidR="00921B87" w:rsidRPr="0054607D" w:rsidRDefault="00921B87" w:rsidP="00921B87">
      <w:pPr>
        <w:spacing w:line="240" w:lineRule="auto"/>
        <w:rPr>
          <w:rFonts w:ascii="Arial" w:eastAsia="Calibri" w:hAnsi="Arial" w:cs="Arial"/>
          <w:sz w:val="20"/>
          <w:szCs w:val="20"/>
        </w:rPr>
      </w:pPr>
      <w:r w:rsidRPr="0054607D">
        <w:rPr>
          <w:rFonts w:ascii="Arial" w:eastAsia="Calibri" w:hAnsi="Arial" w:cs="Arial"/>
          <w:sz w:val="20"/>
          <w:szCs w:val="20"/>
        </w:rPr>
        <w:t xml:space="preserve">   </w:t>
      </w:r>
    </w:p>
    <w:p w14:paraId="4F4440AA" w14:textId="5DABCFA1" w:rsidR="00921B87" w:rsidRPr="0054607D" w:rsidRDefault="00921B87" w:rsidP="00921B87">
      <w:pPr>
        <w:spacing w:line="240" w:lineRule="auto"/>
        <w:rPr>
          <w:rFonts w:ascii="Arial" w:eastAsia="Calibri" w:hAnsi="Arial" w:cs="Arial"/>
          <w:i/>
          <w:sz w:val="20"/>
          <w:szCs w:val="20"/>
        </w:rPr>
      </w:pPr>
      <w:r w:rsidRPr="0054607D">
        <w:rPr>
          <w:rFonts w:ascii="Arial" w:eastAsia="Calibri" w:hAnsi="Arial" w:cs="Arial"/>
          <w:sz w:val="20"/>
          <w:szCs w:val="20"/>
        </w:rPr>
        <w:t xml:space="preserve">                           </w:t>
      </w:r>
      <w:r w:rsidRPr="0054607D">
        <w:rPr>
          <w:rStyle w:val="BesediloUMARChar"/>
          <w:sz w:val="20"/>
          <w:szCs w:val="20"/>
        </w:rPr>
        <w:t>+</w:t>
      </w:r>
      <w:r w:rsidRPr="0054607D">
        <w:rPr>
          <w:rFonts w:ascii="Arial" w:eastAsia="Calibri" w:hAnsi="Arial" w:cs="Arial"/>
          <w:sz w:val="20"/>
          <w:szCs w:val="20"/>
        </w:rPr>
        <w:t xml:space="preserve">                        </w:t>
      </w:r>
      <w:r w:rsidR="00E31B1F" w:rsidRPr="0054607D">
        <w:rPr>
          <w:rFonts w:ascii="Arial" w:eastAsia="Calibri" w:hAnsi="Arial" w:cs="Arial"/>
          <w:sz w:val="20"/>
          <w:szCs w:val="20"/>
        </w:rPr>
        <w:t xml:space="preserve"> </w:t>
      </w:r>
      <w:r w:rsidRPr="0054607D">
        <w:rPr>
          <w:rStyle w:val="BesediloUMARChar"/>
          <w:sz w:val="20"/>
          <w:szCs w:val="20"/>
        </w:rPr>
        <w:t>+</w:t>
      </w:r>
      <w:r w:rsidRPr="0054607D">
        <w:rPr>
          <w:rFonts w:ascii="Arial" w:eastAsia="Calibri" w:hAnsi="Arial" w:cs="Arial"/>
          <w:sz w:val="20"/>
          <w:szCs w:val="20"/>
        </w:rPr>
        <w:t xml:space="preserve">                         </w:t>
      </w:r>
      <w:r w:rsidR="00E31B1F" w:rsidRPr="0054607D">
        <w:rPr>
          <w:rFonts w:ascii="Arial" w:eastAsia="Calibri" w:hAnsi="Arial" w:cs="Arial"/>
          <w:sz w:val="20"/>
          <w:szCs w:val="20"/>
        </w:rPr>
        <w:t xml:space="preserve"> </w:t>
      </w:r>
      <w:r w:rsidRPr="0054607D">
        <w:rPr>
          <w:rStyle w:val="BesediloUMARChar"/>
          <w:sz w:val="20"/>
          <w:szCs w:val="20"/>
        </w:rPr>
        <w:t>+</w:t>
      </w:r>
      <w:r w:rsidRPr="0054607D">
        <w:rPr>
          <w:rFonts w:ascii="Arial" w:eastAsia="Calibri" w:hAnsi="Arial" w:cs="Arial"/>
          <w:sz w:val="20"/>
          <w:szCs w:val="20"/>
        </w:rPr>
        <w:t xml:space="preserve">                          </w:t>
      </w:r>
      <w:r w:rsidR="00E31B1F" w:rsidRPr="0054607D">
        <w:rPr>
          <w:rFonts w:ascii="Arial" w:eastAsia="Calibri" w:hAnsi="Arial" w:cs="Arial"/>
          <w:sz w:val="20"/>
          <w:szCs w:val="20"/>
        </w:rPr>
        <w:t xml:space="preserve"> </w:t>
      </w:r>
      <w:r w:rsidR="0054607D">
        <w:rPr>
          <w:rFonts w:ascii="Arial" w:eastAsia="Calibri" w:hAnsi="Arial" w:cs="Arial"/>
          <w:sz w:val="20"/>
          <w:szCs w:val="20"/>
        </w:rPr>
        <w:t xml:space="preserve"> </w:t>
      </w:r>
      <w:r w:rsidRPr="0054607D">
        <w:rPr>
          <w:rStyle w:val="BesediloUMARChar"/>
          <w:sz w:val="20"/>
          <w:szCs w:val="20"/>
        </w:rPr>
        <w:t>+</w:t>
      </w:r>
      <w:r w:rsidRPr="0054607D">
        <w:rPr>
          <w:rFonts w:ascii="Arial" w:eastAsia="Calibri" w:hAnsi="Arial" w:cs="Arial"/>
          <w:sz w:val="20"/>
          <w:szCs w:val="20"/>
        </w:rPr>
        <w:t xml:space="preserve">                        </w:t>
      </w:r>
      <w:r w:rsidR="0054607D">
        <w:rPr>
          <w:rFonts w:ascii="Arial" w:eastAsia="Calibri" w:hAnsi="Arial" w:cs="Arial"/>
          <w:sz w:val="20"/>
          <w:szCs w:val="20"/>
        </w:rPr>
        <w:t xml:space="preserve"> </w:t>
      </w:r>
      <w:r w:rsidR="00E31B1F" w:rsidRPr="0054607D">
        <w:rPr>
          <w:rFonts w:ascii="Arial" w:eastAsia="Calibri" w:hAnsi="Arial" w:cs="Arial"/>
          <w:sz w:val="20"/>
          <w:szCs w:val="20"/>
        </w:rPr>
        <w:t xml:space="preserve"> </w:t>
      </w:r>
      <w:r w:rsidR="0054607D">
        <w:rPr>
          <w:rFonts w:ascii="Arial" w:eastAsia="Calibri" w:hAnsi="Arial" w:cs="Arial"/>
          <w:sz w:val="20"/>
          <w:szCs w:val="20"/>
        </w:rPr>
        <w:t xml:space="preserve"> </w:t>
      </w:r>
      <w:r w:rsidRPr="0054607D">
        <w:rPr>
          <w:rStyle w:val="BesediloUMARChar"/>
          <w:sz w:val="20"/>
          <w:szCs w:val="20"/>
        </w:rPr>
        <w:t>=</w:t>
      </w:r>
      <w:r w:rsidRPr="0054607D">
        <w:rPr>
          <w:rFonts w:ascii="Arial" w:eastAsia="Calibri" w:hAnsi="Arial" w:cs="Arial"/>
          <w:sz w:val="20"/>
          <w:szCs w:val="20"/>
        </w:rPr>
        <w:t xml:space="preserve">   </w:t>
      </w:r>
    </w:p>
    <w:p w14:paraId="087193E6" w14:textId="77777777" w:rsidR="00921B87" w:rsidRPr="0054607D" w:rsidRDefault="00921B87" w:rsidP="00921B87">
      <w:pPr>
        <w:spacing w:after="0" w:line="288" w:lineRule="auto"/>
        <w:jc w:val="both"/>
        <w:rPr>
          <w:rFonts w:ascii="Arial" w:eastAsia="Calibri" w:hAnsi="Arial" w:cs="Arial"/>
          <w:b/>
          <w:sz w:val="20"/>
          <w:szCs w:val="20"/>
        </w:rPr>
      </w:pPr>
    </w:p>
    <w:p w14:paraId="263A0C91" w14:textId="77777777" w:rsidR="00921B87" w:rsidRPr="00E577BC" w:rsidRDefault="00921B87" w:rsidP="00921B87">
      <w:pPr>
        <w:spacing w:line="240" w:lineRule="auto"/>
        <w:rPr>
          <w:rFonts w:ascii="Arial" w:eastAsia="Calibri" w:hAnsi="Arial" w:cs="Arial"/>
          <w:sz w:val="18"/>
          <w:szCs w:val="18"/>
        </w:rPr>
      </w:pPr>
    </w:p>
    <w:p w14:paraId="42FE4C21" w14:textId="3979BF18" w:rsidR="00ED5D6B" w:rsidRDefault="00921B87" w:rsidP="005E0E14">
      <w:pPr>
        <w:spacing w:line="240" w:lineRule="auto"/>
        <w:rPr>
          <w:rFonts w:ascii="Myriad Pro" w:eastAsia="Calibri" w:hAnsi="Myriad Pro" w:cs="Arial"/>
          <w:sz w:val="16"/>
          <w:szCs w:val="16"/>
        </w:rPr>
      </w:pPr>
      <w:r w:rsidRPr="001909A9">
        <w:rPr>
          <w:rFonts w:ascii="Myriad Pro" w:eastAsia="Calibri" w:hAnsi="Myriad Pro" w:cs="Arial"/>
          <w:sz w:val="16"/>
          <w:szCs w:val="16"/>
        </w:rPr>
        <w:t>Vir: lastni prikaz.</w:t>
      </w:r>
      <w:r w:rsidR="003B7FC6">
        <w:rPr>
          <w:rFonts w:ascii="Myriad Pro" w:eastAsia="Calibri" w:hAnsi="Myriad Pro" w:cs="Arial"/>
          <w:sz w:val="16"/>
          <w:szCs w:val="16"/>
        </w:rPr>
        <w:t xml:space="preserve"> Opomba: finančni račun plačilne bilance je vsota tekočega in kapitalskega računa ter statistične napake.</w:t>
      </w:r>
    </w:p>
    <w:p w14:paraId="0EA4DA95" w14:textId="77777777" w:rsidR="0054607D" w:rsidRPr="0054607D" w:rsidRDefault="0054607D" w:rsidP="005E0E14">
      <w:pPr>
        <w:spacing w:line="240" w:lineRule="auto"/>
        <w:rPr>
          <w:rFonts w:ascii="Myriad Pro" w:eastAsia="Calibri" w:hAnsi="Myriad Pro" w:cs="Arial"/>
          <w:sz w:val="16"/>
          <w:szCs w:val="16"/>
        </w:rPr>
      </w:pPr>
    </w:p>
    <w:p w14:paraId="756B7178" w14:textId="2BC51689" w:rsidR="005E0E14" w:rsidRPr="00E577BC" w:rsidRDefault="005E0E14" w:rsidP="005E0E14">
      <w:pPr>
        <w:spacing w:line="240" w:lineRule="auto"/>
        <w:rPr>
          <w:rFonts w:ascii="Myriad Pro" w:eastAsia="Calibri" w:hAnsi="Myriad Pro" w:cs="Arial"/>
          <w:sz w:val="20"/>
        </w:rPr>
      </w:pPr>
      <w:r w:rsidRPr="00E577BC">
        <w:rPr>
          <w:rFonts w:ascii="Myriad Pro" w:eastAsia="Calibri" w:hAnsi="Myriad Pro" w:cs="Arial"/>
          <w:sz w:val="20"/>
        </w:rPr>
        <w:t>Spremembo stanja mednarodnih naložb zapišemo s sledečo enačbo :</w:t>
      </w:r>
    </w:p>
    <w:p w14:paraId="35ED074C" w14:textId="77777777" w:rsidR="005E0E14" w:rsidRPr="00E577BC" w:rsidRDefault="005E0E14" w:rsidP="005E0E14">
      <w:pPr>
        <w:tabs>
          <w:tab w:val="right" w:pos="9070"/>
        </w:tabs>
        <w:spacing w:line="240" w:lineRule="auto"/>
        <w:rPr>
          <w:rFonts w:ascii="Myriad Pro" w:eastAsia="Calibri" w:hAnsi="Myriad Pro" w:cs="Arial"/>
          <w:sz w:val="20"/>
        </w:rPr>
      </w:pPr>
      <w:r w:rsidRPr="00E577BC">
        <w:rPr>
          <w:rFonts w:ascii="Myriad Pro" w:eastAsia="Calibri" w:hAnsi="Myriad Pro" w:cs="Arial"/>
          <w:position w:val="-12"/>
          <w:sz w:val="20"/>
          <w:lang w:val="en-US"/>
        </w:rPr>
        <w:object w:dxaOrig="3780" w:dyaOrig="360" w14:anchorId="0C18B1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35pt;height:14.4pt" o:ole="" fillcolor="window">
            <v:imagedata r:id="rId16" o:title=""/>
          </v:shape>
          <o:OLEObject Type="Embed" ProgID="Equation.3" ShapeID="_x0000_i1025" DrawAspect="Content" ObjectID="_1756637340" r:id="rId17"/>
        </w:object>
      </w:r>
      <w:r w:rsidRPr="00E577BC">
        <w:rPr>
          <w:rFonts w:ascii="Myriad Pro" w:eastAsia="Calibri" w:hAnsi="Myriad Pro" w:cs="Arial"/>
          <w:sz w:val="20"/>
        </w:rPr>
        <w:tab/>
        <w:t xml:space="preserve"> (1)</w:t>
      </w:r>
    </w:p>
    <w:p w14:paraId="613DCE71" w14:textId="77777777" w:rsidR="005E0E14" w:rsidRPr="00E577BC" w:rsidRDefault="005E0E14" w:rsidP="005E0E14">
      <w:pPr>
        <w:spacing w:line="240" w:lineRule="auto"/>
        <w:rPr>
          <w:rFonts w:ascii="Myriad Pro" w:eastAsia="Calibri" w:hAnsi="Myriad Pro" w:cs="Arial"/>
          <w:sz w:val="20"/>
        </w:rPr>
      </w:pPr>
      <w:r w:rsidRPr="00E577BC">
        <w:rPr>
          <w:rFonts w:ascii="Myriad Pro" w:eastAsia="Calibri" w:hAnsi="Myriad Pro" w:cs="Arial"/>
          <w:sz w:val="20"/>
        </w:rPr>
        <w:t>ali</w:t>
      </w:r>
    </w:p>
    <w:p w14:paraId="1B25AB1B" w14:textId="77777777" w:rsidR="005E0E14" w:rsidRPr="00E577BC" w:rsidRDefault="005E0E14" w:rsidP="005E0E14">
      <w:pPr>
        <w:tabs>
          <w:tab w:val="right" w:pos="9070"/>
        </w:tabs>
        <w:spacing w:line="240" w:lineRule="auto"/>
        <w:rPr>
          <w:rFonts w:ascii="Myriad Pro" w:eastAsia="Calibri" w:hAnsi="Myriad Pro" w:cs="Arial"/>
          <w:sz w:val="20"/>
        </w:rPr>
      </w:pPr>
      <w:r w:rsidRPr="00E577BC">
        <w:rPr>
          <w:rFonts w:ascii="Myriad Pro" w:eastAsia="Calibri" w:hAnsi="Myriad Pro" w:cs="Arial"/>
          <w:position w:val="-12"/>
          <w:sz w:val="20"/>
          <w:lang w:val="en-US"/>
        </w:rPr>
        <w:object w:dxaOrig="2580" w:dyaOrig="360" w14:anchorId="2A64BB20">
          <v:shape id="_x0000_i1026" type="#_x0000_t75" style="width:136.5pt;height:14.4pt" o:ole="" fillcolor="window">
            <v:imagedata r:id="rId18" o:title=""/>
          </v:shape>
          <o:OLEObject Type="Embed" ProgID="Equation.3" ShapeID="_x0000_i1026" DrawAspect="Content" ObjectID="_1756637341" r:id="rId19"/>
        </w:object>
      </w:r>
      <w:r w:rsidRPr="00E577BC">
        <w:rPr>
          <w:rFonts w:ascii="Myriad Pro" w:eastAsia="Calibri" w:hAnsi="Myriad Pro" w:cs="Arial"/>
          <w:sz w:val="20"/>
        </w:rPr>
        <w:t>,</w:t>
      </w:r>
      <w:r w:rsidRPr="00E577BC">
        <w:rPr>
          <w:rFonts w:ascii="Myriad Pro" w:eastAsia="Calibri" w:hAnsi="Myriad Pro" w:cs="Arial"/>
          <w:sz w:val="20"/>
        </w:rPr>
        <w:tab/>
        <w:t xml:space="preserve"> (2)</w:t>
      </w:r>
    </w:p>
    <w:p w14:paraId="0F21ED6C" w14:textId="77777777" w:rsidR="005E0E14" w:rsidRPr="00E577BC" w:rsidRDefault="005E0E14" w:rsidP="0054607D">
      <w:pPr>
        <w:spacing w:after="0" w:line="288" w:lineRule="auto"/>
        <w:rPr>
          <w:rFonts w:ascii="Myriad Pro" w:eastAsia="Calibri" w:hAnsi="Myriad Pro" w:cs="Arial"/>
          <w:sz w:val="20"/>
        </w:rPr>
      </w:pPr>
      <w:r w:rsidRPr="00E577BC">
        <w:rPr>
          <w:rFonts w:ascii="Myriad Pro" w:eastAsia="Calibri" w:hAnsi="Myriad Pro" w:cs="Arial"/>
          <w:sz w:val="20"/>
        </w:rPr>
        <w:t>kjer posamezne oznake pomenijo:</w:t>
      </w:r>
    </w:p>
    <w:p w14:paraId="239E0E12" w14:textId="77777777" w:rsidR="005E0E14" w:rsidRPr="00E577BC" w:rsidRDefault="005E0E14" w:rsidP="0054607D">
      <w:pPr>
        <w:spacing w:after="0" w:line="288" w:lineRule="auto"/>
        <w:rPr>
          <w:rFonts w:ascii="Myriad Pro" w:eastAsia="Calibri" w:hAnsi="Myriad Pro" w:cs="Arial"/>
          <w:sz w:val="20"/>
        </w:rPr>
      </w:pPr>
      <w:r w:rsidRPr="00E577BC">
        <w:rPr>
          <w:rFonts w:ascii="Myriad Pro" w:eastAsia="Calibri" w:hAnsi="Myriad Pro" w:cs="Arial"/>
          <w:i/>
          <w:sz w:val="20"/>
        </w:rPr>
        <w:t>NFA</w:t>
      </w:r>
      <w:r w:rsidRPr="00E577BC">
        <w:rPr>
          <w:rFonts w:ascii="Myriad Pro" w:eastAsia="Calibri" w:hAnsi="Myriad Pro" w:cs="Arial"/>
          <w:sz w:val="20"/>
        </w:rPr>
        <w:t xml:space="preserve"> – stanje mednarodnih naložb, </w:t>
      </w:r>
    </w:p>
    <w:p w14:paraId="018E871C" w14:textId="77777777" w:rsidR="005E0E14" w:rsidRPr="00E577BC" w:rsidRDefault="005E0E14" w:rsidP="0054607D">
      <w:pPr>
        <w:spacing w:after="0" w:line="288" w:lineRule="auto"/>
        <w:rPr>
          <w:rFonts w:ascii="Myriad Pro" w:eastAsia="Calibri" w:hAnsi="Myriad Pro" w:cs="Arial"/>
          <w:sz w:val="20"/>
        </w:rPr>
      </w:pPr>
      <w:r w:rsidRPr="00E577BC">
        <w:rPr>
          <w:rFonts w:ascii="Myriad Pro" w:eastAsia="Calibri" w:hAnsi="Myriad Pro" w:cs="Arial"/>
          <w:i/>
          <w:sz w:val="20"/>
        </w:rPr>
        <w:t xml:space="preserve">CA </w:t>
      </w:r>
      <w:r w:rsidRPr="00E577BC">
        <w:rPr>
          <w:rFonts w:ascii="Myriad Pro" w:eastAsia="Calibri" w:hAnsi="Myriad Pro" w:cs="Arial"/>
          <w:sz w:val="20"/>
        </w:rPr>
        <w:t>– saldo tekočega računa plačilne bilance,</w:t>
      </w:r>
    </w:p>
    <w:p w14:paraId="53E1E3FC" w14:textId="77777777" w:rsidR="005E0E14" w:rsidRPr="00E577BC" w:rsidRDefault="005E0E14" w:rsidP="0054607D">
      <w:pPr>
        <w:spacing w:after="0" w:line="288" w:lineRule="auto"/>
        <w:rPr>
          <w:rFonts w:ascii="Myriad Pro" w:eastAsia="Calibri" w:hAnsi="Myriad Pro" w:cs="Arial"/>
          <w:sz w:val="20"/>
          <w:lang w:val="it-IT"/>
        </w:rPr>
      </w:pPr>
      <w:r w:rsidRPr="00E577BC">
        <w:rPr>
          <w:rFonts w:ascii="Myriad Pro" w:eastAsia="Calibri" w:hAnsi="Myriad Pro" w:cs="Arial"/>
          <w:i/>
          <w:sz w:val="20"/>
          <w:lang w:val="it-IT"/>
        </w:rPr>
        <w:t>KA</w:t>
      </w:r>
      <w:r w:rsidRPr="00E577BC">
        <w:rPr>
          <w:rFonts w:ascii="Myriad Pro" w:eastAsia="Calibri" w:hAnsi="Myriad Pro" w:cs="Arial"/>
          <w:sz w:val="20"/>
          <w:lang w:val="it-IT"/>
        </w:rPr>
        <w:t xml:space="preserve"> – kapitalski račun plačilne bilance,</w:t>
      </w:r>
    </w:p>
    <w:p w14:paraId="1BF417D6" w14:textId="77777777" w:rsidR="005E0E14" w:rsidRPr="00E577BC" w:rsidRDefault="005E0E14" w:rsidP="0054607D">
      <w:pPr>
        <w:spacing w:after="0" w:line="288" w:lineRule="auto"/>
        <w:rPr>
          <w:rFonts w:ascii="Myriad Pro" w:eastAsia="Calibri" w:hAnsi="Myriad Pro" w:cs="Arial"/>
          <w:sz w:val="20"/>
          <w:lang w:val="it-IT"/>
        </w:rPr>
      </w:pPr>
      <w:r w:rsidRPr="00E577BC">
        <w:rPr>
          <w:rFonts w:ascii="Myriad Pro" w:eastAsia="Calibri" w:hAnsi="Myriad Pro" w:cs="Arial"/>
          <w:i/>
          <w:sz w:val="20"/>
          <w:lang w:val="it-IT"/>
        </w:rPr>
        <w:t>EO</w:t>
      </w:r>
      <w:r w:rsidRPr="00E577BC">
        <w:rPr>
          <w:rFonts w:ascii="Myriad Pro" w:eastAsia="Calibri" w:hAnsi="Myriad Pro" w:cs="Arial"/>
          <w:sz w:val="20"/>
          <w:lang w:val="it-IT"/>
        </w:rPr>
        <w:t xml:space="preserve"> – neto napake in izpustitve,</w:t>
      </w:r>
    </w:p>
    <w:p w14:paraId="7E433126" w14:textId="77777777" w:rsidR="005E0E14" w:rsidRPr="00E577BC" w:rsidRDefault="005E0E14" w:rsidP="0054607D">
      <w:pPr>
        <w:spacing w:after="0" w:line="288" w:lineRule="auto"/>
        <w:rPr>
          <w:rFonts w:ascii="Myriad Pro" w:eastAsia="Calibri" w:hAnsi="Myriad Pro" w:cs="Arial"/>
          <w:sz w:val="20"/>
          <w:lang w:val="it-IT"/>
        </w:rPr>
      </w:pPr>
      <w:r w:rsidRPr="00E577BC">
        <w:rPr>
          <w:rFonts w:ascii="Myriad Pro" w:eastAsia="Calibri" w:hAnsi="Myriad Pro" w:cs="Arial"/>
          <w:sz w:val="20"/>
          <w:lang w:val="it-IT"/>
        </w:rPr>
        <w:t>FA – finančni račun plačilne bilance,</w:t>
      </w:r>
    </w:p>
    <w:p w14:paraId="608670C0" w14:textId="2B650901" w:rsidR="00D26338" w:rsidRPr="0054607D" w:rsidRDefault="005E0E14" w:rsidP="0054607D">
      <w:pPr>
        <w:spacing w:after="0" w:line="288" w:lineRule="auto"/>
        <w:rPr>
          <w:rFonts w:ascii="Myriad Pro" w:eastAsia="Calibri" w:hAnsi="Myriad Pro" w:cs="Arial"/>
          <w:sz w:val="20"/>
          <w:lang w:val="it-IT"/>
        </w:rPr>
      </w:pPr>
      <w:r w:rsidRPr="00E577BC">
        <w:rPr>
          <w:rFonts w:ascii="Myriad Pro" w:eastAsia="Calibri" w:hAnsi="Myriad Pro" w:cs="Arial"/>
          <w:i/>
          <w:sz w:val="20"/>
          <w:lang w:val="it-IT"/>
        </w:rPr>
        <w:t>VA</w:t>
      </w:r>
      <w:r w:rsidRPr="00E577BC">
        <w:rPr>
          <w:rFonts w:ascii="Myriad Pro" w:eastAsia="Calibri" w:hAnsi="Myriad Pro" w:cs="Arial"/>
          <w:sz w:val="20"/>
          <w:lang w:val="it-IT"/>
        </w:rPr>
        <w:t xml:space="preserve"> – druge spremembe stanja (spremembe, ki niso odraz transakcij: razlika med spremembo stanja mednarodnih naložb med letom </w:t>
      </w:r>
      <w:r w:rsidRPr="00E577BC">
        <w:rPr>
          <w:rFonts w:ascii="Myriad Pro" w:eastAsia="Calibri" w:hAnsi="Myriad Pro" w:cs="Arial"/>
          <w:i/>
          <w:sz w:val="20"/>
          <w:lang w:val="it-IT"/>
        </w:rPr>
        <w:t>t</w:t>
      </w:r>
      <w:r w:rsidRPr="00E577BC">
        <w:rPr>
          <w:rFonts w:ascii="Myriad Pro" w:eastAsia="Calibri" w:hAnsi="Myriad Pro" w:cs="Arial"/>
          <w:sz w:val="20"/>
          <w:lang w:val="it-IT"/>
        </w:rPr>
        <w:t xml:space="preserve"> in </w:t>
      </w:r>
      <w:r w:rsidRPr="00E577BC">
        <w:rPr>
          <w:rFonts w:ascii="Myriad Pro" w:eastAsia="Calibri" w:hAnsi="Myriad Pro" w:cs="Arial"/>
          <w:i/>
          <w:sz w:val="20"/>
          <w:lang w:val="it-IT"/>
        </w:rPr>
        <w:t>t-1</w:t>
      </w:r>
      <w:r w:rsidRPr="00E577BC">
        <w:rPr>
          <w:rFonts w:ascii="Myriad Pro" w:eastAsia="Calibri" w:hAnsi="Myriad Pro" w:cs="Arial"/>
          <w:sz w:val="20"/>
          <w:lang w:val="it-IT"/>
        </w:rPr>
        <w:t xml:space="preserve"> ter pripadajočim finančnim tokom v letu </w:t>
      </w:r>
      <w:r w:rsidRPr="00E577BC">
        <w:rPr>
          <w:rFonts w:ascii="Myriad Pro" w:eastAsia="Calibri" w:hAnsi="Myriad Pro" w:cs="Arial"/>
          <w:i/>
          <w:sz w:val="20"/>
          <w:lang w:val="it-IT"/>
        </w:rPr>
        <w:t>t</w:t>
      </w:r>
      <w:r w:rsidRPr="00E577BC">
        <w:rPr>
          <w:rFonts w:ascii="Myriad Pro" w:eastAsia="Calibri" w:hAnsi="Myriad Pro" w:cs="Arial"/>
          <w:sz w:val="20"/>
          <w:lang w:val="it-IT"/>
        </w:rPr>
        <w:t xml:space="preserve">). </w:t>
      </w:r>
    </w:p>
    <w:p w14:paraId="40BE29AB" w14:textId="77777777" w:rsidR="00D26338" w:rsidRPr="00E577BC" w:rsidRDefault="00D26338" w:rsidP="00D26338">
      <w:pPr>
        <w:pStyle w:val="BesediloUMAR"/>
        <w:rPr>
          <w:lang w:val="it-IT"/>
        </w:rPr>
      </w:pPr>
    </w:p>
    <w:p w14:paraId="637D0146" w14:textId="77777777" w:rsidR="00921B87" w:rsidRPr="00921B87" w:rsidRDefault="00921B87" w:rsidP="0054607D">
      <w:pPr>
        <w:pStyle w:val="Heading1"/>
        <w:numPr>
          <w:ilvl w:val="0"/>
          <w:numId w:val="7"/>
        </w:numPr>
        <w:autoSpaceDE w:val="0"/>
        <w:autoSpaceDN w:val="0"/>
        <w:adjustRightInd w:val="0"/>
        <w:ind w:left="357" w:hanging="357"/>
        <w:contextualSpacing/>
        <w:rPr>
          <w:rFonts w:eastAsia="Calibri"/>
          <w:kern w:val="0"/>
          <w:szCs w:val="28"/>
        </w:rPr>
      </w:pPr>
      <w:r w:rsidRPr="00921B87">
        <w:rPr>
          <w:rFonts w:eastAsia="Calibri"/>
          <w:kern w:val="0"/>
          <w:szCs w:val="28"/>
        </w:rPr>
        <w:lastRenderedPageBreak/>
        <w:t>Razvoj mednarodnih naložb Slovenije od finančno-</w:t>
      </w:r>
      <w:r w:rsidRPr="000E1C81">
        <w:rPr>
          <w:rFonts w:eastAsia="Calibri"/>
          <w:kern w:val="0"/>
          <w:szCs w:val="28"/>
        </w:rPr>
        <w:t>gospodarske krize</w:t>
      </w:r>
      <w:r w:rsidRPr="00921B87">
        <w:rPr>
          <w:rFonts w:eastAsia="Calibri"/>
          <w:kern w:val="0"/>
          <w:szCs w:val="28"/>
        </w:rPr>
        <w:t xml:space="preserve"> do energetske krize</w:t>
      </w:r>
    </w:p>
    <w:p w14:paraId="4DA6C2CE" w14:textId="77777777" w:rsidR="00921B87" w:rsidRPr="00E577BC" w:rsidRDefault="00921B87" w:rsidP="00921B87">
      <w:pPr>
        <w:autoSpaceDE w:val="0"/>
        <w:autoSpaceDN w:val="0"/>
        <w:adjustRightInd w:val="0"/>
        <w:spacing w:after="0" w:line="288" w:lineRule="auto"/>
        <w:jc w:val="both"/>
        <w:rPr>
          <w:rFonts w:ascii="Myriad Pro" w:eastAsia="Calibri" w:hAnsi="Myriad Pro" w:cs="Arial"/>
          <w:sz w:val="20"/>
          <w:szCs w:val="20"/>
        </w:rPr>
      </w:pPr>
    </w:p>
    <w:p w14:paraId="167838BC" w14:textId="79B68632" w:rsidR="00921B87" w:rsidRPr="00D26338" w:rsidRDefault="00921B87" w:rsidP="00D26338">
      <w:pPr>
        <w:pStyle w:val="BesediloUMAR"/>
      </w:pPr>
      <w:r w:rsidRPr="00E577BC">
        <w:t>Stanje mednarodnih naložb Slovenije in njegove spremembe analiziramo v obdobju 2009</w:t>
      </w:r>
      <w:r w:rsidR="008264C6">
        <w:t>–</w:t>
      </w:r>
      <w:r w:rsidRPr="00E577BC">
        <w:t>2022, in sicer v posameznih podobdobjih: (i) prva leta finančne in gospodarske krize do vključno leta 2012</w:t>
      </w:r>
      <w:r w:rsidR="00D509F1">
        <w:t>,</w:t>
      </w:r>
      <w:r w:rsidRPr="00E577BC">
        <w:t xml:space="preserve"> (ii) obdobje 2013</w:t>
      </w:r>
      <w:r w:rsidR="00035989">
        <w:t>–</w:t>
      </w:r>
      <w:r w:rsidRPr="00E577BC">
        <w:t>2021, ki ga zaznamuje presežek na tekočem računu plačilne bilance Slovenije</w:t>
      </w:r>
      <w:r w:rsidR="00D509F1">
        <w:t>,</w:t>
      </w:r>
      <w:r w:rsidRPr="00E577BC">
        <w:t xml:space="preserve"> </w:t>
      </w:r>
      <w:r w:rsidR="00D509F1">
        <w:t>ter</w:t>
      </w:r>
      <w:r w:rsidRPr="00E577BC">
        <w:t xml:space="preserve"> (iii) leto 2022, ko se je saldo tekočega računa prevesil v primanjkljaj, druge spremembe vrednotenja pa so bile najvišje doslej.</w:t>
      </w:r>
    </w:p>
    <w:p w14:paraId="4434F152" w14:textId="4DF02DE3" w:rsidR="00D26338" w:rsidRDefault="00921B87" w:rsidP="00D26338">
      <w:pPr>
        <w:pStyle w:val="Caption"/>
        <w:jc w:val="left"/>
      </w:pPr>
      <w:r w:rsidRPr="00D26338">
        <w:t>Slika 2: Stanje mednarodnih naložb Slovenije</w:t>
      </w:r>
    </w:p>
    <w:p w14:paraId="23A30362" w14:textId="6A76F5A5" w:rsidR="00D26338" w:rsidRDefault="00AF0AAE" w:rsidP="00D26338">
      <w:pPr>
        <w:pStyle w:val="BesediloUMAR"/>
      </w:pPr>
      <w:r>
        <w:rPr>
          <w:noProof/>
        </w:rPr>
        <w:drawing>
          <wp:inline distT="0" distB="0" distL="0" distR="0" wp14:anchorId="3366DC27" wp14:editId="0476123F">
            <wp:extent cx="5770631" cy="2099546"/>
            <wp:effectExtent l="0" t="0" r="190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24310" cy="2119076"/>
                    </a:xfrm>
                    <a:prstGeom prst="rect">
                      <a:avLst/>
                    </a:prstGeom>
                    <a:noFill/>
                  </pic:spPr>
                </pic:pic>
              </a:graphicData>
            </a:graphic>
          </wp:inline>
        </w:drawing>
      </w:r>
    </w:p>
    <w:p w14:paraId="0FD5469A" w14:textId="3E1AC276" w:rsidR="00921B87" w:rsidRPr="00E577BC" w:rsidRDefault="00921B87" w:rsidP="00D26338">
      <w:pPr>
        <w:pStyle w:val="VirUMAR"/>
      </w:pPr>
      <w:r w:rsidRPr="00E577BC">
        <w:t>Vir: BS, preračuni UMAR.</w:t>
      </w:r>
    </w:p>
    <w:p w14:paraId="04022D55" w14:textId="77777777" w:rsidR="00921B87" w:rsidRPr="00E577BC" w:rsidRDefault="00921B87" w:rsidP="00D26338">
      <w:pPr>
        <w:pStyle w:val="BesediloUMAR"/>
      </w:pPr>
    </w:p>
    <w:p w14:paraId="6291CFDF" w14:textId="75548800" w:rsidR="00921B87" w:rsidRPr="00E577BC" w:rsidRDefault="00921B87" w:rsidP="00D26338">
      <w:pPr>
        <w:pStyle w:val="BesediloUMAR"/>
        <w:rPr>
          <w:rFonts w:eastAsia="Calibri" w:cs="Arial"/>
          <w:szCs w:val="20"/>
        </w:rPr>
      </w:pPr>
      <w:r w:rsidRPr="00E577BC">
        <w:rPr>
          <w:rFonts w:eastAsia="Calibri" w:cs="Arial"/>
          <w:szCs w:val="20"/>
        </w:rPr>
        <w:t>Finančna odprtost Slovenije, merjena z vsoto terjatev in obveznosti v BDP, je konec leta 2022 dosegla 2</w:t>
      </w:r>
      <w:r w:rsidR="00B45645">
        <w:rPr>
          <w:rFonts w:eastAsia="Calibri" w:cs="Arial"/>
          <w:szCs w:val="20"/>
        </w:rPr>
        <w:t>56,8</w:t>
      </w:r>
      <w:r w:rsidRPr="00E577BC">
        <w:rPr>
          <w:rFonts w:eastAsia="Calibri" w:cs="Arial"/>
          <w:szCs w:val="20"/>
        </w:rPr>
        <w:t xml:space="preserve"> % BDP, stanje mednarodnih naložb pa izkazovalo primanjkljaj v vrednosti </w:t>
      </w:r>
      <w:r w:rsidR="00B45645">
        <w:rPr>
          <w:rFonts w:eastAsia="Calibri" w:cs="Arial"/>
          <w:szCs w:val="20"/>
        </w:rPr>
        <w:t>8</w:t>
      </w:r>
      <w:r w:rsidR="00E73C01">
        <w:rPr>
          <w:rFonts w:eastAsia="Calibri" w:cs="Arial"/>
          <w:szCs w:val="20"/>
        </w:rPr>
        <w:t>69,7</w:t>
      </w:r>
      <w:r w:rsidRPr="00E577BC">
        <w:rPr>
          <w:rFonts w:eastAsia="Calibri" w:cs="Arial"/>
          <w:szCs w:val="20"/>
        </w:rPr>
        <w:t xml:space="preserve"> mio EUR ali </w:t>
      </w:r>
      <w:r w:rsidR="00B45645">
        <w:rPr>
          <w:rFonts w:eastAsia="Calibri" w:cs="Arial"/>
          <w:szCs w:val="20"/>
        </w:rPr>
        <w:t>1,5</w:t>
      </w:r>
      <w:r w:rsidRPr="00E577BC">
        <w:rPr>
          <w:rFonts w:eastAsia="Calibri" w:cs="Arial"/>
          <w:szCs w:val="20"/>
        </w:rPr>
        <w:t xml:space="preserve"> % BDP. </w:t>
      </w:r>
    </w:p>
    <w:p w14:paraId="0EE08E7B" w14:textId="77777777" w:rsidR="00921B87" w:rsidRPr="00E577BC" w:rsidRDefault="00921B87" w:rsidP="00D26338">
      <w:pPr>
        <w:pStyle w:val="BesediloUMAR"/>
        <w:rPr>
          <w:rFonts w:eastAsia="Calibri" w:cs="Arial"/>
          <w:szCs w:val="20"/>
        </w:rPr>
      </w:pPr>
    </w:p>
    <w:p w14:paraId="57C6D0CF" w14:textId="32242C87" w:rsidR="00921B87" w:rsidRPr="00E577BC" w:rsidRDefault="00921B87" w:rsidP="00D26338">
      <w:pPr>
        <w:pStyle w:val="BesediloUMAR"/>
        <w:rPr>
          <w:rFonts w:eastAsia="Calibri" w:cs="Arial"/>
          <w:szCs w:val="20"/>
        </w:rPr>
      </w:pPr>
      <w:r w:rsidRPr="00E577BC">
        <w:rPr>
          <w:rFonts w:eastAsia="Calibri" w:cs="Arial"/>
          <w:szCs w:val="20"/>
        </w:rPr>
        <w:t>V obdobju relativno stabilnega stanja mednarodnih naložb (2009</w:t>
      </w:r>
      <w:r w:rsidR="00F143B0" w:rsidRPr="00F143B0">
        <w:rPr>
          <w:rFonts w:eastAsia="Calibri" w:cs="Arial"/>
        </w:rPr>
        <w:t>–</w:t>
      </w:r>
      <w:r w:rsidRPr="00E577BC">
        <w:rPr>
          <w:rFonts w:eastAsia="Calibri" w:cs="Arial"/>
          <w:szCs w:val="20"/>
        </w:rPr>
        <w:t xml:space="preserve">2012) se je zasebni sektor začel razdolževati, povečala se je neto zadolženost države, neto dolžniška pozicija mednarodnih naložb BS se je nekoliko poslabšala. Neto odliv zasebnega sektorja je bil nadomeščen s financiranjem prek ECB in z zadolževanjem države. Terjatve države do tujine so se povečale predvsem na segmentu posojil, saj je Slovenija z dolgoročnim posojilom </w:t>
      </w:r>
      <w:r w:rsidR="00BF760F">
        <w:rPr>
          <w:rFonts w:eastAsia="Calibri" w:cs="Arial"/>
          <w:szCs w:val="20"/>
        </w:rPr>
        <w:t xml:space="preserve">sodelovala pri </w:t>
      </w:r>
      <w:r w:rsidRPr="00E577BC">
        <w:rPr>
          <w:rFonts w:eastAsia="Calibri" w:cs="Arial"/>
          <w:szCs w:val="20"/>
        </w:rPr>
        <w:t>financira</w:t>
      </w:r>
      <w:r w:rsidR="00BF760F">
        <w:rPr>
          <w:rFonts w:eastAsia="Calibri" w:cs="Arial"/>
          <w:szCs w:val="20"/>
        </w:rPr>
        <w:t>nju</w:t>
      </w:r>
      <w:r w:rsidRPr="00E577BC">
        <w:rPr>
          <w:rFonts w:eastAsia="Calibri" w:cs="Arial"/>
          <w:szCs w:val="20"/>
        </w:rPr>
        <w:t xml:space="preserve"> v okviru pomoči evrskemu območju (Grčija, Portugalska, Irska). Država se je večinoma neto zadolževala do tujih portfeljskih vlagateljev z namenom blažitve posledic finančno-gospodarske krize in pomagala pri financiranju ostalih sektorjev.</w:t>
      </w:r>
      <w:r w:rsidR="000B2AF0">
        <w:rPr>
          <w:rFonts w:eastAsia="Calibri" w:cs="Arial"/>
          <w:szCs w:val="20"/>
        </w:rPr>
        <w:t xml:space="preserve"> </w:t>
      </w:r>
      <w:r w:rsidRPr="00E577BC">
        <w:rPr>
          <w:rFonts w:eastAsia="Calibri" w:cs="Arial"/>
          <w:szCs w:val="20"/>
        </w:rPr>
        <w:t>Zaradi omejenega dostopa do tujih virov financiranja na mednarodnih finančnih trgih in krize v realnem sektorju je ob poglabljanju dolžniške krize BS domačim poslovnim bankam z operacijami enoletnega in dolgoročnega refinanciranja zagotavljala dodatno likvidnost in s tem precej povečala obveznosti v okviru Evrosistema. Domače poslovne banke so s pridobljenimi sredstvi od države in centralne banke začele odplačevati pred krizo najeta tuja posojila.</w:t>
      </w:r>
      <w:r w:rsidRPr="00E577BC">
        <w:rPr>
          <w:rFonts w:ascii="Calibri" w:eastAsia="Calibri" w:hAnsi="Calibri" w:cs="Times New Roman"/>
        </w:rPr>
        <w:t xml:space="preserve"> </w:t>
      </w:r>
      <w:r w:rsidRPr="00E577BC">
        <w:rPr>
          <w:rFonts w:eastAsia="Calibri" w:cs="Arial"/>
          <w:szCs w:val="20"/>
        </w:rPr>
        <w:t xml:space="preserve">Od poglobitve finančne krize (septembra 2008) do konca leta 2012 so banke tujini odplačale za okoli 8,6 mrd EUR obveznosti. </w:t>
      </w:r>
    </w:p>
    <w:p w14:paraId="01458406" w14:textId="77777777" w:rsidR="00921B87" w:rsidRPr="00E577BC" w:rsidRDefault="00921B87" w:rsidP="00D26338">
      <w:pPr>
        <w:pStyle w:val="BesediloUMAR"/>
        <w:rPr>
          <w:rFonts w:eastAsia="Calibri" w:cs="Arial"/>
          <w:szCs w:val="20"/>
        </w:rPr>
      </w:pPr>
    </w:p>
    <w:p w14:paraId="62E68017" w14:textId="022469C3" w:rsidR="00921B87" w:rsidRPr="00E577BC" w:rsidRDefault="00921B87" w:rsidP="00D26338">
      <w:pPr>
        <w:pStyle w:val="BesediloUMAR"/>
        <w:rPr>
          <w:rFonts w:eastAsia="Calibri" w:cs="Arial"/>
          <w:szCs w:val="20"/>
        </w:rPr>
      </w:pPr>
      <w:r w:rsidRPr="00E577BC">
        <w:rPr>
          <w:rFonts w:eastAsia="Calibri" w:cs="Arial"/>
          <w:szCs w:val="20"/>
        </w:rPr>
        <w:t>V obdobju 2013</w:t>
      </w:r>
      <w:r w:rsidR="00F143B0" w:rsidRPr="00F143B0">
        <w:rPr>
          <w:rFonts w:eastAsia="Calibri" w:cs="Arial"/>
        </w:rPr>
        <w:t>–</w:t>
      </w:r>
      <w:r w:rsidRPr="00E577BC">
        <w:rPr>
          <w:rFonts w:eastAsia="Calibri" w:cs="Arial"/>
          <w:szCs w:val="20"/>
        </w:rPr>
        <w:t xml:space="preserve">2021 se je mednarodna investicijska pozicija Slovenije postopoma izboljšala, presežek agregatnega varčevanja nad investicijami se je odražal v </w:t>
      </w:r>
      <w:r w:rsidR="000B2AF0">
        <w:rPr>
          <w:rFonts w:eastAsia="Calibri" w:cs="Arial"/>
          <w:szCs w:val="20"/>
        </w:rPr>
        <w:t xml:space="preserve">neto </w:t>
      </w:r>
      <w:r w:rsidRPr="00E577BC">
        <w:rPr>
          <w:rFonts w:eastAsia="Calibri" w:cs="Arial"/>
          <w:szCs w:val="20"/>
        </w:rPr>
        <w:t xml:space="preserve">povečanju terjatev do tujine. </w:t>
      </w:r>
    </w:p>
    <w:p w14:paraId="3FCCEF1D" w14:textId="77777777" w:rsidR="00921B87" w:rsidRPr="00E577BC" w:rsidRDefault="00921B87" w:rsidP="00D26338">
      <w:pPr>
        <w:pStyle w:val="BesediloUMAR"/>
        <w:rPr>
          <w:rFonts w:eastAsia="Calibri" w:cs="Arial"/>
          <w:szCs w:val="20"/>
        </w:rPr>
      </w:pPr>
    </w:p>
    <w:p w14:paraId="33FDFB09" w14:textId="61006F50" w:rsidR="00921B87" w:rsidRPr="00E577BC" w:rsidRDefault="00F641C0" w:rsidP="00D26338">
      <w:pPr>
        <w:pStyle w:val="BesediloUMAR"/>
        <w:rPr>
          <w:rFonts w:eastAsia="Calibri" w:cs="Arial"/>
          <w:szCs w:val="20"/>
        </w:rPr>
      </w:pPr>
      <w:r>
        <w:rPr>
          <w:rFonts w:eastAsia="Calibri" w:cs="Times New Roman"/>
        </w:rPr>
        <w:t>Celotn</w:t>
      </w:r>
      <w:r w:rsidR="00F847E0">
        <w:rPr>
          <w:rFonts w:eastAsia="Calibri" w:cs="Times New Roman"/>
        </w:rPr>
        <w:t>e neto terjatve</w:t>
      </w:r>
      <w:r>
        <w:rPr>
          <w:rFonts w:eastAsia="Calibri" w:cs="Times New Roman"/>
        </w:rPr>
        <w:t xml:space="preserve"> </w:t>
      </w:r>
      <w:r w:rsidR="00921B87" w:rsidRPr="00E577BC">
        <w:rPr>
          <w:rFonts w:eastAsia="Calibri" w:cs="Calibri"/>
          <w:i/>
          <w:iCs/>
        </w:rPr>
        <w:t>zasebnega sektorja</w:t>
      </w:r>
      <w:r w:rsidR="00921B87" w:rsidRPr="00E577BC">
        <w:rPr>
          <w:rFonts w:eastAsia="Calibri" w:cs="Calibri"/>
        </w:rPr>
        <w:t xml:space="preserve"> s</w:t>
      </w:r>
      <w:r w:rsidR="00D0563B">
        <w:rPr>
          <w:rFonts w:eastAsia="Calibri" w:cs="Calibri"/>
        </w:rPr>
        <w:t>o se</w:t>
      </w:r>
      <w:r w:rsidR="00921B87" w:rsidRPr="00E577BC">
        <w:rPr>
          <w:rFonts w:eastAsia="Calibri" w:cs="Calibri"/>
        </w:rPr>
        <w:t xml:space="preserve"> v obdobju nenehnih presežkov tekočega računa plačilne bilance in s tem povezanih neto kapitalskih odlivov </w:t>
      </w:r>
      <w:r w:rsidR="00F847E0">
        <w:rPr>
          <w:rFonts w:eastAsia="Calibri" w:cs="Calibri"/>
        </w:rPr>
        <w:t>povečale</w:t>
      </w:r>
      <w:r w:rsidR="00921B87" w:rsidRPr="00E577BC">
        <w:rPr>
          <w:rFonts w:eastAsia="Calibri" w:cs="Calibri"/>
        </w:rPr>
        <w:t xml:space="preserve"> za 15,</w:t>
      </w:r>
      <w:r w:rsidR="005F65D7">
        <w:rPr>
          <w:rFonts w:eastAsia="Calibri" w:cs="Calibri"/>
        </w:rPr>
        <w:t>3</w:t>
      </w:r>
      <w:r w:rsidR="00921B87" w:rsidRPr="00E577BC">
        <w:rPr>
          <w:rFonts w:eastAsia="Calibri" w:cs="Calibri"/>
        </w:rPr>
        <w:t xml:space="preserve"> mrd EUR. Slednje je bilo večinoma posledica višjih terjatev za 21,</w:t>
      </w:r>
      <w:r w:rsidR="005F65D7">
        <w:rPr>
          <w:rFonts w:eastAsia="Calibri" w:cs="Calibri"/>
        </w:rPr>
        <w:t>1</w:t>
      </w:r>
      <w:r w:rsidR="00921B87" w:rsidRPr="00E577BC">
        <w:rPr>
          <w:rFonts w:eastAsia="Calibri" w:cs="Calibri"/>
        </w:rPr>
        <w:t xml:space="preserve"> mrd EUR, medtem ko so bile celotne obveznosti do tujine višje za 5,</w:t>
      </w:r>
      <w:r w:rsidR="005F65D7">
        <w:rPr>
          <w:rFonts w:eastAsia="Calibri" w:cs="Calibri"/>
        </w:rPr>
        <w:t>8</w:t>
      </w:r>
      <w:r w:rsidR="00921B87" w:rsidRPr="00E577BC">
        <w:rPr>
          <w:rFonts w:eastAsia="Calibri" w:cs="Calibri"/>
        </w:rPr>
        <w:t xml:space="preserve"> mrd EUR. </w:t>
      </w:r>
      <w:r w:rsidR="00921B87" w:rsidRPr="00E577BC">
        <w:rPr>
          <w:rFonts w:eastAsia="Calibri" w:cs="Arial"/>
          <w:szCs w:val="20"/>
        </w:rPr>
        <w:t xml:space="preserve">Večino finančnih transakcij zasebnega sektorja so zaznamovali neto odlivi kapitala domačih bank. Neto </w:t>
      </w:r>
      <w:r w:rsidR="00921B87" w:rsidRPr="00C70C09">
        <w:rPr>
          <w:rFonts w:eastAsia="Calibri" w:cs="Arial"/>
          <w:szCs w:val="20"/>
        </w:rPr>
        <w:t>odlivne</w:t>
      </w:r>
      <w:r w:rsidR="00921B87" w:rsidRPr="00E577BC">
        <w:rPr>
          <w:rFonts w:eastAsia="Calibri" w:cs="Arial"/>
          <w:szCs w:val="20"/>
        </w:rPr>
        <w:t xml:space="preserve"> so bile tudi finančne transakcije ostalih finančnih družb, zavarovalnih družb in pokojninskih skladov ter v manjšem obsegu </w:t>
      </w:r>
      <w:r w:rsidR="00921B87" w:rsidRPr="00E577BC">
        <w:rPr>
          <w:rFonts w:eastAsia="Calibri" w:cs="Arial"/>
          <w:szCs w:val="20"/>
        </w:rPr>
        <w:lastRenderedPageBreak/>
        <w:t xml:space="preserve">gospodinjstev. Tokovi tujih neposrednih naložb v Slovenijo pa so presegali tokove neposrednih naložb Slovenije v tujino. </w:t>
      </w:r>
      <w:r w:rsidR="00921B87" w:rsidRPr="00E577BC">
        <w:rPr>
          <w:rFonts w:eastAsia="Calibri" w:cs="Times New Roman"/>
          <w:szCs w:val="20"/>
        </w:rPr>
        <w:t xml:space="preserve">Tudi </w:t>
      </w:r>
      <w:r w:rsidR="00F847E0">
        <w:rPr>
          <w:rFonts w:eastAsia="Calibri" w:cs="Times New Roman"/>
          <w:szCs w:val="20"/>
        </w:rPr>
        <w:t xml:space="preserve">celotne neto terjatve </w:t>
      </w:r>
      <w:r w:rsidR="00921B87" w:rsidRPr="00E577BC">
        <w:rPr>
          <w:rFonts w:eastAsia="Calibri" w:cs="Times New Roman"/>
          <w:i/>
          <w:iCs/>
          <w:szCs w:val="20"/>
        </w:rPr>
        <w:t>BS</w:t>
      </w:r>
      <w:r w:rsidR="00921B87" w:rsidRPr="00E577BC">
        <w:rPr>
          <w:rFonts w:eastAsia="Calibri" w:cs="Times New Roman"/>
          <w:szCs w:val="20"/>
        </w:rPr>
        <w:t xml:space="preserve"> </w:t>
      </w:r>
      <w:r w:rsidR="00F847E0">
        <w:rPr>
          <w:rFonts w:eastAsia="Calibri" w:cs="Times New Roman"/>
          <w:szCs w:val="20"/>
        </w:rPr>
        <w:t>so se povečale</w:t>
      </w:r>
      <w:r w:rsidR="00921B87" w:rsidRPr="00E577BC">
        <w:rPr>
          <w:rFonts w:eastAsia="Calibri" w:cs="Times New Roman"/>
          <w:szCs w:val="20"/>
        </w:rPr>
        <w:t>, in sicer za 6,</w:t>
      </w:r>
      <w:r w:rsidR="005F65D7">
        <w:rPr>
          <w:rFonts w:eastAsia="Calibri" w:cs="Times New Roman"/>
          <w:szCs w:val="20"/>
        </w:rPr>
        <w:t>3</w:t>
      </w:r>
      <w:r w:rsidR="00921B87" w:rsidRPr="00E577BC">
        <w:rPr>
          <w:rFonts w:eastAsia="Calibri" w:cs="Times New Roman"/>
          <w:szCs w:val="20"/>
        </w:rPr>
        <w:t xml:space="preserve"> mrd EUR. Najbolj so se okrepili neto odlivi gotovine in vlog. Najprej so se obveznosti BS v okviru Evrosistema zmanjšale (TARGET2)</w:t>
      </w:r>
      <w:r w:rsidR="00C46AC4">
        <w:rPr>
          <w:rFonts w:eastAsia="Calibri" w:cs="Times New Roman"/>
          <w:szCs w:val="20"/>
        </w:rPr>
        <w:t>,</w:t>
      </w:r>
      <w:r w:rsidR="00921B87" w:rsidRPr="00E577BC">
        <w:rPr>
          <w:rFonts w:eastAsia="Calibri" w:cs="Times New Roman"/>
          <w:szCs w:val="20"/>
        </w:rPr>
        <w:t xml:space="preserve"> in sicer zaradi višjih depozitov države</w:t>
      </w:r>
      <w:r w:rsidR="00C46AC4">
        <w:rPr>
          <w:rFonts w:eastAsia="Calibri" w:cs="Times New Roman"/>
          <w:szCs w:val="20"/>
        </w:rPr>
        <w:t>,</w:t>
      </w:r>
      <w:r w:rsidR="00921B87" w:rsidRPr="00E577BC">
        <w:rPr>
          <w:rFonts w:eastAsia="Calibri" w:cs="Times New Roman"/>
          <w:szCs w:val="20"/>
        </w:rPr>
        <w:t xml:space="preserve"> položaj je v 2014 prešel celo v terjatve. Obratno je bilo v letu 2015, ko je država zaradi ugodnejših pogojev povečala depozite v tujih bankah, saj so </w:t>
      </w:r>
      <w:r w:rsidR="00921B87" w:rsidRPr="00E577BC">
        <w:rPr>
          <w:rFonts w:eastAsia="Calibri" w:cs="Calibri"/>
        </w:rPr>
        <w:t>bile vloge obrestovane višje kot v domačem bančnem sistemu.</w:t>
      </w:r>
      <w:r w:rsidR="00921B87" w:rsidRPr="00E577BC">
        <w:rPr>
          <w:rFonts w:eastAsia="Calibri" w:cs="Times New Roman"/>
          <w:szCs w:val="20"/>
        </w:rPr>
        <w:t xml:space="preserve"> Posledično so se obveznosti BS do tujine povečale. </w:t>
      </w:r>
      <w:r w:rsidR="00921B87" w:rsidRPr="00E577BC">
        <w:rPr>
          <w:rFonts w:eastAsia="Calibri" w:cs="Calibri"/>
        </w:rPr>
        <w:t xml:space="preserve">BS je precej povečala gotovino in vloge na računih v tujini, saj so se v okviru terjatev znotraj Evrosistema večinoma povečale terjatve prek plačilnega sistema TARGET kot neto rezultat vseh čezmejnih nakazil. Poleg tega je BS povečala tudi obveznosti v okviru Evrosistema, na kar je vplivalo </w:t>
      </w:r>
      <w:r w:rsidR="00921B87" w:rsidRPr="008237DF">
        <w:rPr>
          <w:rFonts w:eastAsia="Calibri" w:cs="Calibri"/>
        </w:rPr>
        <w:t>predvsem večje povpraševanje gospodinjstev po gotovini.</w:t>
      </w:r>
      <w:r w:rsidR="00921B87" w:rsidRPr="00E577BC">
        <w:rPr>
          <w:rFonts w:eastAsia="Calibri" w:cs="Calibri"/>
        </w:rPr>
        <w:t xml:space="preserve"> </w:t>
      </w:r>
      <w:r w:rsidR="00921B87" w:rsidRPr="00E577BC">
        <w:rPr>
          <w:rFonts w:eastAsia="Calibri" w:cs="Arial"/>
          <w:szCs w:val="20"/>
        </w:rPr>
        <w:t>BS je povečala tudi finančne investicije v vrednostne papirje tujih sektorjev, predvsem v obdobju 2015</w:t>
      </w:r>
      <w:r w:rsidR="007F0F20" w:rsidRPr="007F0F20">
        <w:rPr>
          <w:rFonts w:eastAsia="Calibri" w:cs="Arial"/>
          <w:szCs w:val="20"/>
        </w:rPr>
        <w:t>–</w:t>
      </w:r>
      <w:r w:rsidR="00921B87" w:rsidRPr="00E577BC">
        <w:rPr>
          <w:rFonts w:eastAsia="Calibri" w:cs="Arial"/>
          <w:szCs w:val="20"/>
        </w:rPr>
        <w:t>2019, kar je bilo posledica razmer na finančnih trgih, tj. nizkih oz. negativnih obrestnih mer na denarnem trgu in s tem povezanih investicijskih odločitev BS. Poleg tega je BS kupovala vrednostne papirje v okviru izvajanja programa APP (v delu, ko je kot substitut kupovala naddržavne obveznice</w:t>
      </w:r>
      <w:r w:rsidR="00C46AC4">
        <w:rPr>
          <w:rFonts w:eastAsia="Calibri" w:cs="Arial"/>
          <w:szCs w:val="20"/>
        </w:rPr>
        <w:t>,</w:t>
      </w:r>
      <w:r w:rsidR="00921B87" w:rsidRPr="00E577BC">
        <w:rPr>
          <w:rFonts w:eastAsia="Calibri" w:cs="Arial"/>
          <w:szCs w:val="20"/>
        </w:rPr>
        <w:t xml:space="preserve"> izdane s strani evropskih institucij), ki so potekali usklajeno na ravni Evrosistema in so se v celoti financirali s centralno bančnim denarjem. </w:t>
      </w:r>
    </w:p>
    <w:p w14:paraId="31945765" w14:textId="77777777" w:rsidR="00921B87" w:rsidRPr="00E577BC" w:rsidRDefault="00921B87" w:rsidP="00D26338">
      <w:pPr>
        <w:pStyle w:val="BesediloUMAR"/>
        <w:rPr>
          <w:rFonts w:eastAsia="Calibri" w:cs="Times New Roman"/>
        </w:rPr>
      </w:pPr>
    </w:p>
    <w:p w14:paraId="22E99057" w14:textId="68BB3058" w:rsidR="00921B87" w:rsidRPr="00E577BC" w:rsidRDefault="00921B87" w:rsidP="00D26338">
      <w:pPr>
        <w:pStyle w:val="BesediloUMAR"/>
        <w:rPr>
          <w:rFonts w:eastAsia="Calibri" w:cs="Arial"/>
          <w:szCs w:val="20"/>
        </w:rPr>
      </w:pPr>
      <w:r w:rsidRPr="00E577BC">
        <w:rPr>
          <w:rFonts w:eastAsia="Calibri" w:cs="Times New Roman"/>
          <w:szCs w:val="20"/>
        </w:rPr>
        <w:t xml:space="preserve">Celotna neto zadolženost </w:t>
      </w:r>
      <w:r w:rsidRPr="00E577BC">
        <w:rPr>
          <w:rFonts w:eastAsia="Calibri" w:cs="Times New Roman"/>
          <w:i/>
          <w:iCs/>
          <w:szCs w:val="20"/>
        </w:rPr>
        <w:t>države</w:t>
      </w:r>
      <w:r w:rsidRPr="00E577BC">
        <w:rPr>
          <w:rFonts w:eastAsia="Calibri" w:cs="Times New Roman"/>
          <w:szCs w:val="20"/>
        </w:rPr>
        <w:t xml:space="preserve"> pa se je povečala za 9,</w:t>
      </w:r>
      <w:r w:rsidR="0060740A">
        <w:rPr>
          <w:rFonts w:eastAsia="Calibri" w:cs="Times New Roman"/>
          <w:szCs w:val="20"/>
        </w:rPr>
        <w:t>7</w:t>
      </w:r>
      <w:r w:rsidRPr="00E577BC">
        <w:rPr>
          <w:rFonts w:eastAsia="Calibri" w:cs="Times New Roman"/>
          <w:szCs w:val="20"/>
        </w:rPr>
        <w:t xml:space="preserve"> mrd EUR.  </w:t>
      </w:r>
      <w:r w:rsidRPr="00E577BC">
        <w:rPr>
          <w:rFonts w:eastAsia="Calibri" w:cs="Arial"/>
          <w:szCs w:val="20"/>
        </w:rPr>
        <w:t>Večino terjatev do tujine so predstavljale gotovina in vloge na računih v tujini, kamor je država, skladno s strategijo upravljanja</w:t>
      </w:r>
      <w:r w:rsidR="00F44AF7">
        <w:rPr>
          <w:rFonts w:eastAsia="Calibri" w:cs="Arial"/>
          <w:szCs w:val="20"/>
        </w:rPr>
        <w:t>,</w:t>
      </w:r>
      <w:r w:rsidRPr="00E577BC">
        <w:rPr>
          <w:rFonts w:eastAsia="Calibri" w:cs="Arial"/>
          <w:szCs w:val="20"/>
        </w:rPr>
        <w:t xml:space="preserve"> plasirala svoje likvidnostne presežke. Obveznosti državnega sektorja do tujine so se povečale precej več kot terjatve. K temu je prispevalo pospešeno zadolževanje od začetka finančne krize do konca leta 2014. Poleg tega se je država v letu 2020 občutno zadolžila</w:t>
      </w:r>
      <w:r w:rsidRPr="00E577BC">
        <w:rPr>
          <w:rFonts w:ascii="Arial" w:eastAsia="Calibri" w:hAnsi="Arial" w:cs="Times New Roman"/>
          <w:sz w:val="19"/>
        </w:rPr>
        <w:t xml:space="preserve"> </w:t>
      </w:r>
      <w:r w:rsidRPr="00E577BC">
        <w:rPr>
          <w:rFonts w:eastAsia="Calibri" w:cs="Arial"/>
          <w:szCs w:val="20"/>
        </w:rPr>
        <w:t xml:space="preserve">do tujih portfeljskih vlagateljev, zaradi ukrepov za blažitev posledic pandemije, z namenom financiranja javnofinančnih primanjkljajev </w:t>
      </w:r>
      <w:r w:rsidRPr="00E577BC">
        <w:rPr>
          <w:rFonts w:eastAsia="Calibri" w:cs="Arial"/>
          <w:color w:val="333333"/>
          <w:szCs w:val="20"/>
        </w:rPr>
        <w:t xml:space="preserve">ter odplačila glavnic državnega dolga še tudi v letu 2021. </w:t>
      </w:r>
      <w:r w:rsidRPr="00E577BC">
        <w:rPr>
          <w:rFonts w:eastAsia="Calibri" w:cs="Arial"/>
          <w:szCs w:val="20"/>
        </w:rPr>
        <w:t>G</w:t>
      </w:r>
      <w:r w:rsidRPr="00E577BC">
        <w:rPr>
          <w:rFonts w:eastAsia="Calibri" w:cs="Arial"/>
          <w:color w:val="333333"/>
        </w:rPr>
        <w:t>lede na volatilne razmere na mednarodnih finančih trgih je povečala tudi obveznosti na segmentu finančnih derivativov.</w:t>
      </w:r>
      <w:r w:rsidRPr="00E577BC">
        <w:rPr>
          <w:rFonts w:eastAsia="Calibri" w:cs="Arial"/>
          <w:color w:val="333333"/>
          <w:szCs w:val="20"/>
        </w:rPr>
        <w:t xml:space="preserve"> </w:t>
      </w:r>
    </w:p>
    <w:p w14:paraId="75531A7E" w14:textId="77777777" w:rsidR="00921B87" w:rsidRPr="00E577BC" w:rsidRDefault="00921B87" w:rsidP="00D26338">
      <w:pPr>
        <w:pStyle w:val="BesediloUMAR"/>
        <w:rPr>
          <w:rFonts w:eastAsia="Calibri" w:cs="Arial"/>
          <w:szCs w:val="20"/>
        </w:rPr>
      </w:pPr>
    </w:p>
    <w:p w14:paraId="102C3928" w14:textId="139976A1" w:rsidR="00921B87" w:rsidRPr="00E577BC" w:rsidRDefault="00921B87" w:rsidP="00D26338">
      <w:pPr>
        <w:pStyle w:val="BesediloUMAR"/>
        <w:rPr>
          <w:rFonts w:eastAsia="Calibri" w:cs="Arial"/>
          <w:szCs w:val="20"/>
        </w:rPr>
      </w:pPr>
      <w:r w:rsidRPr="00E577BC">
        <w:rPr>
          <w:rFonts w:eastAsia="Calibri" w:cs="Arial"/>
          <w:b/>
          <w:bCs/>
          <w:szCs w:val="20"/>
        </w:rPr>
        <w:t>Mednarodna investicijska pozicija je v letu 2022 imela le še rahel primanjkljaj (</w:t>
      </w:r>
      <w:r w:rsidR="00F44AF7">
        <w:rPr>
          <w:rFonts w:eastAsia="Calibri" w:cs="Arial"/>
          <w:b/>
          <w:bCs/>
          <w:szCs w:val="20"/>
        </w:rPr>
        <w:t>–</w:t>
      </w:r>
      <w:r w:rsidR="0060740A">
        <w:rPr>
          <w:rFonts w:eastAsia="Calibri" w:cs="Arial"/>
          <w:b/>
          <w:bCs/>
          <w:szCs w:val="20"/>
        </w:rPr>
        <w:t>1,5</w:t>
      </w:r>
      <w:r w:rsidRPr="00E577BC">
        <w:rPr>
          <w:rFonts w:eastAsia="Calibri" w:cs="Arial"/>
          <w:b/>
          <w:bCs/>
          <w:szCs w:val="20"/>
        </w:rPr>
        <w:t xml:space="preserve"> % BDP). </w:t>
      </w:r>
      <w:r w:rsidRPr="00E577BC">
        <w:rPr>
          <w:rFonts w:eastAsia="Calibri" w:cs="Arial"/>
          <w:szCs w:val="20"/>
        </w:rPr>
        <w:t xml:space="preserve">V primerjavi z letom 2021 so bili neto odlivi finančnih sredstev državnega sektorja višji kot neto prilivi sredstev BS in neto prilivi zasebnega sektorja. Državni sektor je v letu 2022 precej znižal neto obveznosti do tujine, saj je država odplačala del dolga do tujih portfeljskih vlagateljev in znižala obveznosti na segmentu finančnih derivativov. BS je povečala obveznosti v okviru Evrosistema. Poleg tega je BS povečala tudi finančno premoženje v obliki gotovine in vlog na računih v tujini. Po več letih rasti je zasebni sektor v letu 2022 znižal finančne naložbe v tuje vrednostne papirje. Hkrati so nefinančne družbe povečale neto </w:t>
      </w:r>
      <w:r w:rsidR="00385DBF">
        <w:rPr>
          <w:rFonts w:eastAsia="Calibri" w:cs="Arial"/>
          <w:szCs w:val="20"/>
        </w:rPr>
        <w:t>obveznosti</w:t>
      </w:r>
      <w:r w:rsidRPr="00E577BC">
        <w:rPr>
          <w:rFonts w:eastAsia="Calibri" w:cs="Arial"/>
          <w:szCs w:val="20"/>
        </w:rPr>
        <w:t xml:space="preserve"> kratkoročnih komercialnih kreditov, kar je bilo povezano z rastjo blagovn</w:t>
      </w:r>
      <w:r w:rsidR="006310DD">
        <w:rPr>
          <w:rFonts w:eastAsia="Calibri" w:cs="Arial"/>
          <w:szCs w:val="20"/>
        </w:rPr>
        <w:t>e</w:t>
      </w:r>
      <w:r w:rsidRPr="00E577BC">
        <w:rPr>
          <w:rFonts w:eastAsia="Calibri" w:cs="Arial"/>
          <w:szCs w:val="20"/>
        </w:rPr>
        <w:t xml:space="preserve"> storitvene menjave s tujino. Priliv tujih neposrednih naložb v Slovenijo se je v zadnjih letih povečal zaradi prodaje deležev v domačih podjetjih in dokapitalizacije ter je presegal vrednost slovenskih neposrednih naložb v tujino. </w:t>
      </w:r>
    </w:p>
    <w:p w14:paraId="2730067B" w14:textId="05DC57D3" w:rsidR="00602B1F" w:rsidRDefault="00921B87" w:rsidP="00D26338">
      <w:pPr>
        <w:pStyle w:val="Caption"/>
      </w:pPr>
      <w:r w:rsidRPr="00E577BC">
        <w:t>Slika 3: Stanje mednarodnih naložb v državah EU v letu 2022</w:t>
      </w:r>
    </w:p>
    <w:p w14:paraId="4917F4FA" w14:textId="2D91120A" w:rsidR="00602B1F" w:rsidRPr="00E577BC" w:rsidRDefault="00D26338" w:rsidP="00921B87">
      <w:pPr>
        <w:spacing w:after="0" w:line="288" w:lineRule="auto"/>
        <w:jc w:val="both"/>
        <w:rPr>
          <w:rFonts w:ascii="Myriad Pro" w:eastAsia="Calibri" w:hAnsi="Myriad Pro" w:cs="Times New Roman"/>
          <w:sz w:val="20"/>
        </w:rPr>
      </w:pPr>
      <w:r>
        <w:rPr>
          <w:rFonts w:ascii="Myriad Pro" w:eastAsia="Calibri" w:hAnsi="Myriad Pro" w:cs="Times New Roman"/>
          <w:noProof/>
          <w:sz w:val="20"/>
        </w:rPr>
        <w:drawing>
          <wp:inline distT="0" distB="0" distL="0" distR="0" wp14:anchorId="004F78C2" wp14:editId="09E1BF41">
            <wp:extent cx="5810250" cy="2113961"/>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42889" cy="2125836"/>
                    </a:xfrm>
                    <a:prstGeom prst="rect">
                      <a:avLst/>
                    </a:prstGeom>
                    <a:noFill/>
                  </pic:spPr>
                </pic:pic>
              </a:graphicData>
            </a:graphic>
          </wp:inline>
        </w:drawing>
      </w:r>
    </w:p>
    <w:p w14:paraId="399C9250" w14:textId="36C9E042" w:rsidR="00921B87" w:rsidRDefault="00921B87" w:rsidP="00D26338">
      <w:pPr>
        <w:pStyle w:val="VirUMAR"/>
        <w:rPr>
          <w:lang w:val="it-IT"/>
        </w:rPr>
      </w:pPr>
      <w:r w:rsidRPr="00E577BC">
        <w:rPr>
          <w:lang w:val="it-IT"/>
        </w:rPr>
        <w:t xml:space="preserve">Vir: BS, </w:t>
      </w:r>
      <w:r w:rsidR="008237DF">
        <w:rPr>
          <w:lang w:val="it-IT"/>
        </w:rPr>
        <w:t>Eurostat, lastni preračuni.</w:t>
      </w:r>
    </w:p>
    <w:p w14:paraId="7BC7B078" w14:textId="77777777" w:rsidR="00D26338" w:rsidRDefault="00D26338" w:rsidP="008237DF">
      <w:pPr>
        <w:spacing w:after="0" w:line="288" w:lineRule="auto"/>
        <w:jc w:val="both"/>
        <w:rPr>
          <w:rFonts w:ascii="Myriad Pro" w:eastAsia="Calibri" w:hAnsi="Myriad Pro" w:cs="Arial"/>
          <w:sz w:val="20"/>
          <w:szCs w:val="20"/>
        </w:rPr>
      </w:pPr>
    </w:p>
    <w:p w14:paraId="7AFFCFAD" w14:textId="0168AEE5" w:rsidR="008237DF" w:rsidRPr="00E577BC" w:rsidRDefault="008237DF" w:rsidP="006E3A4C">
      <w:pPr>
        <w:pStyle w:val="BesediloUMAR"/>
        <w:rPr>
          <w:rFonts w:cs="Times New Roman"/>
        </w:rPr>
      </w:pPr>
      <w:r w:rsidRPr="00E577BC">
        <w:lastRenderedPageBreak/>
        <w:t>Neto stanje mednarodnih naložb Slovenije je že od leta 2015 znotraj indikativnega praga zunanjega neravnotežja (</w:t>
      </w:r>
      <w:r w:rsidR="009B74DB">
        <w:t>–</w:t>
      </w:r>
      <w:r w:rsidRPr="00E577BC">
        <w:t>35 % BDP). Ta prag pa še vedno presegajo države</w:t>
      </w:r>
      <w:r w:rsidRPr="00E577BC">
        <w:rPr>
          <w:b/>
          <w:bCs/>
        </w:rPr>
        <w:t xml:space="preserve"> </w:t>
      </w:r>
      <w:r w:rsidRPr="00E577BC">
        <w:t>evrskega območja, ki so imele največjo dolžniško krizo (Španija, Portugalska, Irska, Ciper, Grčija).</w:t>
      </w:r>
      <w:r w:rsidRPr="00E577BC">
        <w:rPr>
          <w:rFonts w:cs="Times New Roman"/>
        </w:rPr>
        <w:t xml:space="preserve"> </w:t>
      </w:r>
    </w:p>
    <w:p w14:paraId="4B120838" w14:textId="0DD21BD9" w:rsidR="006E3A4C" w:rsidRDefault="006E3A4C" w:rsidP="006E3A4C">
      <w:pPr>
        <w:pStyle w:val="BesediloUMAR"/>
      </w:pPr>
    </w:p>
    <w:p w14:paraId="5082FC98" w14:textId="77777777" w:rsidR="006E3A4C" w:rsidRPr="008237DF" w:rsidRDefault="006E3A4C" w:rsidP="006E3A4C">
      <w:pPr>
        <w:pStyle w:val="BesediloUMAR"/>
      </w:pPr>
    </w:p>
    <w:p w14:paraId="46A5E745" w14:textId="66F5D993" w:rsidR="00921B87" w:rsidRPr="00E577BC" w:rsidRDefault="00921B87" w:rsidP="006E3A4C">
      <w:pPr>
        <w:pStyle w:val="Heading1"/>
        <w:pageBreakBefore w:val="0"/>
        <w:rPr>
          <w:rFonts w:eastAsia="Calibri"/>
          <w:kern w:val="0"/>
          <w:szCs w:val="28"/>
        </w:rPr>
      </w:pPr>
      <w:r w:rsidRPr="00E577BC">
        <w:rPr>
          <w:rFonts w:eastAsia="Calibri"/>
          <w:kern w:val="0"/>
          <w:szCs w:val="28"/>
        </w:rPr>
        <w:t>Analiza sprememb mednarodn</w:t>
      </w:r>
      <w:r w:rsidR="00382D5B">
        <w:rPr>
          <w:rFonts w:eastAsia="Calibri"/>
          <w:kern w:val="0"/>
          <w:szCs w:val="28"/>
        </w:rPr>
        <w:t>ih naložb</w:t>
      </w:r>
      <w:r w:rsidRPr="00E577BC">
        <w:rPr>
          <w:rFonts w:eastAsia="Calibri"/>
          <w:kern w:val="0"/>
          <w:szCs w:val="28"/>
        </w:rPr>
        <w:t xml:space="preserve"> Slovenije</w:t>
      </w:r>
    </w:p>
    <w:p w14:paraId="65A62498" w14:textId="7F0B6FF1" w:rsidR="00921B87" w:rsidRDefault="00921B87" w:rsidP="006E3A4C">
      <w:pPr>
        <w:pStyle w:val="BesediloUMAR"/>
      </w:pPr>
      <w:r w:rsidRPr="00E577BC">
        <w:t>Spremembe stanja mednarodnih naložb med dvema zaporednima letoma so odraz transakcij v plačilni bilanci (salda tekočega in kapitalskega računa ter neto napak in izpustitev) in vrednostnih prilagoditev zaradi cenovnih, tečajnih ter ostalih sprememb.</w:t>
      </w:r>
    </w:p>
    <w:p w14:paraId="74D26BCE" w14:textId="77777777" w:rsidR="006E3A4C" w:rsidRPr="00E577BC" w:rsidRDefault="006E3A4C" w:rsidP="006E3A4C">
      <w:pPr>
        <w:pStyle w:val="BesediloUMAR"/>
      </w:pPr>
    </w:p>
    <w:p w14:paraId="092C33DE" w14:textId="2D6DAD4B" w:rsidR="00921B87" w:rsidRPr="00E577BC" w:rsidRDefault="00921B87" w:rsidP="006E3A4C">
      <w:pPr>
        <w:pStyle w:val="BesediloUMAR"/>
        <w:rPr>
          <w:lang w:val="en-US"/>
        </w:rPr>
      </w:pPr>
      <w:r w:rsidRPr="00E577BC">
        <w:t>Druge spremembe stanja vključujejo cenovne, tečajne in ostale spremembe. Cenovne spremembe nastanejo zaradi sprememb v tržni vrednosti imetij in obveznosti (npr. lastniških in dolžniških vrednostni</w:t>
      </w:r>
      <w:r w:rsidR="00535AB2">
        <w:t>h</w:t>
      </w:r>
      <w:r w:rsidRPr="00E577BC">
        <w:t xml:space="preserve"> papirjev), s katerimi trgujejo na mednarodnih finančnih trgih. Na spremembe vplivajo relativne cene (gibanja cen na domačih in tujih finančnih trgih) ter velikost neto finančne pozicije posamez</w:t>
      </w:r>
      <w:r w:rsidR="00252A12">
        <w:t>n</w:t>
      </w:r>
      <w:r w:rsidRPr="00E577BC">
        <w:t xml:space="preserve">ega instrumenta. </w:t>
      </w:r>
      <w:r w:rsidRPr="00E577BC">
        <w:rPr>
          <w:lang w:val="en-US"/>
        </w:rPr>
        <w:t xml:space="preserve">Tečajne spremembe so odvisne od valutne strukture stanja mednarodnih naložb. Ker je večina terjatev in obveznosti Slovenije do tujine denominirana v evrih, je vpliv tečajnih sprememb v preteklih letih </w:t>
      </w:r>
      <w:r w:rsidR="00594A6D">
        <w:rPr>
          <w:lang w:val="en-US"/>
        </w:rPr>
        <w:t xml:space="preserve">razmeroma </w:t>
      </w:r>
      <w:r w:rsidRPr="00E577BC">
        <w:rPr>
          <w:lang w:val="en-US"/>
        </w:rPr>
        <w:t>majhen.</w:t>
      </w:r>
    </w:p>
    <w:p w14:paraId="7FCE8D0F" w14:textId="64FA4D1D" w:rsidR="00921B87" w:rsidRDefault="00921B87" w:rsidP="006E3A4C">
      <w:pPr>
        <w:pStyle w:val="Caption"/>
        <w:rPr>
          <w:lang w:val="it-IT"/>
        </w:rPr>
      </w:pPr>
      <w:r w:rsidRPr="00E577BC">
        <w:rPr>
          <w:lang w:val="it-IT"/>
        </w:rPr>
        <w:t>Slika 4: Razčlenitev sprememb neto finančne pozicije Slovenije do tujine</w:t>
      </w:r>
    </w:p>
    <w:p w14:paraId="58C5C16D" w14:textId="61A76048" w:rsidR="006E3A4C" w:rsidRDefault="006E3A4C" w:rsidP="006E3A4C">
      <w:pPr>
        <w:pStyle w:val="BesediloUMAR"/>
        <w:rPr>
          <w:lang w:val="it-IT"/>
        </w:rPr>
      </w:pPr>
      <w:r>
        <w:rPr>
          <w:noProof/>
          <w:lang w:val="it-IT"/>
        </w:rPr>
        <w:drawing>
          <wp:inline distT="0" distB="0" distL="0" distR="0" wp14:anchorId="7E0298DF" wp14:editId="48D79DB1">
            <wp:extent cx="5790565" cy="2101672"/>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17894" cy="2111591"/>
                    </a:xfrm>
                    <a:prstGeom prst="rect">
                      <a:avLst/>
                    </a:prstGeom>
                    <a:noFill/>
                  </pic:spPr>
                </pic:pic>
              </a:graphicData>
            </a:graphic>
          </wp:inline>
        </w:drawing>
      </w:r>
    </w:p>
    <w:p w14:paraId="5B8D7487" w14:textId="002D4B98" w:rsidR="00B0505F" w:rsidRDefault="00B0505F" w:rsidP="006E3A4C">
      <w:pPr>
        <w:pStyle w:val="VirUMAR"/>
        <w:rPr>
          <w:lang w:val="it-IT"/>
        </w:rPr>
      </w:pPr>
      <w:r w:rsidRPr="00E577BC">
        <w:rPr>
          <w:lang w:val="it-IT"/>
        </w:rPr>
        <w:t xml:space="preserve">Vir: BS, </w:t>
      </w:r>
      <w:r w:rsidR="00E01CCE">
        <w:rPr>
          <w:lang w:val="it-IT"/>
        </w:rPr>
        <w:t xml:space="preserve"> lastni izračuni.</w:t>
      </w:r>
    </w:p>
    <w:p w14:paraId="64B9C143" w14:textId="77777777" w:rsidR="006E3A4C" w:rsidRPr="00E577BC" w:rsidRDefault="006E3A4C" w:rsidP="006E3A4C">
      <w:pPr>
        <w:pStyle w:val="BesediloUMAR"/>
        <w:rPr>
          <w:lang w:val="it-IT"/>
        </w:rPr>
      </w:pPr>
    </w:p>
    <w:p w14:paraId="5558FCF0" w14:textId="639DE09C" w:rsidR="00921B87" w:rsidRPr="00E37278" w:rsidRDefault="00921B87" w:rsidP="00E37278">
      <w:pPr>
        <w:pStyle w:val="Heading2"/>
      </w:pPr>
      <w:r w:rsidRPr="00E37278">
        <w:t xml:space="preserve">Neto finančna pozicija, tekoči račun in </w:t>
      </w:r>
      <w:r w:rsidR="00DE210F" w:rsidRPr="00E37278">
        <w:t xml:space="preserve">druge spremembe </w:t>
      </w:r>
      <w:r w:rsidRPr="00E37278">
        <w:t>vredno</w:t>
      </w:r>
      <w:r w:rsidR="00DE210F" w:rsidRPr="00E37278">
        <w:t>tenja</w:t>
      </w:r>
    </w:p>
    <w:p w14:paraId="51EC7275" w14:textId="41B3E1B0" w:rsidR="00921B87" w:rsidRPr="00E577BC" w:rsidRDefault="00921B87" w:rsidP="006E3A4C">
      <w:pPr>
        <w:pStyle w:val="BesediloUMAR"/>
      </w:pPr>
      <w:r w:rsidRPr="00E577BC">
        <w:rPr>
          <w:b/>
          <w:bCs/>
        </w:rPr>
        <w:t xml:space="preserve">Spremembe neto finančne pozicije do tujine so bile močno povezane s saldom tekočega računa plačilne bilance. </w:t>
      </w:r>
      <w:r w:rsidRPr="00E577BC">
        <w:t>Dinamika gibanja salda tekočega računa je bila na eni strani posledica vpliva cikličnih dejavnikov, saj se je obrat zgodil po začetku finančn</w:t>
      </w:r>
      <w:r w:rsidR="00942373">
        <w:t>o</w:t>
      </w:r>
      <w:r w:rsidRPr="00E577BC">
        <w:t xml:space="preserve">-gospodarske krize, ko so sprva zaradi relativno nižje izkoriščenosti proizvodnih zmogljivosti, nato pa zaradi omejenih finančnih virov in razdolževanja zasebnega sektorja upadle investicije, investicijsko-varčevalna vrzel pa se je začela postopno zapirati. Na drugi strani je bilo opaziti tudi nekatere strukturne premike oz. notranja prilagajanja, npr. pri stroških dela, kar je tudi ugodno vplivalo na konkurenčnost menjalnega sektorja. </w:t>
      </w:r>
    </w:p>
    <w:p w14:paraId="76EFC239" w14:textId="77777777" w:rsidR="00921B87" w:rsidRPr="00E577BC" w:rsidRDefault="00921B87" w:rsidP="006E3A4C">
      <w:pPr>
        <w:pStyle w:val="BesediloUMAR"/>
      </w:pPr>
    </w:p>
    <w:p w14:paraId="470C4B77" w14:textId="071D1C91" w:rsidR="00F579BA" w:rsidRDefault="00921B87" w:rsidP="006E3A4C">
      <w:pPr>
        <w:pStyle w:val="BesediloUMAR"/>
      </w:pPr>
      <w:r w:rsidRPr="00E577BC">
        <w:lastRenderedPageBreak/>
        <w:t>Večji del presežka je bil povezan s količinskimi dejavniki, na katere so vplivali ciklični</w:t>
      </w:r>
      <w:r w:rsidRPr="00E577BC">
        <w:rPr>
          <w:rFonts w:ascii="Calibri" w:hAnsi="Calibri" w:cs="Times New Roman"/>
          <w:vertAlign w:val="superscript"/>
        </w:rPr>
        <w:footnoteReference w:id="2"/>
      </w:r>
      <w:r w:rsidRPr="00E577BC">
        <w:t xml:space="preserve"> in strukturni dejavniki.</w:t>
      </w:r>
      <w:r w:rsidRPr="00E577BC">
        <w:rPr>
          <w:rFonts w:ascii="Calibri" w:hAnsi="Calibri" w:cs="Times New Roman"/>
          <w:vertAlign w:val="superscript"/>
        </w:rPr>
        <w:footnoteReference w:id="3"/>
      </w:r>
      <w:r w:rsidRPr="00E577BC">
        <w:t xml:space="preserve"> Spremembe uvoza so bile pretežno povezane s cikličnimi dejavniki, ki so vplivali na gibanje domače potrošnje. Na rast izvoza pa so, poleg cikličnega</w:t>
      </w:r>
      <w:r w:rsidR="00DA7CE4">
        <w:t>,</w:t>
      </w:r>
      <w:r w:rsidRPr="00E577BC">
        <w:t xml:space="preserve"> vplivali tudi strukturni dejavniki, povezani z izboljševanjem konkurenčnosti menjalnega sektorja.</w:t>
      </w:r>
    </w:p>
    <w:p w14:paraId="4FCD8DD1" w14:textId="0F60E7F0" w:rsidR="00921B87" w:rsidRDefault="00921B87" w:rsidP="006E3A4C">
      <w:pPr>
        <w:pStyle w:val="Caption"/>
        <w:rPr>
          <w:rFonts w:eastAsia="Calibri"/>
        </w:rPr>
      </w:pPr>
      <w:r w:rsidRPr="00E577BC">
        <w:t>Slika 5: Dekompozicija sprememb nominalnega salda tekočega računa plačilne bilance</w:t>
      </w:r>
      <w:r w:rsidRPr="00E577BC">
        <w:rPr>
          <w:rFonts w:eastAsia="Calibri"/>
        </w:rPr>
        <w:t xml:space="preserve"> </w:t>
      </w:r>
    </w:p>
    <w:p w14:paraId="5E6CEDC8" w14:textId="2ABC4B2F" w:rsidR="006E3A4C" w:rsidRDefault="006E3A4C" w:rsidP="006E3A4C">
      <w:pPr>
        <w:pStyle w:val="BesediloUMAR"/>
      </w:pPr>
      <w:r>
        <w:rPr>
          <w:noProof/>
        </w:rPr>
        <w:drawing>
          <wp:inline distT="0" distB="0" distL="0" distR="0" wp14:anchorId="625D8801" wp14:editId="40E5B5DA">
            <wp:extent cx="5764530" cy="2097778"/>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89524" cy="2106874"/>
                    </a:xfrm>
                    <a:prstGeom prst="rect">
                      <a:avLst/>
                    </a:prstGeom>
                    <a:noFill/>
                  </pic:spPr>
                </pic:pic>
              </a:graphicData>
            </a:graphic>
          </wp:inline>
        </w:drawing>
      </w:r>
    </w:p>
    <w:p w14:paraId="07ACFF5C" w14:textId="72A27B9B" w:rsidR="00921B87" w:rsidRDefault="00921B87" w:rsidP="006E3A4C">
      <w:pPr>
        <w:pStyle w:val="VirUMAR"/>
      </w:pPr>
      <w:r w:rsidRPr="00E577BC">
        <w:t xml:space="preserve">Vir: SURS, BS, </w:t>
      </w:r>
      <w:r w:rsidR="005C78CA">
        <w:t>lastni izračuni.</w:t>
      </w:r>
    </w:p>
    <w:p w14:paraId="4AEC1D51" w14:textId="5CB25033" w:rsidR="005C78CA" w:rsidRPr="00E577BC" w:rsidRDefault="005C78CA" w:rsidP="00921B87">
      <w:pPr>
        <w:autoSpaceDE w:val="0"/>
        <w:autoSpaceDN w:val="0"/>
        <w:adjustRightInd w:val="0"/>
        <w:spacing w:after="0" w:line="288" w:lineRule="auto"/>
        <w:jc w:val="both"/>
        <w:rPr>
          <w:rFonts w:ascii="Myriad Pro" w:eastAsia="Calibri" w:hAnsi="Myriad Pro" w:cs="Arial"/>
          <w:sz w:val="20"/>
          <w:szCs w:val="20"/>
        </w:rPr>
      </w:pPr>
    </w:p>
    <w:p w14:paraId="12CD2AEA" w14:textId="43AAA313" w:rsidR="00921B87" w:rsidRPr="00E577BC" w:rsidRDefault="00921B87" w:rsidP="006E3A4C">
      <w:pPr>
        <w:pStyle w:val="BesediloUMAR"/>
      </w:pPr>
      <w:r w:rsidRPr="00E577BC">
        <w:t xml:space="preserve">Z začetkom gospodarske krize se je primanjkljaj tekočega računa v letu 2009 močno skrčil. Tekoči račun se je nato do vključno leta 2011 ohranjal blizu ravnovesja in se leta 2012 prevesil v presežek. Rast presežka tekočega računa v obdobju do začetka epidemije covida-19 pripisujemo obsežnemu razdolževanju bank in podjetij do tujine, ugodnim razmeram v mednarodnem okolju in izboljšanju konkurenčnosti slovenskih izvoznikov, ob zmerni rasti uvoza zaradi skromnega domačega trošenja in padca investicij. Slovenija je v omenjenem obdobju nenehno povečevala tržne deleže na mednarodnih trgih, kar se je odražalo tudi v visoki korelaciji med izvozom in poslovnim presežkom. K oblikovanju presežka </w:t>
      </w:r>
      <w:r w:rsidR="000943D3">
        <w:t xml:space="preserve">na tekočem računu </w:t>
      </w:r>
      <w:r w:rsidRPr="00E577BC">
        <w:t xml:space="preserve">so prispevali tudi pozitivni pogoji menjave. </w:t>
      </w:r>
    </w:p>
    <w:p w14:paraId="10E70B95" w14:textId="73790DE0" w:rsidR="003C7719" w:rsidRDefault="003C7719" w:rsidP="006E3A4C">
      <w:pPr>
        <w:pStyle w:val="BesediloUMAR"/>
      </w:pPr>
    </w:p>
    <w:p w14:paraId="26783464" w14:textId="7E601B42" w:rsidR="00921B87" w:rsidRPr="00E577BC" w:rsidRDefault="00921B87" w:rsidP="006E3A4C">
      <w:pPr>
        <w:pStyle w:val="BesediloUMAR"/>
      </w:pPr>
      <w:r w:rsidRPr="00E577BC">
        <w:t>Leta 2020 je bil presežek tekočega računa najvišji doslej (7,</w:t>
      </w:r>
      <w:r w:rsidR="00E73C01">
        <w:t>2</w:t>
      </w:r>
      <w:r w:rsidRPr="00E577BC">
        <w:t xml:space="preserve"> % BDP), vpliv pandemije se je odrazil predvsem na segmentu menjave blaga in storitev. V letu 2021 se je presežek precej znižal</w:t>
      </w:r>
      <w:r w:rsidR="00CE065E">
        <w:t>, in sicer</w:t>
      </w:r>
      <w:r w:rsidRPr="00E577BC">
        <w:t xml:space="preserve"> zaradi hitrejšega okrevanja domačega </w:t>
      </w:r>
      <w:r w:rsidRPr="00CE065E">
        <w:t>povpraševanja v primerjavi s tujim in poslabšanih pogojev menjave</w:t>
      </w:r>
      <w:r w:rsidRPr="006B37C8">
        <w:t>. Cene surovin so se</w:t>
      </w:r>
      <w:r w:rsidR="002F4663" w:rsidRPr="008C462C">
        <w:t>,</w:t>
      </w:r>
      <w:r w:rsidRPr="006B37C8">
        <w:t xml:space="preserve"> po močnem upadu ob začetku pandemije</w:t>
      </w:r>
      <w:r w:rsidR="00CE065E" w:rsidRPr="008C462C">
        <w:t>,</w:t>
      </w:r>
      <w:r w:rsidRPr="006B37C8">
        <w:t xml:space="preserve"> opazno zvišale.</w:t>
      </w:r>
      <w:r w:rsidRPr="00E577BC">
        <w:t xml:space="preserve"> Glavni razlog za rast cen je bilo večje svetovno povpraševanje, povezano z okrevanjem gospodarstev po prvem šoku ob izbruhu epidemije, deloma pa tudi povečevanje zalog nekaterih neenergetskih surovin v največjih porabnicah. </w:t>
      </w:r>
    </w:p>
    <w:p w14:paraId="6C7E98E6" w14:textId="77777777" w:rsidR="00921B87" w:rsidRPr="00E577BC" w:rsidRDefault="00921B87" w:rsidP="006E3A4C">
      <w:pPr>
        <w:pStyle w:val="BesediloUMAR"/>
        <w:rPr>
          <w:rFonts w:ascii="Calibri" w:hAnsi="Calibri" w:cs="Times New Roman"/>
          <w:sz w:val="18"/>
          <w:szCs w:val="18"/>
        </w:rPr>
      </w:pPr>
    </w:p>
    <w:p w14:paraId="4FBC8EB7" w14:textId="44888D36" w:rsidR="00921B87" w:rsidRPr="00E577BC" w:rsidRDefault="00921B87" w:rsidP="006E3A4C">
      <w:pPr>
        <w:pStyle w:val="BesediloUMAR"/>
      </w:pPr>
      <w:r w:rsidRPr="00280195">
        <w:t>Po desetih letih se je presežek tekočega računa v letu 2022 prvič prevesil v primanjkljaj (</w:t>
      </w:r>
      <w:r w:rsidR="00E73C01">
        <w:t>578,4</w:t>
      </w:r>
      <w:r w:rsidRPr="00280195">
        <w:t xml:space="preserve"> mio EUR ali </w:t>
      </w:r>
      <w:r w:rsidR="00CE065E">
        <w:t>–</w:t>
      </w:r>
      <w:r w:rsidR="00E73C01">
        <w:t>1</w:t>
      </w:r>
      <w:r w:rsidRPr="00280195">
        <w:t xml:space="preserve"> % BDP). </w:t>
      </w:r>
      <w:r w:rsidRPr="00E577BC">
        <w:t>K temu je največ prispevala blagovna menjava, saj je bila ob poslabšanih pogojih menjave realna rast uvoza blaga hitrejša od izvoza. Visoke rasti cen energentov in drugih primarnih surovin ter cen industrijskih proizvodov so vplivale na rast uvoznih cen (2</w:t>
      </w:r>
      <w:r w:rsidR="00D07F34">
        <w:t>1</w:t>
      </w:r>
      <w:r w:rsidRPr="00E577BC">
        <w:t>%), ki je bila višja od izvoznih cen (17,</w:t>
      </w:r>
      <w:r w:rsidR="00D07F34">
        <w:t>5</w:t>
      </w:r>
      <w:r w:rsidRPr="00E577BC">
        <w:t xml:space="preserve"> %). Pogoji menjave so se drugo leto zapored poslabšali, tokrat za 2,</w:t>
      </w:r>
      <w:r w:rsidR="00D07F34">
        <w:t>9</w:t>
      </w:r>
      <w:r w:rsidRPr="00E577BC">
        <w:t xml:space="preserve"> %, in so k spremembi nominalnega blagovnega salda prispevali približno tretjino (1mrd EUR). Storitveni presežek pa je bil višji kot pred letom, zlasti v menjavi potovanj in transportnih storitev. </w:t>
      </w:r>
    </w:p>
    <w:p w14:paraId="76E5C9CC" w14:textId="77777777" w:rsidR="00AF5045" w:rsidRDefault="00AF5045" w:rsidP="00921B87">
      <w:pPr>
        <w:autoSpaceDE w:val="0"/>
        <w:autoSpaceDN w:val="0"/>
        <w:adjustRightInd w:val="0"/>
        <w:spacing w:after="120" w:line="320" w:lineRule="exact"/>
        <w:jc w:val="both"/>
        <w:rPr>
          <w:rFonts w:ascii="Myriad Pro" w:eastAsia="Times New Roman" w:hAnsi="Myriad Pro" w:cs="Arial"/>
          <w:b/>
          <w:bCs/>
          <w:sz w:val="20"/>
          <w:szCs w:val="20"/>
        </w:rPr>
      </w:pPr>
    </w:p>
    <w:p w14:paraId="33341C27" w14:textId="5A8709A3" w:rsidR="00921B87" w:rsidRDefault="00921B87" w:rsidP="006E3A4C">
      <w:pPr>
        <w:pStyle w:val="Caption"/>
      </w:pPr>
      <w:r w:rsidRPr="00E577BC">
        <w:lastRenderedPageBreak/>
        <w:t>Slika 6: Komponente tekočega računa in varčevalno-investicijska vrzel</w:t>
      </w:r>
    </w:p>
    <w:p w14:paraId="080BD7FB" w14:textId="5E075F16" w:rsidR="00AD2C1D" w:rsidRDefault="00AD2C1D" w:rsidP="00AD2C1D">
      <w:pPr>
        <w:pStyle w:val="BesediloUMAR"/>
      </w:pPr>
      <w:r>
        <w:rPr>
          <w:noProof/>
        </w:rPr>
        <w:drawing>
          <wp:inline distT="0" distB="0" distL="0" distR="0" wp14:anchorId="4D0D8ABA" wp14:editId="5BD7BCC3">
            <wp:extent cx="2782800" cy="227880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82800" cy="2278800"/>
                    </a:xfrm>
                    <a:prstGeom prst="rect">
                      <a:avLst/>
                    </a:prstGeom>
                    <a:noFill/>
                  </pic:spPr>
                </pic:pic>
              </a:graphicData>
            </a:graphic>
          </wp:inline>
        </w:drawing>
      </w:r>
      <w:r>
        <w:t xml:space="preserve">        </w:t>
      </w:r>
      <w:r>
        <w:rPr>
          <w:noProof/>
        </w:rPr>
        <w:drawing>
          <wp:inline distT="0" distB="0" distL="0" distR="0" wp14:anchorId="5DFDFD2F" wp14:editId="7E7162A6">
            <wp:extent cx="2779200" cy="227520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79200" cy="2275200"/>
                    </a:xfrm>
                    <a:prstGeom prst="rect">
                      <a:avLst/>
                    </a:prstGeom>
                    <a:noFill/>
                  </pic:spPr>
                </pic:pic>
              </a:graphicData>
            </a:graphic>
          </wp:inline>
        </w:drawing>
      </w:r>
    </w:p>
    <w:p w14:paraId="0ADA86E7" w14:textId="216703DC" w:rsidR="00B322F7" w:rsidRPr="00703589" w:rsidRDefault="00703589" w:rsidP="006E3A4C">
      <w:pPr>
        <w:pStyle w:val="VirUMAR"/>
      </w:pPr>
      <w:r w:rsidRPr="00703589">
        <w:t>Vir: SURS, BS, lastni izračuni.</w:t>
      </w:r>
    </w:p>
    <w:p w14:paraId="48DC78C2" w14:textId="77777777" w:rsidR="00921B87" w:rsidRPr="00E577BC" w:rsidRDefault="00921B87" w:rsidP="00921B87">
      <w:pPr>
        <w:autoSpaceDE w:val="0"/>
        <w:autoSpaceDN w:val="0"/>
        <w:adjustRightInd w:val="0"/>
        <w:spacing w:after="0" w:line="288" w:lineRule="auto"/>
        <w:jc w:val="both"/>
        <w:rPr>
          <w:rFonts w:ascii="Myriad Pro" w:eastAsia="Calibri" w:hAnsi="Myriad Pro" w:cs="Arial"/>
          <w:sz w:val="20"/>
          <w:szCs w:val="20"/>
        </w:rPr>
      </w:pPr>
    </w:p>
    <w:p w14:paraId="4D11909A" w14:textId="459E2BE1" w:rsidR="00921B87" w:rsidRPr="00E577BC" w:rsidRDefault="00921B87" w:rsidP="00AD2C1D">
      <w:pPr>
        <w:pStyle w:val="BesediloUMAR"/>
        <w:rPr>
          <w:rFonts w:ascii="Arial" w:hAnsi="Arial"/>
          <w:sz w:val="18"/>
          <w:szCs w:val="18"/>
        </w:rPr>
      </w:pPr>
      <w:r w:rsidRPr="00E577BC">
        <w:t xml:space="preserve">K zmanjšanju varčevalno-investicijske vrzeli celotnega gospodarstva je </w:t>
      </w:r>
      <w:r w:rsidR="003C7719">
        <w:t xml:space="preserve">v letu 2022 </w:t>
      </w:r>
      <w:r w:rsidRPr="00E577BC">
        <w:t xml:space="preserve">največ prispevalo znižanje neto varčevanja gospodinjstev. Ob ugodnih razmerah na trgu dela (visoka stopnja zaposlenosti in rast plač) se je nadaljevala rast bruto razpoložljivega dohodka, zaradi katere so gospodinjstva občutno povečala potrošnjo. Presežek nefinančnih družb je bil nekoliko nižji predvsem zaradi manj prejetih subvencij, povečanih sredstev za zaposlene </w:t>
      </w:r>
      <w:r w:rsidR="00EC0998">
        <w:t>in</w:t>
      </w:r>
      <w:r w:rsidRPr="00E577BC">
        <w:t xml:space="preserve"> okrepljenih investicij. Nižji primanjkljaj tekočih transakcij države pa je bil predvsem posledica zniževanja javnofinančnega primanjkljaja</w:t>
      </w:r>
      <w:r w:rsidRPr="00E577BC">
        <w:rPr>
          <w:rFonts w:ascii="Arial" w:hAnsi="Arial"/>
          <w:sz w:val="18"/>
          <w:szCs w:val="18"/>
        </w:rPr>
        <w:t>.</w:t>
      </w:r>
    </w:p>
    <w:p w14:paraId="6934931C" w14:textId="600639B8" w:rsidR="004D1990" w:rsidRDefault="00921B87" w:rsidP="00BE75C3">
      <w:pPr>
        <w:pStyle w:val="Caption"/>
        <w:ind w:left="726" w:hanging="726"/>
      </w:pPr>
      <w:r w:rsidRPr="00E577BC">
        <w:t xml:space="preserve">Slika 7: Stanje mednarodnih naložb, kumulativne </w:t>
      </w:r>
      <w:r w:rsidR="004D1990">
        <w:t xml:space="preserve">finančne in tekoče </w:t>
      </w:r>
      <w:r w:rsidRPr="00E577BC">
        <w:t xml:space="preserve">transakcije </w:t>
      </w:r>
      <w:r w:rsidR="004D1990">
        <w:t>ter</w:t>
      </w:r>
      <w:r w:rsidRPr="00E577BC">
        <w:t xml:space="preserve"> </w:t>
      </w:r>
      <w:r w:rsidR="004D1990">
        <w:t xml:space="preserve">druge </w:t>
      </w:r>
      <w:r w:rsidRPr="00E577BC">
        <w:t>spremembe vrednotenja</w:t>
      </w:r>
    </w:p>
    <w:p w14:paraId="18D2B5C6" w14:textId="04B8CE0E" w:rsidR="00910DB3" w:rsidRPr="00D1701B" w:rsidRDefault="00AF0AAE" w:rsidP="00D1701B">
      <w:pPr>
        <w:pStyle w:val="BesediloUMAR"/>
      </w:pPr>
      <w:r>
        <w:rPr>
          <w:noProof/>
        </w:rPr>
        <w:drawing>
          <wp:inline distT="0" distB="0" distL="0" distR="0" wp14:anchorId="7FB7CDEF" wp14:editId="40C59048">
            <wp:extent cx="2779200" cy="2271600"/>
            <wp:effectExtent l="0" t="0" r="254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79200" cy="2271600"/>
                    </a:xfrm>
                    <a:prstGeom prst="rect">
                      <a:avLst/>
                    </a:prstGeom>
                    <a:noFill/>
                  </pic:spPr>
                </pic:pic>
              </a:graphicData>
            </a:graphic>
          </wp:inline>
        </w:drawing>
      </w:r>
      <w:r w:rsidR="00D1701B">
        <w:t xml:space="preserve">       </w:t>
      </w:r>
      <w:r w:rsidR="00D1701B">
        <w:rPr>
          <w:noProof/>
        </w:rPr>
        <w:drawing>
          <wp:inline distT="0" distB="0" distL="0" distR="0" wp14:anchorId="6BD9951B" wp14:editId="70B52FEA">
            <wp:extent cx="2782800" cy="227880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82800" cy="2278800"/>
                    </a:xfrm>
                    <a:prstGeom prst="rect">
                      <a:avLst/>
                    </a:prstGeom>
                    <a:noFill/>
                  </pic:spPr>
                </pic:pic>
              </a:graphicData>
            </a:graphic>
          </wp:inline>
        </w:drawing>
      </w:r>
    </w:p>
    <w:p w14:paraId="24296CFC" w14:textId="6AFD7732" w:rsidR="00921B87" w:rsidRPr="00E577BC" w:rsidRDefault="00921B87" w:rsidP="00D1701B">
      <w:pPr>
        <w:pStyle w:val="VirUMAR"/>
        <w:rPr>
          <w:sz w:val="20"/>
          <w:szCs w:val="20"/>
        </w:rPr>
      </w:pPr>
      <w:r w:rsidRPr="00E577BC">
        <w:t xml:space="preserve">Vir: BS, lastni </w:t>
      </w:r>
      <w:r w:rsidR="000B783B">
        <w:t>izračuni.</w:t>
      </w:r>
      <w:r w:rsidRPr="00E577BC">
        <w:t xml:space="preserve"> </w:t>
      </w:r>
    </w:p>
    <w:p w14:paraId="6446C3CE" w14:textId="6FD363D5" w:rsidR="00921B87" w:rsidRPr="00E577BC" w:rsidRDefault="00921B87" w:rsidP="00D1701B">
      <w:pPr>
        <w:pStyle w:val="VirUMAR"/>
      </w:pPr>
      <w:r w:rsidRPr="00E577BC">
        <w:t xml:space="preserve">Opomba: Izhodišče je leto 2008. Kumulativne finančne </w:t>
      </w:r>
      <w:r w:rsidR="005B3B9E">
        <w:t xml:space="preserve">in tekoče </w:t>
      </w:r>
      <w:r w:rsidRPr="00E577BC">
        <w:t xml:space="preserve">transakcije so izračunane tako, da se stanju mednarodnih naložb v </w:t>
      </w:r>
      <w:r w:rsidR="000B783B">
        <w:t xml:space="preserve">predhodnem </w:t>
      </w:r>
      <w:r w:rsidRPr="00E577BC">
        <w:t xml:space="preserve">letu prišteje finančna transakcija v </w:t>
      </w:r>
      <w:r w:rsidR="000B783B">
        <w:t>tekočem letu</w:t>
      </w:r>
      <w:r w:rsidRPr="00E577BC">
        <w:t>. Razlika med stanjem mednarodnih naložb in kumulativo transakcij v posameznem letu je kumulativni učinek drugih sprememb vrednotenja.</w:t>
      </w:r>
    </w:p>
    <w:p w14:paraId="09D2A1E3" w14:textId="77777777" w:rsidR="00921B87" w:rsidRPr="00E577BC" w:rsidRDefault="00921B87" w:rsidP="00921B87">
      <w:pPr>
        <w:autoSpaceDE w:val="0"/>
        <w:autoSpaceDN w:val="0"/>
        <w:adjustRightInd w:val="0"/>
        <w:spacing w:after="0" w:line="288" w:lineRule="auto"/>
        <w:jc w:val="both"/>
        <w:rPr>
          <w:rFonts w:ascii="Myriad Pro" w:eastAsia="Calibri" w:hAnsi="Myriad Pro" w:cs="Arial"/>
          <w:sz w:val="20"/>
          <w:szCs w:val="20"/>
        </w:rPr>
      </w:pPr>
    </w:p>
    <w:p w14:paraId="2AAFD46F" w14:textId="77777777" w:rsidR="00D1701B" w:rsidRDefault="00D1701B">
      <w:pPr>
        <w:spacing w:after="0" w:line="240" w:lineRule="auto"/>
        <w:rPr>
          <w:rFonts w:ascii="Myriad Pro" w:eastAsia="Calibri" w:hAnsi="Myriad Pro" w:cs="Arial"/>
          <w:b/>
          <w:bCs/>
          <w:sz w:val="20"/>
        </w:rPr>
      </w:pPr>
      <w:r>
        <w:rPr>
          <w:rFonts w:ascii="Myriad Pro" w:eastAsia="Calibri" w:hAnsi="Myriad Pro" w:cs="Arial"/>
          <w:b/>
          <w:bCs/>
          <w:sz w:val="20"/>
        </w:rPr>
        <w:br w:type="page"/>
      </w:r>
    </w:p>
    <w:p w14:paraId="70993217" w14:textId="681426B1" w:rsidR="00921B87" w:rsidRPr="00E577BC" w:rsidRDefault="00921B87" w:rsidP="00D1701B">
      <w:pPr>
        <w:pStyle w:val="BesediloUMAR"/>
        <w:rPr>
          <w:szCs w:val="20"/>
        </w:rPr>
      </w:pPr>
      <w:r w:rsidRPr="00E577BC">
        <w:rPr>
          <w:b/>
          <w:bCs/>
        </w:rPr>
        <w:lastRenderedPageBreak/>
        <w:t xml:space="preserve">V obdobju med finančno-gospodarsko krizo in energetsko krizo (2009–2022) </w:t>
      </w:r>
      <w:r w:rsidRPr="00E577BC">
        <w:t xml:space="preserve">se je celotna neto zadolženost Slovenije do tujine močno znižala, in sicer za 14mrd EUR. </w:t>
      </w:r>
      <w:r w:rsidRPr="00E577BC">
        <w:rPr>
          <w:szCs w:val="20"/>
        </w:rPr>
        <w:t>Konec leta 2022 je Slovenija imela le še rahel primanjkljaj mednarodne investicijske pozicije v vrednosti 0,</w:t>
      </w:r>
      <w:r w:rsidR="00245E3D">
        <w:rPr>
          <w:szCs w:val="20"/>
        </w:rPr>
        <w:t>9</w:t>
      </w:r>
      <w:r w:rsidRPr="00E577BC">
        <w:rPr>
          <w:szCs w:val="20"/>
        </w:rPr>
        <w:t xml:space="preserve"> mrd EUR ali </w:t>
      </w:r>
      <w:r w:rsidR="00245E3D">
        <w:rPr>
          <w:szCs w:val="20"/>
        </w:rPr>
        <w:t>1,5</w:t>
      </w:r>
      <w:r w:rsidRPr="00E577BC">
        <w:rPr>
          <w:szCs w:val="20"/>
        </w:rPr>
        <w:t xml:space="preserve"> % BDP (</w:t>
      </w:r>
      <w:r w:rsidR="000B783B">
        <w:rPr>
          <w:szCs w:val="20"/>
        </w:rPr>
        <w:t>slika 7</w:t>
      </w:r>
      <w:r w:rsidRPr="000B783B">
        <w:rPr>
          <w:szCs w:val="20"/>
        </w:rPr>
        <w:t>).</w:t>
      </w:r>
      <w:r w:rsidRPr="00E577BC">
        <w:rPr>
          <w:szCs w:val="20"/>
        </w:rPr>
        <w:t xml:space="preserve"> </w:t>
      </w:r>
      <w:r w:rsidRPr="00E577BC">
        <w:t>K izboljšanju mednarodne investicijske pozicije je prispeval presežek tekočega računa plačilne bilance</w:t>
      </w:r>
      <w:r w:rsidR="00A40651">
        <w:rPr>
          <w:szCs w:val="20"/>
        </w:rPr>
        <w:t xml:space="preserve"> (slika 8)</w:t>
      </w:r>
      <w:r w:rsidRPr="00E577BC">
        <w:rPr>
          <w:szCs w:val="20"/>
        </w:rPr>
        <w:t>.</w:t>
      </w:r>
      <w:r w:rsidRPr="00E577BC">
        <w:rPr>
          <w:rFonts w:ascii="Calibri" w:hAnsi="Calibri" w:cs="Times New Roman"/>
          <w:szCs w:val="20"/>
          <w:vertAlign w:val="superscript"/>
        </w:rPr>
        <w:footnoteReference w:id="4"/>
      </w:r>
      <w:r w:rsidRPr="00E577BC">
        <w:rPr>
          <w:szCs w:val="20"/>
        </w:rPr>
        <w:t xml:space="preserve"> Po drugi strani je k </w:t>
      </w:r>
      <w:r w:rsidRPr="00E577BC">
        <w:t xml:space="preserve">povečanju celotne neto zadolženosti do tujine nekoliko prispeval primanjkljaj kapitalskega računa in statistična napaka. Primanjkljaj kapitalskega računa je bil posledica naknadnih popustov ostalih sektorjev na segmentu menjave blaga in storitev s tujino ter neto nakupov licenc, v statistični napaki pa so se večinoma odražali neevidentirani neto kapitalski tokovi. </w:t>
      </w:r>
    </w:p>
    <w:p w14:paraId="2BD6A49B" w14:textId="681D4058" w:rsidR="00921B87" w:rsidRPr="00D1701B" w:rsidRDefault="00921B87" w:rsidP="00E15A1E">
      <w:pPr>
        <w:pStyle w:val="Caption"/>
        <w:ind w:left="873" w:hanging="873"/>
      </w:pPr>
      <w:r w:rsidRPr="00D1701B">
        <w:t>Slika 8: Saldo tekočega računa, spremembe neto finančne pozicij</w:t>
      </w:r>
      <w:r w:rsidR="00611931" w:rsidRPr="00D1701B">
        <w:t xml:space="preserve">e </w:t>
      </w:r>
      <w:r w:rsidR="0078615C" w:rsidRPr="00D1701B">
        <w:t xml:space="preserve">Slovenije do tujine </w:t>
      </w:r>
      <w:r w:rsidRPr="00D1701B">
        <w:t xml:space="preserve">in </w:t>
      </w:r>
      <w:r w:rsidR="00611931" w:rsidRPr="00D1701B">
        <w:t xml:space="preserve">druge </w:t>
      </w:r>
      <w:r w:rsidRPr="00D1701B">
        <w:t>spremembe vrednotenja</w:t>
      </w:r>
    </w:p>
    <w:p w14:paraId="6475866E" w14:textId="0DF87699" w:rsidR="00921B87" w:rsidRDefault="00D1701B" w:rsidP="00D1701B">
      <w:pPr>
        <w:pStyle w:val="BesediloUMAR"/>
      </w:pPr>
      <w:r>
        <w:rPr>
          <w:noProof/>
        </w:rPr>
        <w:drawing>
          <wp:inline distT="0" distB="0" distL="0" distR="0" wp14:anchorId="38309992" wp14:editId="4F691932">
            <wp:extent cx="2815200" cy="2286000"/>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15200" cy="2286000"/>
                    </a:xfrm>
                    <a:prstGeom prst="rect">
                      <a:avLst/>
                    </a:prstGeom>
                    <a:noFill/>
                  </pic:spPr>
                </pic:pic>
              </a:graphicData>
            </a:graphic>
          </wp:inline>
        </w:drawing>
      </w:r>
      <w:r>
        <w:t xml:space="preserve">     </w:t>
      </w:r>
      <w:r>
        <w:rPr>
          <w:noProof/>
        </w:rPr>
        <w:drawing>
          <wp:inline distT="0" distB="0" distL="0" distR="0" wp14:anchorId="013A932C" wp14:editId="7CC93E54">
            <wp:extent cx="2815200" cy="2286000"/>
            <wp:effectExtent l="0" t="0" r="444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15200" cy="2286000"/>
                    </a:xfrm>
                    <a:prstGeom prst="rect">
                      <a:avLst/>
                    </a:prstGeom>
                    <a:noFill/>
                  </pic:spPr>
                </pic:pic>
              </a:graphicData>
            </a:graphic>
          </wp:inline>
        </w:drawing>
      </w:r>
    </w:p>
    <w:p w14:paraId="0BB305AD" w14:textId="38A7D8D1" w:rsidR="00921B87" w:rsidRPr="00E577BC" w:rsidRDefault="00921B87" w:rsidP="00D1701B">
      <w:pPr>
        <w:pStyle w:val="VirUMAR"/>
        <w:rPr>
          <w:szCs w:val="16"/>
        </w:rPr>
      </w:pPr>
      <w:r w:rsidRPr="00E577BC">
        <w:t xml:space="preserve">Vir: BS, lastni </w:t>
      </w:r>
      <w:r w:rsidR="0078615C">
        <w:t>izračuni</w:t>
      </w:r>
      <w:r w:rsidRPr="00E577BC">
        <w:t>.</w:t>
      </w:r>
    </w:p>
    <w:p w14:paraId="4B043919" w14:textId="77777777" w:rsidR="00921B87" w:rsidRPr="00E577BC" w:rsidRDefault="00921B87" w:rsidP="00921B87">
      <w:pPr>
        <w:spacing w:after="0" w:line="288" w:lineRule="auto"/>
        <w:jc w:val="both"/>
        <w:rPr>
          <w:rFonts w:ascii="Myriad Pro" w:eastAsia="Times New Roman" w:hAnsi="Myriad Pro" w:cs="Arial"/>
          <w:sz w:val="20"/>
          <w:szCs w:val="20"/>
        </w:rPr>
      </w:pPr>
    </w:p>
    <w:p w14:paraId="71DCAC06" w14:textId="6D80DE91" w:rsidR="00921B87" w:rsidRPr="00A40651" w:rsidRDefault="00921B87" w:rsidP="00D1701B">
      <w:pPr>
        <w:pStyle w:val="BesediloUMAR"/>
      </w:pPr>
      <w:r w:rsidRPr="00D1701B">
        <w:rPr>
          <w:b/>
        </w:rPr>
        <w:t xml:space="preserve">Druge spremembe </w:t>
      </w:r>
      <w:r w:rsidR="001215DD" w:rsidRPr="00D1701B">
        <w:rPr>
          <w:b/>
        </w:rPr>
        <w:t>vrednotenja</w:t>
      </w:r>
      <w:r w:rsidRPr="00D1701B">
        <w:rPr>
          <w:b/>
        </w:rPr>
        <w:t xml:space="preserve"> so na gibanje mednarodne investicijske pozicije Slovenije močno vplivale v posameznih letih, najbolj </w:t>
      </w:r>
      <w:r w:rsidR="008E09BE" w:rsidRPr="00D1701B">
        <w:rPr>
          <w:b/>
        </w:rPr>
        <w:t xml:space="preserve">izrazito </w:t>
      </w:r>
      <w:r w:rsidRPr="00D1701B">
        <w:rPr>
          <w:b/>
        </w:rPr>
        <w:t>v letu 2022</w:t>
      </w:r>
      <w:r w:rsidR="008E09BE" w:rsidRPr="00D1701B">
        <w:rPr>
          <w:b/>
        </w:rPr>
        <w:t>.</w:t>
      </w:r>
      <w:r w:rsidRPr="00E577BC">
        <w:t xml:space="preserve"> </w:t>
      </w:r>
      <w:r w:rsidR="000A1879">
        <w:t xml:space="preserve">Najprej jih bomo </w:t>
      </w:r>
      <w:r w:rsidRPr="00E577BC">
        <w:t>analizirali na osnovi kategorij lastniških in nelastniških naložb. Lastniški instrumenti vključujejo lastniški kapital neposrednih naložb ter lastniške vrednostne papirje in delnice investicijskih skladov. Nelastniški instrumenti vsebujejo dolžniške instrumente in finančne derivative. Učinek vrednostnih sprememb je namreč poleg nihanj v relativnih cenah in deviznem tečaju odvisen tudi od strukture neto pozicije instrumentov.</w:t>
      </w:r>
    </w:p>
    <w:p w14:paraId="39C06262" w14:textId="77777777" w:rsidR="00921B87" w:rsidRDefault="00921B87" w:rsidP="00921B87">
      <w:pPr>
        <w:spacing w:after="0" w:line="288" w:lineRule="auto"/>
        <w:jc w:val="both"/>
        <w:rPr>
          <w:rFonts w:ascii="Myriad Pro" w:eastAsia="Times New Roman" w:hAnsi="Myriad Pro" w:cs="Arial"/>
          <w:sz w:val="20"/>
          <w:szCs w:val="20"/>
        </w:rPr>
      </w:pPr>
    </w:p>
    <w:p w14:paraId="2B2AA890" w14:textId="2380A0E6" w:rsidR="00D1701B" w:rsidRDefault="00D1701B">
      <w:pPr>
        <w:spacing w:after="0" w:line="240" w:lineRule="auto"/>
        <w:rPr>
          <w:rFonts w:ascii="Myriad Pro" w:eastAsia="Times New Roman" w:hAnsi="Myriad Pro" w:cs="Arial"/>
          <w:sz w:val="20"/>
          <w:szCs w:val="20"/>
        </w:rPr>
      </w:pPr>
      <w:r>
        <w:rPr>
          <w:rFonts w:ascii="Myriad Pro" w:eastAsia="Times New Roman" w:hAnsi="Myriad Pro" w:cs="Arial"/>
          <w:sz w:val="20"/>
          <w:szCs w:val="20"/>
        </w:rPr>
        <w:br w:type="page"/>
      </w:r>
    </w:p>
    <w:p w14:paraId="6042CA6C" w14:textId="03E76394" w:rsidR="003A2490" w:rsidRDefault="00921B87" w:rsidP="001B7AF8">
      <w:pPr>
        <w:pStyle w:val="Caption"/>
      </w:pPr>
      <w:r w:rsidRPr="00E577BC">
        <w:lastRenderedPageBreak/>
        <w:t xml:space="preserve">Slika 9: Imetja in obveznosti Slovenije do tujine </w:t>
      </w:r>
    </w:p>
    <w:p w14:paraId="248B1B5A" w14:textId="44A9A443" w:rsidR="00921B87" w:rsidRPr="00E577BC" w:rsidRDefault="001B7AF8" w:rsidP="001B7AF8">
      <w:pPr>
        <w:pStyle w:val="BesediloUMAR"/>
      </w:pPr>
      <w:r>
        <w:rPr>
          <w:noProof/>
        </w:rPr>
        <w:drawing>
          <wp:inline distT="0" distB="0" distL="0" distR="0" wp14:anchorId="281E2CA8" wp14:editId="4E53D868">
            <wp:extent cx="2790000" cy="2286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90000" cy="2286000"/>
                    </a:xfrm>
                    <a:prstGeom prst="rect">
                      <a:avLst/>
                    </a:prstGeom>
                    <a:noFill/>
                  </pic:spPr>
                </pic:pic>
              </a:graphicData>
            </a:graphic>
          </wp:inline>
        </w:drawing>
      </w:r>
      <w:r>
        <w:t xml:space="preserve">      </w:t>
      </w:r>
      <w:r>
        <w:rPr>
          <w:noProof/>
        </w:rPr>
        <w:drawing>
          <wp:inline distT="0" distB="0" distL="0" distR="0" wp14:anchorId="323430E7" wp14:editId="3B0F6C31">
            <wp:extent cx="2790000" cy="2286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90000" cy="2286000"/>
                    </a:xfrm>
                    <a:prstGeom prst="rect">
                      <a:avLst/>
                    </a:prstGeom>
                    <a:noFill/>
                  </pic:spPr>
                </pic:pic>
              </a:graphicData>
            </a:graphic>
          </wp:inline>
        </w:drawing>
      </w:r>
    </w:p>
    <w:p w14:paraId="07A505B2" w14:textId="35A051AE" w:rsidR="00921B87" w:rsidRPr="00E577BC" w:rsidRDefault="00921B87" w:rsidP="001B7AF8">
      <w:pPr>
        <w:pStyle w:val="VirUMAR"/>
        <w:rPr>
          <w:szCs w:val="16"/>
        </w:rPr>
      </w:pPr>
      <w:r w:rsidRPr="00E577BC">
        <w:t xml:space="preserve">Vir: BS, lastni </w:t>
      </w:r>
      <w:r w:rsidR="0078615C">
        <w:t>iz</w:t>
      </w:r>
      <w:r w:rsidRPr="00E577BC">
        <w:t>računi.</w:t>
      </w:r>
    </w:p>
    <w:p w14:paraId="60D82167" w14:textId="77777777" w:rsidR="00921B87" w:rsidRPr="00E577BC" w:rsidRDefault="00921B87" w:rsidP="00921B87">
      <w:pPr>
        <w:spacing w:after="0" w:line="288" w:lineRule="auto"/>
        <w:jc w:val="both"/>
        <w:rPr>
          <w:rFonts w:ascii="Myriad Pro" w:eastAsia="Times New Roman" w:hAnsi="Myriad Pro" w:cs="Arial"/>
          <w:sz w:val="20"/>
          <w:szCs w:val="20"/>
        </w:rPr>
      </w:pPr>
    </w:p>
    <w:p w14:paraId="63F3D919" w14:textId="67CE7E77" w:rsidR="00921B87" w:rsidRPr="001B7AF8" w:rsidRDefault="00921B87" w:rsidP="001B7AF8">
      <w:pPr>
        <w:pStyle w:val="BesediloUMAR"/>
      </w:pPr>
      <w:r w:rsidRPr="00E577BC">
        <w:t xml:space="preserve">V strukturi neto finančne pozicije Slovenije prevladujejo nelastniški instrumenti, pri čemer gre skoraj v celoti za bruto dolžniške terjatve in obveznosti, medtem ko je delež </w:t>
      </w:r>
      <w:r w:rsidRPr="00ED78B8">
        <w:t>finančnih derivativov š</w:t>
      </w:r>
      <w:r w:rsidRPr="00872DB6">
        <w:t>e</w:t>
      </w:r>
      <w:r w:rsidRPr="00E577BC">
        <w:t xml:space="preserve"> vedno skromen. Od nastanka finančn</w:t>
      </w:r>
      <w:r w:rsidR="00D11A69">
        <w:t>o</w:t>
      </w:r>
      <w:r w:rsidRPr="00E577BC">
        <w:t>-gospodarske pa do energetske krize se je raven nelastniških imetij povečala, raven nelastniških obveznosti pa znižala. Ob koncu obdobja se je neto pozicija nelastniških instrumentov iz primanjkl</w:t>
      </w:r>
      <w:r w:rsidR="00FD29DA">
        <w:t>j</w:t>
      </w:r>
      <w:r w:rsidRPr="00E577BC">
        <w:t xml:space="preserve">aja prevesila v presežek. </w:t>
      </w:r>
      <w:r w:rsidRPr="00E577BC">
        <w:rPr>
          <w:rFonts w:eastAsia="Calibri"/>
        </w:rPr>
        <w:t>Na segmentu lastniških instrumentov je bila neto pozicija negativna, ker je primanjkljaj neto stanja neposrednih naložb presegal presežek neto stanja lastniških vrednostnih papirjev.</w:t>
      </w:r>
    </w:p>
    <w:p w14:paraId="1CDC86BA" w14:textId="77D6992F" w:rsidR="00921B87" w:rsidRPr="00E577BC" w:rsidRDefault="00921B87" w:rsidP="001B7AF8">
      <w:pPr>
        <w:pStyle w:val="Caption"/>
      </w:pPr>
      <w:r w:rsidRPr="00E577BC">
        <w:t>Tabela 1: Struktura neto finančne pozicije do tujine, v % BDP</w:t>
      </w:r>
    </w:p>
    <w:tbl>
      <w:tblPr>
        <w:tblStyle w:val="TableGridLight"/>
        <w:tblW w:w="5000" w:type="pct"/>
        <w:tblLayout w:type="fixed"/>
        <w:tblCellMar>
          <w:left w:w="0" w:type="dxa"/>
        </w:tblCellMar>
        <w:tblLook w:val="04A0" w:firstRow="1" w:lastRow="0" w:firstColumn="1" w:lastColumn="0" w:noHBand="0" w:noVBand="1"/>
      </w:tblPr>
      <w:tblGrid>
        <w:gridCol w:w="1566"/>
        <w:gridCol w:w="536"/>
        <w:gridCol w:w="536"/>
        <w:gridCol w:w="539"/>
        <w:gridCol w:w="535"/>
        <w:gridCol w:w="535"/>
        <w:gridCol w:w="537"/>
        <w:gridCol w:w="535"/>
        <w:gridCol w:w="535"/>
        <w:gridCol w:w="537"/>
        <w:gridCol w:w="535"/>
        <w:gridCol w:w="535"/>
        <w:gridCol w:w="537"/>
        <w:gridCol w:w="535"/>
        <w:gridCol w:w="537"/>
      </w:tblGrid>
      <w:tr w:rsidR="00921B87" w:rsidRPr="00E577BC" w14:paraId="12016066" w14:textId="77777777" w:rsidTr="00AF0AAE">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63" w:type="pct"/>
            <w:tcBorders>
              <w:bottom w:val="single" w:sz="8" w:space="0" w:color="auto"/>
            </w:tcBorders>
          </w:tcPr>
          <w:p w14:paraId="53293D99" w14:textId="77777777" w:rsidR="00921B87" w:rsidRPr="00E577BC" w:rsidRDefault="00921B87" w:rsidP="001B7AF8">
            <w:pPr>
              <w:spacing w:before="10" w:after="10" w:line="220" w:lineRule="atLeast"/>
              <w:jc w:val="left"/>
              <w:rPr>
                <w:rFonts w:ascii="Myriad Pro" w:eastAsia="Calibri" w:hAnsi="Myriad Pro" w:cs="Calibri"/>
                <w:bCs/>
                <w:sz w:val="18"/>
                <w:szCs w:val="18"/>
              </w:rPr>
            </w:pPr>
          </w:p>
        </w:tc>
        <w:tc>
          <w:tcPr>
            <w:tcW w:w="295" w:type="pct"/>
            <w:tcBorders>
              <w:bottom w:val="single" w:sz="8" w:space="0" w:color="auto"/>
            </w:tcBorders>
          </w:tcPr>
          <w:p w14:paraId="702D00FA" w14:textId="77777777" w:rsidR="00921B87" w:rsidRPr="00E577BC" w:rsidRDefault="00921B87" w:rsidP="00815793">
            <w:pPr>
              <w:pStyle w:val="TabelaglavadesnoUMAR"/>
              <w:cnfStyle w:val="100000000000" w:firstRow="1" w:lastRow="0" w:firstColumn="0" w:lastColumn="0" w:oddVBand="0" w:evenVBand="0" w:oddHBand="0" w:evenHBand="0" w:firstRowFirstColumn="0" w:firstRowLastColumn="0" w:lastRowFirstColumn="0" w:lastRowLastColumn="0"/>
            </w:pPr>
            <w:r w:rsidRPr="00E577BC">
              <w:t>2009</w:t>
            </w:r>
          </w:p>
        </w:tc>
        <w:tc>
          <w:tcPr>
            <w:tcW w:w="295" w:type="pct"/>
            <w:tcBorders>
              <w:bottom w:val="single" w:sz="8" w:space="0" w:color="auto"/>
            </w:tcBorders>
          </w:tcPr>
          <w:p w14:paraId="098B7454" w14:textId="77777777" w:rsidR="00921B87" w:rsidRPr="00E577BC" w:rsidRDefault="00921B87" w:rsidP="00815793">
            <w:pPr>
              <w:pStyle w:val="TabelaglavadesnoUMAR"/>
              <w:cnfStyle w:val="100000000000" w:firstRow="1" w:lastRow="0" w:firstColumn="0" w:lastColumn="0" w:oddVBand="0" w:evenVBand="0" w:oddHBand="0" w:evenHBand="0" w:firstRowFirstColumn="0" w:firstRowLastColumn="0" w:lastRowFirstColumn="0" w:lastRowLastColumn="0"/>
            </w:pPr>
            <w:r w:rsidRPr="00E577BC">
              <w:t>2010</w:t>
            </w:r>
          </w:p>
        </w:tc>
        <w:tc>
          <w:tcPr>
            <w:tcW w:w="297" w:type="pct"/>
            <w:tcBorders>
              <w:bottom w:val="single" w:sz="8" w:space="0" w:color="auto"/>
            </w:tcBorders>
          </w:tcPr>
          <w:p w14:paraId="45FA7795" w14:textId="77777777" w:rsidR="00921B87" w:rsidRPr="00E577BC" w:rsidRDefault="00921B87" w:rsidP="00815793">
            <w:pPr>
              <w:pStyle w:val="TabelaglavadesnoUMAR"/>
              <w:cnfStyle w:val="100000000000" w:firstRow="1" w:lastRow="0" w:firstColumn="0" w:lastColumn="0" w:oddVBand="0" w:evenVBand="0" w:oddHBand="0" w:evenHBand="0" w:firstRowFirstColumn="0" w:firstRowLastColumn="0" w:lastRowFirstColumn="0" w:lastRowLastColumn="0"/>
            </w:pPr>
            <w:r w:rsidRPr="00E577BC">
              <w:t>2011</w:t>
            </w:r>
          </w:p>
        </w:tc>
        <w:tc>
          <w:tcPr>
            <w:tcW w:w="295" w:type="pct"/>
            <w:tcBorders>
              <w:bottom w:val="single" w:sz="8" w:space="0" w:color="auto"/>
            </w:tcBorders>
          </w:tcPr>
          <w:p w14:paraId="34CA6A64" w14:textId="77777777" w:rsidR="00921B87" w:rsidRPr="00E577BC" w:rsidRDefault="00921B87" w:rsidP="00815793">
            <w:pPr>
              <w:pStyle w:val="TabelaglavadesnoUMAR"/>
              <w:cnfStyle w:val="100000000000" w:firstRow="1" w:lastRow="0" w:firstColumn="0" w:lastColumn="0" w:oddVBand="0" w:evenVBand="0" w:oddHBand="0" w:evenHBand="0" w:firstRowFirstColumn="0" w:firstRowLastColumn="0" w:lastRowFirstColumn="0" w:lastRowLastColumn="0"/>
            </w:pPr>
            <w:r w:rsidRPr="00E577BC">
              <w:t>2012</w:t>
            </w:r>
          </w:p>
        </w:tc>
        <w:tc>
          <w:tcPr>
            <w:tcW w:w="295" w:type="pct"/>
            <w:tcBorders>
              <w:bottom w:val="single" w:sz="8" w:space="0" w:color="auto"/>
            </w:tcBorders>
          </w:tcPr>
          <w:p w14:paraId="5460614F" w14:textId="77777777" w:rsidR="00921B87" w:rsidRPr="00E577BC" w:rsidRDefault="00921B87" w:rsidP="00815793">
            <w:pPr>
              <w:pStyle w:val="TabelaglavadesnoUMAR"/>
              <w:cnfStyle w:val="100000000000" w:firstRow="1" w:lastRow="0" w:firstColumn="0" w:lastColumn="0" w:oddVBand="0" w:evenVBand="0" w:oddHBand="0" w:evenHBand="0" w:firstRowFirstColumn="0" w:firstRowLastColumn="0" w:lastRowFirstColumn="0" w:lastRowLastColumn="0"/>
            </w:pPr>
            <w:r w:rsidRPr="00E577BC">
              <w:t>2013</w:t>
            </w:r>
          </w:p>
        </w:tc>
        <w:tc>
          <w:tcPr>
            <w:tcW w:w="296" w:type="pct"/>
            <w:tcBorders>
              <w:bottom w:val="single" w:sz="8" w:space="0" w:color="auto"/>
            </w:tcBorders>
          </w:tcPr>
          <w:p w14:paraId="1081EB85" w14:textId="77777777" w:rsidR="00921B87" w:rsidRPr="00E577BC" w:rsidRDefault="00921B87" w:rsidP="00815793">
            <w:pPr>
              <w:pStyle w:val="TabelaglavadesnoUMAR"/>
              <w:cnfStyle w:val="100000000000" w:firstRow="1" w:lastRow="0" w:firstColumn="0" w:lastColumn="0" w:oddVBand="0" w:evenVBand="0" w:oddHBand="0" w:evenHBand="0" w:firstRowFirstColumn="0" w:firstRowLastColumn="0" w:lastRowFirstColumn="0" w:lastRowLastColumn="0"/>
            </w:pPr>
            <w:r w:rsidRPr="00E577BC">
              <w:t>2014</w:t>
            </w:r>
          </w:p>
        </w:tc>
        <w:tc>
          <w:tcPr>
            <w:tcW w:w="295" w:type="pct"/>
            <w:tcBorders>
              <w:bottom w:val="single" w:sz="8" w:space="0" w:color="auto"/>
            </w:tcBorders>
          </w:tcPr>
          <w:p w14:paraId="6334FC4B" w14:textId="77777777" w:rsidR="00921B87" w:rsidRPr="00E577BC" w:rsidRDefault="00921B87" w:rsidP="00815793">
            <w:pPr>
              <w:pStyle w:val="TabelaglavadesnoUMAR"/>
              <w:cnfStyle w:val="100000000000" w:firstRow="1" w:lastRow="0" w:firstColumn="0" w:lastColumn="0" w:oddVBand="0" w:evenVBand="0" w:oddHBand="0" w:evenHBand="0" w:firstRowFirstColumn="0" w:firstRowLastColumn="0" w:lastRowFirstColumn="0" w:lastRowLastColumn="0"/>
            </w:pPr>
            <w:r w:rsidRPr="00E577BC">
              <w:t>2015</w:t>
            </w:r>
          </w:p>
        </w:tc>
        <w:tc>
          <w:tcPr>
            <w:tcW w:w="295" w:type="pct"/>
            <w:tcBorders>
              <w:bottom w:val="single" w:sz="8" w:space="0" w:color="auto"/>
            </w:tcBorders>
          </w:tcPr>
          <w:p w14:paraId="02BFC52E" w14:textId="77777777" w:rsidR="00921B87" w:rsidRPr="00E577BC" w:rsidRDefault="00921B87" w:rsidP="00815793">
            <w:pPr>
              <w:pStyle w:val="TabelaglavadesnoUMAR"/>
              <w:cnfStyle w:val="100000000000" w:firstRow="1" w:lastRow="0" w:firstColumn="0" w:lastColumn="0" w:oddVBand="0" w:evenVBand="0" w:oddHBand="0" w:evenHBand="0" w:firstRowFirstColumn="0" w:firstRowLastColumn="0" w:lastRowFirstColumn="0" w:lastRowLastColumn="0"/>
            </w:pPr>
            <w:r w:rsidRPr="00E577BC">
              <w:t>2016</w:t>
            </w:r>
          </w:p>
        </w:tc>
        <w:tc>
          <w:tcPr>
            <w:tcW w:w="296" w:type="pct"/>
            <w:tcBorders>
              <w:bottom w:val="single" w:sz="8" w:space="0" w:color="auto"/>
            </w:tcBorders>
          </w:tcPr>
          <w:p w14:paraId="11FC39D3" w14:textId="77777777" w:rsidR="00921B87" w:rsidRPr="00E577BC" w:rsidRDefault="00921B87" w:rsidP="00815793">
            <w:pPr>
              <w:pStyle w:val="TabelaglavadesnoUMAR"/>
              <w:cnfStyle w:val="100000000000" w:firstRow="1" w:lastRow="0" w:firstColumn="0" w:lastColumn="0" w:oddVBand="0" w:evenVBand="0" w:oddHBand="0" w:evenHBand="0" w:firstRowFirstColumn="0" w:firstRowLastColumn="0" w:lastRowFirstColumn="0" w:lastRowLastColumn="0"/>
            </w:pPr>
            <w:r w:rsidRPr="00E577BC">
              <w:t>2017</w:t>
            </w:r>
          </w:p>
        </w:tc>
        <w:tc>
          <w:tcPr>
            <w:tcW w:w="295" w:type="pct"/>
            <w:tcBorders>
              <w:bottom w:val="single" w:sz="8" w:space="0" w:color="auto"/>
            </w:tcBorders>
          </w:tcPr>
          <w:p w14:paraId="14430B68" w14:textId="77777777" w:rsidR="00921B87" w:rsidRPr="00E577BC" w:rsidRDefault="00921B87" w:rsidP="00815793">
            <w:pPr>
              <w:pStyle w:val="TabelaglavadesnoUMAR"/>
              <w:cnfStyle w:val="100000000000" w:firstRow="1" w:lastRow="0" w:firstColumn="0" w:lastColumn="0" w:oddVBand="0" w:evenVBand="0" w:oddHBand="0" w:evenHBand="0" w:firstRowFirstColumn="0" w:firstRowLastColumn="0" w:lastRowFirstColumn="0" w:lastRowLastColumn="0"/>
            </w:pPr>
            <w:r w:rsidRPr="00E577BC">
              <w:t>2018</w:t>
            </w:r>
          </w:p>
        </w:tc>
        <w:tc>
          <w:tcPr>
            <w:tcW w:w="295" w:type="pct"/>
            <w:tcBorders>
              <w:bottom w:val="single" w:sz="8" w:space="0" w:color="auto"/>
            </w:tcBorders>
          </w:tcPr>
          <w:p w14:paraId="6B193E4A" w14:textId="77777777" w:rsidR="00921B87" w:rsidRPr="00E577BC" w:rsidRDefault="00921B87" w:rsidP="00815793">
            <w:pPr>
              <w:pStyle w:val="TabelaglavadesnoUMAR"/>
              <w:cnfStyle w:val="100000000000" w:firstRow="1" w:lastRow="0" w:firstColumn="0" w:lastColumn="0" w:oddVBand="0" w:evenVBand="0" w:oddHBand="0" w:evenHBand="0" w:firstRowFirstColumn="0" w:firstRowLastColumn="0" w:lastRowFirstColumn="0" w:lastRowLastColumn="0"/>
            </w:pPr>
            <w:r w:rsidRPr="00E577BC">
              <w:t>2019</w:t>
            </w:r>
          </w:p>
        </w:tc>
        <w:tc>
          <w:tcPr>
            <w:tcW w:w="296" w:type="pct"/>
            <w:tcBorders>
              <w:bottom w:val="single" w:sz="8" w:space="0" w:color="auto"/>
            </w:tcBorders>
          </w:tcPr>
          <w:p w14:paraId="42778ED9" w14:textId="77777777" w:rsidR="00921B87" w:rsidRPr="00E577BC" w:rsidRDefault="00921B87" w:rsidP="00815793">
            <w:pPr>
              <w:pStyle w:val="TabelaglavadesnoUMAR"/>
              <w:cnfStyle w:val="100000000000" w:firstRow="1" w:lastRow="0" w:firstColumn="0" w:lastColumn="0" w:oddVBand="0" w:evenVBand="0" w:oddHBand="0" w:evenHBand="0" w:firstRowFirstColumn="0" w:firstRowLastColumn="0" w:lastRowFirstColumn="0" w:lastRowLastColumn="0"/>
            </w:pPr>
            <w:r w:rsidRPr="00E577BC">
              <w:t>2020</w:t>
            </w:r>
          </w:p>
        </w:tc>
        <w:tc>
          <w:tcPr>
            <w:tcW w:w="295" w:type="pct"/>
            <w:tcBorders>
              <w:bottom w:val="single" w:sz="8" w:space="0" w:color="auto"/>
            </w:tcBorders>
          </w:tcPr>
          <w:p w14:paraId="7FAFFF4F" w14:textId="77777777" w:rsidR="00921B87" w:rsidRPr="00E577BC" w:rsidRDefault="00921B87" w:rsidP="00815793">
            <w:pPr>
              <w:pStyle w:val="TabelaglavadesnoUMAR"/>
              <w:cnfStyle w:val="100000000000" w:firstRow="1" w:lastRow="0" w:firstColumn="0" w:lastColumn="0" w:oddVBand="0" w:evenVBand="0" w:oddHBand="0" w:evenHBand="0" w:firstRowFirstColumn="0" w:firstRowLastColumn="0" w:lastRowFirstColumn="0" w:lastRowLastColumn="0"/>
            </w:pPr>
            <w:r w:rsidRPr="00E577BC">
              <w:t>2021</w:t>
            </w:r>
          </w:p>
        </w:tc>
        <w:tc>
          <w:tcPr>
            <w:tcW w:w="296" w:type="pct"/>
            <w:tcBorders>
              <w:bottom w:val="single" w:sz="8" w:space="0" w:color="auto"/>
            </w:tcBorders>
          </w:tcPr>
          <w:p w14:paraId="1DE269CB" w14:textId="77777777" w:rsidR="00921B87" w:rsidRPr="00E577BC" w:rsidRDefault="00921B87" w:rsidP="00815793">
            <w:pPr>
              <w:pStyle w:val="TabelaglavadesnoUMAR"/>
              <w:cnfStyle w:val="100000000000" w:firstRow="1" w:lastRow="0" w:firstColumn="0" w:lastColumn="0" w:oddVBand="0" w:evenVBand="0" w:oddHBand="0" w:evenHBand="0" w:firstRowFirstColumn="0" w:firstRowLastColumn="0" w:lastRowFirstColumn="0" w:lastRowLastColumn="0"/>
            </w:pPr>
            <w:r w:rsidRPr="00E577BC">
              <w:t>2022</w:t>
            </w:r>
          </w:p>
        </w:tc>
      </w:tr>
      <w:tr w:rsidR="001B7AF8" w:rsidRPr="00E577BC" w14:paraId="22CD2FE8" w14:textId="77777777" w:rsidTr="00AF0AAE">
        <w:trPr>
          <w:trHeight w:val="285"/>
        </w:trPr>
        <w:tc>
          <w:tcPr>
            <w:cnfStyle w:val="001000000000" w:firstRow="0" w:lastRow="0" w:firstColumn="1" w:lastColumn="0" w:oddVBand="0" w:evenVBand="0" w:oddHBand="0" w:evenHBand="0" w:firstRowFirstColumn="0" w:firstRowLastColumn="0" w:lastRowFirstColumn="0" w:lastRowLastColumn="0"/>
            <w:tcW w:w="863" w:type="pct"/>
            <w:tcBorders>
              <w:top w:val="single" w:sz="8" w:space="0" w:color="auto"/>
            </w:tcBorders>
            <w:noWrap/>
          </w:tcPr>
          <w:p w14:paraId="59DBDFC0" w14:textId="0ADD6AE4" w:rsidR="001B7AF8" w:rsidRPr="00E577BC" w:rsidRDefault="001B7AF8" w:rsidP="001B7AF8">
            <w:pPr>
              <w:spacing w:before="10" w:after="10" w:line="220" w:lineRule="atLeast"/>
              <w:rPr>
                <w:rFonts w:ascii="Myriad Pro" w:eastAsia="Calibri" w:hAnsi="Myriad Pro" w:cs="Calibri"/>
                <w:b/>
                <w:sz w:val="18"/>
                <w:szCs w:val="18"/>
              </w:rPr>
            </w:pPr>
            <w:r w:rsidRPr="00E577BC">
              <w:rPr>
                <w:rFonts w:ascii="Myriad Pro" w:eastAsia="Calibri" w:hAnsi="Myriad Pro" w:cs="Calibri"/>
                <w:b/>
                <w:sz w:val="18"/>
                <w:szCs w:val="18"/>
              </w:rPr>
              <w:t>Neto pozicija</w:t>
            </w:r>
          </w:p>
        </w:tc>
        <w:tc>
          <w:tcPr>
            <w:tcW w:w="295" w:type="pct"/>
            <w:tcBorders>
              <w:top w:val="single" w:sz="8" w:space="0" w:color="auto"/>
            </w:tcBorders>
            <w:noWrap/>
          </w:tcPr>
          <w:p w14:paraId="6323B984" w14:textId="6B5A5BE1" w:rsidR="001B7AF8" w:rsidRPr="00E577BC" w:rsidRDefault="001B7AF8" w:rsidP="001B7AF8">
            <w:pPr>
              <w:spacing w:before="10"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
                <w:sz w:val="18"/>
                <w:szCs w:val="18"/>
              </w:rPr>
            </w:pPr>
            <w:r w:rsidRPr="00E577BC">
              <w:rPr>
                <w:rFonts w:ascii="Myriad Pro" w:eastAsia="Calibri" w:hAnsi="Myriad Pro" w:cs="Arial"/>
                <w:b/>
                <w:color w:val="000000"/>
                <w:sz w:val="18"/>
                <w:szCs w:val="18"/>
              </w:rPr>
              <w:t>-40</w:t>
            </w:r>
            <w:r>
              <w:rPr>
                <w:rFonts w:ascii="Myriad Pro" w:eastAsia="Calibri" w:hAnsi="Myriad Pro" w:cs="Arial"/>
                <w:b/>
                <w:color w:val="000000"/>
                <w:sz w:val="18"/>
                <w:szCs w:val="18"/>
              </w:rPr>
              <w:t>,</w:t>
            </w:r>
            <w:r w:rsidRPr="00E577BC">
              <w:rPr>
                <w:rFonts w:ascii="Myriad Pro" w:eastAsia="Calibri" w:hAnsi="Myriad Pro" w:cs="Arial"/>
                <w:b/>
                <w:color w:val="000000"/>
                <w:sz w:val="18"/>
                <w:szCs w:val="18"/>
              </w:rPr>
              <w:t>6</w:t>
            </w:r>
          </w:p>
        </w:tc>
        <w:tc>
          <w:tcPr>
            <w:tcW w:w="295" w:type="pct"/>
            <w:tcBorders>
              <w:top w:val="single" w:sz="8" w:space="0" w:color="auto"/>
            </w:tcBorders>
            <w:noWrap/>
          </w:tcPr>
          <w:p w14:paraId="6C90E4F4" w14:textId="0483C9A4" w:rsidR="001B7AF8" w:rsidRPr="00E577BC" w:rsidRDefault="001B7AF8" w:rsidP="001B7AF8">
            <w:pPr>
              <w:spacing w:before="10"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
                <w:sz w:val="18"/>
                <w:szCs w:val="18"/>
              </w:rPr>
            </w:pPr>
            <w:r w:rsidRPr="00E577BC">
              <w:rPr>
                <w:rFonts w:ascii="Myriad Pro" w:eastAsia="Calibri" w:hAnsi="Myriad Pro" w:cs="Arial"/>
                <w:b/>
                <w:color w:val="000000"/>
                <w:sz w:val="18"/>
                <w:szCs w:val="18"/>
              </w:rPr>
              <w:t>-43</w:t>
            </w:r>
            <w:r>
              <w:rPr>
                <w:rFonts w:ascii="Myriad Pro" w:eastAsia="Calibri" w:hAnsi="Myriad Pro" w:cs="Arial"/>
                <w:b/>
                <w:color w:val="000000"/>
                <w:sz w:val="18"/>
                <w:szCs w:val="18"/>
              </w:rPr>
              <w:t>,</w:t>
            </w:r>
            <w:r w:rsidRPr="00E577BC">
              <w:rPr>
                <w:rFonts w:ascii="Myriad Pro" w:eastAsia="Calibri" w:hAnsi="Myriad Pro" w:cs="Arial"/>
                <w:b/>
                <w:color w:val="000000"/>
                <w:sz w:val="18"/>
                <w:szCs w:val="18"/>
              </w:rPr>
              <w:t>1</w:t>
            </w:r>
          </w:p>
        </w:tc>
        <w:tc>
          <w:tcPr>
            <w:tcW w:w="297" w:type="pct"/>
            <w:tcBorders>
              <w:top w:val="single" w:sz="8" w:space="0" w:color="auto"/>
            </w:tcBorders>
            <w:noWrap/>
          </w:tcPr>
          <w:p w14:paraId="0DAC42FB" w14:textId="4EDB58A4" w:rsidR="001B7AF8" w:rsidRPr="00E577BC" w:rsidRDefault="001B7AF8" w:rsidP="001B7AF8">
            <w:pPr>
              <w:spacing w:before="10"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
                <w:sz w:val="18"/>
                <w:szCs w:val="18"/>
              </w:rPr>
            </w:pPr>
            <w:r w:rsidRPr="00E577BC">
              <w:rPr>
                <w:rFonts w:ascii="Myriad Pro" w:eastAsia="Calibri" w:hAnsi="Myriad Pro" w:cs="Arial"/>
                <w:b/>
                <w:color w:val="000000"/>
                <w:sz w:val="18"/>
                <w:szCs w:val="18"/>
              </w:rPr>
              <w:t>-39</w:t>
            </w:r>
            <w:r>
              <w:rPr>
                <w:rFonts w:ascii="Myriad Pro" w:eastAsia="Calibri" w:hAnsi="Myriad Pro" w:cs="Arial"/>
                <w:b/>
                <w:color w:val="000000"/>
                <w:sz w:val="18"/>
                <w:szCs w:val="18"/>
              </w:rPr>
              <w:t>,</w:t>
            </w:r>
            <w:r w:rsidRPr="00E577BC">
              <w:rPr>
                <w:rFonts w:ascii="Myriad Pro" w:eastAsia="Calibri" w:hAnsi="Myriad Pro" w:cs="Arial"/>
                <w:b/>
                <w:color w:val="000000"/>
                <w:sz w:val="18"/>
                <w:szCs w:val="18"/>
              </w:rPr>
              <w:t>8</w:t>
            </w:r>
          </w:p>
        </w:tc>
        <w:tc>
          <w:tcPr>
            <w:tcW w:w="295" w:type="pct"/>
            <w:tcBorders>
              <w:top w:val="single" w:sz="8" w:space="0" w:color="auto"/>
            </w:tcBorders>
            <w:noWrap/>
          </w:tcPr>
          <w:p w14:paraId="24923EAC" w14:textId="4FE47108" w:rsidR="001B7AF8" w:rsidRPr="00E577BC" w:rsidRDefault="001B7AF8" w:rsidP="001B7AF8">
            <w:pPr>
              <w:spacing w:before="10"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
                <w:sz w:val="18"/>
                <w:szCs w:val="18"/>
              </w:rPr>
            </w:pPr>
            <w:r w:rsidRPr="00E577BC">
              <w:rPr>
                <w:rFonts w:ascii="Myriad Pro" w:eastAsia="Calibri" w:hAnsi="Myriad Pro" w:cs="Arial"/>
                <w:b/>
                <w:color w:val="000000"/>
                <w:sz w:val="18"/>
                <w:szCs w:val="18"/>
              </w:rPr>
              <w:t>-44</w:t>
            </w:r>
            <w:r>
              <w:rPr>
                <w:rFonts w:ascii="Myriad Pro" w:eastAsia="Calibri" w:hAnsi="Myriad Pro" w:cs="Arial"/>
                <w:b/>
                <w:color w:val="000000"/>
                <w:sz w:val="18"/>
                <w:szCs w:val="18"/>
              </w:rPr>
              <w:t>,</w:t>
            </w:r>
            <w:r w:rsidRPr="00E577BC">
              <w:rPr>
                <w:rFonts w:ascii="Myriad Pro" w:eastAsia="Calibri" w:hAnsi="Myriad Pro" w:cs="Arial"/>
                <w:b/>
                <w:color w:val="000000"/>
                <w:sz w:val="18"/>
                <w:szCs w:val="18"/>
              </w:rPr>
              <w:t>0</w:t>
            </w:r>
          </w:p>
        </w:tc>
        <w:tc>
          <w:tcPr>
            <w:tcW w:w="295" w:type="pct"/>
            <w:tcBorders>
              <w:top w:val="single" w:sz="8" w:space="0" w:color="auto"/>
            </w:tcBorders>
          </w:tcPr>
          <w:p w14:paraId="197B1BC3" w14:textId="09D11780" w:rsidR="001B7AF8" w:rsidRPr="00E577BC" w:rsidRDefault="001B7AF8" w:rsidP="001B7AF8">
            <w:pPr>
              <w:spacing w:before="10"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
                <w:sz w:val="18"/>
                <w:szCs w:val="18"/>
              </w:rPr>
            </w:pPr>
            <w:r w:rsidRPr="00E577BC">
              <w:rPr>
                <w:rFonts w:ascii="Myriad Pro" w:eastAsia="Calibri" w:hAnsi="Myriad Pro" w:cs="Arial"/>
                <w:b/>
                <w:color w:val="000000"/>
                <w:sz w:val="18"/>
                <w:szCs w:val="18"/>
              </w:rPr>
              <w:t>-39</w:t>
            </w:r>
            <w:r>
              <w:rPr>
                <w:rFonts w:ascii="Myriad Pro" w:eastAsia="Calibri" w:hAnsi="Myriad Pro" w:cs="Arial"/>
                <w:b/>
                <w:color w:val="000000"/>
                <w:sz w:val="18"/>
                <w:szCs w:val="18"/>
              </w:rPr>
              <w:t>,</w:t>
            </w:r>
            <w:r w:rsidRPr="00E577BC">
              <w:rPr>
                <w:rFonts w:ascii="Myriad Pro" w:eastAsia="Calibri" w:hAnsi="Myriad Pro" w:cs="Arial"/>
                <w:b/>
                <w:color w:val="000000"/>
                <w:sz w:val="18"/>
                <w:szCs w:val="18"/>
              </w:rPr>
              <w:t>3</w:t>
            </w:r>
          </w:p>
        </w:tc>
        <w:tc>
          <w:tcPr>
            <w:tcW w:w="296" w:type="pct"/>
            <w:tcBorders>
              <w:top w:val="single" w:sz="8" w:space="0" w:color="auto"/>
            </w:tcBorders>
          </w:tcPr>
          <w:p w14:paraId="22E4C210" w14:textId="357F49F0" w:rsidR="001B7AF8" w:rsidRPr="00E577BC" w:rsidRDefault="001B7AF8" w:rsidP="001B7AF8">
            <w:pPr>
              <w:spacing w:before="10"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
                <w:sz w:val="18"/>
                <w:szCs w:val="18"/>
              </w:rPr>
            </w:pPr>
            <w:r w:rsidRPr="00E577BC">
              <w:rPr>
                <w:rFonts w:ascii="Myriad Pro" w:eastAsia="Calibri" w:hAnsi="Myriad Pro" w:cs="Arial"/>
                <w:b/>
                <w:color w:val="000000"/>
                <w:sz w:val="18"/>
                <w:szCs w:val="18"/>
              </w:rPr>
              <w:t>-38</w:t>
            </w:r>
            <w:r>
              <w:rPr>
                <w:rFonts w:ascii="Myriad Pro" w:eastAsia="Calibri" w:hAnsi="Myriad Pro" w:cs="Arial"/>
                <w:b/>
                <w:color w:val="000000"/>
                <w:sz w:val="18"/>
                <w:szCs w:val="18"/>
              </w:rPr>
              <w:t>,</w:t>
            </w:r>
            <w:r w:rsidRPr="00E577BC">
              <w:rPr>
                <w:rFonts w:ascii="Myriad Pro" w:eastAsia="Calibri" w:hAnsi="Myriad Pro" w:cs="Arial"/>
                <w:b/>
                <w:color w:val="000000"/>
                <w:sz w:val="18"/>
                <w:szCs w:val="18"/>
              </w:rPr>
              <w:t>4</w:t>
            </w:r>
          </w:p>
        </w:tc>
        <w:tc>
          <w:tcPr>
            <w:tcW w:w="295" w:type="pct"/>
            <w:tcBorders>
              <w:top w:val="single" w:sz="8" w:space="0" w:color="auto"/>
            </w:tcBorders>
          </w:tcPr>
          <w:p w14:paraId="3CF59875" w14:textId="6F445E1E" w:rsidR="001B7AF8" w:rsidRPr="00E577BC" w:rsidRDefault="001B7AF8" w:rsidP="001B7AF8">
            <w:pPr>
              <w:spacing w:before="10"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
                <w:sz w:val="18"/>
                <w:szCs w:val="18"/>
              </w:rPr>
            </w:pPr>
            <w:r w:rsidRPr="00E577BC">
              <w:rPr>
                <w:rFonts w:ascii="Myriad Pro" w:eastAsia="Calibri" w:hAnsi="Myriad Pro" w:cs="Arial"/>
                <w:b/>
                <w:color w:val="000000"/>
                <w:sz w:val="18"/>
                <w:szCs w:val="18"/>
              </w:rPr>
              <w:t>-31</w:t>
            </w:r>
            <w:r>
              <w:rPr>
                <w:rFonts w:ascii="Myriad Pro" w:eastAsia="Calibri" w:hAnsi="Myriad Pro" w:cs="Arial"/>
                <w:b/>
                <w:color w:val="000000"/>
                <w:sz w:val="18"/>
                <w:szCs w:val="18"/>
              </w:rPr>
              <w:t>,</w:t>
            </w:r>
            <w:r w:rsidRPr="00E577BC">
              <w:rPr>
                <w:rFonts w:ascii="Myriad Pro" w:eastAsia="Calibri" w:hAnsi="Myriad Pro" w:cs="Arial"/>
                <w:b/>
                <w:color w:val="000000"/>
                <w:sz w:val="18"/>
                <w:szCs w:val="18"/>
              </w:rPr>
              <w:t>2</w:t>
            </w:r>
          </w:p>
        </w:tc>
        <w:tc>
          <w:tcPr>
            <w:tcW w:w="295" w:type="pct"/>
            <w:tcBorders>
              <w:top w:val="single" w:sz="8" w:space="0" w:color="auto"/>
            </w:tcBorders>
          </w:tcPr>
          <w:p w14:paraId="34E6A6A2" w14:textId="2CDB8E40" w:rsidR="001B7AF8" w:rsidRPr="00E577BC" w:rsidRDefault="001B7AF8" w:rsidP="001B7AF8">
            <w:pPr>
              <w:spacing w:before="10"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
                <w:sz w:val="18"/>
                <w:szCs w:val="18"/>
              </w:rPr>
            </w:pPr>
            <w:r w:rsidRPr="00E577BC">
              <w:rPr>
                <w:rFonts w:ascii="Myriad Pro" w:eastAsia="Calibri" w:hAnsi="Myriad Pro" w:cs="Arial"/>
                <w:b/>
                <w:color w:val="000000"/>
                <w:sz w:val="18"/>
                <w:szCs w:val="18"/>
              </w:rPr>
              <w:t>-28</w:t>
            </w:r>
            <w:r>
              <w:rPr>
                <w:rFonts w:ascii="Myriad Pro" w:eastAsia="Calibri" w:hAnsi="Myriad Pro" w:cs="Arial"/>
                <w:b/>
                <w:color w:val="000000"/>
                <w:sz w:val="18"/>
                <w:szCs w:val="18"/>
              </w:rPr>
              <w:t>,</w:t>
            </w:r>
            <w:r w:rsidRPr="00E577BC">
              <w:rPr>
                <w:rFonts w:ascii="Myriad Pro" w:eastAsia="Calibri" w:hAnsi="Myriad Pro" w:cs="Arial"/>
                <w:b/>
                <w:color w:val="000000"/>
                <w:sz w:val="18"/>
                <w:szCs w:val="18"/>
              </w:rPr>
              <w:t>8</w:t>
            </w:r>
          </w:p>
        </w:tc>
        <w:tc>
          <w:tcPr>
            <w:tcW w:w="296" w:type="pct"/>
            <w:tcBorders>
              <w:top w:val="single" w:sz="8" w:space="0" w:color="auto"/>
            </w:tcBorders>
          </w:tcPr>
          <w:p w14:paraId="0F935E6F" w14:textId="7DECEFB5" w:rsidR="001B7AF8" w:rsidRPr="00E577BC" w:rsidRDefault="001B7AF8" w:rsidP="001B7AF8">
            <w:pPr>
              <w:spacing w:before="10"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
                <w:sz w:val="18"/>
                <w:szCs w:val="18"/>
              </w:rPr>
            </w:pPr>
            <w:r w:rsidRPr="00E577BC">
              <w:rPr>
                <w:rFonts w:ascii="Myriad Pro" w:eastAsia="Calibri" w:hAnsi="Myriad Pro" w:cs="Arial"/>
                <w:b/>
                <w:color w:val="000000"/>
                <w:sz w:val="18"/>
                <w:szCs w:val="18"/>
              </w:rPr>
              <w:t>-24</w:t>
            </w:r>
            <w:r>
              <w:rPr>
                <w:rFonts w:ascii="Myriad Pro" w:eastAsia="Calibri" w:hAnsi="Myriad Pro" w:cs="Arial"/>
                <w:b/>
                <w:color w:val="000000"/>
                <w:sz w:val="18"/>
                <w:szCs w:val="18"/>
              </w:rPr>
              <w:t>,</w:t>
            </w:r>
            <w:r w:rsidRPr="00E577BC">
              <w:rPr>
                <w:rFonts w:ascii="Myriad Pro" w:eastAsia="Calibri" w:hAnsi="Myriad Pro" w:cs="Arial"/>
                <w:b/>
                <w:color w:val="000000"/>
                <w:sz w:val="18"/>
                <w:szCs w:val="18"/>
              </w:rPr>
              <w:t>2</w:t>
            </w:r>
          </w:p>
        </w:tc>
        <w:tc>
          <w:tcPr>
            <w:tcW w:w="295" w:type="pct"/>
            <w:tcBorders>
              <w:top w:val="single" w:sz="8" w:space="0" w:color="auto"/>
            </w:tcBorders>
          </w:tcPr>
          <w:p w14:paraId="239A8A0A" w14:textId="05B4F762" w:rsidR="001B7AF8" w:rsidRPr="00E577BC" w:rsidRDefault="001B7AF8" w:rsidP="001B7AF8">
            <w:pPr>
              <w:spacing w:before="10"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
                <w:sz w:val="18"/>
                <w:szCs w:val="18"/>
              </w:rPr>
            </w:pPr>
            <w:r w:rsidRPr="00E65A3F">
              <w:rPr>
                <w:rFonts w:ascii="Myriad Pro" w:eastAsia="Calibri" w:hAnsi="Myriad Pro" w:cs="Arial"/>
                <w:b/>
                <w:color w:val="000000"/>
                <w:sz w:val="18"/>
                <w:szCs w:val="18"/>
              </w:rPr>
              <w:t>-19,0</w:t>
            </w:r>
          </w:p>
        </w:tc>
        <w:tc>
          <w:tcPr>
            <w:tcW w:w="295" w:type="pct"/>
            <w:tcBorders>
              <w:top w:val="single" w:sz="8" w:space="0" w:color="auto"/>
            </w:tcBorders>
          </w:tcPr>
          <w:p w14:paraId="7AAE6092" w14:textId="0A830B33" w:rsidR="001B7AF8" w:rsidRPr="00E577BC" w:rsidRDefault="001B7AF8" w:rsidP="001B7AF8">
            <w:pPr>
              <w:spacing w:before="10"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
                <w:sz w:val="18"/>
                <w:szCs w:val="18"/>
              </w:rPr>
            </w:pPr>
            <w:r w:rsidRPr="00E65A3F">
              <w:rPr>
                <w:rFonts w:ascii="Myriad Pro" w:eastAsia="Calibri" w:hAnsi="Myriad Pro" w:cs="Arial"/>
                <w:b/>
                <w:color w:val="000000"/>
                <w:sz w:val="18"/>
                <w:szCs w:val="18"/>
              </w:rPr>
              <w:t>-16,3</w:t>
            </w:r>
          </w:p>
        </w:tc>
        <w:tc>
          <w:tcPr>
            <w:tcW w:w="296" w:type="pct"/>
            <w:tcBorders>
              <w:top w:val="single" w:sz="8" w:space="0" w:color="auto"/>
            </w:tcBorders>
          </w:tcPr>
          <w:p w14:paraId="0EBBB10F" w14:textId="60515787" w:rsidR="001B7AF8" w:rsidRPr="00E577BC" w:rsidRDefault="001B7AF8" w:rsidP="001B7AF8">
            <w:pPr>
              <w:spacing w:before="10"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
                <w:sz w:val="18"/>
                <w:szCs w:val="18"/>
              </w:rPr>
            </w:pPr>
            <w:r w:rsidRPr="00E65A3F">
              <w:rPr>
                <w:rFonts w:ascii="Myriad Pro" w:eastAsia="Calibri" w:hAnsi="Myriad Pro" w:cs="Arial"/>
                <w:b/>
                <w:color w:val="000000"/>
                <w:sz w:val="18"/>
                <w:szCs w:val="18"/>
              </w:rPr>
              <w:t>-15,7</w:t>
            </w:r>
          </w:p>
        </w:tc>
        <w:tc>
          <w:tcPr>
            <w:tcW w:w="295" w:type="pct"/>
            <w:tcBorders>
              <w:top w:val="single" w:sz="8" w:space="0" w:color="auto"/>
            </w:tcBorders>
          </w:tcPr>
          <w:p w14:paraId="51845534" w14:textId="2B97B222" w:rsidR="001B7AF8" w:rsidRPr="00E577BC" w:rsidRDefault="001B7AF8" w:rsidP="001B7AF8">
            <w:pPr>
              <w:spacing w:before="10"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Arial"/>
                <w:b/>
                <w:color w:val="000000"/>
                <w:sz w:val="18"/>
                <w:szCs w:val="18"/>
              </w:rPr>
            </w:pPr>
            <w:r w:rsidRPr="00E65A3F">
              <w:rPr>
                <w:rFonts w:ascii="Myriad Pro" w:eastAsia="Calibri" w:hAnsi="Myriad Pro" w:cs="Arial"/>
                <w:b/>
                <w:color w:val="000000"/>
                <w:sz w:val="18"/>
                <w:szCs w:val="18"/>
              </w:rPr>
              <w:t>-7,7</w:t>
            </w:r>
          </w:p>
        </w:tc>
        <w:tc>
          <w:tcPr>
            <w:tcW w:w="296" w:type="pct"/>
            <w:tcBorders>
              <w:top w:val="single" w:sz="8" w:space="0" w:color="auto"/>
            </w:tcBorders>
          </w:tcPr>
          <w:p w14:paraId="5CC5940A" w14:textId="75997EE4" w:rsidR="001B7AF8" w:rsidRPr="00E577BC" w:rsidRDefault="001B7AF8" w:rsidP="001B7AF8">
            <w:pPr>
              <w:spacing w:before="10"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Arial"/>
                <w:b/>
                <w:color w:val="000000"/>
                <w:sz w:val="18"/>
                <w:szCs w:val="18"/>
              </w:rPr>
            </w:pPr>
            <w:r w:rsidRPr="00E65A3F">
              <w:rPr>
                <w:rFonts w:ascii="Myriad Pro" w:eastAsia="Calibri" w:hAnsi="Myriad Pro" w:cs="Arial"/>
                <w:b/>
                <w:color w:val="000000"/>
                <w:sz w:val="18"/>
                <w:szCs w:val="18"/>
              </w:rPr>
              <w:t>-1,5</w:t>
            </w:r>
          </w:p>
        </w:tc>
      </w:tr>
      <w:tr w:rsidR="001B7AF8" w:rsidRPr="00E577BC" w14:paraId="28B99F98" w14:textId="77777777" w:rsidTr="00AF0AAE">
        <w:trPr>
          <w:trHeight w:val="285"/>
        </w:trPr>
        <w:tc>
          <w:tcPr>
            <w:cnfStyle w:val="001000000000" w:firstRow="0" w:lastRow="0" w:firstColumn="1" w:lastColumn="0" w:oddVBand="0" w:evenVBand="0" w:oddHBand="0" w:evenHBand="0" w:firstRowFirstColumn="0" w:firstRowLastColumn="0" w:lastRowFirstColumn="0" w:lastRowLastColumn="0"/>
            <w:tcW w:w="863" w:type="pct"/>
            <w:noWrap/>
          </w:tcPr>
          <w:p w14:paraId="34B39CD1" w14:textId="23C3A12D" w:rsidR="001B7AF8" w:rsidRPr="00E577BC" w:rsidRDefault="001B7AF8" w:rsidP="001B7AF8">
            <w:pPr>
              <w:spacing w:before="10" w:after="10" w:line="220" w:lineRule="atLeast"/>
              <w:rPr>
                <w:rFonts w:ascii="Myriad Pro" w:eastAsia="Calibri" w:hAnsi="Myriad Pro" w:cs="Calibri"/>
                <w:b/>
                <w:sz w:val="18"/>
                <w:szCs w:val="18"/>
              </w:rPr>
            </w:pPr>
            <w:r w:rsidRPr="00E577BC">
              <w:rPr>
                <w:rFonts w:ascii="Myriad Pro" w:eastAsia="Calibri" w:hAnsi="Myriad Pro" w:cs="Calibri"/>
                <w:bCs/>
                <w:sz w:val="18"/>
                <w:szCs w:val="18"/>
              </w:rPr>
              <w:t>Neposredne nal.</w:t>
            </w:r>
          </w:p>
        </w:tc>
        <w:tc>
          <w:tcPr>
            <w:tcW w:w="295" w:type="pct"/>
            <w:noWrap/>
          </w:tcPr>
          <w:p w14:paraId="6993C6FB" w14:textId="75D20250" w:rsidR="001B7AF8" w:rsidRPr="00E577BC" w:rsidRDefault="001B7AF8" w:rsidP="001B7AF8">
            <w:pPr>
              <w:spacing w:before="10"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r w:rsidRPr="00E577BC">
              <w:rPr>
                <w:rFonts w:ascii="Myriad Pro" w:eastAsia="Calibri" w:hAnsi="Myriad Pro" w:cs="Calibri"/>
                <w:bCs/>
                <w:sz w:val="18"/>
                <w:szCs w:val="18"/>
              </w:rPr>
              <w:t>-4</w:t>
            </w:r>
            <w:r>
              <w:rPr>
                <w:rFonts w:ascii="Myriad Pro" w:eastAsia="Calibri" w:hAnsi="Myriad Pro" w:cs="Calibri"/>
                <w:bCs/>
                <w:sz w:val="18"/>
                <w:szCs w:val="18"/>
              </w:rPr>
              <w:t>,</w:t>
            </w:r>
            <w:r w:rsidRPr="00E577BC">
              <w:rPr>
                <w:rFonts w:ascii="Myriad Pro" w:eastAsia="Calibri" w:hAnsi="Myriad Pro" w:cs="Calibri"/>
                <w:bCs/>
                <w:sz w:val="18"/>
                <w:szCs w:val="18"/>
              </w:rPr>
              <w:t>6</w:t>
            </w:r>
          </w:p>
        </w:tc>
        <w:tc>
          <w:tcPr>
            <w:tcW w:w="295" w:type="pct"/>
            <w:noWrap/>
          </w:tcPr>
          <w:p w14:paraId="654568D8" w14:textId="321F7402" w:rsidR="001B7AF8" w:rsidRPr="00E577BC" w:rsidRDefault="001B7AF8" w:rsidP="001B7AF8">
            <w:pPr>
              <w:spacing w:before="10"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r w:rsidRPr="00E577BC">
              <w:rPr>
                <w:rFonts w:ascii="Myriad Pro" w:eastAsia="Calibri" w:hAnsi="Myriad Pro" w:cs="Calibri"/>
                <w:bCs/>
                <w:sz w:val="18"/>
                <w:szCs w:val="18"/>
              </w:rPr>
              <w:t>-5</w:t>
            </w:r>
            <w:r>
              <w:rPr>
                <w:rFonts w:ascii="Myriad Pro" w:eastAsia="Calibri" w:hAnsi="Myriad Pro" w:cs="Calibri"/>
                <w:bCs/>
                <w:sz w:val="18"/>
                <w:szCs w:val="18"/>
              </w:rPr>
              <w:t>,</w:t>
            </w:r>
            <w:r w:rsidRPr="00E577BC">
              <w:rPr>
                <w:rFonts w:ascii="Myriad Pro" w:eastAsia="Calibri" w:hAnsi="Myriad Pro" w:cs="Calibri"/>
                <w:bCs/>
                <w:sz w:val="18"/>
                <w:szCs w:val="18"/>
              </w:rPr>
              <w:t>2</w:t>
            </w:r>
          </w:p>
        </w:tc>
        <w:tc>
          <w:tcPr>
            <w:tcW w:w="297" w:type="pct"/>
            <w:noWrap/>
          </w:tcPr>
          <w:p w14:paraId="32D40242" w14:textId="00AA1C73" w:rsidR="001B7AF8" w:rsidRPr="00E577BC" w:rsidRDefault="001B7AF8" w:rsidP="001B7AF8">
            <w:pPr>
              <w:spacing w:before="10"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r w:rsidRPr="00E577BC">
              <w:rPr>
                <w:rFonts w:ascii="Myriad Pro" w:eastAsia="Calibri" w:hAnsi="Myriad Pro" w:cs="Calibri"/>
                <w:bCs/>
                <w:sz w:val="18"/>
                <w:szCs w:val="18"/>
              </w:rPr>
              <w:t>-7</w:t>
            </w:r>
            <w:r>
              <w:rPr>
                <w:rFonts w:ascii="Myriad Pro" w:eastAsia="Calibri" w:hAnsi="Myriad Pro" w:cs="Calibri"/>
                <w:bCs/>
                <w:sz w:val="18"/>
                <w:szCs w:val="18"/>
              </w:rPr>
              <w:t>,</w:t>
            </w:r>
            <w:r w:rsidRPr="00E577BC">
              <w:rPr>
                <w:rFonts w:ascii="Myriad Pro" w:eastAsia="Calibri" w:hAnsi="Myriad Pro" w:cs="Calibri"/>
                <w:bCs/>
                <w:sz w:val="18"/>
                <w:szCs w:val="18"/>
              </w:rPr>
              <w:t>6</w:t>
            </w:r>
          </w:p>
        </w:tc>
        <w:tc>
          <w:tcPr>
            <w:tcW w:w="295" w:type="pct"/>
            <w:noWrap/>
          </w:tcPr>
          <w:p w14:paraId="0A676503" w14:textId="64F1B233" w:rsidR="001B7AF8" w:rsidRPr="00E577BC" w:rsidRDefault="001B7AF8" w:rsidP="001B7AF8">
            <w:pPr>
              <w:spacing w:before="10"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r w:rsidRPr="00E577BC">
              <w:rPr>
                <w:rFonts w:ascii="Myriad Pro" w:eastAsia="Calibri" w:hAnsi="Myriad Pro" w:cs="Calibri"/>
                <w:bCs/>
                <w:sz w:val="18"/>
                <w:szCs w:val="18"/>
              </w:rPr>
              <w:t>-9</w:t>
            </w:r>
            <w:r>
              <w:rPr>
                <w:rFonts w:ascii="Myriad Pro" w:eastAsia="Calibri" w:hAnsi="Myriad Pro" w:cs="Calibri"/>
                <w:bCs/>
                <w:sz w:val="18"/>
                <w:szCs w:val="18"/>
              </w:rPr>
              <w:t>,</w:t>
            </w:r>
            <w:r w:rsidRPr="00E577BC">
              <w:rPr>
                <w:rFonts w:ascii="Myriad Pro" w:eastAsia="Calibri" w:hAnsi="Myriad Pro" w:cs="Calibri"/>
                <w:bCs/>
                <w:sz w:val="18"/>
                <w:szCs w:val="18"/>
              </w:rPr>
              <w:t>8</w:t>
            </w:r>
          </w:p>
        </w:tc>
        <w:tc>
          <w:tcPr>
            <w:tcW w:w="295" w:type="pct"/>
          </w:tcPr>
          <w:p w14:paraId="3B9ADF0F" w14:textId="013688D5" w:rsidR="001B7AF8" w:rsidRPr="00E577BC" w:rsidRDefault="001B7AF8" w:rsidP="001B7AF8">
            <w:pPr>
              <w:spacing w:before="10"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r w:rsidRPr="00E577BC">
              <w:rPr>
                <w:rFonts w:ascii="Myriad Pro" w:eastAsia="Calibri" w:hAnsi="Myriad Pro" w:cs="Calibri"/>
                <w:bCs/>
                <w:sz w:val="18"/>
                <w:szCs w:val="18"/>
              </w:rPr>
              <w:t>-10</w:t>
            </w:r>
            <w:r>
              <w:rPr>
                <w:rFonts w:ascii="Myriad Pro" w:eastAsia="Calibri" w:hAnsi="Myriad Pro" w:cs="Calibri"/>
                <w:bCs/>
                <w:sz w:val="18"/>
                <w:szCs w:val="18"/>
              </w:rPr>
              <w:t>,</w:t>
            </w:r>
            <w:r w:rsidRPr="00E577BC">
              <w:rPr>
                <w:rFonts w:ascii="Myriad Pro" w:eastAsia="Calibri" w:hAnsi="Myriad Pro" w:cs="Calibri"/>
                <w:bCs/>
                <w:sz w:val="18"/>
                <w:szCs w:val="18"/>
              </w:rPr>
              <w:t>2</w:t>
            </w:r>
          </w:p>
        </w:tc>
        <w:tc>
          <w:tcPr>
            <w:tcW w:w="296" w:type="pct"/>
          </w:tcPr>
          <w:p w14:paraId="3F6C1A6A" w14:textId="4A31F8A9" w:rsidR="001B7AF8" w:rsidRPr="00E577BC" w:rsidRDefault="001B7AF8" w:rsidP="001B7AF8">
            <w:pPr>
              <w:spacing w:before="10"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r w:rsidRPr="00E577BC">
              <w:rPr>
                <w:rFonts w:ascii="Myriad Pro" w:eastAsia="Calibri" w:hAnsi="Myriad Pro" w:cs="Calibri"/>
                <w:bCs/>
                <w:sz w:val="18"/>
                <w:szCs w:val="18"/>
              </w:rPr>
              <w:t>-12</w:t>
            </w:r>
            <w:r>
              <w:rPr>
                <w:rFonts w:ascii="Myriad Pro" w:eastAsia="Calibri" w:hAnsi="Myriad Pro" w:cs="Calibri"/>
                <w:bCs/>
                <w:sz w:val="18"/>
                <w:szCs w:val="18"/>
              </w:rPr>
              <w:t>,</w:t>
            </w:r>
            <w:r w:rsidRPr="00E577BC">
              <w:rPr>
                <w:rFonts w:ascii="Myriad Pro" w:eastAsia="Calibri" w:hAnsi="Myriad Pro" w:cs="Calibri"/>
                <w:bCs/>
                <w:sz w:val="18"/>
                <w:szCs w:val="18"/>
              </w:rPr>
              <w:t>9</w:t>
            </w:r>
          </w:p>
        </w:tc>
        <w:tc>
          <w:tcPr>
            <w:tcW w:w="295" w:type="pct"/>
          </w:tcPr>
          <w:p w14:paraId="313E37CA" w14:textId="4F423897" w:rsidR="001B7AF8" w:rsidRPr="00E577BC" w:rsidRDefault="001B7AF8" w:rsidP="001B7AF8">
            <w:pPr>
              <w:spacing w:before="10"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r w:rsidRPr="00E577BC">
              <w:rPr>
                <w:rFonts w:ascii="Myriad Pro" w:eastAsia="Calibri" w:hAnsi="Myriad Pro" w:cs="Calibri"/>
                <w:bCs/>
                <w:sz w:val="18"/>
                <w:szCs w:val="18"/>
              </w:rPr>
              <w:t>-15</w:t>
            </w:r>
            <w:r>
              <w:rPr>
                <w:rFonts w:ascii="Myriad Pro" w:eastAsia="Calibri" w:hAnsi="Myriad Pro" w:cs="Calibri"/>
                <w:bCs/>
                <w:sz w:val="18"/>
                <w:szCs w:val="18"/>
              </w:rPr>
              <w:t>,</w:t>
            </w:r>
            <w:r w:rsidRPr="00E577BC">
              <w:rPr>
                <w:rFonts w:ascii="Myriad Pro" w:eastAsia="Calibri" w:hAnsi="Myriad Pro" w:cs="Calibri"/>
                <w:bCs/>
                <w:sz w:val="18"/>
                <w:szCs w:val="18"/>
              </w:rPr>
              <w:t>7</w:t>
            </w:r>
          </w:p>
        </w:tc>
        <w:tc>
          <w:tcPr>
            <w:tcW w:w="295" w:type="pct"/>
          </w:tcPr>
          <w:p w14:paraId="3AEF0DB6" w14:textId="2051D5CA" w:rsidR="001B7AF8" w:rsidRPr="00E577BC" w:rsidRDefault="001B7AF8" w:rsidP="001B7AF8">
            <w:pPr>
              <w:spacing w:before="10"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r w:rsidRPr="00E577BC">
              <w:rPr>
                <w:rFonts w:ascii="Myriad Pro" w:eastAsia="Calibri" w:hAnsi="Myriad Pro" w:cs="Calibri"/>
                <w:bCs/>
                <w:sz w:val="18"/>
                <w:szCs w:val="18"/>
              </w:rPr>
              <w:t>-17</w:t>
            </w:r>
            <w:r>
              <w:rPr>
                <w:rFonts w:ascii="Myriad Pro" w:eastAsia="Calibri" w:hAnsi="Myriad Pro" w:cs="Calibri"/>
                <w:bCs/>
                <w:sz w:val="18"/>
                <w:szCs w:val="18"/>
              </w:rPr>
              <w:t>,</w:t>
            </w:r>
            <w:r w:rsidRPr="00E577BC">
              <w:rPr>
                <w:rFonts w:ascii="Myriad Pro" w:eastAsia="Calibri" w:hAnsi="Myriad Pro" w:cs="Calibri"/>
                <w:bCs/>
                <w:sz w:val="18"/>
                <w:szCs w:val="18"/>
              </w:rPr>
              <w:t>9</w:t>
            </w:r>
          </w:p>
        </w:tc>
        <w:tc>
          <w:tcPr>
            <w:tcW w:w="296" w:type="pct"/>
          </w:tcPr>
          <w:p w14:paraId="7FEDC3F9" w14:textId="1106D3FE" w:rsidR="001B7AF8" w:rsidRPr="00E577BC" w:rsidRDefault="001B7AF8" w:rsidP="001B7AF8">
            <w:pPr>
              <w:spacing w:before="10"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r w:rsidRPr="00E577BC">
              <w:rPr>
                <w:rFonts w:ascii="Myriad Pro" w:eastAsia="Calibri" w:hAnsi="Myriad Pro" w:cs="Calibri"/>
                <w:bCs/>
                <w:sz w:val="18"/>
                <w:szCs w:val="18"/>
              </w:rPr>
              <w:t>-18</w:t>
            </w:r>
            <w:r>
              <w:rPr>
                <w:rFonts w:ascii="Myriad Pro" w:eastAsia="Calibri" w:hAnsi="Myriad Pro" w:cs="Calibri"/>
                <w:bCs/>
                <w:sz w:val="18"/>
                <w:szCs w:val="18"/>
              </w:rPr>
              <w:t>,</w:t>
            </w:r>
            <w:r w:rsidRPr="00E577BC">
              <w:rPr>
                <w:rFonts w:ascii="Myriad Pro" w:eastAsia="Calibri" w:hAnsi="Myriad Pro" w:cs="Calibri"/>
                <w:bCs/>
                <w:sz w:val="18"/>
                <w:szCs w:val="18"/>
              </w:rPr>
              <w:t>6</w:t>
            </w:r>
          </w:p>
        </w:tc>
        <w:tc>
          <w:tcPr>
            <w:tcW w:w="295" w:type="pct"/>
          </w:tcPr>
          <w:p w14:paraId="5F8424E3" w14:textId="5BB78D86" w:rsidR="001B7AF8" w:rsidRPr="00E65A3F" w:rsidRDefault="001B7AF8" w:rsidP="001B7AF8">
            <w:pPr>
              <w:spacing w:before="10"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r w:rsidRPr="00E65A3F">
              <w:rPr>
                <w:rFonts w:ascii="Myriad Pro" w:eastAsia="Calibri" w:hAnsi="Myriad Pro" w:cs="Calibri"/>
                <w:bCs/>
                <w:sz w:val="18"/>
                <w:szCs w:val="18"/>
              </w:rPr>
              <w:t>-19,9</w:t>
            </w:r>
          </w:p>
        </w:tc>
        <w:tc>
          <w:tcPr>
            <w:tcW w:w="295" w:type="pct"/>
          </w:tcPr>
          <w:p w14:paraId="6B87F500" w14:textId="133D2402" w:rsidR="001B7AF8" w:rsidRPr="00E65A3F" w:rsidRDefault="001B7AF8" w:rsidP="001B7AF8">
            <w:pPr>
              <w:spacing w:before="10"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r w:rsidRPr="00E65A3F">
              <w:rPr>
                <w:rFonts w:ascii="Myriad Pro" w:eastAsia="Calibri" w:hAnsi="Myriad Pro" w:cs="Calibri"/>
                <w:bCs/>
                <w:sz w:val="18"/>
                <w:szCs w:val="18"/>
              </w:rPr>
              <w:t>-19,2</w:t>
            </w:r>
          </w:p>
        </w:tc>
        <w:tc>
          <w:tcPr>
            <w:tcW w:w="296" w:type="pct"/>
          </w:tcPr>
          <w:p w14:paraId="59CEE75A" w14:textId="7876D425" w:rsidR="001B7AF8" w:rsidRPr="00E65A3F" w:rsidRDefault="001B7AF8" w:rsidP="001B7AF8">
            <w:pPr>
              <w:spacing w:before="10"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r w:rsidRPr="00E65A3F">
              <w:rPr>
                <w:rFonts w:ascii="Myriad Pro" w:eastAsia="Calibri" w:hAnsi="Myriad Pro" w:cs="Calibri"/>
                <w:bCs/>
                <w:sz w:val="18"/>
                <w:szCs w:val="18"/>
              </w:rPr>
              <w:t>-20,5</w:t>
            </w:r>
          </w:p>
        </w:tc>
        <w:tc>
          <w:tcPr>
            <w:tcW w:w="295" w:type="pct"/>
          </w:tcPr>
          <w:p w14:paraId="718E4654" w14:textId="2B775428" w:rsidR="001B7AF8" w:rsidRPr="00E65A3F" w:rsidRDefault="001B7AF8" w:rsidP="001B7AF8">
            <w:pPr>
              <w:spacing w:before="10"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Arial"/>
                <w:bCs/>
                <w:color w:val="000000"/>
                <w:sz w:val="18"/>
                <w:szCs w:val="18"/>
              </w:rPr>
            </w:pPr>
            <w:r w:rsidRPr="00E65A3F">
              <w:rPr>
                <w:rFonts w:ascii="Myriad Pro" w:eastAsia="Calibri" w:hAnsi="Myriad Pro" w:cs="Calibri"/>
                <w:bCs/>
                <w:sz w:val="18"/>
                <w:szCs w:val="18"/>
              </w:rPr>
              <w:t>-20,9</w:t>
            </w:r>
          </w:p>
        </w:tc>
        <w:tc>
          <w:tcPr>
            <w:tcW w:w="296" w:type="pct"/>
          </w:tcPr>
          <w:p w14:paraId="7A2CEE29" w14:textId="22BB710F" w:rsidR="001B7AF8" w:rsidRPr="00E65A3F" w:rsidRDefault="001B7AF8" w:rsidP="001B7AF8">
            <w:pPr>
              <w:spacing w:before="10"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Arial"/>
                <w:bCs/>
                <w:color w:val="000000"/>
                <w:sz w:val="18"/>
                <w:szCs w:val="18"/>
              </w:rPr>
            </w:pPr>
            <w:r w:rsidRPr="00E65A3F">
              <w:rPr>
                <w:rFonts w:ascii="Myriad Pro" w:eastAsia="Calibri" w:hAnsi="Myriad Pro" w:cs="Calibri"/>
                <w:bCs/>
                <w:sz w:val="18"/>
                <w:szCs w:val="18"/>
              </w:rPr>
              <w:t>-20,4</w:t>
            </w:r>
          </w:p>
        </w:tc>
      </w:tr>
      <w:tr w:rsidR="001B7AF8" w:rsidRPr="00E577BC" w14:paraId="0BF8CA98" w14:textId="77777777" w:rsidTr="00AF0AAE">
        <w:trPr>
          <w:trHeight w:val="285"/>
        </w:trPr>
        <w:tc>
          <w:tcPr>
            <w:cnfStyle w:val="001000000000" w:firstRow="0" w:lastRow="0" w:firstColumn="1" w:lastColumn="0" w:oddVBand="0" w:evenVBand="0" w:oddHBand="0" w:evenHBand="0" w:firstRowFirstColumn="0" w:firstRowLastColumn="0" w:lastRowFirstColumn="0" w:lastRowLastColumn="0"/>
            <w:tcW w:w="863" w:type="pct"/>
            <w:noWrap/>
          </w:tcPr>
          <w:p w14:paraId="742C5811" w14:textId="21D78E18" w:rsidR="001B7AF8" w:rsidRPr="00E577BC" w:rsidRDefault="001B7AF8" w:rsidP="001B7AF8">
            <w:pPr>
              <w:spacing w:before="10" w:after="10" w:line="220" w:lineRule="atLeast"/>
              <w:rPr>
                <w:rFonts w:ascii="Myriad Pro" w:eastAsia="Calibri" w:hAnsi="Myriad Pro" w:cs="Calibri"/>
                <w:bCs/>
                <w:sz w:val="18"/>
                <w:szCs w:val="18"/>
              </w:rPr>
            </w:pPr>
            <w:r w:rsidRPr="00E577BC">
              <w:rPr>
                <w:rFonts w:ascii="Myriad Pro" w:eastAsia="Calibri" w:hAnsi="Myriad Pro" w:cs="Calibri"/>
                <w:bCs/>
                <w:sz w:val="18"/>
                <w:szCs w:val="18"/>
              </w:rPr>
              <w:t>Vrednostni papirji</w:t>
            </w:r>
          </w:p>
        </w:tc>
        <w:tc>
          <w:tcPr>
            <w:tcW w:w="295" w:type="pct"/>
            <w:noWrap/>
          </w:tcPr>
          <w:p w14:paraId="643B79D0" w14:textId="0675C625" w:rsidR="001B7AF8" w:rsidRPr="00E577BC" w:rsidRDefault="001B7AF8" w:rsidP="001B7AF8">
            <w:pPr>
              <w:spacing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r w:rsidRPr="00E577BC">
              <w:rPr>
                <w:rFonts w:ascii="Myriad Pro" w:eastAsia="Calibri" w:hAnsi="Myriad Pro" w:cs="Calibri"/>
                <w:bCs/>
                <w:sz w:val="18"/>
                <w:szCs w:val="18"/>
              </w:rPr>
              <w:t>6</w:t>
            </w:r>
            <w:r>
              <w:rPr>
                <w:rFonts w:ascii="Myriad Pro" w:eastAsia="Calibri" w:hAnsi="Myriad Pro" w:cs="Calibri"/>
                <w:bCs/>
                <w:sz w:val="18"/>
                <w:szCs w:val="18"/>
              </w:rPr>
              <w:t>,</w:t>
            </w:r>
            <w:r w:rsidRPr="00E577BC">
              <w:rPr>
                <w:rFonts w:ascii="Myriad Pro" w:eastAsia="Calibri" w:hAnsi="Myriad Pro" w:cs="Calibri"/>
                <w:bCs/>
                <w:sz w:val="18"/>
                <w:szCs w:val="18"/>
              </w:rPr>
              <w:t>0</w:t>
            </w:r>
          </w:p>
        </w:tc>
        <w:tc>
          <w:tcPr>
            <w:tcW w:w="295" w:type="pct"/>
            <w:noWrap/>
          </w:tcPr>
          <w:p w14:paraId="58BD014B" w14:textId="679F2E8A" w:rsidR="001B7AF8" w:rsidRPr="00E577BC" w:rsidRDefault="001B7AF8" w:rsidP="001B7AF8">
            <w:pPr>
              <w:spacing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r w:rsidRPr="00E577BC">
              <w:rPr>
                <w:rFonts w:ascii="Myriad Pro" w:eastAsia="Calibri" w:hAnsi="Myriad Pro" w:cs="Calibri"/>
                <w:bCs/>
                <w:sz w:val="18"/>
                <w:szCs w:val="18"/>
              </w:rPr>
              <w:t>1</w:t>
            </w:r>
            <w:r>
              <w:rPr>
                <w:rFonts w:ascii="Myriad Pro" w:eastAsia="Calibri" w:hAnsi="Myriad Pro" w:cs="Calibri"/>
                <w:bCs/>
                <w:sz w:val="18"/>
                <w:szCs w:val="18"/>
              </w:rPr>
              <w:t>,</w:t>
            </w:r>
            <w:r w:rsidRPr="00E577BC">
              <w:rPr>
                <w:rFonts w:ascii="Myriad Pro" w:eastAsia="Calibri" w:hAnsi="Myriad Pro" w:cs="Calibri"/>
                <w:bCs/>
                <w:sz w:val="18"/>
                <w:szCs w:val="18"/>
              </w:rPr>
              <w:t>0</w:t>
            </w:r>
          </w:p>
        </w:tc>
        <w:tc>
          <w:tcPr>
            <w:tcW w:w="297" w:type="pct"/>
            <w:noWrap/>
          </w:tcPr>
          <w:p w14:paraId="65E78731" w14:textId="25103779" w:rsidR="001B7AF8" w:rsidRPr="00E577BC" w:rsidRDefault="001B7AF8" w:rsidP="001B7AF8">
            <w:pPr>
              <w:spacing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r w:rsidRPr="00E577BC">
              <w:rPr>
                <w:rFonts w:ascii="Myriad Pro" w:eastAsia="Calibri" w:hAnsi="Myriad Pro" w:cs="Calibri"/>
                <w:bCs/>
                <w:sz w:val="18"/>
                <w:szCs w:val="18"/>
              </w:rPr>
              <w:t>-0</w:t>
            </w:r>
            <w:r>
              <w:rPr>
                <w:rFonts w:ascii="Myriad Pro" w:eastAsia="Calibri" w:hAnsi="Myriad Pro" w:cs="Calibri"/>
                <w:bCs/>
                <w:sz w:val="18"/>
                <w:szCs w:val="18"/>
              </w:rPr>
              <w:t>,</w:t>
            </w:r>
            <w:r w:rsidRPr="00E577BC">
              <w:rPr>
                <w:rFonts w:ascii="Myriad Pro" w:eastAsia="Calibri" w:hAnsi="Myriad Pro" w:cs="Calibri"/>
                <w:bCs/>
                <w:sz w:val="18"/>
                <w:szCs w:val="18"/>
              </w:rPr>
              <w:t>2</w:t>
            </w:r>
          </w:p>
        </w:tc>
        <w:tc>
          <w:tcPr>
            <w:tcW w:w="295" w:type="pct"/>
            <w:noWrap/>
          </w:tcPr>
          <w:p w14:paraId="7E3A40AF" w14:textId="28109849" w:rsidR="001B7AF8" w:rsidRPr="00E577BC" w:rsidRDefault="001B7AF8" w:rsidP="001B7AF8">
            <w:pPr>
              <w:spacing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r w:rsidRPr="00E577BC">
              <w:rPr>
                <w:rFonts w:ascii="Myriad Pro" w:eastAsia="Calibri" w:hAnsi="Myriad Pro" w:cs="Calibri"/>
                <w:bCs/>
                <w:sz w:val="18"/>
                <w:szCs w:val="18"/>
              </w:rPr>
              <w:t>-0</w:t>
            </w:r>
            <w:r>
              <w:rPr>
                <w:rFonts w:ascii="Myriad Pro" w:eastAsia="Calibri" w:hAnsi="Myriad Pro" w:cs="Calibri"/>
                <w:bCs/>
                <w:sz w:val="18"/>
                <w:szCs w:val="18"/>
              </w:rPr>
              <w:t>,</w:t>
            </w:r>
            <w:r w:rsidRPr="00E577BC">
              <w:rPr>
                <w:rFonts w:ascii="Myriad Pro" w:eastAsia="Calibri" w:hAnsi="Myriad Pro" w:cs="Calibri"/>
                <w:bCs/>
                <w:sz w:val="18"/>
                <w:szCs w:val="18"/>
              </w:rPr>
              <w:t>5</w:t>
            </w:r>
          </w:p>
        </w:tc>
        <w:tc>
          <w:tcPr>
            <w:tcW w:w="295" w:type="pct"/>
          </w:tcPr>
          <w:p w14:paraId="1BD06A45" w14:textId="1622EA4E" w:rsidR="001B7AF8" w:rsidRPr="00E577BC" w:rsidRDefault="001B7AF8" w:rsidP="001B7AF8">
            <w:pPr>
              <w:spacing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r w:rsidRPr="00E577BC">
              <w:rPr>
                <w:rFonts w:ascii="Myriad Pro" w:eastAsia="Calibri" w:hAnsi="Myriad Pro" w:cs="Calibri"/>
                <w:bCs/>
                <w:sz w:val="18"/>
                <w:szCs w:val="18"/>
              </w:rPr>
              <w:t>-11</w:t>
            </w:r>
            <w:r>
              <w:rPr>
                <w:rFonts w:ascii="Myriad Pro" w:eastAsia="Calibri" w:hAnsi="Myriad Pro" w:cs="Calibri"/>
                <w:bCs/>
                <w:sz w:val="18"/>
                <w:szCs w:val="18"/>
              </w:rPr>
              <w:t>,</w:t>
            </w:r>
            <w:r w:rsidRPr="00E577BC">
              <w:rPr>
                <w:rFonts w:ascii="Myriad Pro" w:eastAsia="Calibri" w:hAnsi="Myriad Pro" w:cs="Calibri"/>
                <w:bCs/>
                <w:sz w:val="18"/>
                <w:szCs w:val="18"/>
              </w:rPr>
              <w:t>5</w:t>
            </w:r>
          </w:p>
        </w:tc>
        <w:tc>
          <w:tcPr>
            <w:tcW w:w="296" w:type="pct"/>
          </w:tcPr>
          <w:p w14:paraId="258993BD" w14:textId="5360C624" w:rsidR="001B7AF8" w:rsidRPr="00E577BC" w:rsidRDefault="001B7AF8" w:rsidP="001B7AF8">
            <w:pPr>
              <w:spacing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r w:rsidRPr="00E577BC">
              <w:rPr>
                <w:rFonts w:ascii="Myriad Pro" w:eastAsia="Calibri" w:hAnsi="Myriad Pro" w:cs="Calibri"/>
                <w:bCs/>
                <w:sz w:val="18"/>
                <w:szCs w:val="18"/>
              </w:rPr>
              <w:t>-29</w:t>
            </w:r>
            <w:r>
              <w:rPr>
                <w:rFonts w:ascii="Myriad Pro" w:eastAsia="Calibri" w:hAnsi="Myriad Pro" w:cs="Calibri"/>
                <w:bCs/>
                <w:sz w:val="18"/>
                <w:szCs w:val="18"/>
              </w:rPr>
              <w:t>,</w:t>
            </w:r>
            <w:r w:rsidRPr="00E577BC">
              <w:rPr>
                <w:rFonts w:ascii="Myriad Pro" w:eastAsia="Calibri" w:hAnsi="Myriad Pro" w:cs="Calibri"/>
                <w:bCs/>
                <w:sz w:val="18"/>
                <w:szCs w:val="18"/>
              </w:rPr>
              <w:t>0</w:t>
            </w:r>
          </w:p>
        </w:tc>
        <w:tc>
          <w:tcPr>
            <w:tcW w:w="295" w:type="pct"/>
          </w:tcPr>
          <w:p w14:paraId="29F575C1" w14:textId="4D21D785" w:rsidR="001B7AF8" w:rsidRPr="00E577BC" w:rsidRDefault="001B7AF8" w:rsidP="001B7AF8">
            <w:pPr>
              <w:spacing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r w:rsidRPr="00E577BC">
              <w:rPr>
                <w:rFonts w:ascii="Myriad Pro" w:eastAsia="Calibri" w:hAnsi="Myriad Pro" w:cs="Calibri"/>
                <w:bCs/>
                <w:sz w:val="18"/>
                <w:szCs w:val="18"/>
              </w:rPr>
              <w:t>-21</w:t>
            </w:r>
            <w:r>
              <w:rPr>
                <w:rFonts w:ascii="Myriad Pro" w:eastAsia="Calibri" w:hAnsi="Myriad Pro" w:cs="Calibri"/>
                <w:bCs/>
                <w:sz w:val="18"/>
                <w:szCs w:val="18"/>
              </w:rPr>
              <w:t>,</w:t>
            </w:r>
            <w:r w:rsidRPr="00E577BC">
              <w:rPr>
                <w:rFonts w:ascii="Myriad Pro" w:eastAsia="Calibri" w:hAnsi="Myriad Pro" w:cs="Calibri"/>
                <w:bCs/>
                <w:sz w:val="18"/>
                <w:szCs w:val="18"/>
              </w:rPr>
              <w:t>7</w:t>
            </w:r>
          </w:p>
        </w:tc>
        <w:tc>
          <w:tcPr>
            <w:tcW w:w="295" w:type="pct"/>
          </w:tcPr>
          <w:p w14:paraId="48B33A84" w14:textId="48FAFB90" w:rsidR="001B7AF8" w:rsidRPr="00E577BC" w:rsidRDefault="001B7AF8" w:rsidP="001B7AF8">
            <w:pPr>
              <w:spacing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r w:rsidRPr="00E577BC">
              <w:rPr>
                <w:rFonts w:ascii="Myriad Pro" w:eastAsia="Calibri" w:hAnsi="Myriad Pro" w:cs="Calibri"/>
                <w:bCs/>
                <w:sz w:val="18"/>
                <w:szCs w:val="18"/>
              </w:rPr>
              <w:t>-9</w:t>
            </w:r>
            <w:r>
              <w:rPr>
                <w:rFonts w:ascii="Myriad Pro" w:eastAsia="Calibri" w:hAnsi="Myriad Pro" w:cs="Calibri"/>
                <w:bCs/>
                <w:sz w:val="18"/>
                <w:szCs w:val="18"/>
              </w:rPr>
              <w:t>,</w:t>
            </w:r>
            <w:r w:rsidRPr="00E577BC">
              <w:rPr>
                <w:rFonts w:ascii="Myriad Pro" w:eastAsia="Calibri" w:hAnsi="Myriad Pro" w:cs="Calibri"/>
                <w:bCs/>
                <w:sz w:val="18"/>
                <w:szCs w:val="18"/>
              </w:rPr>
              <w:t>4</w:t>
            </w:r>
          </w:p>
        </w:tc>
        <w:tc>
          <w:tcPr>
            <w:tcW w:w="296" w:type="pct"/>
          </w:tcPr>
          <w:p w14:paraId="1ED8A5C8" w14:textId="721E1DA1" w:rsidR="001B7AF8" w:rsidRPr="00E577BC" w:rsidRDefault="001B7AF8" w:rsidP="001B7AF8">
            <w:pPr>
              <w:spacing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r w:rsidRPr="00E577BC">
              <w:rPr>
                <w:rFonts w:ascii="Myriad Pro" w:eastAsia="Calibri" w:hAnsi="Myriad Pro" w:cs="Calibri"/>
                <w:bCs/>
                <w:sz w:val="18"/>
                <w:szCs w:val="18"/>
              </w:rPr>
              <w:t>-1</w:t>
            </w:r>
            <w:r>
              <w:rPr>
                <w:rFonts w:ascii="Myriad Pro" w:eastAsia="Calibri" w:hAnsi="Myriad Pro" w:cs="Calibri"/>
                <w:bCs/>
                <w:sz w:val="18"/>
                <w:szCs w:val="18"/>
              </w:rPr>
              <w:t>,</w:t>
            </w:r>
            <w:r w:rsidRPr="00E577BC">
              <w:rPr>
                <w:rFonts w:ascii="Myriad Pro" w:eastAsia="Calibri" w:hAnsi="Myriad Pro" w:cs="Calibri"/>
                <w:bCs/>
                <w:sz w:val="18"/>
                <w:szCs w:val="18"/>
              </w:rPr>
              <w:t>3</w:t>
            </w:r>
          </w:p>
        </w:tc>
        <w:tc>
          <w:tcPr>
            <w:tcW w:w="295" w:type="pct"/>
          </w:tcPr>
          <w:p w14:paraId="785CBC99" w14:textId="6ED426B0" w:rsidR="001B7AF8" w:rsidRPr="00E65A3F" w:rsidRDefault="001B7AF8" w:rsidP="001B7AF8">
            <w:pPr>
              <w:spacing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r w:rsidRPr="00E65A3F">
              <w:rPr>
                <w:rFonts w:ascii="Myriad Pro" w:eastAsia="Calibri" w:hAnsi="Myriad Pro" w:cs="Calibri"/>
                <w:bCs/>
                <w:sz w:val="18"/>
                <w:szCs w:val="18"/>
              </w:rPr>
              <w:t>-0,5</w:t>
            </w:r>
          </w:p>
        </w:tc>
        <w:tc>
          <w:tcPr>
            <w:tcW w:w="295" w:type="pct"/>
          </w:tcPr>
          <w:p w14:paraId="18BC3CB6" w14:textId="4DDE5CA8" w:rsidR="001B7AF8" w:rsidRPr="00E65A3F" w:rsidRDefault="001B7AF8" w:rsidP="001B7AF8">
            <w:pPr>
              <w:spacing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r w:rsidRPr="00E65A3F">
              <w:rPr>
                <w:rFonts w:ascii="Myriad Pro" w:eastAsia="Calibri" w:hAnsi="Myriad Pro" w:cs="Calibri"/>
                <w:bCs/>
                <w:sz w:val="18"/>
                <w:szCs w:val="18"/>
              </w:rPr>
              <w:t>1,3</w:t>
            </w:r>
          </w:p>
        </w:tc>
        <w:tc>
          <w:tcPr>
            <w:tcW w:w="296" w:type="pct"/>
          </w:tcPr>
          <w:p w14:paraId="0871C0CD" w14:textId="0F8CB95E" w:rsidR="001B7AF8" w:rsidRPr="00E65A3F" w:rsidRDefault="001B7AF8" w:rsidP="001B7AF8">
            <w:pPr>
              <w:spacing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r w:rsidRPr="00E65A3F">
              <w:rPr>
                <w:rFonts w:ascii="Myriad Pro" w:eastAsia="Calibri" w:hAnsi="Myriad Pro" w:cs="Calibri"/>
                <w:bCs/>
                <w:sz w:val="18"/>
                <w:szCs w:val="18"/>
              </w:rPr>
              <w:t>-2,7</w:t>
            </w:r>
          </w:p>
        </w:tc>
        <w:tc>
          <w:tcPr>
            <w:tcW w:w="295" w:type="pct"/>
          </w:tcPr>
          <w:p w14:paraId="0EFE322C" w14:textId="0E57F6D8" w:rsidR="001B7AF8" w:rsidRPr="00E65A3F" w:rsidRDefault="001B7AF8" w:rsidP="001B7AF8">
            <w:pPr>
              <w:spacing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Arial"/>
                <w:bCs/>
                <w:color w:val="000000"/>
                <w:sz w:val="18"/>
                <w:szCs w:val="18"/>
              </w:rPr>
            </w:pPr>
            <w:r w:rsidRPr="00E65A3F">
              <w:rPr>
                <w:rFonts w:ascii="Myriad Pro" w:eastAsia="Calibri" w:hAnsi="Myriad Pro" w:cs="Calibri"/>
                <w:bCs/>
                <w:sz w:val="18"/>
                <w:szCs w:val="18"/>
              </w:rPr>
              <w:t>4,7</w:t>
            </w:r>
          </w:p>
        </w:tc>
        <w:tc>
          <w:tcPr>
            <w:tcW w:w="296" w:type="pct"/>
          </w:tcPr>
          <w:p w14:paraId="48D77037" w14:textId="69C9FCD1" w:rsidR="001B7AF8" w:rsidRPr="00E65A3F" w:rsidRDefault="001B7AF8" w:rsidP="001B7AF8">
            <w:pPr>
              <w:spacing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Arial"/>
                <w:bCs/>
                <w:color w:val="000000"/>
                <w:sz w:val="18"/>
                <w:szCs w:val="18"/>
              </w:rPr>
            </w:pPr>
            <w:r w:rsidRPr="00E65A3F">
              <w:rPr>
                <w:rFonts w:ascii="Myriad Pro" w:eastAsia="Calibri" w:hAnsi="Myriad Pro" w:cs="Calibri"/>
                <w:bCs/>
                <w:sz w:val="18"/>
                <w:szCs w:val="18"/>
              </w:rPr>
              <w:t>7,8</w:t>
            </w:r>
          </w:p>
        </w:tc>
      </w:tr>
      <w:tr w:rsidR="001B7AF8" w:rsidRPr="00E577BC" w14:paraId="056AC404" w14:textId="77777777" w:rsidTr="00AF0AAE">
        <w:trPr>
          <w:trHeight w:val="285"/>
        </w:trPr>
        <w:tc>
          <w:tcPr>
            <w:cnfStyle w:val="001000000000" w:firstRow="0" w:lastRow="0" w:firstColumn="1" w:lastColumn="0" w:oddVBand="0" w:evenVBand="0" w:oddHBand="0" w:evenHBand="0" w:firstRowFirstColumn="0" w:firstRowLastColumn="0" w:lastRowFirstColumn="0" w:lastRowLastColumn="0"/>
            <w:tcW w:w="863" w:type="pct"/>
            <w:noWrap/>
          </w:tcPr>
          <w:p w14:paraId="6280F02D" w14:textId="3C73FDC7" w:rsidR="001B7AF8" w:rsidRPr="00E577BC" w:rsidRDefault="001B7AF8" w:rsidP="001B7AF8">
            <w:pPr>
              <w:spacing w:before="10" w:after="10" w:line="220" w:lineRule="atLeast"/>
              <w:rPr>
                <w:rFonts w:ascii="Myriad Pro" w:eastAsia="Calibri" w:hAnsi="Myriad Pro" w:cs="Calibri"/>
                <w:bCs/>
                <w:sz w:val="18"/>
                <w:szCs w:val="18"/>
              </w:rPr>
            </w:pPr>
            <w:r w:rsidRPr="00E577BC">
              <w:rPr>
                <w:rFonts w:ascii="Myriad Pro" w:eastAsia="Calibri" w:hAnsi="Myriad Pro" w:cs="Calibri"/>
                <w:bCs/>
                <w:sz w:val="18"/>
                <w:szCs w:val="18"/>
              </w:rPr>
              <w:t xml:space="preserve">Finančni derivativi </w:t>
            </w:r>
          </w:p>
        </w:tc>
        <w:tc>
          <w:tcPr>
            <w:tcW w:w="295" w:type="pct"/>
            <w:noWrap/>
          </w:tcPr>
          <w:p w14:paraId="078AC8B7" w14:textId="2C901888" w:rsidR="001B7AF8" w:rsidRPr="00E577BC" w:rsidRDefault="001B7AF8" w:rsidP="001B7AF8">
            <w:pPr>
              <w:spacing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r w:rsidRPr="00E577BC">
              <w:rPr>
                <w:rFonts w:ascii="Myriad Pro" w:eastAsia="Calibri" w:hAnsi="Myriad Pro" w:cs="Calibri"/>
                <w:bCs/>
                <w:sz w:val="18"/>
                <w:szCs w:val="18"/>
              </w:rPr>
              <w:t>-0</w:t>
            </w:r>
            <w:r>
              <w:rPr>
                <w:rFonts w:ascii="Myriad Pro" w:eastAsia="Calibri" w:hAnsi="Myriad Pro" w:cs="Calibri"/>
                <w:bCs/>
                <w:sz w:val="18"/>
                <w:szCs w:val="18"/>
              </w:rPr>
              <w:t>,</w:t>
            </w:r>
            <w:r w:rsidRPr="00E577BC">
              <w:rPr>
                <w:rFonts w:ascii="Myriad Pro" w:eastAsia="Calibri" w:hAnsi="Myriad Pro" w:cs="Calibri"/>
                <w:bCs/>
                <w:sz w:val="18"/>
                <w:szCs w:val="18"/>
              </w:rPr>
              <w:t>3</w:t>
            </w:r>
          </w:p>
        </w:tc>
        <w:tc>
          <w:tcPr>
            <w:tcW w:w="295" w:type="pct"/>
            <w:noWrap/>
          </w:tcPr>
          <w:p w14:paraId="7242CA34" w14:textId="29A08243" w:rsidR="001B7AF8" w:rsidRPr="00E577BC" w:rsidRDefault="001B7AF8" w:rsidP="001B7AF8">
            <w:pPr>
              <w:spacing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r w:rsidRPr="00E577BC">
              <w:rPr>
                <w:rFonts w:ascii="Myriad Pro" w:eastAsia="Calibri" w:hAnsi="Myriad Pro" w:cs="Calibri"/>
                <w:bCs/>
                <w:sz w:val="18"/>
                <w:szCs w:val="18"/>
              </w:rPr>
              <w:t>-0</w:t>
            </w:r>
            <w:r>
              <w:rPr>
                <w:rFonts w:ascii="Myriad Pro" w:eastAsia="Calibri" w:hAnsi="Myriad Pro" w:cs="Calibri"/>
                <w:bCs/>
                <w:sz w:val="18"/>
                <w:szCs w:val="18"/>
              </w:rPr>
              <w:t>,</w:t>
            </w:r>
            <w:r w:rsidRPr="00E577BC">
              <w:rPr>
                <w:rFonts w:ascii="Myriad Pro" w:eastAsia="Calibri" w:hAnsi="Myriad Pro" w:cs="Calibri"/>
                <w:bCs/>
                <w:sz w:val="18"/>
                <w:szCs w:val="18"/>
              </w:rPr>
              <w:t>5</w:t>
            </w:r>
          </w:p>
        </w:tc>
        <w:tc>
          <w:tcPr>
            <w:tcW w:w="297" w:type="pct"/>
            <w:noWrap/>
          </w:tcPr>
          <w:p w14:paraId="07540FCD" w14:textId="02655D1B" w:rsidR="001B7AF8" w:rsidRPr="00E577BC" w:rsidRDefault="001B7AF8" w:rsidP="001B7AF8">
            <w:pPr>
              <w:spacing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r w:rsidRPr="00E577BC">
              <w:rPr>
                <w:rFonts w:ascii="Myriad Pro" w:eastAsia="Calibri" w:hAnsi="Myriad Pro" w:cs="Calibri"/>
                <w:bCs/>
                <w:sz w:val="18"/>
                <w:szCs w:val="18"/>
              </w:rPr>
              <w:t>-0</w:t>
            </w:r>
            <w:r>
              <w:rPr>
                <w:rFonts w:ascii="Myriad Pro" w:eastAsia="Calibri" w:hAnsi="Myriad Pro" w:cs="Calibri"/>
                <w:bCs/>
                <w:sz w:val="18"/>
                <w:szCs w:val="18"/>
              </w:rPr>
              <w:t>,</w:t>
            </w:r>
            <w:r w:rsidRPr="00E577BC">
              <w:rPr>
                <w:rFonts w:ascii="Myriad Pro" w:eastAsia="Calibri" w:hAnsi="Myriad Pro" w:cs="Calibri"/>
                <w:bCs/>
                <w:sz w:val="18"/>
                <w:szCs w:val="18"/>
              </w:rPr>
              <w:t>2</w:t>
            </w:r>
          </w:p>
        </w:tc>
        <w:tc>
          <w:tcPr>
            <w:tcW w:w="295" w:type="pct"/>
            <w:noWrap/>
          </w:tcPr>
          <w:p w14:paraId="3EEED5F5" w14:textId="07BA7F34" w:rsidR="001B7AF8" w:rsidRPr="00E577BC" w:rsidRDefault="001B7AF8" w:rsidP="001B7AF8">
            <w:pPr>
              <w:spacing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r w:rsidRPr="00E577BC">
              <w:rPr>
                <w:rFonts w:ascii="Myriad Pro" w:eastAsia="Calibri" w:hAnsi="Myriad Pro" w:cs="Calibri"/>
                <w:bCs/>
                <w:sz w:val="18"/>
                <w:szCs w:val="18"/>
              </w:rPr>
              <w:t>-0</w:t>
            </w:r>
            <w:r>
              <w:rPr>
                <w:rFonts w:ascii="Myriad Pro" w:eastAsia="Calibri" w:hAnsi="Myriad Pro" w:cs="Calibri"/>
                <w:bCs/>
                <w:sz w:val="18"/>
                <w:szCs w:val="18"/>
              </w:rPr>
              <w:t>,</w:t>
            </w:r>
            <w:r w:rsidRPr="00E577BC">
              <w:rPr>
                <w:rFonts w:ascii="Myriad Pro" w:eastAsia="Calibri" w:hAnsi="Myriad Pro" w:cs="Calibri"/>
                <w:bCs/>
                <w:sz w:val="18"/>
                <w:szCs w:val="18"/>
              </w:rPr>
              <w:t>6</w:t>
            </w:r>
          </w:p>
        </w:tc>
        <w:tc>
          <w:tcPr>
            <w:tcW w:w="295" w:type="pct"/>
          </w:tcPr>
          <w:p w14:paraId="6B92F177" w14:textId="0111AA94" w:rsidR="001B7AF8" w:rsidRPr="00E577BC" w:rsidRDefault="001B7AF8" w:rsidP="001B7AF8">
            <w:pPr>
              <w:spacing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r w:rsidRPr="00E577BC">
              <w:rPr>
                <w:rFonts w:ascii="Myriad Pro" w:eastAsia="Calibri" w:hAnsi="Myriad Pro" w:cs="Calibri"/>
                <w:bCs/>
                <w:sz w:val="18"/>
                <w:szCs w:val="18"/>
              </w:rPr>
              <w:t>-1</w:t>
            </w:r>
            <w:r>
              <w:rPr>
                <w:rFonts w:ascii="Myriad Pro" w:eastAsia="Calibri" w:hAnsi="Myriad Pro" w:cs="Calibri"/>
                <w:bCs/>
                <w:sz w:val="18"/>
                <w:szCs w:val="18"/>
              </w:rPr>
              <w:t>,</w:t>
            </w:r>
            <w:r w:rsidRPr="00E577BC">
              <w:rPr>
                <w:rFonts w:ascii="Myriad Pro" w:eastAsia="Calibri" w:hAnsi="Myriad Pro" w:cs="Calibri"/>
                <w:bCs/>
                <w:sz w:val="18"/>
                <w:szCs w:val="18"/>
              </w:rPr>
              <w:t>6</w:t>
            </w:r>
          </w:p>
        </w:tc>
        <w:tc>
          <w:tcPr>
            <w:tcW w:w="296" w:type="pct"/>
          </w:tcPr>
          <w:p w14:paraId="7F465DC9" w14:textId="5B79F3D7" w:rsidR="001B7AF8" w:rsidRPr="00E577BC" w:rsidRDefault="001B7AF8" w:rsidP="001B7AF8">
            <w:pPr>
              <w:spacing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r w:rsidRPr="00E577BC">
              <w:rPr>
                <w:rFonts w:ascii="Myriad Pro" w:eastAsia="Calibri" w:hAnsi="Myriad Pro" w:cs="Calibri"/>
                <w:bCs/>
                <w:sz w:val="18"/>
                <w:szCs w:val="18"/>
              </w:rPr>
              <w:t>0</w:t>
            </w:r>
            <w:r>
              <w:rPr>
                <w:rFonts w:ascii="Myriad Pro" w:eastAsia="Calibri" w:hAnsi="Myriad Pro" w:cs="Calibri"/>
                <w:bCs/>
                <w:sz w:val="18"/>
                <w:szCs w:val="18"/>
              </w:rPr>
              <w:t>,</w:t>
            </w:r>
            <w:r w:rsidRPr="00E577BC">
              <w:rPr>
                <w:rFonts w:ascii="Myriad Pro" w:eastAsia="Calibri" w:hAnsi="Myriad Pro" w:cs="Calibri"/>
                <w:bCs/>
                <w:sz w:val="18"/>
                <w:szCs w:val="18"/>
              </w:rPr>
              <w:t>0</w:t>
            </w:r>
          </w:p>
        </w:tc>
        <w:tc>
          <w:tcPr>
            <w:tcW w:w="295" w:type="pct"/>
          </w:tcPr>
          <w:p w14:paraId="4988D617" w14:textId="57FB86E8" w:rsidR="001B7AF8" w:rsidRPr="00E577BC" w:rsidRDefault="001B7AF8" w:rsidP="001B7AF8">
            <w:pPr>
              <w:spacing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r w:rsidRPr="00E577BC">
              <w:rPr>
                <w:rFonts w:ascii="Myriad Pro" w:eastAsia="Calibri" w:hAnsi="Myriad Pro" w:cs="Calibri"/>
                <w:bCs/>
                <w:sz w:val="18"/>
                <w:szCs w:val="18"/>
              </w:rPr>
              <w:t>2</w:t>
            </w:r>
            <w:r>
              <w:rPr>
                <w:rFonts w:ascii="Myriad Pro" w:eastAsia="Calibri" w:hAnsi="Myriad Pro" w:cs="Calibri"/>
                <w:bCs/>
                <w:sz w:val="18"/>
                <w:szCs w:val="18"/>
              </w:rPr>
              <w:t>,</w:t>
            </w:r>
            <w:r w:rsidRPr="00E577BC">
              <w:rPr>
                <w:rFonts w:ascii="Myriad Pro" w:eastAsia="Calibri" w:hAnsi="Myriad Pro" w:cs="Calibri"/>
                <w:bCs/>
                <w:sz w:val="18"/>
                <w:szCs w:val="18"/>
              </w:rPr>
              <w:t>8</w:t>
            </w:r>
          </w:p>
        </w:tc>
        <w:tc>
          <w:tcPr>
            <w:tcW w:w="295" w:type="pct"/>
          </w:tcPr>
          <w:p w14:paraId="218A03C1" w14:textId="5032F0CA" w:rsidR="001B7AF8" w:rsidRPr="00E577BC" w:rsidRDefault="001B7AF8" w:rsidP="001B7AF8">
            <w:pPr>
              <w:spacing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r w:rsidRPr="00E577BC">
              <w:rPr>
                <w:rFonts w:ascii="Myriad Pro" w:eastAsia="Calibri" w:hAnsi="Myriad Pro" w:cs="Calibri"/>
                <w:bCs/>
                <w:sz w:val="18"/>
                <w:szCs w:val="18"/>
              </w:rPr>
              <w:t>2</w:t>
            </w:r>
            <w:r>
              <w:rPr>
                <w:rFonts w:ascii="Myriad Pro" w:eastAsia="Calibri" w:hAnsi="Myriad Pro" w:cs="Calibri"/>
                <w:bCs/>
                <w:sz w:val="18"/>
                <w:szCs w:val="18"/>
              </w:rPr>
              <w:t>,</w:t>
            </w:r>
            <w:r w:rsidRPr="00E577BC">
              <w:rPr>
                <w:rFonts w:ascii="Myriad Pro" w:eastAsia="Calibri" w:hAnsi="Myriad Pro" w:cs="Calibri"/>
                <w:bCs/>
                <w:sz w:val="18"/>
                <w:szCs w:val="18"/>
              </w:rPr>
              <w:t>3</w:t>
            </w:r>
          </w:p>
        </w:tc>
        <w:tc>
          <w:tcPr>
            <w:tcW w:w="296" w:type="pct"/>
          </w:tcPr>
          <w:p w14:paraId="46BEBCF5" w14:textId="0725A5BD" w:rsidR="001B7AF8" w:rsidRPr="00E577BC" w:rsidRDefault="001B7AF8" w:rsidP="001B7AF8">
            <w:pPr>
              <w:spacing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r w:rsidRPr="00E577BC">
              <w:rPr>
                <w:rFonts w:ascii="Myriad Pro" w:eastAsia="Calibri" w:hAnsi="Myriad Pro" w:cs="Calibri"/>
                <w:bCs/>
                <w:sz w:val="18"/>
                <w:szCs w:val="18"/>
              </w:rPr>
              <w:t>0</w:t>
            </w:r>
            <w:r>
              <w:rPr>
                <w:rFonts w:ascii="Myriad Pro" w:eastAsia="Calibri" w:hAnsi="Myriad Pro" w:cs="Calibri"/>
                <w:bCs/>
                <w:sz w:val="18"/>
                <w:szCs w:val="18"/>
              </w:rPr>
              <w:t>,</w:t>
            </w:r>
            <w:r w:rsidRPr="00E577BC">
              <w:rPr>
                <w:rFonts w:ascii="Myriad Pro" w:eastAsia="Calibri" w:hAnsi="Myriad Pro" w:cs="Calibri"/>
                <w:bCs/>
                <w:sz w:val="18"/>
                <w:szCs w:val="18"/>
              </w:rPr>
              <w:t>5</w:t>
            </w:r>
          </w:p>
        </w:tc>
        <w:tc>
          <w:tcPr>
            <w:tcW w:w="295" w:type="pct"/>
          </w:tcPr>
          <w:p w14:paraId="1E63E589" w14:textId="14873102" w:rsidR="001B7AF8" w:rsidRPr="00E65A3F" w:rsidRDefault="001B7AF8" w:rsidP="001B7AF8">
            <w:pPr>
              <w:spacing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r w:rsidRPr="00E65A3F">
              <w:rPr>
                <w:rFonts w:ascii="Myriad Pro" w:eastAsia="Calibri" w:hAnsi="Myriad Pro" w:cs="Calibri"/>
                <w:bCs/>
                <w:sz w:val="18"/>
                <w:szCs w:val="18"/>
              </w:rPr>
              <w:t>0,4</w:t>
            </w:r>
          </w:p>
        </w:tc>
        <w:tc>
          <w:tcPr>
            <w:tcW w:w="295" w:type="pct"/>
          </w:tcPr>
          <w:p w14:paraId="79698D23" w14:textId="598D50A6" w:rsidR="001B7AF8" w:rsidRPr="00E65A3F" w:rsidRDefault="001B7AF8" w:rsidP="001B7AF8">
            <w:pPr>
              <w:spacing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r w:rsidRPr="00E65A3F">
              <w:rPr>
                <w:rFonts w:ascii="Myriad Pro" w:eastAsia="Calibri" w:hAnsi="Myriad Pro" w:cs="Calibri"/>
                <w:bCs/>
                <w:sz w:val="18"/>
                <w:szCs w:val="18"/>
              </w:rPr>
              <w:t>-3,7</w:t>
            </w:r>
          </w:p>
        </w:tc>
        <w:tc>
          <w:tcPr>
            <w:tcW w:w="296" w:type="pct"/>
          </w:tcPr>
          <w:p w14:paraId="615865C8" w14:textId="64DCC552" w:rsidR="001B7AF8" w:rsidRPr="00E65A3F" w:rsidRDefault="001B7AF8" w:rsidP="001B7AF8">
            <w:pPr>
              <w:spacing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r w:rsidRPr="00E65A3F">
              <w:rPr>
                <w:rFonts w:ascii="Myriad Pro" w:eastAsia="Calibri" w:hAnsi="Myriad Pro" w:cs="Calibri"/>
                <w:bCs/>
                <w:sz w:val="18"/>
                <w:szCs w:val="18"/>
              </w:rPr>
              <w:t>-7,5</w:t>
            </w:r>
          </w:p>
        </w:tc>
        <w:tc>
          <w:tcPr>
            <w:tcW w:w="295" w:type="pct"/>
          </w:tcPr>
          <w:p w14:paraId="1745A36B" w14:textId="59150C97" w:rsidR="001B7AF8" w:rsidRPr="00E65A3F" w:rsidRDefault="001B7AF8" w:rsidP="001B7AF8">
            <w:pPr>
              <w:spacing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Arial"/>
                <w:bCs/>
                <w:color w:val="000000"/>
                <w:sz w:val="18"/>
                <w:szCs w:val="18"/>
              </w:rPr>
            </w:pPr>
            <w:r w:rsidRPr="00E65A3F">
              <w:rPr>
                <w:rFonts w:ascii="Myriad Pro" w:eastAsia="Calibri" w:hAnsi="Myriad Pro" w:cs="Calibri"/>
                <w:bCs/>
                <w:sz w:val="18"/>
                <w:szCs w:val="18"/>
              </w:rPr>
              <w:t>-3,7</w:t>
            </w:r>
          </w:p>
        </w:tc>
        <w:tc>
          <w:tcPr>
            <w:tcW w:w="296" w:type="pct"/>
          </w:tcPr>
          <w:p w14:paraId="659AF9B7" w14:textId="2AC2B9C0" w:rsidR="001B7AF8" w:rsidRPr="00E65A3F" w:rsidRDefault="001B7AF8" w:rsidP="001B7AF8">
            <w:pPr>
              <w:spacing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Arial"/>
                <w:bCs/>
                <w:color w:val="000000"/>
                <w:sz w:val="18"/>
                <w:szCs w:val="18"/>
              </w:rPr>
            </w:pPr>
            <w:r w:rsidRPr="00E65A3F">
              <w:rPr>
                <w:rFonts w:ascii="Myriad Pro" w:eastAsia="Calibri" w:hAnsi="Myriad Pro" w:cs="Calibri"/>
                <w:bCs/>
                <w:sz w:val="18"/>
                <w:szCs w:val="18"/>
              </w:rPr>
              <w:t>0,3</w:t>
            </w:r>
          </w:p>
        </w:tc>
      </w:tr>
      <w:tr w:rsidR="001B7AF8" w:rsidRPr="00E577BC" w14:paraId="1DF633FC" w14:textId="77777777" w:rsidTr="00AF0AAE">
        <w:trPr>
          <w:trHeight w:val="285"/>
        </w:trPr>
        <w:tc>
          <w:tcPr>
            <w:cnfStyle w:val="001000000000" w:firstRow="0" w:lastRow="0" w:firstColumn="1" w:lastColumn="0" w:oddVBand="0" w:evenVBand="0" w:oddHBand="0" w:evenHBand="0" w:firstRowFirstColumn="0" w:firstRowLastColumn="0" w:lastRowFirstColumn="0" w:lastRowLastColumn="0"/>
            <w:tcW w:w="863" w:type="pct"/>
            <w:noWrap/>
          </w:tcPr>
          <w:p w14:paraId="6BEE7B75" w14:textId="0268C123" w:rsidR="001B7AF8" w:rsidRPr="00E577BC" w:rsidRDefault="001B7AF8" w:rsidP="001B7AF8">
            <w:pPr>
              <w:spacing w:before="10" w:after="10" w:line="220" w:lineRule="atLeast"/>
              <w:rPr>
                <w:rFonts w:ascii="Myriad Pro" w:eastAsia="Calibri" w:hAnsi="Myriad Pro" w:cs="Calibri"/>
                <w:bCs/>
                <w:sz w:val="18"/>
                <w:szCs w:val="18"/>
              </w:rPr>
            </w:pPr>
            <w:r w:rsidRPr="00E577BC">
              <w:rPr>
                <w:rFonts w:ascii="Myriad Pro" w:eastAsia="Calibri" w:hAnsi="Myriad Pro" w:cs="Calibri"/>
                <w:bCs/>
                <w:sz w:val="18"/>
                <w:szCs w:val="18"/>
              </w:rPr>
              <w:t xml:space="preserve">Ostale naložbe </w:t>
            </w:r>
          </w:p>
        </w:tc>
        <w:tc>
          <w:tcPr>
            <w:tcW w:w="295" w:type="pct"/>
            <w:noWrap/>
          </w:tcPr>
          <w:p w14:paraId="37032593" w14:textId="5316A9ED" w:rsidR="001B7AF8" w:rsidRPr="00E577BC" w:rsidRDefault="001B7AF8" w:rsidP="001B7AF8">
            <w:pPr>
              <w:spacing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r w:rsidRPr="00E577BC">
              <w:rPr>
                <w:rFonts w:ascii="Myriad Pro" w:eastAsia="Calibri" w:hAnsi="Myriad Pro" w:cs="Calibri"/>
                <w:bCs/>
                <w:sz w:val="18"/>
                <w:szCs w:val="18"/>
              </w:rPr>
              <w:t>-43</w:t>
            </w:r>
            <w:r>
              <w:rPr>
                <w:rFonts w:ascii="Myriad Pro" w:eastAsia="Calibri" w:hAnsi="Myriad Pro" w:cs="Calibri"/>
                <w:bCs/>
                <w:sz w:val="18"/>
                <w:szCs w:val="18"/>
              </w:rPr>
              <w:t>,</w:t>
            </w:r>
            <w:r w:rsidRPr="00E577BC">
              <w:rPr>
                <w:rFonts w:ascii="Myriad Pro" w:eastAsia="Calibri" w:hAnsi="Myriad Pro" w:cs="Calibri"/>
                <w:bCs/>
                <w:sz w:val="18"/>
                <w:szCs w:val="18"/>
              </w:rPr>
              <w:t>7</w:t>
            </w:r>
          </w:p>
        </w:tc>
        <w:tc>
          <w:tcPr>
            <w:tcW w:w="295" w:type="pct"/>
            <w:noWrap/>
          </w:tcPr>
          <w:p w14:paraId="0EC54BCD" w14:textId="36BE56C1" w:rsidR="001B7AF8" w:rsidRPr="00E577BC" w:rsidRDefault="001B7AF8" w:rsidP="001B7AF8">
            <w:pPr>
              <w:spacing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r w:rsidRPr="00E577BC">
              <w:rPr>
                <w:rFonts w:ascii="Myriad Pro" w:eastAsia="Calibri" w:hAnsi="Myriad Pro" w:cs="Calibri"/>
                <w:bCs/>
                <w:sz w:val="18"/>
                <w:szCs w:val="18"/>
              </w:rPr>
              <w:t>-40</w:t>
            </w:r>
            <w:r>
              <w:rPr>
                <w:rFonts w:ascii="Myriad Pro" w:eastAsia="Calibri" w:hAnsi="Myriad Pro" w:cs="Calibri"/>
                <w:bCs/>
                <w:sz w:val="18"/>
                <w:szCs w:val="18"/>
              </w:rPr>
              <w:t>,</w:t>
            </w:r>
            <w:r w:rsidRPr="00E577BC">
              <w:rPr>
                <w:rFonts w:ascii="Myriad Pro" w:eastAsia="Calibri" w:hAnsi="Myriad Pro" w:cs="Calibri"/>
                <w:bCs/>
                <w:sz w:val="18"/>
                <w:szCs w:val="18"/>
              </w:rPr>
              <w:t>6</w:t>
            </w:r>
          </w:p>
        </w:tc>
        <w:tc>
          <w:tcPr>
            <w:tcW w:w="297" w:type="pct"/>
            <w:noWrap/>
          </w:tcPr>
          <w:p w14:paraId="41F9B151" w14:textId="58630F9D" w:rsidR="001B7AF8" w:rsidRPr="00E577BC" w:rsidRDefault="001B7AF8" w:rsidP="001B7AF8">
            <w:pPr>
              <w:spacing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r w:rsidRPr="00E577BC">
              <w:rPr>
                <w:rFonts w:ascii="Myriad Pro" w:eastAsia="Calibri" w:hAnsi="Myriad Pro" w:cs="Calibri"/>
                <w:bCs/>
                <w:sz w:val="18"/>
                <w:szCs w:val="18"/>
              </w:rPr>
              <w:t>-33</w:t>
            </w:r>
            <w:r>
              <w:rPr>
                <w:rFonts w:ascii="Myriad Pro" w:eastAsia="Calibri" w:hAnsi="Myriad Pro" w:cs="Calibri"/>
                <w:bCs/>
                <w:sz w:val="18"/>
                <w:szCs w:val="18"/>
              </w:rPr>
              <w:t>,</w:t>
            </w:r>
            <w:r w:rsidRPr="00E577BC">
              <w:rPr>
                <w:rFonts w:ascii="Myriad Pro" w:eastAsia="Calibri" w:hAnsi="Myriad Pro" w:cs="Calibri"/>
                <w:bCs/>
                <w:sz w:val="18"/>
                <w:szCs w:val="18"/>
              </w:rPr>
              <w:t>8</w:t>
            </w:r>
          </w:p>
        </w:tc>
        <w:tc>
          <w:tcPr>
            <w:tcW w:w="295" w:type="pct"/>
            <w:noWrap/>
          </w:tcPr>
          <w:p w14:paraId="231452F5" w14:textId="161A6E93" w:rsidR="001B7AF8" w:rsidRPr="00E577BC" w:rsidRDefault="001B7AF8" w:rsidP="001B7AF8">
            <w:pPr>
              <w:spacing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r w:rsidRPr="00E577BC">
              <w:rPr>
                <w:rFonts w:ascii="Myriad Pro" w:eastAsia="Calibri" w:hAnsi="Myriad Pro" w:cs="Calibri"/>
                <w:bCs/>
                <w:sz w:val="18"/>
                <w:szCs w:val="18"/>
              </w:rPr>
              <w:t>-35</w:t>
            </w:r>
            <w:r>
              <w:rPr>
                <w:rFonts w:ascii="Myriad Pro" w:eastAsia="Calibri" w:hAnsi="Myriad Pro" w:cs="Calibri"/>
                <w:bCs/>
                <w:sz w:val="18"/>
                <w:szCs w:val="18"/>
              </w:rPr>
              <w:t>,</w:t>
            </w:r>
            <w:r w:rsidRPr="00E577BC">
              <w:rPr>
                <w:rFonts w:ascii="Myriad Pro" w:eastAsia="Calibri" w:hAnsi="Myriad Pro" w:cs="Calibri"/>
                <w:bCs/>
                <w:sz w:val="18"/>
                <w:szCs w:val="18"/>
              </w:rPr>
              <w:t>1</w:t>
            </w:r>
          </w:p>
        </w:tc>
        <w:tc>
          <w:tcPr>
            <w:tcW w:w="295" w:type="pct"/>
          </w:tcPr>
          <w:p w14:paraId="5DBF555F" w14:textId="12AE47C1" w:rsidR="001B7AF8" w:rsidRPr="00E577BC" w:rsidRDefault="001B7AF8" w:rsidP="001B7AF8">
            <w:pPr>
              <w:spacing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r w:rsidRPr="00E577BC">
              <w:rPr>
                <w:rFonts w:ascii="Myriad Pro" w:eastAsia="Calibri" w:hAnsi="Myriad Pro" w:cs="Calibri"/>
                <w:bCs/>
                <w:sz w:val="18"/>
                <w:szCs w:val="18"/>
              </w:rPr>
              <w:t>-17</w:t>
            </w:r>
            <w:r>
              <w:rPr>
                <w:rFonts w:ascii="Myriad Pro" w:eastAsia="Calibri" w:hAnsi="Myriad Pro" w:cs="Calibri"/>
                <w:bCs/>
                <w:sz w:val="18"/>
                <w:szCs w:val="18"/>
              </w:rPr>
              <w:t>,</w:t>
            </w:r>
            <w:r w:rsidRPr="00E577BC">
              <w:rPr>
                <w:rFonts w:ascii="Myriad Pro" w:eastAsia="Calibri" w:hAnsi="Myriad Pro" w:cs="Calibri"/>
                <w:bCs/>
                <w:sz w:val="18"/>
                <w:szCs w:val="18"/>
              </w:rPr>
              <w:t>9</w:t>
            </w:r>
          </w:p>
        </w:tc>
        <w:tc>
          <w:tcPr>
            <w:tcW w:w="296" w:type="pct"/>
          </w:tcPr>
          <w:p w14:paraId="103B0B96" w14:textId="739BC5DB" w:rsidR="001B7AF8" w:rsidRPr="00E577BC" w:rsidRDefault="001B7AF8" w:rsidP="001B7AF8">
            <w:pPr>
              <w:spacing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r w:rsidRPr="00E577BC">
              <w:rPr>
                <w:rFonts w:ascii="Myriad Pro" w:eastAsia="Calibri" w:hAnsi="Myriad Pro" w:cs="Calibri"/>
                <w:bCs/>
                <w:sz w:val="18"/>
                <w:szCs w:val="18"/>
              </w:rPr>
              <w:t>1</w:t>
            </w:r>
            <w:r>
              <w:rPr>
                <w:rFonts w:ascii="Myriad Pro" w:eastAsia="Calibri" w:hAnsi="Myriad Pro" w:cs="Calibri"/>
                <w:bCs/>
                <w:sz w:val="18"/>
                <w:szCs w:val="18"/>
              </w:rPr>
              <w:t>,</w:t>
            </w:r>
            <w:r w:rsidRPr="00E577BC">
              <w:rPr>
                <w:rFonts w:ascii="Myriad Pro" w:eastAsia="Calibri" w:hAnsi="Myriad Pro" w:cs="Calibri"/>
                <w:bCs/>
                <w:sz w:val="18"/>
                <w:szCs w:val="18"/>
              </w:rPr>
              <w:t>3</w:t>
            </w:r>
          </w:p>
        </w:tc>
        <w:tc>
          <w:tcPr>
            <w:tcW w:w="295" w:type="pct"/>
          </w:tcPr>
          <w:p w14:paraId="44382673" w14:textId="05074D75" w:rsidR="001B7AF8" w:rsidRPr="00E577BC" w:rsidRDefault="001B7AF8" w:rsidP="001B7AF8">
            <w:pPr>
              <w:spacing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r w:rsidRPr="00E577BC">
              <w:rPr>
                <w:rFonts w:ascii="Myriad Pro" w:eastAsia="Calibri" w:hAnsi="Myriad Pro" w:cs="Calibri"/>
                <w:bCs/>
                <w:sz w:val="18"/>
                <w:szCs w:val="18"/>
              </w:rPr>
              <w:t>1</w:t>
            </w:r>
            <w:r>
              <w:rPr>
                <w:rFonts w:ascii="Myriad Pro" w:eastAsia="Calibri" w:hAnsi="Myriad Pro" w:cs="Calibri"/>
                <w:bCs/>
                <w:sz w:val="18"/>
                <w:szCs w:val="18"/>
              </w:rPr>
              <w:t>,</w:t>
            </w:r>
            <w:r w:rsidRPr="00E577BC">
              <w:rPr>
                <w:rFonts w:ascii="Myriad Pro" w:eastAsia="Calibri" w:hAnsi="Myriad Pro" w:cs="Calibri"/>
                <w:bCs/>
                <w:sz w:val="18"/>
                <w:szCs w:val="18"/>
              </w:rPr>
              <w:t>4</w:t>
            </w:r>
          </w:p>
        </w:tc>
        <w:tc>
          <w:tcPr>
            <w:tcW w:w="295" w:type="pct"/>
          </w:tcPr>
          <w:p w14:paraId="3927E305" w14:textId="3C2DEB3A" w:rsidR="001B7AF8" w:rsidRPr="00E577BC" w:rsidRDefault="001B7AF8" w:rsidP="001B7AF8">
            <w:pPr>
              <w:spacing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r w:rsidRPr="00E577BC">
              <w:rPr>
                <w:rFonts w:ascii="Myriad Pro" w:eastAsia="Calibri" w:hAnsi="Myriad Pro" w:cs="Calibri"/>
                <w:bCs/>
                <w:sz w:val="18"/>
                <w:szCs w:val="18"/>
              </w:rPr>
              <w:t>-5</w:t>
            </w:r>
            <w:r>
              <w:rPr>
                <w:rFonts w:ascii="Myriad Pro" w:eastAsia="Calibri" w:hAnsi="Myriad Pro" w:cs="Calibri"/>
                <w:bCs/>
                <w:sz w:val="18"/>
                <w:szCs w:val="18"/>
              </w:rPr>
              <w:t>,</w:t>
            </w:r>
            <w:r w:rsidRPr="00E577BC">
              <w:rPr>
                <w:rFonts w:ascii="Myriad Pro" w:eastAsia="Calibri" w:hAnsi="Myriad Pro" w:cs="Calibri"/>
                <w:bCs/>
                <w:sz w:val="18"/>
                <w:szCs w:val="18"/>
              </w:rPr>
              <w:t>6</w:t>
            </w:r>
          </w:p>
        </w:tc>
        <w:tc>
          <w:tcPr>
            <w:tcW w:w="296" w:type="pct"/>
          </w:tcPr>
          <w:p w14:paraId="4A3CF71B" w14:textId="1E08D878" w:rsidR="001B7AF8" w:rsidRPr="00E577BC" w:rsidRDefault="001B7AF8" w:rsidP="001B7AF8">
            <w:pPr>
              <w:spacing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r w:rsidRPr="00E577BC">
              <w:rPr>
                <w:rFonts w:ascii="Myriad Pro" w:eastAsia="Calibri" w:hAnsi="Myriad Pro" w:cs="Calibri"/>
                <w:bCs/>
                <w:sz w:val="18"/>
                <w:szCs w:val="18"/>
              </w:rPr>
              <w:t>-6</w:t>
            </w:r>
            <w:r>
              <w:rPr>
                <w:rFonts w:ascii="Myriad Pro" w:eastAsia="Calibri" w:hAnsi="Myriad Pro" w:cs="Calibri"/>
                <w:bCs/>
                <w:sz w:val="18"/>
                <w:szCs w:val="18"/>
              </w:rPr>
              <w:t>,</w:t>
            </w:r>
            <w:r w:rsidRPr="00E577BC">
              <w:rPr>
                <w:rFonts w:ascii="Myriad Pro" w:eastAsia="Calibri" w:hAnsi="Myriad Pro" w:cs="Calibri"/>
                <w:bCs/>
                <w:sz w:val="18"/>
                <w:szCs w:val="18"/>
              </w:rPr>
              <w:t>6</w:t>
            </w:r>
          </w:p>
        </w:tc>
        <w:tc>
          <w:tcPr>
            <w:tcW w:w="295" w:type="pct"/>
          </w:tcPr>
          <w:p w14:paraId="1FE09ACE" w14:textId="48D7C0DB" w:rsidR="001B7AF8" w:rsidRPr="00E65A3F" w:rsidRDefault="001B7AF8" w:rsidP="001B7AF8">
            <w:pPr>
              <w:spacing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r w:rsidRPr="00E65A3F">
              <w:rPr>
                <w:rFonts w:ascii="Myriad Pro" w:eastAsia="Calibri" w:hAnsi="Myriad Pro" w:cs="Calibri"/>
                <w:bCs/>
                <w:sz w:val="18"/>
                <w:szCs w:val="18"/>
              </w:rPr>
              <w:t>-0,6</w:t>
            </w:r>
          </w:p>
        </w:tc>
        <w:tc>
          <w:tcPr>
            <w:tcW w:w="295" w:type="pct"/>
          </w:tcPr>
          <w:p w14:paraId="069F9C11" w14:textId="7C99D575" w:rsidR="001B7AF8" w:rsidRPr="00E65A3F" w:rsidRDefault="001B7AF8" w:rsidP="001B7AF8">
            <w:pPr>
              <w:spacing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r w:rsidRPr="00E65A3F">
              <w:rPr>
                <w:rFonts w:ascii="Myriad Pro" w:eastAsia="Calibri" w:hAnsi="Myriad Pro" w:cs="Calibri"/>
                <w:bCs/>
                <w:sz w:val="18"/>
                <w:szCs w:val="18"/>
              </w:rPr>
              <w:t>3,5</w:t>
            </w:r>
          </w:p>
        </w:tc>
        <w:tc>
          <w:tcPr>
            <w:tcW w:w="296" w:type="pct"/>
          </w:tcPr>
          <w:p w14:paraId="3432F9BD" w14:textId="4C455B6F" w:rsidR="001B7AF8" w:rsidRPr="00E65A3F" w:rsidRDefault="001B7AF8" w:rsidP="001B7AF8">
            <w:pPr>
              <w:spacing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r w:rsidRPr="00E65A3F">
              <w:rPr>
                <w:rFonts w:ascii="Myriad Pro" w:eastAsia="Calibri" w:hAnsi="Myriad Pro" w:cs="Calibri"/>
                <w:bCs/>
                <w:sz w:val="18"/>
                <w:szCs w:val="18"/>
              </w:rPr>
              <w:t>12,6</w:t>
            </w:r>
          </w:p>
        </w:tc>
        <w:tc>
          <w:tcPr>
            <w:tcW w:w="295" w:type="pct"/>
          </w:tcPr>
          <w:p w14:paraId="22A39F07" w14:textId="50A3BE21" w:rsidR="001B7AF8" w:rsidRPr="00E65A3F" w:rsidRDefault="001B7AF8" w:rsidP="001B7AF8">
            <w:pPr>
              <w:spacing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Arial"/>
                <w:bCs/>
                <w:color w:val="000000"/>
                <w:sz w:val="18"/>
                <w:szCs w:val="18"/>
              </w:rPr>
            </w:pPr>
            <w:r w:rsidRPr="00E65A3F">
              <w:rPr>
                <w:rFonts w:ascii="Myriad Pro" w:eastAsia="Calibri" w:hAnsi="Myriad Pro" w:cs="Calibri"/>
                <w:bCs/>
                <w:sz w:val="18"/>
                <w:szCs w:val="18"/>
              </w:rPr>
              <w:t>8,4</w:t>
            </w:r>
          </w:p>
        </w:tc>
        <w:tc>
          <w:tcPr>
            <w:tcW w:w="296" w:type="pct"/>
          </w:tcPr>
          <w:p w14:paraId="7A18A170" w14:textId="098A6FFA" w:rsidR="001B7AF8" w:rsidRPr="00E65A3F" w:rsidRDefault="001B7AF8" w:rsidP="001B7AF8">
            <w:pPr>
              <w:spacing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Arial"/>
                <w:bCs/>
                <w:color w:val="000000"/>
                <w:sz w:val="18"/>
                <w:szCs w:val="18"/>
              </w:rPr>
            </w:pPr>
            <w:r w:rsidRPr="00E65A3F">
              <w:rPr>
                <w:rFonts w:ascii="Myriad Pro" w:eastAsia="Calibri" w:hAnsi="Myriad Pro" w:cs="Calibri"/>
                <w:bCs/>
                <w:sz w:val="18"/>
                <w:szCs w:val="18"/>
              </w:rPr>
              <w:t>7,0</w:t>
            </w:r>
          </w:p>
        </w:tc>
      </w:tr>
      <w:tr w:rsidR="001B7AF8" w:rsidRPr="00E577BC" w14:paraId="2D29F70B" w14:textId="77777777" w:rsidTr="00AF0AAE">
        <w:trPr>
          <w:trHeight w:val="285"/>
        </w:trPr>
        <w:tc>
          <w:tcPr>
            <w:cnfStyle w:val="001000000000" w:firstRow="0" w:lastRow="0" w:firstColumn="1" w:lastColumn="0" w:oddVBand="0" w:evenVBand="0" w:oddHBand="0" w:evenHBand="0" w:firstRowFirstColumn="0" w:firstRowLastColumn="0" w:lastRowFirstColumn="0" w:lastRowLastColumn="0"/>
            <w:tcW w:w="863" w:type="pct"/>
            <w:tcBorders>
              <w:bottom w:val="single" w:sz="4" w:space="0" w:color="auto"/>
            </w:tcBorders>
            <w:noWrap/>
          </w:tcPr>
          <w:p w14:paraId="09350C6A" w14:textId="724E317A" w:rsidR="001B7AF8" w:rsidRPr="00E577BC" w:rsidRDefault="001B7AF8" w:rsidP="001B7AF8">
            <w:pPr>
              <w:spacing w:before="10" w:after="10" w:line="220" w:lineRule="atLeast"/>
              <w:rPr>
                <w:rFonts w:ascii="Myriad Pro" w:eastAsia="Calibri" w:hAnsi="Myriad Pro" w:cs="Calibri"/>
                <w:bCs/>
                <w:sz w:val="18"/>
                <w:szCs w:val="18"/>
              </w:rPr>
            </w:pPr>
            <w:r w:rsidRPr="00E577BC">
              <w:rPr>
                <w:rFonts w:ascii="Myriad Pro" w:eastAsia="Calibri" w:hAnsi="Myriad Pro" w:cs="Calibri"/>
                <w:bCs/>
                <w:sz w:val="18"/>
                <w:szCs w:val="18"/>
              </w:rPr>
              <w:t>Rezevna imetja</w:t>
            </w:r>
          </w:p>
        </w:tc>
        <w:tc>
          <w:tcPr>
            <w:tcW w:w="295" w:type="pct"/>
            <w:tcBorders>
              <w:bottom w:val="single" w:sz="4" w:space="0" w:color="auto"/>
            </w:tcBorders>
            <w:noWrap/>
          </w:tcPr>
          <w:p w14:paraId="5329E505" w14:textId="1F081229" w:rsidR="001B7AF8" w:rsidRPr="00E577BC" w:rsidRDefault="001B7AF8" w:rsidP="001B7AF8">
            <w:pPr>
              <w:spacing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r w:rsidRPr="00E577BC">
              <w:rPr>
                <w:rFonts w:ascii="Myriad Pro" w:eastAsia="Calibri" w:hAnsi="Myriad Pro" w:cs="Calibri"/>
                <w:bCs/>
                <w:sz w:val="18"/>
                <w:szCs w:val="18"/>
              </w:rPr>
              <w:t>2</w:t>
            </w:r>
            <w:r>
              <w:rPr>
                <w:rFonts w:ascii="Myriad Pro" w:eastAsia="Calibri" w:hAnsi="Myriad Pro" w:cs="Calibri"/>
                <w:bCs/>
                <w:sz w:val="18"/>
                <w:szCs w:val="18"/>
              </w:rPr>
              <w:t>,</w:t>
            </w:r>
            <w:r w:rsidRPr="00E577BC">
              <w:rPr>
                <w:rFonts w:ascii="Myriad Pro" w:eastAsia="Calibri" w:hAnsi="Myriad Pro" w:cs="Calibri"/>
                <w:bCs/>
                <w:sz w:val="18"/>
                <w:szCs w:val="18"/>
              </w:rPr>
              <w:t>1</w:t>
            </w:r>
          </w:p>
        </w:tc>
        <w:tc>
          <w:tcPr>
            <w:tcW w:w="295" w:type="pct"/>
            <w:tcBorders>
              <w:bottom w:val="single" w:sz="4" w:space="0" w:color="auto"/>
            </w:tcBorders>
            <w:noWrap/>
          </w:tcPr>
          <w:p w14:paraId="0943D899" w14:textId="00C5A41B" w:rsidR="001B7AF8" w:rsidRPr="00E577BC" w:rsidRDefault="001B7AF8" w:rsidP="001B7AF8">
            <w:pPr>
              <w:spacing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r w:rsidRPr="00E577BC">
              <w:rPr>
                <w:rFonts w:ascii="Myriad Pro" w:eastAsia="Calibri" w:hAnsi="Myriad Pro" w:cs="Calibri"/>
                <w:bCs/>
                <w:sz w:val="18"/>
                <w:szCs w:val="18"/>
              </w:rPr>
              <w:t>2</w:t>
            </w:r>
            <w:r>
              <w:rPr>
                <w:rFonts w:ascii="Myriad Pro" w:eastAsia="Calibri" w:hAnsi="Myriad Pro" w:cs="Calibri"/>
                <w:bCs/>
                <w:sz w:val="18"/>
                <w:szCs w:val="18"/>
              </w:rPr>
              <w:t>,</w:t>
            </w:r>
            <w:r w:rsidRPr="00E577BC">
              <w:rPr>
                <w:rFonts w:ascii="Myriad Pro" w:eastAsia="Calibri" w:hAnsi="Myriad Pro" w:cs="Calibri"/>
                <w:bCs/>
                <w:sz w:val="18"/>
                <w:szCs w:val="18"/>
              </w:rPr>
              <w:t>2</w:t>
            </w:r>
          </w:p>
        </w:tc>
        <w:tc>
          <w:tcPr>
            <w:tcW w:w="297" w:type="pct"/>
            <w:tcBorders>
              <w:bottom w:val="single" w:sz="4" w:space="0" w:color="auto"/>
            </w:tcBorders>
            <w:noWrap/>
          </w:tcPr>
          <w:p w14:paraId="0AD908A7" w14:textId="4DE2C807" w:rsidR="001B7AF8" w:rsidRPr="00E577BC" w:rsidRDefault="001B7AF8" w:rsidP="001B7AF8">
            <w:pPr>
              <w:spacing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r w:rsidRPr="00E577BC">
              <w:rPr>
                <w:rFonts w:ascii="Myriad Pro" w:eastAsia="Calibri" w:hAnsi="Myriad Pro" w:cs="Calibri"/>
                <w:bCs/>
                <w:sz w:val="18"/>
                <w:szCs w:val="18"/>
              </w:rPr>
              <w:t>2</w:t>
            </w:r>
            <w:r>
              <w:rPr>
                <w:rFonts w:ascii="Myriad Pro" w:eastAsia="Calibri" w:hAnsi="Myriad Pro" w:cs="Calibri"/>
                <w:bCs/>
                <w:sz w:val="18"/>
                <w:szCs w:val="18"/>
              </w:rPr>
              <w:t>,</w:t>
            </w:r>
            <w:r w:rsidRPr="00E577BC">
              <w:rPr>
                <w:rFonts w:ascii="Myriad Pro" w:eastAsia="Calibri" w:hAnsi="Myriad Pro" w:cs="Calibri"/>
                <w:bCs/>
                <w:sz w:val="18"/>
                <w:szCs w:val="18"/>
              </w:rPr>
              <w:t>1</w:t>
            </w:r>
          </w:p>
        </w:tc>
        <w:tc>
          <w:tcPr>
            <w:tcW w:w="295" w:type="pct"/>
            <w:tcBorders>
              <w:bottom w:val="single" w:sz="4" w:space="0" w:color="auto"/>
            </w:tcBorders>
            <w:noWrap/>
          </w:tcPr>
          <w:p w14:paraId="432DA272" w14:textId="4DDA8210" w:rsidR="001B7AF8" w:rsidRPr="00E577BC" w:rsidRDefault="001B7AF8" w:rsidP="001B7AF8">
            <w:pPr>
              <w:spacing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r w:rsidRPr="00E577BC">
              <w:rPr>
                <w:rFonts w:ascii="Myriad Pro" w:eastAsia="Calibri" w:hAnsi="Myriad Pro" w:cs="Calibri"/>
                <w:bCs/>
                <w:sz w:val="18"/>
                <w:szCs w:val="18"/>
              </w:rPr>
              <w:t>2</w:t>
            </w:r>
            <w:r>
              <w:rPr>
                <w:rFonts w:ascii="Myriad Pro" w:eastAsia="Calibri" w:hAnsi="Myriad Pro" w:cs="Calibri"/>
                <w:bCs/>
                <w:sz w:val="18"/>
                <w:szCs w:val="18"/>
              </w:rPr>
              <w:t>,</w:t>
            </w:r>
            <w:r w:rsidRPr="00E577BC">
              <w:rPr>
                <w:rFonts w:ascii="Myriad Pro" w:eastAsia="Calibri" w:hAnsi="Myriad Pro" w:cs="Calibri"/>
                <w:bCs/>
                <w:sz w:val="18"/>
                <w:szCs w:val="18"/>
              </w:rPr>
              <w:t>0</w:t>
            </w:r>
          </w:p>
        </w:tc>
        <w:tc>
          <w:tcPr>
            <w:tcW w:w="295" w:type="pct"/>
            <w:tcBorders>
              <w:bottom w:val="single" w:sz="4" w:space="0" w:color="auto"/>
            </w:tcBorders>
          </w:tcPr>
          <w:p w14:paraId="48BDB699" w14:textId="25B5F4C5" w:rsidR="001B7AF8" w:rsidRPr="00E577BC" w:rsidRDefault="001B7AF8" w:rsidP="001B7AF8">
            <w:pPr>
              <w:spacing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r w:rsidRPr="00E577BC">
              <w:rPr>
                <w:rFonts w:ascii="Myriad Pro" w:eastAsia="Calibri" w:hAnsi="Myriad Pro" w:cs="Calibri"/>
                <w:bCs/>
                <w:sz w:val="18"/>
                <w:szCs w:val="18"/>
              </w:rPr>
              <w:t>1</w:t>
            </w:r>
            <w:r>
              <w:rPr>
                <w:rFonts w:ascii="Myriad Pro" w:eastAsia="Calibri" w:hAnsi="Myriad Pro" w:cs="Calibri"/>
                <w:bCs/>
                <w:sz w:val="18"/>
                <w:szCs w:val="18"/>
              </w:rPr>
              <w:t>,</w:t>
            </w:r>
            <w:r w:rsidRPr="00E577BC">
              <w:rPr>
                <w:rFonts w:ascii="Myriad Pro" w:eastAsia="Calibri" w:hAnsi="Myriad Pro" w:cs="Calibri"/>
                <w:bCs/>
                <w:sz w:val="18"/>
                <w:szCs w:val="18"/>
              </w:rPr>
              <w:t>8</w:t>
            </w:r>
          </w:p>
        </w:tc>
        <w:tc>
          <w:tcPr>
            <w:tcW w:w="296" w:type="pct"/>
            <w:tcBorders>
              <w:bottom w:val="single" w:sz="4" w:space="0" w:color="auto"/>
            </w:tcBorders>
          </w:tcPr>
          <w:p w14:paraId="3112D47D" w14:textId="3E2E9A63" w:rsidR="001B7AF8" w:rsidRPr="00E577BC" w:rsidRDefault="001B7AF8" w:rsidP="001B7AF8">
            <w:pPr>
              <w:spacing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r w:rsidRPr="00E577BC">
              <w:rPr>
                <w:rFonts w:ascii="Myriad Pro" w:eastAsia="Calibri" w:hAnsi="Myriad Pro" w:cs="Calibri"/>
                <w:bCs/>
                <w:sz w:val="18"/>
                <w:szCs w:val="18"/>
              </w:rPr>
              <w:t>2</w:t>
            </w:r>
            <w:r>
              <w:rPr>
                <w:rFonts w:ascii="Myriad Pro" w:eastAsia="Calibri" w:hAnsi="Myriad Pro" w:cs="Calibri"/>
                <w:bCs/>
                <w:sz w:val="18"/>
                <w:szCs w:val="18"/>
              </w:rPr>
              <w:t>,</w:t>
            </w:r>
            <w:r w:rsidRPr="00E577BC">
              <w:rPr>
                <w:rFonts w:ascii="Myriad Pro" w:eastAsia="Calibri" w:hAnsi="Myriad Pro" w:cs="Calibri"/>
                <w:bCs/>
                <w:sz w:val="18"/>
                <w:szCs w:val="18"/>
              </w:rPr>
              <w:t>2</w:t>
            </w:r>
          </w:p>
        </w:tc>
        <w:tc>
          <w:tcPr>
            <w:tcW w:w="295" w:type="pct"/>
            <w:tcBorders>
              <w:bottom w:val="single" w:sz="4" w:space="0" w:color="auto"/>
            </w:tcBorders>
          </w:tcPr>
          <w:p w14:paraId="3A6E8F22" w14:textId="3196E0D6" w:rsidR="001B7AF8" w:rsidRPr="00E577BC" w:rsidRDefault="001B7AF8" w:rsidP="001B7AF8">
            <w:pPr>
              <w:spacing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r w:rsidRPr="00E577BC">
              <w:rPr>
                <w:rFonts w:ascii="Myriad Pro" w:eastAsia="Calibri" w:hAnsi="Myriad Pro" w:cs="Calibri"/>
                <w:bCs/>
                <w:sz w:val="18"/>
                <w:szCs w:val="18"/>
              </w:rPr>
              <w:t>2</w:t>
            </w:r>
            <w:r>
              <w:rPr>
                <w:rFonts w:ascii="Myriad Pro" w:eastAsia="Calibri" w:hAnsi="Myriad Pro" w:cs="Calibri"/>
                <w:bCs/>
                <w:sz w:val="18"/>
                <w:szCs w:val="18"/>
              </w:rPr>
              <w:t>,</w:t>
            </w:r>
            <w:r w:rsidRPr="00E577BC">
              <w:rPr>
                <w:rFonts w:ascii="Myriad Pro" w:eastAsia="Calibri" w:hAnsi="Myriad Pro" w:cs="Calibri"/>
                <w:bCs/>
                <w:sz w:val="18"/>
                <w:szCs w:val="18"/>
              </w:rPr>
              <w:t>0</w:t>
            </w:r>
          </w:p>
        </w:tc>
        <w:tc>
          <w:tcPr>
            <w:tcW w:w="295" w:type="pct"/>
            <w:tcBorders>
              <w:bottom w:val="single" w:sz="4" w:space="0" w:color="auto"/>
            </w:tcBorders>
          </w:tcPr>
          <w:p w14:paraId="3E75EF62" w14:textId="1513087F" w:rsidR="001B7AF8" w:rsidRPr="00E577BC" w:rsidRDefault="001B7AF8" w:rsidP="001B7AF8">
            <w:pPr>
              <w:spacing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r w:rsidRPr="00E577BC">
              <w:rPr>
                <w:rFonts w:ascii="Myriad Pro" w:eastAsia="Calibri" w:hAnsi="Myriad Pro" w:cs="Calibri"/>
                <w:bCs/>
                <w:sz w:val="18"/>
                <w:szCs w:val="18"/>
              </w:rPr>
              <w:t>1</w:t>
            </w:r>
            <w:r>
              <w:rPr>
                <w:rFonts w:ascii="Myriad Pro" w:eastAsia="Calibri" w:hAnsi="Myriad Pro" w:cs="Calibri"/>
                <w:bCs/>
                <w:sz w:val="18"/>
                <w:szCs w:val="18"/>
              </w:rPr>
              <w:t>,</w:t>
            </w:r>
            <w:r w:rsidRPr="00E577BC">
              <w:rPr>
                <w:rFonts w:ascii="Myriad Pro" w:eastAsia="Calibri" w:hAnsi="Myriad Pro" w:cs="Calibri"/>
                <w:bCs/>
                <w:sz w:val="18"/>
                <w:szCs w:val="18"/>
              </w:rPr>
              <w:t>7</w:t>
            </w:r>
          </w:p>
        </w:tc>
        <w:tc>
          <w:tcPr>
            <w:tcW w:w="296" w:type="pct"/>
            <w:tcBorders>
              <w:bottom w:val="single" w:sz="4" w:space="0" w:color="auto"/>
            </w:tcBorders>
          </w:tcPr>
          <w:p w14:paraId="4D6D48E2" w14:textId="3FEFA58C" w:rsidR="001B7AF8" w:rsidRPr="00E577BC" w:rsidRDefault="001B7AF8" w:rsidP="001B7AF8">
            <w:pPr>
              <w:spacing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r w:rsidRPr="00E577BC">
              <w:rPr>
                <w:rFonts w:ascii="Myriad Pro" w:eastAsia="Calibri" w:hAnsi="Myriad Pro" w:cs="Calibri"/>
                <w:bCs/>
                <w:sz w:val="18"/>
                <w:szCs w:val="18"/>
              </w:rPr>
              <w:t>1</w:t>
            </w:r>
            <w:r>
              <w:rPr>
                <w:rFonts w:ascii="Myriad Pro" w:eastAsia="Calibri" w:hAnsi="Myriad Pro" w:cs="Calibri"/>
                <w:bCs/>
                <w:sz w:val="18"/>
                <w:szCs w:val="18"/>
              </w:rPr>
              <w:t>,</w:t>
            </w:r>
            <w:r w:rsidRPr="00E577BC">
              <w:rPr>
                <w:rFonts w:ascii="Myriad Pro" w:eastAsia="Calibri" w:hAnsi="Myriad Pro" w:cs="Calibri"/>
                <w:bCs/>
                <w:sz w:val="18"/>
                <w:szCs w:val="18"/>
              </w:rPr>
              <w:t>7</w:t>
            </w:r>
          </w:p>
        </w:tc>
        <w:tc>
          <w:tcPr>
            <w:tcW w:w="295" w:type="pct"/>
            <w:tcBorders>
              <w:bottom w:val="single" w:sz="4" w:space="0" w:color="auto"/>
            </w:tcBorders>
          </w:tcPr>
          <w:p w14:paraId="7491EE79" w14:textId="36B537C5" w:rsidR="001B7AF8" w:rsidRPr="00E65A3F" w:rsidRDefault="001B7AF8" w:rsidP="001B7AF8">
            <w:pPr>
              <w:spacing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r w:rsidRPr="00E65A3F">
              <w:rPr>
                <w:rFonts w:ascii="Myriad Pro" w:eastAsia="Calibri" w:hAnsi="Myriad Pro" w:cs="Calibri"/>
                <w:bCs/>
                <w:sz w:val="18"/>
                <w:szCs w:val="18"/>
              </w:rPr>
              <w:t>1,8</w:t>
            </w:r>
          </w:p>
        </w:tc>
        <w:tc>
          <w:tcPr>
            <w:tcW w:w="295" w:type="pct"/>
            <w:tcBorders>
              <w:bottom w:val="single" w:sz="4" w:space="0" w:color="auto"/>
            </w:tcBorders>
          </w:tcPr>
          <w:p w14:paraId="1D769923" w14:textId="08CEECDB" w:rsidR="001B7AF8" w:rsidRPr="00E65A3F" w:rsidRDefault="001B7AF8" w:rsidP="001B7AF8">
            <w:pPr>
              <w:spacing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r w:rsidRPr="00E65A3F">
              <w:rPr>
                <w:rFonts w:ascii="Myriad Pro" w:eastAsia="Calibri" w:hAnsi="Myriad Pro" w:cs="Calibri"/>
                <w:bCs/>
                <w:sz w:val="18"/>
                <w:szCs w:val="18"/>
              </w:rPr>
              <w:t>1,9</w:t>
            </w:r>
          </w:p>
        </w:tc>
        <w:tc>
          <w:tcPr>
            <w:tcW w:w="296" w:type="pct"/>
            <w:tcBorders>
              <w:bottom w:val="single" w:sz="4" w:space="0" w:color="auto"/>
            </w:tcBorders>
          </w:tcPr>
          <w:p w14:paraId="69DD8CE2" w14:textId="7F9E4136" w:rsidR="001B7AF8" w:rsidRPr="00E65A3F" w:rsidRDefault="001B7AF8" w:rsidP="001B7AF8">
            <w:pPr>
              <w:spacing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r w:rsidRPr="00E65A3F">
              <w:rPr>
                <w:rFonts w:ascii="Myriad Pro" w:eastAsia="Calibri" w:hAnsi="Myriad Pro" w:cs="Calibri"/>
                <w:bCs/>
                <w:sz w:val="18"/>
                <w:szCs w:val="18"/>
              </w:rPr>
              <w:t>2,3</w:t>
            </w:r>
          </w:p>
        </w:tc>
        <w:tc>
          <w:tcPr>
            <w:tcW w:w="295" w:type="pct"/>
            <w:tcBorders>
              <w:bottom w:val="single" w:sz="4" w:space="0" w:color="auto"/>
            </w:tcBorders>
          </w:tcPr>
          <w:p w14:paraId="7372AAA4" w14:textId="1DCDD366" w:rsidR="001B7AF8" w:rsidRPr="00E65A3F" w:rsidRDefault="001B7AF8" w:rsidP="001B7AF8">
            <w:pPr>
              <w:spacing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Arial"/>
                <w:bCs/>
                <w:color w:val="000000"/>
                <w:sz w:val="18"/>
                <w:szCs w:val="18"/>
              </w:rPr>
            </w:pPr>
            <w:r w:rsidRPr="00E65A3F">
              <w:rPr>
                <w:rFonts w:ascii="Myriad Pro" w:eastAsia="Calibri" w:hAnsi="Myriad Pro" w:cs="Calibri"/>
                <w:bCs/>
                <w:sz w:val="18"/>
                <w:szCs w:val="18"/>
              </w:rPr>
              <w:t>3,8</w:t>
            </w:r>
          </w:p>
        </w:tc>
        <w:tc>
          <w:tcPr>
            <w:tcW w:w="296" w:type="pct"/>
            <w:tcBorders>
              <w:bottom w:val="single" w:sz="4" w:space="0" w:color="auto"/>
            </w:tcBorders>
          </w:tcPr>
          <w:p w14:paraId="11094F0A" w14:textId="6454A73B" w:rsidR="001B7AF8" w:rsidRPr="00E65A3F" w:rsidRDefault="001B7AF8" w:rsidP="001B7AF8">
            <w:pPr>
              <w:spacing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Arial"/>
                <w:bCs/>
                <w:color w:val="000000"/>
                <w:sz w:val="18"/>
                <w:szCs w:val="18"/>
              </w:rPr>
            </w:pPr>
            <w:r w:rsidRPr="00E65A3F">
              <w:rPr>
                <w:rFonts w:ascii="Myriad Pro" w:eastAsia="Calibri" w:hAnsi="Myriad Pro" w:cs="Calibri"/>
                <w:bCs/>
                <w:sz w:val="18"/>
                <w:szCs w:val="18"/>
              </w:rPr>
              <w:t>3,7</w:t>
            </w:r>
          </w:p>
        </w:tc>
      </w:tr>
      <w:tr w:rsidR="001B7AF8" w:rsidRPr="00E577BC" w14:paraId="12D07C6A" w14:textId="77777777" w:rsidTr="00AF0AAE">
        <w:trPr>
          <w:trHeight w:val="285"/>
        </w:trPr>
        <w:tc>
          <w:tcPr>
            <w:cnfStyle w:val="001000000000" w:firstRow="0" w:lastRow="0" w:firstColumn="1" w:lastColumn="0" w:oddVBand="0" w:evenVBand="0" w:oddHBand="0" w:evenHBand="0" w:firstRowFirstColumn="0" w:firstRowLastColumn="0" w:lastRowFirstColumn="0" w:lastRowLastColumn="0"/>
            <w:tcW w:w="863" w:type="pct"/>
            <w:tcBorders>
              <w:right w:val="nil"/>
            </w:tcBorders>
            <w:noWrap/>
          </w:tcPr>
          <w:p w14:paraId="3DF7349E" w14:textId="1EA07441" w:rsidR="001B7AF8" w:rsidRPr="00E577BC" w:rsidRDefault="001B7AF8" w:rsidP="001B7AF8">
            <w:pPr>
              <w:spacing w:before="10" w:after="10" w:line="220" w:lineRule="atLeast"/>
              <w:rPr>
                <w:rFonts w:ascii="Myriad Pro" w:eastAsia="Calibri" w:hAnsi="Myriad Pro" w:cs="Calibri"/>
                <w:bCs/>
                <w:sz w:val="18"/>
                <w:szCs w:val="18"/>
              </w:rPr>
            </w:pPr>
          </w:p>
        </w:tc>
        <w:tc>
          <w:tcPr>
            <w:tcW w:w="295" w:type="pct"/>
            <w:tcBorders>
              <w:left w:val="nil"/>
              <w:right w:val="nil"/>
            </w:tcBorders>
            <w:noWrap/>
          </w:tcPr>
          <w:p w14:paraId="4FAA6026" w14:textId="0C9891B9" w:rsidR="001B7AF8" w:rsidRPr="00E577BC" w:rsidRDefault="001B7AF8" w:rsidP="001B7AF8">
            <w:pPr>
              <w:spacing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p>
        </w:tc>
        <w:tc>
          <w:tcPr>
            <w:tcW w:w="295" w:type="pct"/>
            <w:tcBorders>
              <w:left w:val="nil"/>
              <w:right w:val="nil"/>
            </w:tcBorders>
            <w:noWrap/>
          </w:tcPr>
          <w:p w14:paraId="563767F9" w14:textId="541B0AD9" w:rsidR="001B7AF8" w:rsidRPr="00E577BC" w:rsidRDefault="001B7AF8" w:rsidP="001B7AF8">
            <w:pPr>
              <w:spacing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p>
        </w:tc>
        <w:tc>
          <w:tcPr>
            <w:tcW w:w="297" w:type="pct"/>
            <w:tcBorders>
              <w:left w:val="nil"/>
              <w:right w:val="nil"/>
            </w:tcBorders>
            <w:noWrap/>
          </w:tcPr>
          <w:p w14:paraId="269C90F4" w14:textId="2C7BF9DB" w:rsidR="001B7AF8" w:rsidRPr="00E577BC" w:rsidRDefault="001B7AF8" w:rsidP="001B7AF8">
            <w:pPr>
              <w:spacing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p>
        </w:tc>
        <w:tc>
          <w:tcPr>
            <w:tcW w:w="295" w:type="pct"/>
            <w:tcBorders>
              <w:left w:val="nil"/>
              <w:right w:val="nil"/>
            </w:tcBorders>
            <w:noWrap/>
          </w:tcPr>
          <w:p w14:paraId="5F719DC8" w14:textId="2B2D03ED" w:rsidR="001B7AF8" w:rsidRPr="00E577BC" w:rsidRDefault="001B7AF8" w:rsidP="001B7AF8">
            <w:pPr>
              <w:spacing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p>
        </w:tc>
        <w:tc>
          <w:tcPr>
            <w:tcW w:w="295" w:type="pct"/>
            <w:tcBorders>
              <w:left w:val="nil"/>
              <w:right w:val="nil"/>
            </w:tcBorders>
          </w:tcPr>
          <w:p w14:paraId="24BEE3E4" w14:textId="78FC6BDE" w:rsidR="001B7AF8" w:rsidRPr="00E577BC" w:rsidRDefault="001B7AF8" w:rsidP="001B7AF8">
            <w:pPr>
              <w:spacing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p>
        </w:tc>
        <w:tc>
          <w:tcPr>
            <w:tcW w:w="296" w:type="pct"/>
            <w:tcBorders>
              <w:left w:val="nil"/>
              <w:right w:val="nil"/>
            </w:tcBorders>
          </w:tcPr>
          <w:p w14:paraId="4A395A53" w14:textId="06C31C83" w:rsidR="001B7AF8" w:rsidRPr="00E577BC" w:rsidRDefault="001B7AF8" w:rsidP="001B7AF8">
            <w:pPr>
              <w:spacing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p>
        </w:tc>
        <w:tc>
          <w:tcPr>
            <w:tcW w:w="295" w:type="pct"/>
            <w:tcBorders>
              <w:left w:val="nil"/>
              <w:right w:val="nil"/>
            </w:tcBorders>
          </w:tcPr>
          <w:p w14:paraId="154AFA59" w14:textId="0629809F" w:rsidR="001B7AF8" w:rsidRPr="00E577BC" w:rsidRDefault="001B7AF8" w:rsidP="001B7AF8">
            <w:pPr>
              <w:spacing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p>
        </w:tc>
        <w:tc>
          <w:tcPr>
            <w:tcW w:w="295" w:type="pct"/>
            <w:tcBorders>
              <w:left w:val="nil"/>
              <w:right w:val="nil"/>
            </w:tcBorders>
          </w:tcPr>
          <w:p w14:paraId="7872D3CA" w14:textId="0137FBA1" w:rsidR="001B7AF8" w:rsidRPr="00E577BC" w:rsidRDefault="001B7AF8" w:rsidP="001B7AF8">
            <w:pPr>
              <w:spacing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p>
        </w:tc>
        <w:tc>
          <w:tcPr>
            <w:tcW w:w="296" w:type="pct"/>
            <w:tcBorders>
              <w:left w:val="nil"/>
              <w:right w:val="nil"/>
            </w:tcBorders>
          </w:tcPr>
          <w:p w14:paraId="6833D3B5" w14:textId="5BBCF4E0" w:rsidR="001B7AF8" w:rsidRPr="00E577BC" w:rsidRDefault="001B7AF8" w:rsidP="001B7AF8">
            <w:pPr>
              <w:spacing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p>
        </w:tc>
        <w:tc>
          <w:tcPr>
            <w:tcW w:w="295" w:type="pct"/>
            <w:tcBorders>
              <w:left w:val="nil"/>
              <w:right w:val="nil"/>
            </w:tcBorders>
          </w:tcPr>
          <w:p w14:paraId="274DB32D" w14:textId="7B0B27B7" w:rsidR="001B7AF8" w:rsidRPr="00E65A3F" w:rsidRDefault="001B7AF8" w:rsidP="001B7AF8">
            <w:pPr>
              <w:spacing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p>
        </w:tc>
        <w:tc>
          <w:tcPr>
            <w:tcW w:w="295" w:type="pct"/>
            <w:tcBorders>
              <w:left w:val="nil"/>
              <w:right w:val="nil"/>
            </w:tcBorders>
          </w:tcPr>
          <w:p w14:paraId="6ADF98D1" w14:textId="75FF83D3" w:rsidR="001B7AF8" w:rsidRPr="00E65A3F" w:rsidRDefault="001B7AF8" w:rsidP="001B7AF8">
            <w:pPr>
              <w:spacing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p>
        </w:tc>
        <w:tc>
          <w:tcPr>
            <w:tcW w:w="296" w:type="pct"/>
            <w:tcBorders>
              <w:left w:val="nil"/>
            </w:tcBorders>
          </w:tcPr>
          <w:p w14:paraId="1EF6711B" w14:textId="667128AA" w:rsidR="001B7AF8" w:rsidRPr="00E65A3F" w:rsidRDefault="001B7AF8" w:rsidP="001B7AF8">
            <w:pPr>
              <w:spacing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p>
        </w:tc>
        <w:tc>
          <w:tcPr>
            <w:tcW w:w="295" w:type="pct"/>
            <w:tcBorders>
              <w:left w:val="nil"/>
            </w:tcBorders>
          </w:tcPr>
          <w:p w14:paraId="6F5DD0ED" w14:textId="1E31FB12" w:rsidR="001B7AF8" w:rsidRPr="00E65A3F" w:rsidRDefault="001B7AF8" w:rsidP="001B7AF8">
            <w:pPr>
              <w:spacing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Arial"/>
                <w:bCs/>
                <w:color w:val="000000"/>
                <w:sz w:val="18"/>
                <w:szCs w:val="18"/>
              </w:rPr>
            </w:pPr>
          </w:p>
        </w:tc>
        <w:tc>
          <w:tcPr>
            <w:tcW w:w="296" w:type="pct"/>
            <w:tcBorders>
              <w:left w:val="nil"/>
            </w:tcBorders>
          </w:tcPr>
          <w:p w14:paraId="7D25162B" w14:textId="7E7997EF" w:rsidR="001B7AF8" w:rsidRPr="00E65A3F" w:rsidRDefault="001B7AF8" w:rsidP="001B7AF8">
            <w:pPr>
              <w:spacing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Arial"/>
                <w:bCs/>
                <w:color w:val="000000"/>
                <w:sz w:val="18"/>
                <w:szCs w:val="18"/>
              </w:rPr>
            </w:pPr>
          </w:p>
        </w:tc>
      </w:tr>
      <w:tr w:rsidR="001B7AF8" w:rsidRPr="00E577BC" w14:paraId="2E9C545B" w14:textId="77777777" w:rsidTr="00AF0AAE">
        <w:trPr>
          <w:trHeight w:val="285"/>
        </w:trPr>
        <w:tc>
          <w:tcPr>
            <w:cnfStyle w:val="001000000000" w:firstRow="0" w:lastRow="0" w:firstColumn="1" w:lastColumn="0" w:oddVBand="0" w:evenVBand="0" w:oddHBand="0" w:evenHBand="0" w:firstRowFirstColumn="0" w:firstRowLastColumn="0" w:lastRowFirstColumn="0" w:lastRowLastColumn="0"/>
            <w:tcW w:w="863" w:type="pct"/>
            <w:noWrap/>
          </w:tcPr>
          <w:p w14:paraId="6341ADAC" w14:textId="19C6A715" w:rsidR="001B7AF8" w:rsidRPr="00E577BC" w:rsidRDefault="001B7AF8" w:rsidP="001B7AF8">
            <w:pPr>
              <w:spacing w:before="10" w:after="10" w:line="220" w:lineRule="atLeast"/>
              <w:rPr>
                <w:rFonts w:ascii="Myriad Pro" w:eastAsia="Calibri" w:hAnsi="Myriad Pro" w:cs="Calibri"/>
                <w:bCs/>
                <w:sz w:val="18"/>
                <w:szCs w:val="18"/>
              </w:rPr>
            </w:pPr>
            <w:r w:rsidRPr="00E577BC">
              <w:rPr>
                <w:rFonts w:ascii="Myriad Pro" w:eastAsia="Calibri" w:hAnsi="Myriad Pro" w:cs="Calibri"/>
                <w:b/>
                <w:sz w:val="18"/>
                <w:szCs w:val="18"/>
              </w:rPr>
              <w:t>Obveznosti</w:t>
            </w:r>
          </w:p>
        </w:tc>
        <w:tc>
          <w:tcPr>
            <w:tcW w:w="295" w:type="pct"/>
            <w:noWrap/>
          </w:tcPr>
          <w:p w14:paraId="69B07E0B" w14:textId="7504A2D3" w:rsidR="001B7AF8" w:rsidRPr="00815793" w:rsidRDefault="001B7AF8" w:rsidP="001B7AF8">
            <w:pPr>
              <w:spacing w:before="10"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
                <w:bCs/>
                <w:sz w:val="18"/>
                <w:szCs w:val="18"/>
              </w:rPr>
            </w:pPr>
            <w:r w:rsidRPr="00815793">
              <w:rPr>
                <w:rFonts w:ascii="Myriad Pro" w:eastAsia="Calibri" w:hAnsi="Myriad Pro" w:cs="Arial"/>
                <w:b/>
                <w:bCs/>
                <w:color w:val="000000"/>
                <w:sz w:val="18"/>
                <w:szCs w:val="18"/>
              </w:rPr>
              <w:t>138,1</w:t>
            </w:r>
          </w:p>
        </w:tc>
        <w:tc>
          <w:tcPr>
            <w:tcW w:w="295" w:type="pct"/>
            <w:noWrap/>
          </w:tcPr>
          <w:p w14:paraId="32E04EAE" w14:textId="4DE75C75" w:rsidR="001B7AF8" w:rsidRPr="00815793" w:rsidRDefault="001B7AF8" w:rsidP="001B7AF8">
            <w:pPr>
              <w:spacing w:before="10"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
                <w:bCs/>
                <w:sz w:val="18"/>
                <w:szCs w:val="18"/>
              </w:rPr>
            </w:pPr>
            <w:r w:rsidRPr="00815793">
              <w:rPr>
                <w:rFonts w:ascii="Myriad Pro" w:eastAsia="Calibri" w:hAnsi="Myriad Pro" w:cs="Arial"/>
                <w:b/>
                <w:bCs/>
                <w:color w:val="000000"/>
                <w:sz w:val="18"/>
                <w:szCs w:val="18"/>
              </w:rPr>
              <w:t>139,3</w:t>
            </w:r>
          </w:p>
        </w:tc>
        <w:tc>
          <w:tcPr>
            <w:tcW w:w="297" w:type="pct"/>
            <w:noWrap/>
          </w:tcPr>
          <w:p w14:paraId="62372527" w14:textId="3FD2CC3F" w:rsidR="001B7AF8" w:rsidRPr="00815793" w:rsidRDefault="001B7AF8" w:rsidP="001B7AF8">
            <w:pPr>
              <w:spacing w:before="10"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
                <w:bCs/>
                <w:sz w:val="18"/>
                <w:szCs w:val="18"/>
              </w:rPr>
            </w:pPr>
            <w:r w:rsidRPr="00815793">
              <w:rPr>
                <w:rFonts w:ascii="Myriad Pro" w:eastAsia="Calibri" w:hAnsi="Myriad Pro" w:cs="Arial"/>
                <w:b/>
                <w:bCs/>
                <w:color w:val="000000"/>
                <w:sz w:val="18"/>
                <w:szCs w:val="18"/>
              </w:rPr>
              <w:t>135,0</w:t>
            </w:r>
          </w:p>
        </w:tc>
        <w:tc>
          <w:tcPr>
            <w:tcW w:w="295" w:type="pct"/>
            <w:noWrap/>
          </w:tcPr>
          <w:p w14:paraId="78992EFE" w14:textId="14F25B44" w:rsidR="001B7AF8" w:rsidRPr="00815793" w:rsidRDefault="001B7AF8" w:rsidP="001B7AF8">
            <w:pPr>
              <w:spacing w:before="10"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
                <w:bCs/>
                <w:sz w:val="18"/>
                <w:szCs w:val="18"/>
              </w:rPr>
            </w:pPr>
            <w:r w:rsidRPr="00815793">
              <w:rPr>
                <w:rFonts w:ascii="Myriad Pro" w:eastAsia="Calibri" w:hAnsi="Myriad Pro" w:cs="Arial"/>
                <w:b/>
                <w:bCs/>
                <w:color w:val="000000"/>
                <w:sz w:val="18"/>
                <w:szCs w:val="18"/>
              </w:rPr>
              <w:t>141,6</w:t>
            </w:r>
          </w:p>
        </w:tc>
        <w:tc>
          <w:tcPr>
            <w:tcW w:w="295" w:type="pct"/>
          </w:tcPr>
          <w:p w14:paraId="27ACC0B5" w14:textId="30A3F308" w:rsidR="001B7AF8" w:rsidRPr="00815793" w:rsidRDefault="001B7AF8" w:rsidP="001B7AF8">
            <w:pPr>
              <w:spacing w:before="10"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
                <w:bCs/>
                <w:sz w:val="18"/>
                <w:szCs w:val="18"/>
              </w:rPr>
            </w:pPr>
            <w:r w:rsidRPr="00815793">
              <w:rPr>
                <w:rFonts w:ascii="Myriad Pro" w:eastAsia="Calibri" w:hAnsi="Myriad Pro" w:cs="Arial"/>
                <w:b/>
                <w:bCs/>
                <w:color w:val="000000"/>
                <w:sz w:val="18"/>
                <w:szCs w:val="18"/>
              </w:rPr>
              <w:t>137,1</w:t>
            </w:r>
          </w:p>
        </w:tc>
        <w:tc>
          <w:tcPr>
            <w:tcW w:w="296" w:type="pct"/>
          </w:tcPr>
          <w:p w14:paraId="2969B21A" w14:textId="1CAF3DA5" w:rsidR="001B7AF8" w:rsidRPr="00815793" w:rsidRDefault="001B7AF8" w:rsidP="001B7AF8">
            <w:pPr>
              <w:spacing w:before="10"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
                <w:bCs/>
                <w:sz w:val="18"/>
                <w:szCs w:val="18"/>
              </w:rPr>
            </w:pPr>
            <w:r w:rsidRPr="00815793">
              <w:rPr>
                <w:rFonts w:ascii="Myriad Pro" w:eastAsia="Calibri" w:hAnsi="Myriad Pro" w:cs="Arial"/>
                <w:b/>
                <w:bCs/>
                <w:color w:val="000000"/>
                <w:sz w:val="18"/>
                <w:szCs w:val="18"/>
              </w:rPr>
              <w:t>149,6</w:t>
            </w:r>
          </w:p>
        </w:tc>
        <w:tc>
          <w:tcPr>
            <w:tcW w:w="295" w:type="pct"/>
          </w:tcPr>
          <w:p w14:paraId="56E25AD2" w14:textId="09DC9E37" w:rsidR="001B7AF8" w:rsidRPr="00815793" w:rsidRDefault="001B7AF8" w:rsidP="001B7AF8">
            <w:pPr>
              <w:spacing w:before="10"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
                <w:bCs/>
                <w:sz w:val="18"/>
                <w:szCs w:val="18"/>
              </w:rPr>
            </w:pPr>
            <w:r w:rsidRPr="00815793">
              <w:rPr>
                <w:rFonts w:ascii="Myriad Pro" w:eastAsia="Calibri" w:hAnsi="Myriad Pro" w:cs="Arial"/>
                <w:b/>
                <w:bCs/>
                <w:color w:val="000000"/>
                <w:sz w:val="18"/>
                <w:szCs w:val="18"/>
              </w:rPr>
              <w:t>147,2</w:t>
            </w:r>
          </w:p>
        </w:tc>
        <w:tc>
          <w:tcPr>
            <w:tcW w:w="295" w:type="pct"/>
          </w:tcPr>
          <w:p w14:paraId="44C32027" w14:textId="6FAE4B17" w:rsidR="001B7AF8" w:rsidRPr="00815793" w:rsidRDefault="001B7AF8" w:rsidP="001B7AF8">
            <w:pPr>
              <w:spacing w:before="10"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
                <w:bCs/>
                <w:sz w:val="18"/>
                <w:szCs w:val="18"/>
              </w:rPr>
            </w:pPr>
            <w:r w:rsidRPr="00815793">
              <w:rPr>
                <w:rFonts w:ascii="Myriad Pro" w:eastAsia="Calibri" w:hAnsi="Myriad Pro" w:cs="Arial"/>
                <w:b/>
                <w:bCs/>
                <w:color w:val="000000"/>
                <w:sz w:val="18"/>
                <w:szCs w:val="18"/>
              </w:rPr>
              <w:t>141,0</w:t>
            </w:r>
          </w:p>
        </w:tc>
        <w:tc>
          <w:tcPr>
            <w:tcW w:w="296" w:type="pct"/>
          </w:tcPr>
          <w:p w14:paraId="0CB5474C" w14:textId="0C83AA85" w:rsidR="001B7AF8" w:rsidRPr="00815793" w:rsidRDefault="001B7AF8" w:rsidP="001B7AF8">
            <w:pPr>
              <w:spacing w:before="10"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
                <w:bCs/>
                <w:sz w:val="18"/>
                <w:szCs w:val="18"/>
              </w:rPr>
            </w:pPr>
            <w:r w:rsidRPr="00815793">
              <w:rPr>
                <w:rFonts w:ascii="Myriad Pro" w:eastAsia="Calibri" w:hAnsi="Myriad Pro" w:cs="Arial"/>
                <w:b/>
                <w:bCs/>
                <w:color w:val="000000"/>
                <w:sz w:val="18"/>
                <w:szCs w:val="18"/>
              </w:rPr>
              <w:t>132,6</w:t>
            </w:r>
          </w:p>
        </w:tc>
        <w:tc>
          <w:tcPr>
            <w:tcW w:w="295" w:type="pct"/>
          </w:tcPr>
          <w:p w14:paraId="217CDAE5" w14:textId="323158DB" w:rsidR="001B7AF8" w:rsidRPr="00815793" w:rsidRDefault="001B7AF8" w:rsidP="001B7AF8">
            <w:pPr>
              <w:spacing w:before="10"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
                <w:bCs/>
                <w:sz w:val="18"/>
                <w:szCs w:val="18"/>
                <w:highlight w:val="yellow"/>
              </w:rPr>
            </w:pPr>
            <w:r w:rsidRPr="00815793">
              <w:rPr>
                <w:rFonts w:ascii="Myriad Pro" w:eastAsia="Calibri" w:hAnsi="Myriad Pro" w:cs="Arial"/>
                <w:b/>
                <w:bCs/>
                <w:color w:val="000000"/>
                <w:sz w:val="18"/>
                <w:szCs w:val="18"/>
              </w:rPr>
              <w:t>126,5</w:t>
            </w:r>
          </w:p>
        </w:tc>
        <w:tc>
          <w:tcPr>
            <w:tcW w:w="295" w:type="pct"/>
          </w:tcPr>
          <w:p w14:paraId="4DE64414" w14:textId="2A2A874D" w:rsidR="001B7AF8" w:rsidRPr="00815793" w:rsidRDefault="001B7AF8" w:rsidP="001B7AF8">
            <w:pPr>
              <w:spacing w:before="10"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
                <w:bCs/>
                <w:sz w:val="18"/>
                <w:szCs w:val="18"/>
                <w:highlight w:val="yellow"/>
              </w:rPr>
            </w:pPr>
            <w:r w:rsidRPr="00815793">
              <w:rPr>
                <w:rFonts w:ascii="Myriad Pro" w:eastAsia="Calibri" w:hAnsi="Myriad Pro" w:cs="Arial"/>
                <w:b/>
                <w:bCs/>
                <w:color w:val="000000"/>
                <w:sz w:val="18"/>
                <w:szCs w:val="18"/>
              </w:rPr>
              <w:t>131,6</w:t>
            </w:r>
          </w:p>
        </w:tc>
        <w:tc>
          <w:tcPr>
            <w:tcW w:w="296" w:type="pct"/>
          </w:tcPr>
          <w:p w14:paraId="15CE98A6" w14:textId="3C956239" w:rsidR="001B7AF8" w:rsidRPr="00815793" w:rsidRDefault="001B7AF8" w:rsidP="001B7AF8">
            <w:pPr>
              <w:spacing w:before="10"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
                <w:bCs/>
                <w:sz w:val="18"/>
                <w:szCs w:val="18"/>
                <w:highlight w:val="yellow"/>
              </w:rPr>
            </w:pPr>
            <w:r w:rsidRPr="00815793">
              <w:rPr>
                <w:rFonts w:ascii="Myriad Pro" w:eastAsia="Calibri" w:hAnsi="Myriad Pro" w:cs="Arial"/>
                <w:b/>
                <w:bCs/>
                <w:color w:val="000000"/>
                <w:sz w:val="18"/>
                <w:szCs w:val="18"/>
              </w:rPr>
              <w:t>148,6</w:t>
            </w:r>
          </w:p>
        </w:tc>
        <w:tc>
          <w:tcPr>
            <w:tcW w:w="295" w:type="pct"/>
          </w:tcPr>
          <w:p w14:paraId="31C2C291" w14:textId="49E608F6" w:rsidR="001B7AF8" w:rsidRPr="00815793" w:rsidRDefault="001B7AF8" w:rsidP="001B7AF8">
            <w:pPr>
              <w:spacing w:before="10"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
                <w:bCs/>
                <w:sz w:val="18"/>
                <w:szCs w:val="18"/>
                <w:highlight w:val="yellow"/>
              </w:rPr>
            </w:pPr>
            <w:r w:rsidRPr="00815793">
              <w:rPr>
                <w:rFonts w:ascii="Myriad Pro" w:eastAsia="Calibri" w:hAnsi="Myriad Pro" w:cs="Arial"/>
                <w:b/>
                <w:bCs/>
                <w:color w:val="000000"/>
                <w:sz w:val="18"/>
                <w:szCs w:val="18"/>
              </w:rPr>
              <w:t>140,4</w:t>
            </w:r>
          </w:p>
        </w:tc>
        <w:tc>
          <w:tcPr>
            <w:tcW w:w="296" w:type="pct"/>
          </w:tcPr>
          <w:p w14:paraId="17AEF93D" w14:textId="18F2A08F" w:rsidR="001B7AF8" w:rsidRPr="00815793" w:rsidRDefault="001B7AF8" w:rsidP="001B7AF8">
            <w:pPr>
              <w:spacing w:before="10"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
                <w:bCs/>
                <w:sz w:val="18"/>
                <w:szCs w:val="18"/>
                <w:highlight w:val="yellow"/>
              </w:rPr>
            </w:pPr>
            <w:r w:rsidRPr="00815793">
              <w:rPr>
                <w:rFonts w:ascii="Myriad Pro" w:eastAsia="Calibri" w:hAnsi="Myriad Pro" w:cs="Arial"/>
                <w:b/>
                <w:bCs/>
                <w:color w:val="000000"/>
                <w:sz w:val="18"/>
                <w:szCs w:val="18"/>
              </w:rPr>
              <w:t>129,2</w:t>
            </w:r>
          </w:p>
        </w:tc>
      </w:tr>
      <w:tr w:rsidR="001B7AF8" w:rsidRPr="00E577BC" w14:paraId="7CE90317" w14:textId="77777777" w:rsidTr="00AF0AAE">
        <w:trPr>
          <w:trHeight w:val="315"/>
        </w:trPr>
        <w:tc>
          <w:tcPr>
            <w:cnfStyle w:val="001000000000" w:firstRow="0" w:lastRow="0" w:firstColumn="1" w:lastColumn="0" w:oddVBand="0" w:evenVBand="0" w:oddHBand="0" w:evenHBand="0" w:firstRowFirstColumn="0" w:firstRowLastColumn="0" w:lastRowFirstColumn="0" w:lastRowLastColumn="0"/>
            <w:tcW w:w="863" w:type="pct"/>
            <w:noWrap/>
          </w:tcPr>
          <w:p w14:paraId="3E5CED91" w14:textId="1E5C2085" w:rsidR="001B7AF8" w:rsidRPr="00E577BC" w:rsidRDefault="001B7AF8" w:rsidP="001B7AF8">
            <w:pPr>
              <w:spacing w:before="10" w:after="10" w:line="220" w:lineRule="atLeast"/>
              <w:rPr>
                <w:rFonts w:ascii="Myriad Pro" w:eastAsia="Calibri" w:hAnsi="Myriad Pro" w:cs="Calibri"/>
                <w:b/>
                <w:sz w:val="18"/>
                <w:szCs w:val="18"/>
              </w:rPr>
            </w:pPr>
            <w:r w:rsidRPr="00E577BC">
              <w:rPr>
                <w:rFonts w:ascii="Myriad Pro" w:eastAsia="Calibri" w:hAnsi="Myriad Pro" w:cs="Calibri"/>
                <w:bCs/>
                <w:sz w:val="18"/>
                <w:szCs w:val="18"/>
              </w:rPr>
              <w:t>Neposredne nal.</w:t>
            </w:r>
          </w:p>
        </w:tc>
        <w:tc>
          <w:tcPr>
            <w:tcW w:w="295" w:type="pct"/>
            <w:noWrap/>
          </w:tcPr>
          <w:p w14:paraId="0E12AA99" w14:textId="0CE5C09D" w:rsidR="001B7AF8" w:rsidRPr="00E577BC" w:rsidRDefault="001B7AF8" w:rsidP="001B7AF8">
            <w:pPr>
              <w:spacing w:before="10"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
                <w:sz w:val="18"/>
                <w:szCs w:val="18"/>
              </w:rPr>
            </w:pPr>
            <w:r w:rsidRPr="00E577BC">
              <w:rPr>
                <w:rFonts w:ascii="Myriad Pro" w:eastAsia="Calibri" w:hAnsi="Myriad Pro" w:cs="Arial"/>
                <w:bCs/>
                <w:color w:val="000000"/>
                <w:sz w:val="18"/>
                <w:szCs w:val="18"/>
              </w:rPr>
              <w:t>26</w:t>
            </w:r>
            <w:r>
              <w:rPr>
                <w:rFonts w:ascii="Myriad Pro" w:eastAsia="Calibri" w:hAnsi="Myriad Pro" w:cs="Arial"/>
                <w:bCs/>
                <w:color w:val="000000"/>
                <w:sz w:val="18"/>
                <w:szCs w:val="18"/>
              </w:rPr>
              <w:t>,</w:t>
            </w:r>
            <w:r w:rsidRPr="00E577BC">
              <w:rPr>
                <w:rFonts w:ascii="Myriad Pro" w:eastAsia="Calibri" w:hAnsi="Myriad Pro" w:cs="Arial"/>
                <w:bCs/>
                <w:color w:val="000000"/>
                <w:sz w:val="18"/>
                <w:szCs w:val="18"/>
              </w:rPr>
              <w:t>0</w:t>
            </w:r>
          </w:p>
        </w:tc>
        <w:tc>
          <w:tcPr>
            <w:tcW w:w="295" w:type="pct"/>
            <w:noWrap/>
          </w:tcPr>
          <w:p w14:paraId="7D2757AA" w14:textId="56DE2733" w:rsidR="001B7AF8" w:rsidRPr="00E577BC" w:rsidRDefault="001B7AF8" w:rsidP="001B7AF8">
            <w:pPr>
              <w:spacing w:before="10"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
                <w:sz w:val="18"/>
                <w:szCs w:val="18"/>
              </w:rPr>
            </w:pPr>
            <w:r w:rsidRPr="00E577BC">
              <w:rPr>
                <w:rFonts w:ascii="Myriad Pro" w:eastAsia="Calibri" w:hAnsi="Myriad Pro" w:cs="Arial"/>
                <w:bCs/>
                <w:color w:val="000000"/>
                <w:sz w:val="18"/>
                <w:szCs w:val="18"/>
              </w:rPr>
              <w:t>26</w:t>
            </w:r>
            <w:r>
              <w:rPr>
                <w:rFonts w:ascii="Myriad Pro" w:eastAsia="Calibri" w:hAnsi="Myriad Pro" w:cs="Arial"/>
                <w:bCs/>
                <w:color w:val="000000"/>
                <w:sz w:val="18"/>
                <w:szCs w:val="18"/>
              </w:rPr>
              <w:t>,</w:t>
            </w:r>
            <w:r w:rsidRPr="00E577BC">
              <w:rPr>
                <w:rFonts w:ascii="Myriad Pro" w:eastAsia="Calibri" w:hAnsi="Myriad Pro" w:cs="Arial"/>
                <w:bCs/>
                <w:color w:val="000000"/>
                <w:sz w:val="18"/>
                <w:szCs w:val="18"/>
              </w:rPr>
              <w:t>9</w:t>
            </w:r>
          </w:p>
        </w:tc>
        <w:tc>
          <w:tcPr>
            <w:tcW w:w="297" w:type="pct"/>
            <w:noWrap/>
          </w:tcPr>
          <w:p w14:paraId="695B1BC7" w14:textId="4FEAC51E" w:rsidR="001B7AF8" w:rsidRPr="00E577BC" w:rsidRDefault="001B7AF8" w:rsidP="001B7AF8">
            <w:pPr>
              <w:spacing w:before="10"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
                <w:sz w:val="18"/>
                <w:szCs w:val="18"/>
              </w:rPr>
            </w:pPr>
            <w:r w:rsidRPr="00E577BC">
              <w:rPr>
                <w:rFonts w:ascii="Myriad Pro" w:eastAsia="Calibri" w:hAnsi="Myriad Pro" w:cs="Arial"/>
                <w:bCs/>
                <w:color w:val="000000"/>
                <w:sz w:val="18"/>
                <w:szCs w:val="18"/>
              </w:rPr>
              <w:t>28</w:t>
            </w:r>
            <w:r>
              <w:rPr>
                <w:rFonts w:ascii="Myriad Pro" w:eastAsia="Calibri" w:hAnsi="Myriad Pro" w:cs="Arial"/>
                <w:bCs/>
                <w:color w:val="000000"/>
                <w:sz w:val="18"/>
                <w:szCs w:val="18"/>
              </w:rPr>
              <w:t>,</w:t>
            </w:r>
            <w:r w:rsidRPr="00E577BC">
              <w:rPr>
                <w:rFonts w:ascii="Myriad Pro" w:eastAsia="Calibri" w:hAnsi="Myriad Pro" w:cs="Arial"/>
                <w:bCs/>
                <w:color w:val="000000"/>
                <w:sz w:val="18"/>
                <w:szCs w:val="18"/>
              </w:rPr>
              <w:t>5</w:t>
            </w:r>
          </w:p>
        </w:tc>
        <w:tc>
          <w:tcPr>
            <w:tcW w:w="295" w:type="pct"/>
            <w:noWrap/>
          </w:tcPr>
          <w:p w14:paraId="6745876B" w14:textId="115A28B0" w:rsidR="001B7AF8" w:rsidRPr="00E577BC" w:rsidRDefault="001B7AF8" w:rsidP="001B7AF8">
            <w:pPr>
              <w:spacing w:before="10"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
                <w:sz w:val="18"/>
                <w:szCs w:val="18"/>
              </w:rPr>
            </w:pPr>
            <w:r w:rsidRPr="00E577BC">
              <w:rPr>
                <w:rFonts w:ascii="Myriad Pro" w:eastAsia="Calibri" w:hAnsi="Myriad Pro" w:cs="Arial"/>
                <w:bCs/>
                <w:color w:val="000000"/>
                <w:sz w:val="18"/>
                <w:szCs w:val="18"/>
              </w:rPr>
              <w:t>29</w:t>
            </w:r>
            <w:r>
              <w:rPr>
                <w:rFonts w:ascii="Myriad Pro" w:eastAsia="Calibri" w:hAnsi="Myriad Pro" w:cs="Arial"/>
                <w:bCs/>
                <w:color w:val="000000"/>
                <w:sz w:val="18"/>
                <w:szCs w:val="18"/>
              </w:rPr>
              <w:t>,</w:t>
            </w:r>
            <w:r w:rsidRPr="00E577BC">
              <w:rPr>
                <w:rFonts w:ascii="Myriad Pro" w:eastAsia="Calibri" w:hAnsi="Myriad Pro" w:cs="Arial"/>
                <w:bCs/>
                <w:color w:val="000000"/>
                <w:sz w:val="18"/>
                <w:szCs w:val="18"/>
              </w:rPr>
              <w:t>6</w:t>
            </w:r>
          </w:p>
        </w:tc>
        <w:tc>
          <w:tcPr>
            <w:tcW w:w="295" w:type="pct"/>
          </w:tcPr>
          <w:p w14:paraId="716903D0" w14:textId="4F0CE52D" w:rsidR="001B7AF8" w:rsidRPr="00E577BC" w:rsidRDefault="001B7AF8" w:rsidP="001B7AF8">
            <w:pPr>
              <w:spacing w:before="10"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
                <w:sz w:val="18"/>
                <w:szCs w:val="18"/>
              </w:rPr>
            </w:pPr>
            <w:r w:rsidRPr="00E577BC">
              <w:rPr>
                <w:rFonts w:ascii="Myriad Pro" w:eastAsia="Calibri" w:hAnsi="Myriad Pro" w:cs="Arial"/>
                <w:bCs/>
                <w:color w:val="000000"/>
                <w:sz w:val="18"/>
                <w:szCs w:val="18"/>
              </w:rPr>
              <w:t>28</w:t>
            </w:r>
            <w:r>
              <w:rPr>
                <w:rFonts w:ascii="Myriad Pro" w:eastAsia="Calibri" w:hAnsi="Myriad Pro" w:cs="Arial"/>
                <w:bCs/>
                <w:color w:val="000000"/>
                <w:sz w:val="18"/>
                <w:szCs w:val="18"/>
              </w:rPr>
              <w:t>,</w:t>
            </w:r>
            <w:r w:rsidRPr="00E577BC">
              <w:rPr>
                <w:rFonts w:ascii="Myriad Pro" w:eastAsia="Calibri" w:hAnsi="Myriad Pro" w:cs="Arial"/>
                <w:bCs/>
                <w:color w:val="000000"/>
                <w:sz w:val="18"/>
                <w:szCs w:val="18"/>
              </w:rPr>
              <w:t>9</w:t>
            </w:r>
          </w:p>
        </w:tc>
        <w:tc>
          <w:tcPr>
            <w:tcW w:w="296" w:type="pct"/>
          </w:tcPr>
          <w:p w14:paraId="64C42AA3" w14:textId="4B54C3B6" w:rsidR="001B7AF8" w:rsidRPr="00E577BC" w:rsidRDefault="001B7AF8" w:rsidP="001B7AF8">
            <w:pPr>
              <w:spacing w:before="10"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
                <w:sz w:val="18"/>
                <w:szCs w:val="18"/>
              </w:rPr>
            </w:pPr>
            <w:r w:rsidRPr="00E577BC">
              <w:rPr>
                <w:rFonts w:ascii="Myriad Pro" w:eastAsia="Calibri" w:hAnsi="Myriad Pro" w:cs="Arial"/>
                <w:bCs/>
                <w:color w:val="000000"/>
                <w:sz w:val="18"/>
                <w:szCs w:val="18"/>
              </w:rPr>
              <w:t>31</w:t>
            </w:r>
            <w:r>
              <w:rPr>
                <w:rFonts w:ascii="Myriad Pro" w:eastAsia="Calibri" w:hAnsi="Myriad Pro" w:cs="Arial"/>
                <w:bCs/>
                <w:color w:val="000000"/>
                <w:sz w:val="18"/>
                <w:szCs w:val="18"/>
              </w:rPr>
              <w:t>,</w:t>
            </w:r>
            <w:r w:rsidRPr="00E577BC">
              <w:rPr>
                <w:rFonts w:ascii="Myriad Pro" w:eastAsia="Calibri" w:hAnsi="Myriad Pro" w:cs="Arial"/>
                <w:bCs/>
                <w:color w:val="000000"/>
                <w:sz w:val="18"/>
                <w:szCs w:val="18"/>
              </w:rPr>
              <w:t>5</w:t>
            </w:r>
          </w:p>
        </w:tc>
        <w:tc>
          <w:tcPr>
            <w:tcW w:w="295" w:type="pct"/>
          </w:tcPr>
          <w:p w14:paraId="54A49498" w14:textId="25D1506F" w:rsidR="001B7AF8" w:rsidRPr="00E577BC" w:rsidRDefault="001B7AF8" w:rsidP="001B7AF8">
            <w:pPr>
              <w:spacing w:before="10"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
                <w:sz w:val="18"/>
                <w:szCs w:val="18"/>
              </w:rPr>
            </w:pPr>
            <w:r w:rsidRPr="00E577BC">
              <w:rPr>
                <w:rFonts w:ascii="Myriad Pro" w:eastAsia="Calibri" w:hAnsi="Myriad Pro" w:cs="Arial"/>
                <w:bCs/>
                <w:color w:val="000000"/>
                <w:sz w:val="18"/>
                <w:szCs w:val="18"/>
              </w:rPr>
              <w:t>34</w:t>
            </w:r>
            <w:r>
              <w:rPr>
                <w:rFonts w:ascii="Myriad Pro" w:eastAsia="Calibri" w:hAnsi="Myriad Pro" w:cs="Arial"/>
                <w:bCs/>
                <w:color w:val="000000"/>
                <w:sz w:val="18"/>
                <w:szCs w:val="18"/>
              </w:rPr>
              <w:t>,</w:t>
            </w:r>
            <w:r w:rsidRPr="00E577BC">
              <w:rPr>
                <w:rFonts w:ascii="Myriad Pro" w:eastAsia="Calibri" w:hAnsi="Myriad Pro" w:cs="Arial"/>
                <w:bCs/>
                <w:color w:val="000000"/>
                <w:sz w:val="18"/>
                <w:szCs w:val="18"/>
              </w:rPr>
              <w:t>4</w:t>
            </w:r>
          </w:p>
        </w:tc>
        <w:tc>
          <w:tcPr>
            <w:tcW w:w="295" w:type="pct"/>
          </w:tcPr>
          <w:p w14:paraId="48E55BD7" w14:textId="3BCA5943" w:rsidR="001B7AF8" w:rsidRPr="00E577BC" w:rsidRDefault="001B7AF8" w:rsidP="001B7AF8">
            <w:pPr>
              <w:spacing w:before="10"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
                <w:sz w:val="18"/>
                <w:szCs w:val="18"/>
              </w:rPr>
            </w:pPr>
            <w:r w:rsidRPr="00E577BC">
              <w:rPr>
                <w:rFonts w:ascii="Myriad Pro" w:eastAsia="Calibri" w:hAnsi="Myriad Pro" w:cs="Arial"/>
                <w:bCs/>
                <w:color w:val="000000"/>
                <w:sz w:val="18"/>
                <w:szCs w:val="18"/>
              </w:rPr>
              <w:t>37</w:t>
            </w:r>
            <w:r>
              <w:rPr>
                <w:rFonts w:ascii="Myriad Pro" w:eastAsia="Calibri" w:hAnsi="Myriad Pro" w:cs="Arial"/>
                <w:bCs/>
                <w:color w:val="000000"/>
                <w:sz w:val="18"/>
                <w:szCs w:val="18"/>
              </w:rPr>
              <w:t>,</w:t>
            </w:r>
            <w:r w:rsidRPr="00E577BC">
              <w:rPr>
                <w:rFonts w:ascii="Myriad Pro" w:eastAsia="Calibri" w:hAnsi="Myriad Pro" w:cs="Arial"/>
                <w:bCs/>
                <w:color w:val="000000"/>
                <w:sz w:val="18"/>
                <w:szCs w:val="18"/>
              </w:rPr>
              <w:t>1</w:t>
            </w:r>
          </w:p>
        </w:tc>
        <w:tc>
          <w:tcPr>
            <w:tcW w:w="296" w:type="pct"/>
          </w:tcPr>
          <w:p w14:paraId="22013208" w14:textId="13EB75BB" w:rsidR="001B7AF8" w:rsidRPr="00E577BC" w:rsidRDefault="001B7AF8" w:rsidP="001B7AF8">
            <w:pPr>
              <w:spacing w:before="10"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
                <w:sz w:val="18"/>
                <w:szCs w:val="18"/>
              </w:rPr>
            </w:pPr>
            <w:r w:rsidRPr="00E577BC">
              <w:rPr>
                <w:rFonts w:ascii="Myriad Pro" w:eastAsia="Calibri" w:hAnsi="Myriad Pro" w:cs="Arial"/>
                <w:bCs/>
                <w:color w:val="000000"/>
                <w:sz w:val="18"/>
                <w:szCs w:val="18"/>
              </w:rPr>
              <w:t>37</w:t>
            </w:r>
            <w:r>
              <w:rPr>
                <w:rFonts w:ascii="Myriad Pro" w:eastAsia="Calibri" w:hAnsi="Myriad Pro" w:cs="Arial"/>
                <w:bCs/>
                <w:color w:val="000000"/>
                <w:sz w:val="18"/>
                <w:szCs w:val="18"/>
              </w:rPr>
              <w:t>,</w:t>
            </w:r>
            <w:r w:rsidRPr="00E577BC">
              <w:rPr>
                <w:rFonts w:ascii="Myriad Pro" w:eastAsia="Calibri" w:hAnsi="Myriad Pro" w:cs="Arial"/>
                <w:bCs/>
                <w:color w:val="000000"/>
                <w:sz w:val="18"/>
                <w:szCs w:val="18"/>
              </w:rPr>
              <w:t>9</w:t>
            </w:r>
          </w:p>
        </w:tc>
        <w:tc>
          <w:tcPr>
            <w:tcW w:w="295" w:type="pct"/>
          </w:tcPr>
          <w:p w14:paraId="22E9181A" w14:textId="4BF63947" w:rsidR="001B7AF8" w:rsidRPr="00E65A3F" w:rsidRDefault="001B7AF8" w:rsidP="001B7AF8">
            <w:pPr>
              <w:spacing w:before="10"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
                <w:sz w:val="18"/>
                <w:szCs w:val="18"/>
              </w:rPr>
            </w:pPr>
            <w:r w:rsidRPr="00E65A3F">
              <w:rPr>
                <w:rFonts w:ascii="Myriad Pro" w:eastAsia="Calibri" w:hAnsi="Myriad Pro" w:cs="Arial"/>
                <w:bCs/>
                <w:color w:val="000000"/>
                <w:sz w:val="18"/>
                <w:szCs w:val="18"/>
              </w:rPr>
              <w:t>39,2</w:t>
            </w:r>
          </w:p>
        </w:tc>
        <w:tc>
          <w:tcPr>
            <w:tcW w:w="295" w:type="pct"/>
          </w:tcPr>
          <w:p w14:paraId="634E63F3" w14:textId="6280C413" w:rsidR="001B7AF8" w:rsidRPr="00E65A3F" w:rsidRDefault="001B7AF8" w:rsidP="001B7AF8">
            <w:pPr>
              <w:spacing w:before="10"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
                <w:sz w:val="18"/>
                <w:szCs w:val="18"/>
              </w:rPr>
            </w:pPr>
            <w:r w:rsidRPr="00E65A3F">
              <w:rPr>
                <w:rFonts w:ascii="Myriad Pro" w:eastAsia="Calibri" w:hAnsi="Myriad Pro" w:cs="Arial"/>
                <w:bCs/>
                <w:color w:val="000000"/>
                <w:sz w:val="18"/>
                <w:szCs w:val="18"/>
              </w:rPr>
              <w:t>40,</w:t>
            </w:r>
            <w:r>
              <w:rPr>
                <w:rFonts w:ascii="Myriad Pro" w:eastAsia="Calibri" w:hAnsi="Myriad Pro" w:cs="Arial"/>
                <w:bCs/>
                <w:color w:val="000000"/>
                <w:sz w:val="18"/>
                <w:szCs w:val="18"/>
              </w:rPr>
              <w:t>3</w:t>
            </w:r>
          </w:p>
        </w:tc>
        <w:tc>
          <w:tcPr>
            <w:tcW w:w="296" w:type="pct"/>
          </w:tcPr>
          <w:p w14:paraId="515D5E8F" w14:textId="69AF0654" w:rsidR="001B7AF8" w:rsidRPr="00E65A3F" w:rsidRDefault="001B7AF8" w:rsidP="001B7AF8">
            <w:pPr>
              <w:spacing w:before="10"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
                <w:sz w:val="18"/>
                <w:szCs w:val="18"/>
              </w:rPr>
            </w:pPr>
            <w:r w:rsidRPr="00E65A3F">
              <w:rPr>
                <w:rFonts w:ascii="Myriad Pro" w:eastAsia="Calibri" w:hAnsi="Myriad Pro" w:cs="Arial"/>
                <w:bCs/>
                <w:color w:val="000000"/>
                <w:sz w:val="18"/>
                <w:szCs w:val="18"/>
              </w:rPr>
              <w:t>43,0</w:t>
            </w:r>
          </w:p>
        </w:tc>
        <w:tc>
          <w:tcPr>
            <w:tcW w:w="295" w:type="pct"/>
          </w:tcPr>
          <w:p w14:paraId="06016267" w14:textId="6A0AB591" w:rsidR="001B7AF8" w:rsidRPr="00E65A3F" w:rsidRDefault="001B7AF8" w:rsidP="001B7AF8">
            <w:pPr>
              <w:spacing w:before="10"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Arial"/>
                <w:b/>
                <w:color w:val="000000"/>
                <w:sz w:val="18"/>
                <w:szCs w:val="18"/>
              </w:rPr>
            </w:pPr>
            <w:r w:rsidRPr="00E65A3F">
              <w:rPr>
                <w:rFonts w:ascii="Myriad Pro" w:eastAsia="Calibri" w:hAnsi="Myriad Pro" w:cs="Arial"/>
                <w:bCs/>
                <w:color w:val="000000"/>
                <w:sz w:val="18"/>
                <w:szCs w:val="18"/>
              </w:rPr>
              <w:t>4</w:t>
            </w:r>
            <w:r>
              <w:rPr>
                <w:rFonts w:ascii="Myriad Pro" w:eastAsia="Calibri" w:hAnsi="Myriad Pro" w:cs="Arial"/>
                <w:bCs/>
                <w:color w:val="000000"/>
                <w:sz w:val="18"/>
                <w:szCs w:val="18"/>
              </w:rPr>
              <w:t>4,0</w:t>
            </w:r>
          </w:p>
        </w:tc>
        <w:tc>
          <w:tcPr>
            <w:tcW w:w="296" w:type="pct"/>
          </w:tcPr>
          <w:p w14:paraId="7E28C3B5" w14:textId="4FF060C2" w:rsidR="001B7AF8" w:rsidRPr="00E65A3F" w:rsidRDefault="001B7AF8" w:rsidP="001B7AF8">
            <w:pPr>
              <w:spacing w:before="10"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Arial"/>
                <w:b/>
                <w:color w:val="000000"/>
                <w:sz w:val="18"/>
                <w:szCs w:val="18"/>
              </w:rPr>
            </w:pPr>
            <w:r w:rsidRPr="00E65A3F">
              <w:rPr>
                <w:rFonts w:ascii="Myriad Pro" w:eastAsia="Calibri" w:hAnsi="Myriad Pro" w:cs="Arial"/>
                <w:bCs/>
                <w:color w:val="000000"/>
                <w:sz w:val="18"/>
                <w:szCs w:val="18"/>
              </w:rPr>
              <w:t>4</w:t>
            </w:r>
            <w:r>
              <w:rPr>
                <w:rFonts w:ascii="Myriad Pro" w:eastAsia="Calibri" w:hAnsi="Myriad Pro" w:cs="Arial"/>
                <w:bCs/>
                <w:color w:val="000000"/>
                <w:sz w:val="18"/>
                <w:szCs w:val="18"/>
              </w:rPr>
              <w:t>3,2</w:t>
            </w:r>
          </w:p>
        </w:tc>
      </w:tr>
      <w:tr w:rsidR="001B7AF8" w:rsidRPr="00E577BC" w14:paraId="1945E968" w14:textId="77777777" w:rsidTr="00AF0AAE">
        <w:trPr>
          <w:trHeight w:val="315"/>
        </w:trPr>
        <w:tc>
          <w:tcPr>
            <w:cnfStyle w:val="001000000000" w:firstRow="0" w:lastRow="0" w:firstColumn="1" w:lastColumn="0" w:oddVBand="0" w:evenVBand="0" w:oddHBand="0" w:evenHBand="0" w:firstRowFirstColumn="0" w:firstRowLastColumn="0" w:lastRowFirstColumn="0" w:lastRowLastColumn="0"/>
            <w:tcW w:w="863" w:type="pct"/>
            <w:noWrap/>
          </w:tcPr>
          <w:p w14:paraId="122891CE" w14:textId="0FDCAFBC" w:rsidR="001B7AF8" w:rsidRPr="00E577BC" w:rsidRDefault="001B7AF8" w:rsidP="001B7AF8">
            <w:pPr>
              <w:spacing w:before="10" w:after="10" w:line="220" w:lineRule="atLeast"/>
              <w:rPr>
                <w:rFonts w:ascii="Myriad Pro" w:eastAsia="Calibri" w:hAnsi="Myriad Pro" w:cs="Calibri"/>
                <w:bCs/>
                <w:sz w:val="18"/>
                <w:szCs w:val="18"/>
              </w:rPr>
            </w:pPr>
            <w:r w:rsidRPr="00E577BC">
              <w:rPr>
                <w:rFonts w:ascii="Myriad Pro" w:eastAsia="Calibri" w:hAnsi="Myriad Pro" w:cs="Calibri"/>
                <w:bCs/>
                <w:sz w:val="18"/>
                <w:szCs w:val="18"/>
              </w:rPr>
              <w:t>Vrednostni papirji</w:t>
            </w:r>
          </w:p>
        </w:tc>
        <w:tc>
          <w:tcPr>
            <w:tcW w:w="295" w:type="pct"/>
            <w:noWrap/>
          </w:tcPr>
          <w:p w14:paraId="396E3679" w14:textId="7E28557E" w:rsidR="001B7AF8" w:rsidRPr="00E577BC" w:rsidRDefault="001B7AF8" w:rsidP="001B7AF8">
            <w:pPr>
              <w:spacing w:before="10"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r w:rsidRPr="00E577BC">
              <w:rPr>
                <w:rFonts w:ascii="Myriad Pro" w:eastAsia="Calibri" w:hAnsi="Myriad Pro" w:cs="Arial"/>
                <w:bCs/>
                <w:color w:val="000000"/>
                <w:sz w:val="18"/>
                <w:szCs w:val="18"/>
              </w:rPr>
              <w:t>25</w:t>
            </w:r>
            <w:r>
              <w:rPr>
                <w:rFonts w:ascii="Myriad Pro" w:eastAsia="Calibri" w:hAnsi="Myriad Pro" w:cs="Arial"/>
                <w:bCs/>
                <w:color w:val="000000"/>
                <w:sz w:val="18"/>
                <w:szCs w:val="18"/>
              </w:rPr>
              <w:t>,</w:t>
            </w:r>
            <w:r w:rsidRPr="00E577BC">
              <w:rPr>
                <w:rFonts w:ascii="Myriad Pro" w:eastAsia="Calibri" w:hAnsi="Myriad Pro" w:cs="Arial"/>
                <w:bCs/>
                <w:color w:val="000000"/>
                <w:sz w:val="18"/>
                <w:szCs w:val="18"/>
              </w:rPr>
              <w:t>7</w:t>
            </w:r>
          </w:p>
        </w:tc>
        <w:tc>
          <w:tcPr>
            <w:tcW w:w="295" w:type="pct"/>
            <w:noWrap/>
          </w:tcPr>
          <w:p w14:paraId="542C80FE" w14:textId="704E05ED" w:rsidR="001B7AF8" w:rsidRPr="00E577BC" w:rsidRDefault="001B7AF8" w:rsidP="001B7AF8">
            <w:pPr>
              <w:spacing w:before="10"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r w:rsidRPr="00E577BC">
              <w:rPr>
                <w:rFonts w:ascii="Myriad Pro" w:eastAsia="Calibri" w:hAnsi="Myriad Pro" w:cs="Arial"/>
                <w:bCs/>
                <w:color w:val="000000"/>
                <w:sz w:val="18"/>
                <w:szCs w:val="18"/>
              </w:rPr>
              <w:t>32</w:t>
            </w:r>
            <w:r>
              <w:rPr>
                <w:rFonts w:ascii="Myriad Pro" w:eastAsia="Calibri" w:hAnsi="Myriad Pro" w:cs="Arial"/>
                <w:bCs/>
                <w:color w:val="000000"/>
                <w:sz w:val="18"/>
                <w:szCs w:val="18"/>
              </w:rPr>
              <w:t>,</w:t>
            </w:r>
            <w:r w:rsidRPr="00E577BC">
              <w:rPr>
                <w:rFonts w:ascii="Myriad Pro" w:eastAsia="Calibri" w:hAnsi="Myriad Pro" w:cs="Arial"/>
                <w:bCs/>
                <w:color w:val="000000"/>
                <w:sz w:val="18"/>
                <w:szCs w:val="18"/>
              </w:rPr>
              <w:t>3</w:t>
            </w:r>
          </w:p>
        </w:tc>
        <w:tc>
          <w:tcPr>
            <w:tcW w:w="297" w:type="pct"/>
            <w:noWrap/>
          </w:tcPr>
          <w:p w14:paraId="4A5D8396" w14:textId="310F7F0C" w:rsidR="001B7AF8" w:rsidRPr="00E577BC" w:rsidRDefault="001B7AF8" w:rsidP="001B7AF8">
            <w:pPr>
              <w:spacing w:before="10"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r w:rsidRPr="00E577BC">
              <w:rPr>
                <w:rFonts w:ascii="Myriad Pro" w:eastAsia="Calibri" w:hAnsi="Myriad Pro" w:cs="Arial"/>
                <w:bCs/>
                <w:color w:val="000000"/>
                <w:sz w:val="18"/>
                <w:szCs w:val="18"/>
              </w:rPr>
              <w:t>32</w:t>
            </w:r>
            <w:r>
              <w:rPr>
                <w:rFonts w:ascii="Myriad Pro" w:eastAsia="Calibri" w:hAnsi="Myriad Pro" w:cs="Arial"/>
                <w:bCs/>
                <w:color w:val="000000"/>
                <w:sz w:val="18"/>
                <w:szCs w:val="18"/>
              </w:rPr>
              <w:t>,</w:t>
            </w:r>
            <w:r w:rsidRPr="00E577BC">
              <w:rPr>
                <w:rFonts w:ascii="Myriad Pro" w:eastAsia="Calibri" w:hAnsi="Myriad Pro" w:cs="Arial"/>
                <w:bCs/>
                <w:color w:val="000000"/>
                <w:sz w:val="18"/>
                <w:szCs w:val="18"/>
              </w:rPr>
              <w:t>0</w:t>
            </w:r>
          </w:p>
        </w:tc>
        <w:tc>
          <w:tcPr>
            <w:tcW w:w="295" w:type="pct"/>
            <w:noWrap/>
          </w:tcPr>
          <w:p w14:paraId="008E003E" w14:textId="5393B437" w:rsidR="001B7AF8" w:rsidRPr="00E577BC" w:rsidRDefault="001B7AF8" w:rsidP="001B7AF8">
            <w:pPr>
              <w:spacing w:before="10"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r w:rsidRPr="00E577BC">
              <w:rPr>
                <w:rFonts w:ascii="Myriad Pro" w:eastAsia="Calibri" w:hAnsi="Myriad Pro" w:cs="Arial"/>
                <w:bCs/>
                <w:color w:val="000000"/>
                <w:sz w:val="18"/>
                <w:szCs w:val="18"/>
              </w:rPr>
              <w:t>33</w:t>
            </w:r>
            <w:r>
              <w:rPr>
                <w:rFonts w:ascii="Myriad Pro" w:eastAsia="Calibri" w:hAnsi="Myriad Pro" w:cs="Arial"/>
                <w:bCs/>
                <w:color w:val="000000"/>
                <w:sz w:val="18"/>
                <w:szCs w:val="18"/>
              </w:rPr>
              <w:t>,</w:t>
            </w:r>
            <w:r w:rsidRPr="00E577BC">
              <w:rPr>
                <w:rFonts w:ascii="Myriad Pro" w:eastAsia="Calibri" w:hAnsi="Myriad Pro" w:cs="Arial"/>
                <w:bCs/>
                <w:color w:val="000000"/>
                <w:sz w:val="18"/>
                <w:szCs w:val="18"/>
              </w:rPr>
              <w:t>8</w:t>
            </w:r>
          </w:p>
        </w:tc>
        <w:tc>
          <w:tcPr>
            <w:tcW w:w="295" w:type="pct"/>
          </w:tcPr>
          <w:p w14:paraId="62ABE978" w14:textId="0B2FEC8D" w:rsidR="001B7AF8" w:rsidRPr="00E577BC" w:rsidRDefault="001B7AF8" w:rsidP="001B7AF8">
            <w:pPr>
              <w:spacing w:before="10"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r w:rsidRPr="00E577BC">
              <w:rPr>
                <w:rFonts w:ascii="Myriad Pro" w:eastAsia="Calibri" w:hAnsi="Myriad Pro" w:cs="Arial"/>
                <w:bCs/>
                <w:color w:val="000000"/>
                <w:sz w:val="18"/>
                <w:szCs w:val="18"/>
              </w:rPr>
              <w:t>44</w:t>
            </w:r>
            <w:r>
              <w:rPr>
                <w:rFonts w:ascii="Myriad Pro" w:eastAsia="Calibri" w:hAnsi="Myriad Pro" w:cs="Arial"/>
                <w:bCs/>
                <w:color w:val="000000"/>
                <w:sz w:val="18"/>
                <w:szCs w:val="18"/>
              </w:rPr>
              <w:t>,</w:t>
            </w:r>
            <w:r w:rsidRPr="00E577BC">
              <w:rPr>
                <w:rFonts w:ascii="Myriad Pro" w:eastAsia="Calibri" w:hAnsi="Myriad Pro" w:cs="Arial"/>
                <w:bCs/>
                <w:color w:val="000000"/>
                <w:sz w:val="18"/>
                <w:szCs w:val="18"/>
              </w:rPr>
              <w:t>1</w:t>
            </w:r>
          </w:p>
        </w:tc>
        <w:tc>
          <w:tcPr>
            <w:tcW w:w="296" w:type="pct"/>
          </w:tcPr>
          <w:p w14:paraId="78287B1B" w14:textId="37E8CA2B" w:rsidR="001B7AF8" w:rsidRPr="00E577BC" w:rsidRDefault="001B7AF8" w:rsidP="001B7AF8">
            <w:pPr>
              <w:spacing w:before="10"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r w:rsidRPr="00E577BC">
              <w:rPr>
                <w:rFonts w:ascii="Myriad Pro" w:eastAsia="Calibri" w:hAnsi="Myriad Pro" w:cs="Arial"/>
                <w:bCs/>
                <w:color w:val="000000"/>
                <w:sz w:val="18"/>
                <w:szCs w:val="18"/>
              </w:rPr>
              <w:t>63</w:t>
            </w:r>
            <w:r>
              <w:rPr>
                <w:rFonts w:ascii="Myriad Pro" w:eastAsia="Calibri" w:hAnsi="Myriad Pro" w:cs="Arial"/>
                <w:bCs/>
                <w:color w:val="000000"/>
                <w:sz w:val="18"/>
                <w:szCs w:val="18"/>
              </w:rPr>
              <w:t>,</w:t>
            </w:r>
            <w:r w:rsidRPr="00E577BC">
              <w:rPr>
                <w:rFonts w:ascii="Myriad Pro" w:eastAsia="Calibri" w:hAnsi="Myriad Pro" w:cs="Arial"/>
                <w:bCs/>
                <w:color w:val="000000"/>
                <w:sz w:val="18"/>
                <w:szCs w:val="18"/>
              </w:rPr>
              <w:t>2</w:t>
            </w:r>
          </w:p>
        </w:tc>
        <w:tc>
          <w:tcPr>
            <w:tcW w:w="295" w:type="pct"/>
          </w:tcPr>
          <w:p w14:paraId="4407B04C" w14:textId="4622E570" w:rsidR="001B7AF8" w:rsidRPr="00E577BC" w:rsidRDefault="001B7AF8" w:rsidP="001B7AF8">
            <w:pPr>
              <w:spacing w:before="10"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r w:rsidRPr="00E577BC">
              <w:rPr>
                <w:rFonts w:ascii="Myriad Pro" w:eastAsia="Calibri" w:hAnsi="Myriad Pro" w:cs="Arial"/>
                <w:bCs/>
                <w:color w:val="000000"/>
                <w:sz w:val="18"/>
                <w:szCs w:val="18"/>
              </w:rPr>
              <w:t>61</w:t>
            </w:r>
            <w:r>
              <w:rPr>
                <w:rFonts w:ascii="Myriad Pro" w:eastAsia="Calibri" w:hAnsi="Myriad Pro" w:cs="Arial"/>
                <w:bCs/>
                <w:color w:val="000000"/>
                <w:sz w:val="18"/>
                <w:szCs w:val="18"/>
              </w:rPr>
              <w:t>,</w:t>
            </w:r>
            <w:r w:rsidRPr="00E577BC">
              <w:rPr>
                <w:rFonts w:ascii="Myriad Pro" w:eastAsia="Calibri" w:hAnsi="Myriad Pro" w:cs="Arial"/>
                <w:bCs/>
                <w:color w:val="000000"/>
                <w:sz w:val="18"/>
                <w:szCs w:val="18"/>
              </w:rPr>
              <w:t>7</w:t>
            </w:r>
          </w:p>
        </w:tc>
        <w:tc>
          <w:tcPr>
            <w:tcW w:w="295" w:type="pct"/>
          </w:tcPr>
          <w:p w14:paraId="76032641" w14:textId="09AFBBFF" w:rsidR="001B7AF8" w:rsidRPr="00E577BC" w:rsidRDefault="001B7AF8" w:rsidP="001B7AF8">
            <w:pPr>
              <w:spacing w:before="10"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r w:rsidRPr="00E577BC">
              <w:rPr>
                <w:rFonts w:ascii="Myriad Pro" w:eastAsia="Calibri" w:hAnsi="Myriad Pro" w:cs="Arial"/>
                <w:bCs/>
                <w:color w:val="000000"/>
                <w:sz w:val="18"/>
                <w:szCs w:val="18"/>
              </w:rPr>
              <w:t>53</w:t>
            </w:r>
            <w:r>
              <w:rPr>
                <w:rFonts w:ascii="Myriad Pro" w:eastAsia="Calibri" w:hAnsi="Myriad Pro" w:cs="Arial"/>
                <w:bCs/>
                <w:color w:val="000000"/>
                <w:sz w:val="18"/>
                <w:szCs w:val="18"/>
              </w:rPr>
              <w:t>,</w:t>
            </w:r>
            <w:r w:rsidRPr="00E577BC">
              <w:rPr>
                <w:rFonts w:ascii="Myriad Pro" w:eastAsia="Calibri" w:hAnsi="Myriad Pro" w:cs="Arial"/>
                <w:bCs/>
                <w:color w:val="000000"/>
                <w:sz w:val="18"/>
                <w:szCs w:val="18"/>
              </w:rPr>
              <w:t>0</w:t>
            </w:r>
          </w:p>
        </w:tc>
        <w:tc>
          <w:tcPr>
            <w:tcW w:w="296" w:type="pct"/>
          </w:tcPr>
          <w:p w14:paraId="71DF72DD" w14:textId="678BC842" w:rsidR="001B7AF8" w:rsidRPr="00E577BC" w:rsidRDefault="001B7AF8" w:rsidP="001B7AF8">
            <w:pPr>
              <w:spacing w:before="10"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r w:rsidRPr="00E577BC">
              <w:rPr>
                <w:rFonts w:ascii="Myriad Pro" w:eastAsia="Calibri" w:hAnsi="Myriad Pro" w:cs="Arial"/>
                <w:bCs/>
                <w:color w:val="000000"/>
                <w:sz w:val="18"/>
                <w:szCs w:val="18"/>
              </w:rPr>
              <w:t>49</w:t>
            </w:r>
            <w:r>
              <w:rPr>
                <w:rFonts w:ascii="Myriad Pro" w:eastAsia="Calibri" w:hAnsi="Myriad Pro" w:cs="Arial"/>
                <w:bCs/>
                <w:color w:val="000000"/>
                <w:sz w:val="18"/>
                <w:szCs w:val="18"/>
              </w:rPr>
              <w:t>,</w:t>
            </w:r>
            <w:r w:rsidRPr="00E577BC">
              <w:rPr>
                <w:rFonts w:ascii="Myriad Pro" w:eastAsia="Calibri" w:hAnsi="Myriad Pro" w:cs="Arial"/>
                <w:bCs/>
                <w:color w:val="000000"/>
                <w:sz w:val="18"/>
                <w:szCs w:val="18"/>
              </w:rPr>
              <w:t>3</w:t>
            </w:r>
          </w:p>
        </w:tc>
        <w:tc>
          <w:tcPr>
            <w:tcW w:w="295" w:type="pct"/>
          </w:tcPr>
          <w:p w14:paraId="24466DD1" w14:textId="0CD032FA" w:rsidR="001B7AF8" w:rsidRPr="00E65A3F" w:rsidRDefault="001B7AF8" w:rsidP="001B7AF8">
            <w:pPr>
              <w:spacing w:before="10"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r w:rsidRPr="00E65A3F">
              <w:rPr>
                <w:rFonts w:ascii="Myriad Pro" w:eastAsia="Calibri" w:hAnsi="Myriad Pro" w:cs="Arial"/>
                <w:bCs/>
                <w:color w:val="000000"/>
                <w:sz w:val="18"/>
                <w:szCs w:val="18"/>
              </w:rPr>
              <w:t>45,5</w:t>
            </w:r>
          </w:p>
        </w:tc>
        <w:tc>
          <w:tcPr>
            <w:tcW w:w="295" w:type="pct"/>
          </w:tcPr>
          <w:p w14:paraId="3CEFA333" w14:textId="014AB526" w:rsidR="001B7AF8" w:rsidRPr="00E65A3F" w:rsidRDefault="001B7AF8" w:rsidP="001B7AF8">
            <w:pPr>
              <w:spacing w:before="10"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r w:rsidRPr="00E65A3F">
              <w:rPr>
                <w:rFonts w:ascii="Myriad Pro" w:eastAsia="Calibri" w:hAnsi="Myriad Pro" w:cs="Arial"/>
                <w:bCs/>
                <w:color w:val="000000"/>
                <w:sz w:val="18"/>
                <w:szCs w:val="18"/>
              </w:rPr>
              <w:t>44,9</w:t>
            </w:r>
          </w:p>
        </w:tc>
        <w:tc>
          <w:tcPr>
            <w:tcW w:w="296" w:type="pct"/>
          </w:tcPr>
          <w:p w14:paraId="50549ED0" w14:textId="5F784793" w:rsidR="001B7AF8" w:rsidRPr="00E65A3F" w:rsidRDefault="001B7AF8" w:rsidP="001B7AF8">
            <w:pPr>
              <w:spacing w:before="10"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r w:rsidRPr="00E65A3F">
              <w:rPr>
                <w:rFonts w:ascii="Myriad Pro" w:eastAsia="Calibri" w:hAnsi="Myriad Pro" w:cs="Arial"/>
                <w:bCs/>
                <w:color w:val="000000"/>
                <w:sz w:val="18"/>
                <w:szCs w:val="18"/>
              </w:rPr>
              <w:t>52,9</w:t>
            </w:r>
          </w:p>
        </w:tc>
        <w:tc>
          <w:tcPr>
            <w:tcW w:w="295" w:type="pct"/>
          </w:tcPr>
          <w:p w14:paraId="595D6FBF" w14:textId="5EFB688E" w:rsidR="001B7AF8" w:rsidRPr="00E65A3F" w:rsidRDefault="001B7AF8" w:rsidP="001B7AF8">
            <w:pPr>
              <w:spacing w:before="10"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Arial"/>
                <w:bCs/>
                <w:color w:val="000000"/>
                <w:sz w:val="18"/>
                <w:szCs w:val="18"/>
              </w:rPr>
            </w:pPr>
            <w:r w:rsidRPr="00E65A3F">
              <w:rPr>
                <w:rFonts w:ascii="Myriad Pro" w:eastAsia="Calibri" w:hAnsi="Myriad Pro" w:cs="Arial"/>
                <w:bCs/>
                <w:color w:val="000000"/>
                <w:sz w:val="18"/>
                <w:szCs w:val="18"/>
              </w:rPr>
              <w:t>43,5</w:t>
            </w:r>
          </w:p>
        </w:tc>
        <w:tc>
          <w:tcPr>
            <w:tcW w:w="296" w:type="pct"/>
          </w:tcPr>
          <w:p w14:paraId="7094D896" w14:textId="50957540" w:rsidR="001B7AF8" w:rsidRPr="00E65A3F" w:rsidRDefault="001B7AF8" w:rsidP="001B7AF8">
            <w:pPr>
              <w:spacing w:before="10"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Arial"/>
                <w:bCs/>
                <w:color w:val="000000"/>
                <w:sz w:val="18"/>
                <w:szCs w:val="18"/>
              </w:rPr>
            </w:pPr>
            <w:r w:rsidRPr="00E65A3F">
              <w:rPr>
                <w:rFonts w:ascii="Myriad Pro" w:eastAsia="Calibri" w:hAnsi="Myriad Pro" w:cs="Arial"/>
                <w:bCs/>
                <w:color w:val="000000"/>
                <w:sz w:val="18"/>
                <w:szCs w:val="18"/>
              </w:rPr>
              <w:t>3</w:t>
            </w:r>
            <w:r>
              <w:rPr>
                <w:rFonts w:ascii="Myriad Pro" w:eastAsia="Calibri" w:hAnsi="Myriad Pro" w:cs="Arial"/>
                <w:bCs/>
                <w:color w:val="000000"/>
                <w:sz w:val="18"/>
                <w:szCs w:val="18"/>
              </w:rPr>
              <w:t>3,4</w:t>
            </w:r>
          </w:p>
        </w:tc>
      </w:tr>
      <w:tr w:rsidR="001B7AF8" w:rsidRPr="00E577BC" w14:paraId="0E99E382" w14:textId="77777777" w:rsidTr="00AF0AAE">
        <w:trPr>
          <w:trHeight w:val="300"/>
        </w:trPr>
        <w:tc>
          <w:tcPr>
            <w:cnfStyle w:val="001000000000" w:firstRow="0" w:lastRow="0" w:firstColumn="1" w:lastColumn="0" w:oddVBand="0" w:evenVBand="0" w:oddHBand="0" w:evenHBand="0" w:firstRowFirstColumn="0" w:firstRowLastColumn="0" w:lastRowFirstColumn="0" w:lastRowLastColumn="0"/>
            <w:tcW w:w="863" w:type="pct"/>
            <w:noWrap/>
          </w:tcPr>
          <w:p w14:paraId="2A17F873" w14:textId="2DF3B6D3" w:rsidR="001B7AF8" w:rsidRPr="00E577BC" w:rsidRDefault="001B7AF8" w:rsidP="001B7AF8">
            <w:pPr>
              <w:spacing w:before="10" w:after="10" w:line="220" w:lineRule="atLeast"/>
              <w:rPr>
                <w:rFonts w:ascii="Myriad Pro" w:eastAsia="Calibri" w:hAnsi="Myriad Pro" w:cs="Calibri"/>
                <w:bCs/>
                <w:sz w:val="18"/>
                <w:szCs w:val="18"/>
              </w:rPr>
            </w:pPr>
            <w:r w:rsidRPr="00E577BC">
              <w:rPr>
                <w:rFonts w:ascii="Myriad Pro" w:eastAsia="Calibri" w:hAnsi="Myriad Pro" w:cs="Calibri"/>
                <w:bCs/>
                <w:sz w:val="18"/>
                <w:szCs w:val="18"/>
              </w:rPr>
              <w:t>Finančni derivativi</w:t>
            </w:r>
          </w:p>
        </w:tc>
        <w:tc>
          <w:tcPr>
            <w:tcW w:w="295" w:type="pct"/>
            <w:noWrap/>
          </w:tcPr>
          <w:p w14:paraId="74A31A0F" w14:textId="5BBEA043" w:rsidR="001B7AF8" w:rsidRPr="00E577BC" w:rsidRDefault="001B7AF8" w:rsidP="001B7AF8">
            <w:pPr>
              <w:spacing w:before="10"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r w:rsidRPr="00E577BC">
              <w:rPr>
                <w:rFonts w:ascii="Myriad Pro" w:eastAsia="Calibri" w:hAnsi="Myriad Pro" w:cs="Arial"/>
                <w:bCs/>
                <w:color w:val="000000"/>
                <w:sz w:val="18"/>
                <w:szCs w:val="18"/>
              </w:rPr>
              <w:t>0</w:t>
            </w:r>
            <w:r>
              <w:rPr>
                <w:rFonts w:ascii="Myriad Pro" w:eastAsia="Calibri" w:hAnsi="Myriad Pro" w:cs="Arial"/>
                <w:bCs/>
                <w:color w:val="000000"/>
                <w:sz w:val="18"/>
                <w:szCs w:val="18"/>
              </w:rPr>
              <w:t>,</w:t>
            </w:r>
            <w:r w:rsidRPr="00E577BC">
              <w:rPr>
                <w:rFonts w:ascii="Myriad Pro" w:eastAsia="Calibri" w:hAnsi="Myriad Pro" w:cs="Arial"/>
                <w:bCs/>
                <w:color w:val="000000"/>
                <w:sz w:val="18"/>
                <w:szCs w:val="18"/>
              </w:rPr>
              <w:t>6</w:t>
            </w:r>
          </w:p>
        </w:tc>
        <w:tc>
          <w:tcPr>
            <w:tcW w:w="295" w:type="pct"/>
            <w:noWrap/>
          </w:tcPr>
          <w:p w14:paraId="302B99D3" w14:textId="7C5032A8" w:rsidR="001B7AF8" w:rsidRPr="00E577BC" w:rsidRDefault="001B7AF8" w:rsidP="001B7AF8">
            <w:pPr>
              <w:spacing w:before="10"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r w:rsidRPr="00E577BC">
              <w:rPr>
                <w:rFonts w:ascii="Myriad Pro" w:eastAsia="Calibri" w:hAnsi="Myriad Pro" w:cs="Arial"/>
                <w:bCs/>
                <w:color w:val="000000"/>
                <w:sz w:val="18"/>
                <w:szCs w:val="18"/>
              </w:rPr>
              <w:t>0</w:t>
            </w:r>
            <w:r>
              <w:rPr>
                <w:rFonts w:ascii="Myriad Pro" w:eastAsia="Calibri" w:hAnsi="Myriad Pro" w:cs="Arial"/>
                <w:bCs/>
                <w:color w:val="000000"/>
                <w:sz w:val="18"/>
                <w:szCs w:val="18"/>
              </w:rPr>
              <w:t>,</w:t>
            </w:r>
            <w:r w:rsidRPr="00E577BC">
              <w:rPr>
                <w:rFonts w:ascii="Myriad Pro" w:eastAsia="Calibri" w:hAnsi="Myriad Pro" w:cs="Arial"/>
                <w:bCs/>
                <w:color w:val="000000"/>
                <w:sz w:val="18"/>
                <w:szCs w:val="18"/>
              </w:rPr>
              <w:t>9</w:t>
            </w:r>
          </w:p>
        </w:tc>
        <w:tc>
          <w:tcPr>
            <w:tcW w:w="297" w:type="pct"/>
            <w:noWrap/>
          </w:tcPr>
          <w:p w14:paraId="13B90E8B" w14:textId="3FBA3399" w:rsidR="001B7AF8" w:rsidRPr="00E577BC" w:rsidRDefault="001B7AF8" w:rsidP="001B7AF8">
            <w:pPr>
              <w:spacing w:before="10"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r w:rsidRPr="00E577BC">
              <w:rPr>
                <w:rFonts w:ascii="Myriad Pro" w:eastAsia="Calibri" w:hAnsi="Myriad Pro" w:cs="Arial"/>
                <w:bCs/>
                <w:color w:val="000000"/>
                <w:sz w:val="18"/>
                <w:szCs w:val="18"/>
              </w:rPr>
              <w:t>0</w:t>
            </w:r>
            <w:r>
              <w:rPr>
                <w:rFonts w:ascii="Myriad Pro" w:eastAsia="Calibri" w:hAnsi="Myriad Pro" w:cs="Arial"/>
                <w:bCs/>
                <w:color w:val="000000"/>
                <w:sz w:val="18"/>
                <w:szCs w:val="18"/>
              </w:rPr>
              <w:t>,</w:t>
            </w:r>
            <w:r w:rsidRPr="00E577BC">
              <w:rPr>
                <w:rFonts w:ascii="Myriad Pro" w:eastAsia="Calibri" w:hAnsi="Myriad Pro" w:cs="Arial"/>
                <w:bCs/>
                <w:color w:val="000000"/>
                <w:sz w:val="18"/>
                <w:szCs w:val="18"/>
              </w:rPr>
              <w:t>7</w:t>
            </w:r>
          </w:p>
        </w:tc>
        <w:tc>
          <w:tcPr>
            <w:tcW w:w="295" w:type="pct"/>
            <w:noWrap/>
          </w:tcPr>
          <w:p w14:paraId="3D6FAAA3" w14:textId="52B64B78" w:rsidR="001B7AF8" w:rsidRPr="00E577BC" w:rsidRDefault="001B7AF8" w:rsidP="001B7AF8">
            <w:pPr>
              <w:spacing w:before="10"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r w:rsidRPr="00E577BC">
              <w:rPr>
                <w:rFonts w:ascii="Myriad Pro" w:eastAsia="Calibri" w:hAnsi="Myriad Pro" w:cs="Arial"/>
                <w:bCs/>
                <w:color w:val="000000"/>
                <w:sz w:val="18"/>
                <w:szCs w:val="18"/>
              </w:rPr>
              <w:t>1</w:t>
            </w:r>
            <w:r>
              <w:rPr>
                <w:rFonts w:ascii="Myriad Pro" w:eastAsia="Calibri" w:hAnsi="Myriad Pro" w:cs="Arial"/>
                <w:bCs/>
                <w:color w:val="000000"/>
                <w:sz w:val="18"/>
                <w:szCs w:val="18"/>
              </w:rPr>
              <w:t>,</w:t>
            </w:r>
            <w:r w:rsidRPr="00E577BC">
              <w:rPr>
                <w:rFonts w:ascii="Myriad Pro" w:eastAsia="Calibri" w:hAnsi="Myriad Pro" w:cs="Arial"/>
                <w:bCs/>
                <w:color w:val="000000"/>
                <w:sz w:val="18"/>
                <w:szCs w:val="18"/>
              </w:rPr>
              <w:t>1</w:t>
            </w:r>
          </w:p>
        </w:tc>
        <w:tc>
          <w:tcPr>
            <w:tcW w:w="295" w:type="pct"/>
          </w:tcPr>
          <w:p w14:paraId="7FF1F545" w14:textId="04D35379" w:rsidR="001B7AF8" w:rsidRPr="00E577BC" w:rsidRDefault="001B7AF8" w:rsidP="001B7AF8">
            <w:pPr>
              <w:spacing w:before="10"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r w:rsidRPr="00E577BC">
              <w:rPr>
                <w:rFonts w:ascii="Myriad Pro" w:eastAsia="Calibri" w:hAnsi="Myriad Pro" w:cs="Arial"/>
                <w:bCs/>
                <w:color w:val="000000"/>
                <w:sz w:val="18"/>
                <w:szCs w:val="18"/>
              </w:rPr>
              <w:t>1</w:t>
            </w:r>
            <w:r>
              <w:rPr>
                <w:rFonts w:ascii="Myriad Pro" w:eastAsia="Calibri" w:hAnsi="Myriad Pro" w:cs="Arial"/>
                <w:bCs/>
                <w:color w:val="000000"/>
                <w:sz w:val="18"/>
                <w:szCs w:val="18"/>
              </w:rPr>
              <w:t>,</w:t>
            </w:r>
            <w:r w:rsidRPr="00E577BC">
              <w:rPr>
                <w:rFonts w:ascii="Myriad Pro" w:eastAsia="Calibri" w:hAnsi="Myriad Pro" w:cs="Arial"/>
                <w:bCs/>
                <w:color w:val="000000"/>
                <w:sz w:val="18"/>
                <w:szCs w:val="18"/>
              </w:rPr>
              <w:t>9</w:t>
            </w:r>
          </w:p>
        </w:tc>
        <w:tc>
          <w:tcPr>
            <w:tcW w:w="296" w:type="pct"/>
          </w:tcPr>
          <w:p w14:paraId="005B51E7" w14:textId="457250DD" w:rsidR="001B7AF8" w:rsidRPr="00E577BC" w:rsidRDefault="001B7AF8" w:rsidP="001B7AF8">
            <w:pPr>
              <w:spacing w:before="10"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r w:rsidRPr="00E577BC">
              <w:rPr>
                <w:rFonts w:ascii="Myriad Pro" w:eastAsia="Calibri" w:hAnsi="Myriad Pro" w:cs="Arial"/>
                <w:bCs/>
                <w:color w:val="000000"/>
                <w:sz w:val="18"/>
                <w:szCs w:val="18"/>
              </w:rPr>
              <w:t>0</w:t>
            </w:r>
            <w:r>
              <w:rPr>
                <w:rFonts w:ascii="Myriad Pro" w:eastAsia="Calibri" w:hAnsi="Myriad Pro" w:cs="Arial"/>
                <w:bCs/>
                <w:color w:val="000000"/>
                <w:sz w:val="18"/>
                <w:szCs w:val="18"/>
              </w:rPr>
              <w:t>,</w:t>
            </w:r>
            <w:r w:rsidRPr="00E577BC">
              <w:rPr>
                <w:rFonts w:ascii="Myriad Pro" w:eastAsia="Calibri" w:hAnsi="Myriad Pro" w:cs="Arial"/>
                <w:bCs/>
                <w:color w:val="000000"/>
                <w:sz w:val="18"/>
                <w:szCs w:val="18"/>
              </w:rPr>
              <w:t>7</w:t>
            </w:r>
          </w:p>
        </w:tc>
        <w:tc>
          <w:tcPr>
            <w:tcW w:w="295" w:type="pct"/>
          </w:tcPr>
          <w:p w14:paraId="4A61CBE1" w14:textId="6BCF897D" w:rsidR="001B7AF8" w:rsidRPr="00E577BC" w:rsidRDefault="001B7AF8" w:rsidP="001B7AF8">
            <w:pPr>
              <w:spacing w:before="10"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r w:rsidRPr="00E577BC">
              <w:rPr>
                <w:rFonts w:ascii="Myriad Pro" w:eastAsia="Calibri" w:hAnsi="Myriad Pro" w:cs="Arial"/>
                <w:bCs/>
                <w:color w:val="000000"/>
                <w:sz w:val="18"/>
                <w:szCs w:val="18"/>
              </w:rPr>
              <w:t>0</w:t>
            </w:r>
            <w:r>
              <w:rPr>
                <w:rFonts w:ascii="Myriad Pro" w:eastAsia="Calibri" w:hAnsi="Myriad Pro" w:cs="Arial"/>
                <w:bCs/>
                <w:color w:val="000000"/>
                <w:sz w:val="18"/>
                <w:szCs w:val="18"/>
              </w:rPr>
              <w:t>,</w:t>
            </w:r>
            <w:r w:rsidRPr="00E577BC">
              <w:rPr>
                <w:rFonts w:ascii="Myriad Pro" w:eastAsia="Calibri" w:hAnsi="Myriad Pro" w:cs="Arial"/>
                <w:bCs/>
                <w:color w:val="000000"/>
                <w:sz w:val="18"/>
                <w:szCs w:val="18"/>
              </w:rPr>
              <w:t>4</w:t>
            </w:r>
          </w:p>
        </w:tc>
        <w:tc>
          <w:tcPr>
            <w:tcW w:w="295" w:type="pct"/>
          </w:tcPr>
          <w:p w14:paraId="24D76317" w14:textId="3FE6BFD2" w:rsidR="001B7AF8" w:rsidRPr="00E577BC" w:rsidRDefault="001B7AF8" w:rsidP="001B7AF8">
            <w:pPr>
              <w:spacing w:before="10"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r w:rsidRPr="00E577BC">
              <w:rPr>
                <w:rFonts w:ascii="Myriad Pro" w:eastAsia="Calibri" w:hAnsi="Myriad Pro" w:cs="Arial"/>
                <w:bCs/>
                <w:color w:val="000000"/>
                <w:sz w:val="18"/>
                <w:szCs w:val="18"/>
              </w:rPr>
              <w:t>0</w:t>
            </w:r>
            <w:r>
              <w:rPr>
                <w:rFonts w:ascii="Myriad Pro" w:eastAsia="Calibri" w:hAnsi="Myriad Pro" w:cs="Arial"/>
                <w:bCs/>
                <w:color w:val="000000"/>
                <w:sz w:val="18"/>
                <w:szCs w:val="18"/>
              </w:rPr>
              <w:t>,</w:t>
            </w:r>
            <w:r w:rsidRPr="00E577BC">
              <w:rPr>
                <w:rFonts w:ascii="Myriad Pro" w:eastAsia="Calibri" w:hAnsi="Myriad Pro" w:cs="Arial"/>
                <w:bCs/>
                <w:color w:val="000000"/>
                <w:sz w:val="18"/>
                <w:szCs w:val="18"/>
              </w:rPr>
              <w:t>3</w:t>
            </w:r>
          </w:p>
        </w:tc>
        <w:tc>
          <w:tcPr>
            <w:tcW w:w="296" w:type="pct"/>
          </w:tcPr>
          <w:p w14:paraId="76011DE1" w14:textId="15EE2B84" w:rsidR="001B7AF8" w:rsidRPr="00E577BC" w:rsidRDefault="001B7AF8" w:rsidP="001B7AF8">
            <w:pPr>
              <w:spacing w:before="10"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r w:rsidRPr="00E577BC">
              <w:rPr>
                <w:rFonts w:ascii="Myriad Pro" w:eastAsia="Calibri" w:hAnsi="Myriad Pro" w:cs="Arial"/>
                <w:bCs/>
                <w:color w:val="000000"/>
                <w:sz w:val="18"/>
                <w:szCs w:val="18"/>
              </w:rPr>
              <w:t>0</w:t>
            </w:r>
            <w:r>
              <w:rPr>
                <w:rFonts w:ascii="Myriad Pro" w:eastAsia="Calibri" w:hAnsi="Myriad Pro" w:cs="Arial"/>
                <w:bCs/>
                <w:color w:val="000000"/>
                <w:sz w:val="18"/>
                <w:szCs w:val="18"/>
              </w:rPr>
              <w:t>,</w:t>
            </w:r>
            <w:r w:rsidRPr="00E577BC">
              <w:rPr>
                <w:rFonts w:ascii="Myriad Pro" w:eastAsia="Calibri" w:hAnsi="Myriad Pro" w:cs="Arial"/>
                <w:bCs/>
                <w:color w:val="000000"/>
                <w:sz w:val="18"/>
                <w:szCs w:val="18"/>
              </w:rPr>
              <w:t>2</w:t>
            </w:r>
          </w:p>
        </w:tc>
        <w:tc>
          <w:tcPr>
            <w:tcW w:w="295" w:type="pct"/>
          </w:tcPr>
          <w:p w14:paraId="23E4273E" w14:textId="6ED5F27F" w:rsidR="001B7AF8" w:rsidRPr="00E65A3F" w:rsidRDefault="001B7AF8" w:rsidP="001B7AF8">
            <w:pPr>
              <w:spacing w:before="10"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r w:rsidRPr="00E65A3F">
              <w:rPr>
                <w:rFonts w:ascii="Myriad Pro" w:eastAsia="Calibri" w:hAnsi="Myriad Pro" w:cs="Arial"/>
                <w:bCs/>
                <w:color w:val="000000"/>
                <w:sz w:val="18"/>
                <w:szCs w:val="18"/>
              </w:rPr>
              <w:t>0,4</w:t>
            </w:r>
          </w:p>
        </w:tc>
        <w:tc>
          <w:tcPr>
            <w:tcW w:w="295" w:type="pct"/>
          </w:tcPr>
          <w:p w14:paraId="02C23B96" w14:textId="3BB1E676" w:rsidR="001B7AF8" w:rsidRPr="00E65A3F" w:rsidRDefault="001B7AF8" w:rsidP="001B7AF8">
            <w:pPr>
              <w:spacing w:before="10"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r w:rsidRPr="00E65A3F">
              <w:rPr>
                <w:rFonts w:ascii="Myriad Pro" w:eastAsia="Calibri" w:hAnsi="Myriad Pro" w:cs="Arial"/>
                <w:bCs/>
                <w:color w:val="000000"/>
                <w:sz w:val="18"/>
                <w:szCs w:val="18"/>
              </w:rPr>
              <w:t>4,9</w:t>
            </w:r>
          </w:p>
        </w:tc>
        <w:tc>
          <w:tcPr>
            <w:tcW w:w="296" w:type="pct"/>
          </w:tcPr>
          <w:p w14:paraId="70749699" w14:textId="4B052548" w:rsidR="001B7AF8" w:rsidRPr="00E65A3F" w:rsidRDefault="001B7AF8" w:rsidP="001B7AF8">
            <w:pPr>
              <w:spacing w:before="10"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r w:rsidRPr="00E65A3F">
              <w:rPr>
                <w:rFonts w:ascii="Myriad Pro" w:eastAsia="Calibri" w:hAnsi="Myriad Pro" w:cs="Arial"/>
                <w:bCs/>
                <w:color w:val="000000"/>
                <w:sz w:val="18"/>
                <w:szCs w:val="18"/>
              </w:rPr>
              <w:t>8,9</w:t>
            </w:r>
          </w:p>
        </w:tc>
        <w:tc>
          <w:tcPr>
            <w:tcW w:w="295" w:type="pct"/>
          </w:tcPr>
          <w:p w14:paraId="43C252C3" w14:textId="442822DE" w:rsidR="001B7AF8" w:rsidRPr="00E65A3F" w:rsidRDefault="001B7AF8" w:rsidP="001B7AF8">
            <w:pPr>
              <w:spacing w:before="10"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Arial"/>
                <w:bCs/>
                <w:color w:val="000000"/>
                <w:sz w:val="18"/>
                <w:szCs w:val="18"/>
              </w:rPr>
            </w:pPr>
            <w:r w:rsidRPr="00E65A3F">
              <w:rPr>
                <w:rFonts w:ascii="Myriad Pro" w:eastAsia="Calibri" w:hAnsi="Myriad Pro" w:cs="Arial"/>
                <w:bCs/>
                <w:color w:val="000000"/>
                <w:sz w:val="18"/>
                <w:szCs w:val="18"/>
              </w:rPr>
              <w:t>4,7</w:t>
            </w:r>
          </w:p>
        </w:tc>
        <w:tc>
          <w:tcPr>
            <w:tcW w:w="296" w:type="pct"/>
          </w:tcPr>
          <w:p w14:paraId="10EDD1E4" w14:textId="56C8BB62" w:rsidR="001B7AF8" w:rsidRPr="00E65A3F" w:rsidRDefault="001B7AF8" w:rsidP="001B7AF8">
            <w:pPr>
              <w:spacing w:before="10"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Arial"/>
                <w:bCs/>
                <w:color w:val="000000"/>
                <w:sz w:val="18"/>
                <w:szCs w:val="18"/>
              </w:rPr>
            </w:pPr>
            <w:r w:rsidRPr="00E65A3F">
              <w:rPr>
                <w:rFonts w:ascii="Myriad Pro" w:eastAsia="Calibri" w:hAnsi="Myriad Pro" w:cs="Arial"/>
                <w:bCs/>
                <w:color w:val="000000"/>
                <w:sz w:val="18"/>
                <w:szCs w:val="18"/>
              </w:rPr>
              <w:t>2,0</w:t>
            </w:r>
          </w:p>
        </w:tc>
      </w:tr>
      <w:tr w:rsidR="001B7AF8" w:rsidRPr="00E577BC" w14:paraId="00A9F1D0" w14:textId="77777777" w:rsidTr="00AF0AAE">
        <w:trPr>
          <w:trHeight w:val="300"/>
        </w:trPr>
        <w:tc>
          <w:tcPr>
            <w:cnfStyle w:val="001000000000" w:firstRow="0" w:lastRow="0" w:firstColumn="1" w:lastColumn="0" w:oddVBand="0" w:evenVBand="0" w:oddHBand="0" w:evenHBand="0" w:firstRowFirstColumn="0" w:firstRowLastColumn="0" w:lastRowFirstColumn="0" w:lastRowLastColumn="0"/>
            <w:tcW w:w="863" w:type="pct"/>
            <w:noWrap/>
          </w:tcPr>
          <w:p w14:paraId="40B9B73C" w14:textId="64B9BD3F" w:rsidR="001B7AF8" w:rsidRPr="00E577BC" w:rsidRDefault="001B7AF8" w:rsidP="001B7AF8">
            <w:pPr>
              <w:spacing w:before="10" w:after="10" w:line="220" w:lineRule="atLeast"/>
              <w:rPr>
                <w:rFonts w:ascii="Myriad Pro" w:eastAsia="Calibri" w:hAnsi="Myriad Pro" w:cs="Calibri"/>
                <w:bCs/>
                <w:sz w:val="18"/>
                <w:szCs w:val="18"/>
              </w:rPr>
            </w:pPr>
            <w:r w:rsidRPr="00E577BC">
              <w:rPr>
                <w:rFonts w:ascii="Myriad Pro" w:eastAsia="Calibri" w:hAnsi="Myriad Pro" w:cs="Calibri"/>
                <w:bCs/>
                <w:sz w:val="18"/>
                <w:szCs w:val="18"/>
              </w:rPr>
              <w:t xml:space="preserve">Ostale naložbe </w:t>
            </w:r>
          </w:p>
        </w:tc>
        <w:tc>
          <w:tcPr>
            <w:tcW w:w="295" w:type="pct"/>
            <w:noWrap/>
          </w:tcPr>
          <w:p w14:paraId="2FB75DCD" w14:textId="7EEBC694" w:rsidR="001B7AF8" w:rsidRPr="00E577BC" w:rsidRDefault="001B7AF8" w:rsidP="001B7AF8">
            <w:pPr>
              <w:spacing w:before="10"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r w:rsidRPr="00E577BC">
              <w:rPr>
                <w:rFonts w:ascii="Myriad Pro" w:eastAsia="Calibri" w:hAnsi="Myriad Pro" w:cs="Arial"/>
                <w:bCs/>
                <w:color w:val="000000"/>
                <w:sz w:val="18"/>
                <w:szCs w:val="18"/>
              </w:rPr>
              <w:t>85</w:t>
            </w:r>
            <w:r>
              <w:rPr>
                <w:rFonts w:ascii="Myriad Pro" w:eastAsia="Calibri" w:hAnsi="Myriad Pro" w:cs="Arial"/>
                <w:bCs/>
                <w:color w:val="000000"/>
                <w:sz w:val="18"/>
                <w:szCs w:val="18"/>
              </w:rPr>
              <w:t>,</w:t>
            </w:r>
            <w:r w:rsidRPr="00E577BC">
              <w:rPr>
                <w:rFonts w:ascii="Myriad Pro" w:eastAsia="Calibri" w:hAnsi="Myriad Pro" w:cs="Arial"/>
                <w:bCs/>
                <w:color w:val="000000"/>
                <w:sz w:val="18"/>
                <w:szCs w:val="18"/>
              </w:rPr>
              <w:t>7</w:t>
            </w:r>
          </w:p>
        </w:tc>
        <w:tc>
          <w:tcPr>
            <w:tcW w:w="295" w:type="pct"/>
            <w:noWrap/>
          </w:tcPr>
          <w:p w14:paraId="2896559E" w14:textId="20729C2C" w:rsidR="001B7AF8" w:rsidRPr="00E577BC" w:rsidRDefault="001B7AF8" w:rsidP="001B7AF8">
            <w:pPr>
              <w:spacing w:before="10"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r w:rsidRPr="00E577BC">
              <w:rPr>
                <w:rFonts w:ascii="Myriad Pro" w:eastAsia="Calibri" w:hAnsi="Myriad Pro" w:cs="Arial"/>
                <w:bCs/>
                <w:color w:val="000000"/>
                <w:sz w:val="18"/>
                <w:szCs w:val="18"/>
              </w:rPr>
              <w:t>79</w:t>
            </w:r>
            <w:r>
              <w:rPr>
                <w:rFonts w:ascii="Myriad Pro" w:eastAsia="Calibri" w:hAnsi="Myriad Pro" w:cs="Arial"/>
                <w:bCs/>
                <w:color w:val="000000"/>
                <w:sz w:val="18"/>
                <w:szCs w:val="18"/>
              </w:rPr>
              <w:t>,</w:t>
            </w:r>
            <w:r w:rsidRPr="00E577BC">
              <w:rPr>
                <w:rFonts w:ascii="Myriad Pro" w:eastAsia="Calibri" w:hAnsi="Myriad Pro" w:cs="Arial"/>
                <w:bCs/>
                <w:color w:val="000000"/>
                <w:sz w:val="18"/>
                <w:szCs w:val="18"/>
              </w:rPr>
              <w:t>3</w:t>
            </w:r>
          </w:p>
        </w:tc>
        <w:tc>
          <w:tcPr>
            <w:tcW w:w="297" w:type="pct"/>
            <w:noWrap/>
          </w:tcPr>
          <w:p w14:paraId="2A5F6791" w14:textId="4CA9F62A" w:rsidR="001B7AF8" w:rsidRPr="00E577BC" w:rsidRDefault="001B7AF8" w:rsidP="001B7AF8">
            <w:pPr>
              <w:spacing w:before="10"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r w:rsidRPr="00E577BC">
              <w:rPr>
                <w:rFonts w:ascii="Myriad Pro" w:eastAsia="Calibri" w:hAnsi="Myriad Pro" w:cs="Arial"/>
                <w:bCs/>
                <w:color w:val="000000"/>
                <w:sz w:val="18"/>
                <w:szCs w:val="18"/>
              </w:rPr>
              <w:t>73</w:t>
            </w:r>
            <w:r>
              <w:rPr>
                <w:rFonts w:ascii="Myriad Pro" w:eastAsia="Calibri" w:hAnsi="Myriad Pro" w:cs="Arial"/>
                <w:bCs/>
                <w:color w:val="000000"/>
                <w:sz w:val="18"/>
                <w:szCs w:val="18"/>
              </w:rPr>
              <w:t>,</w:t>
            </w:r>
            <w:r w:rsidRPr="00E577BC">
              <w:rPr>
                <w:rFonts w:ascii="Myriad Pro" w:eastAsia="Calibri" w:hAnsi="Myriad Pro" w:cs="Arial"/>
                <w:bCs/>
                <w:color w:val="000000"/>
                <w:sz w:val="18"/>
                <w:szCs w:val="18"/>
              </w:rPr>
              <w:t>7</w:t>
            </w:r>
          </w:p>
        </w:tc>
        <w:tc>
          <w:tcPr>
            <w:tcW w:w="295" w:type="pct"/>
            <w:noWrap/>
          </w:tcPr>
          <w:p w14:paraId="2914DEFF" w14:textId="7E3FCB80" w:rsidR="001B7AF8" w:rsidRPr="00E577BC" w:rsidRDefault="001B7AF8" w:rsidP="001B7AF8">
            <w:pPr>
              <w:spacing w:before="10"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r w:rsidRPr="00E577BC">
              <w:rPr>
                <w:rFonts w:ascii="Myriad Pro" w:eastAsia="Calibri" w:hAnsi="Myriad Pro" w:cs="Arial"/>
                <w:bCs/>
                <w:color w:val="000000"/>
                <w:sz w:val="18"/>
                <w:szCs w:val="18"/>
              </w:rPr>
              <w:t>77</w:t>
            </w:r>
            <w:r>
              <w:rPr>
                <w:rFonts w:ascii="Myriad Pro" w:eastAsia="Calibri" w:hAnsi="Myriad Pro" w:cs="Arial"/>
                <w:bCs/>
                <w:color w:val="000000"/>
                <w:sz w:val="18"/>
                <w:szCs w:val="18"/>
              </w:rPr>
              <w:t>,</w:t>
            </w:r>
            <w:r w:rsidRPr="00E577BC">
              <w:rPr>
                <w:rFonts w:ascii="Myriad Pro" w:eastAsia="Calibri" w:hAnsi="Myriad Pro" w:cs="Arial"/>
                <w:bCs/>
                <w:color w:val="000000"/>
                <w:sz w:val="18"/>
                <w:szCs w:val="18"/>
              </w:rPr>
              <w:t>1</w:t>
            </w:r>
          </w:p>
        </w:tc>
        <w:tc>
          <w:tcPr>
            <w:tcW w:w="295" w:type="pct"/>
          </w:tcPr>
          <w:p w14:paraId="20BBB4C1" w14:textId="6B3A3D35" w:rsidR="001B7AF8" w:rsidRPr="00E577BC" w:rsidRDefault="001B7AF8" w:rsidP="001B7AF8">
            <w:pPr>
              <w:spacing w:before="10"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r w:rsidRPr="00E577BC">
              <w:rPr>
                <w:rFonts w:ascii="Myriad Pro" w:eastAsia="Calibri" w:hAnsi="Myriad Pro" w:cs="Arial"/>
                <w:bCs/>
                <w:color w:val="000000"/>
                <w:sz w:val="18"/>
                <w:szCs w:val="18"/>
              </w:rPr>
              <w:t>62</w:t>
            </w:r>
            <w:r>
              <w:rPr>
                <w:rFonts w:ascii="Myriad Pro" w:eastAsia="Calibri" w:hAnsi="Myriad Pro" w:cs="Arial"/>
                <w:bCs/>
                <w:color w:val="000000"/>
                <w:sz w:val="18"/>
                <w:szCs w:val="18"/>
              </w:rPr>
              <w:t>,</w:t>
            </w:r>
            <w:r w:rsidRPr="00E577BC">
              <w:rPr>
                <w:rFonts w:ascii="Myriad Pro" w:eastAsia="Calibri" w:hAnsi="Myriad Pro" w:cs="Arial"/>
                <w:bCs/>
                <w:color w:val="000000"/>
                <w:sz w:val="18"/>
                <w:szCs w:val="18"/>
              </w:rPr>
              <w:t>2</w:t>
            </w:r>
          </w:p>
        </w:tc>
        <w:tc>
          <w:tcPr>
            <w:tcW w:w="296" w:type="pct"/>
          </w:tcPr>
          <w:p w14:paraId="5C121AF7" w14:textId="3C37FACF" w:rsidR="001B7AF8" w:rsidRPr="00E577BC" w:rsidRDefault="001B7AF8" w:rsidP="001B7AF8">
            <w:pPr>
              <w:spacing w:before="10"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r w:rsidRPr="00E577BC">
              <w:rPr>
                <w:rFonts w:ascii="Myriad Pro" w:eastAsia="Calibri" w:hAnsi="Myriad Pro" w:cs="Arial"/>
                <w:bCs/>
                <w:color w:val="000000"/>
                <w:sz w:val="18"/>
                <w:szCs w:val="18"/>
              </w:rPr>
              <w:t>54</w:t>
            </w:r>
            <w:r>
              <w:rPr>
                <w:rFonts w:ascii="Myriad Pro" w:eastAsia="Calibri" w:hAnsi="Myriad Pro" w:cs="Arial"/>
                <w:bCs/>
                <w:color w:val="000000"/>
                <w:sz w:val="18"/>
                <w:szCs w:val="18"/>
              </w:rPr>
              <w:t>,</w:t>
            </w:r>
            <w:r w:rsidRPr="00E577BC">
              <w:rPr>
                <w:rFonts w:ascii="Myriad Pro" w:eastAsia="Calibri" w:hAnsi="Myriad Pro" w:cs="Arial"/>
                <w:bCs/>
                <w:color w:val="000000"/>
                <w:sz w:val="18"/>
                <w:szCs w:val="18"/>
              </w:rPr>
              <w:t>2</w:t>
            </w:r>
          </w:p>
        </w:tc>
        <w:tc>
          <w:tcPr>
            <w:tcW w:w="295" w:type="pct"/>
          </w:tcPr>
          <w:p w14:paraId="3DA1612E" w14:textId="1DB4C8C8" w:rsidR="001B7AF8" w:rsidRPr="00E577BC" w:rsidRDefault="001B7AF8" w:rsidP="001B7AF8">
            <w:pPr>
              <w:spacing w:before="10"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r w:rsidRPr="00E577BC">
              <w:rPr>
                <w:rFonts w:ascii="Myriad Pro" w:eastAsia="Calibri" w:hAnsi="Myriad Pro" w:cs="Arial"/>
                <w:bCs/>
                <w:color w:val="000000"/>
                <w:sz w:val="18"/>
                <w:szCs w:val="18"/>
              </w:rPr>
              <w:t>50</w:t>
            </w:r>
            <w:r>
              <w:rPr>
                <w:rFonts w:ascii="Myriad Pro" w:eastAsia="Calibri" w:hAnsi="Myriad Pro" w:cs="Arial"/>
                <w:bCs/>
                <w:color w:val="000000"/>
                <w:sz w:val="18"/>
                <w:szCs w:val="18"/>
              </w:rPr>
              <w:t>,</w:t>
            </w:r>
            <w:r w:rsidRPr="00E577BC">
              <w:rPr>
                <w:rFonts w:ascii="Myriad Pro" w:eastAsia="Calibri" w:hAnsi="Myriad Pro" w:cs="Arial"/>
                <w:bCs/>
                <w:color w:val="000000"/>
                <w:sz w:val="18"/>
                <w:szCs w:val="18"/>
              </w:rPr>
              <w:t>8</w:t>
            </w:r>
          </w:p>
        </w:tc>
        <w:tc>
          <w:tcPr>
            <w:tcW w:w="295" w:type="pct"/>
          </w:tcPr>
          <w:p w14:paraId="7319E751" w14:textId="55AA205F" w:rsidR="001B7AF8" w:rsidRPr="00E577BC" w:rsidRDefault="001B7AF8" w:rsidP="001B7AF8">
            <w:pPr>
              <w:spacing w:before="10"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r w:rsidRPr="00E577BC">
              <w:rPr>
                <w:rFonts w:ascii="Myriad Pro" w:eastAsia="Calibri" w:hAnsi="Myriad Pro" w:cs="Arial"/>
                <w:bCs/>
                <w:color w:val="000000"/>
                <w:sz w:val="18"/>
                <w:szCs w:val="18"/>
              </w:rPr>
              <w:t>50</w:t>
            </w:r>
            <w:r>
              <w:rPr>
                <w:rFonts w:ascii="Myriad Pro" w:eastAsia="Calibri" w:hAnsi="Myriad Pro" w:cs="Arial"/>
                <w:bCs/>
                <w:color w:val="000000"/>
                <w:sz w:val="18"/>
                <w:szCs w:val="18"/>
              </w:rPr>
              <w:t>,</w:t>
            </w:r>
            <w:r w:rsidRPr="00E577BC">
              <w:rPr>
                <w:rFonts w:ascii="Myriad Pro" w:eastAsia="Calibri" w:hAnsi="Myriad Pro" w:cs="Arial"/>
                <w:bCs/>
                <w:color w:val="000000"/>
                <w:sz w:val="18"/>
                <w:szCs w:val="18"/>
              </w:rPr>
              <w:t>6</w:t>
            </w:r>
          </w:p>
        </w:tc>
        <w:tc>
          <w:tcPr>
            <w:tcW w:w="296" w:type="pct"/>
          </w:tcPr>
          <w:p w14:paraId="43CC04D0" w14:textId="35CD07D7" w:rsidR="001B7AF8" w:rsidRPr="00E577BC" w:rsidRDefault="001B7AF8" w:rsidP="001B7AF8">
            <w:pPr>
              <w:spacing w:before="10"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r w:rsidRPr="00E577BC">
              <w:rPr>
                <w:rFonts w:ascii="Myriad Pro" w:eastAsia="Calibri" w:hAnsi="Myriad Pro" w:cs="Arial"/>
                <w:bCs/>
                <w:color w:val="000000"/>
                <w:sz w:val="18"/>
                <w:szCs w:val="18"/>
              </w:rPr>
              <w:t>45</w:t>
            </w:r>
            <w:r>
              <w:rPr>
                <w:rFonts w:ascii="Myriad Pro" w:eastAsia="Calibri" w:hAnsi="Myriad Pro" w:cs="Arial"/>
                <w:bCs/>
                <w:color w:val="000000"/>
                <w:sz w:val="18"/>
                <w:szCs w:val="18"/>
              </w:rPr>
              <w:t>,</w:t>
            </w:r>
            <w:r w:rsidRPr="00E577BC">
              <w:rPr>
                <w:rFonts w:ascii="Myriad Pro" w:eastAsia="Calibri" w:hAnsi="Myriad Pro" w:cs="Arial"/>
                <w:bCs/>
                <w:color w:val="000000"/>
                <w:sz w:val="18"/>
                <w:szCs w:val="18"/>
              </w:rPr>
              <w:t>2</w:t>
            </w:r>
          </w:p>
        </w:tc>
        <w:tc>
          <w:tcPr>
            <w:tcW w:w="295" w:type="pct"/>
          </w:tcPr>
          <w:p w14:paraId="04E1791B" w14:textId="018EF254" w:rsidR="001B7AF8" w:rsidRPr="00E65A3F" w:rsidRDefault="001B7AF8" w:rsidP="001B7AF8">
            <w:pPr>
              <w:spacing w:before="10"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r w:rsidRPr="00E65A3F">
              <w:rPr>
                <w:rFonts w:ascii="Myriad Pro" w:eastAsia="Calibri" w:hAnsi="Myriad Pro" w:cs="Arial"/>
                <w:bCs/>
                <w:color w:val="000000"/>
                <w:sz w:val="18"/>
                <w:szCs w:val="18"/>
              </w:rPr>
              <w:t>41,4</w:t>
            </w:r>
          </w:p>
        </w:tc>
        <w:tc>
          <w:tcPr>
            <w:tcW w:w="295" w:type="pct"/>
          </w:tcPr>
          <w:p w14:paraId="58EFB69B" w14:textId="05EA5442" w:rsidR="001B7AF8" w:rsidRPr="00E65A3F" w:rsidRDefault="001B7AF8" w:rsidP="001B7AF8">
            <w:pPr>
              <w:spacing w:before="10"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r w:rsidRPr="00E65A3F">
              <w:rPr>
                <w:rFonts w:ascii="Myriad Pro" w:eastAsia="Calibri" w:hAnsi="Myriad Pro" w:cs="Arial"/>
                <w:bCs/>
                <w:color w:val="000000"/>
                <w:sz w:val="18"/>
                <w:szCs w:val="18"/>
              </w:rPr>
              <w:t>41,5</w:t>
            </w:r>
          </w:p>
        </w:tc>
        <w:tc>
          <w:tcPr>
            <w:tcW w:w="296" w:type="pct"/>
          </w:tcPr>
          <w:p w14:paraId="7F3D422E" w14:textId="1E4F9C38" w:rsidR="001B7AF8" w:rsidRPr="00E65A3F" w:rsidRDefault="001B7AF8" w:rsidP="001B7AF8">
            <w:pPr>
              <w:spacing w:before="10"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bCs/>
                <w:sz w:val="18"/>
                <w:szCs w:val="18"/>
              </w:rPr>
            </w:pPr>
            <w:r w:rsidRPr="00E65A3F">
              <w:rPr>
                <w:rFonts w:ascii="Myriad Pro" w:eastAsia="Calibri" w:hAnsi="Myriad Pro" w:cs="Arial"/>
                <w:bCs/>
                <w:color w:val="000000"/>
                <w:sz w:val="18"/>
                <w:szCs w:val="18"/>
              </w:rPr>
              <w:t>43,</w:t>
            </w:r>
            <w:r>
              <w:rPr>
                <w:rFonts w:ascii="Myriad Pro" w:eastAsia="Calibri" w:hAnsi="Myriad Pro" w:cs="Arial"/>
                <w:bCs/>
                <w:color w:val="000000"/>
                <w:sz w:val="18"/>
                <w:szCs w:val="18"/>
              </w:rPr>
              <w:t>8</w:t>
            </w:r>
          </w:p>
        </w:tc>
        <w:tc>
          <w:tcPr>
            <w:tcW w:w="295" w:type="pct"/>
          </w:tcPr>
          <w:p w14:paraId="6C20D1CC" w14:textId="0CDB5F36" w:rsidR="001B7AF8" w:rsidRPr="00E65A3F" w:rsidRDefault="001B7AF8" w:rsidP="001B7AF8">
            <w:pPr>
              <w:spacing w:before="10"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Arial"/>
                <w:bCs/>
                <w:color w:val="000000"/>
                <w:sz w:val="18"/>
                <w:szCs w:val="18"/>
              </w:rPr>
            </w:pPr>
            <w:r w:rsidRPr="00E65A3F">
              <w:rPr>
                <w:rFonts w:ascii="Myriad Pro" w:eastAsia="Calibri" w:hAnsi="Myriad Pro" w:cs="Arial"/>
                <w:bCs/>
                <w:color w:val="000000"/>
                <w:sz w:val="18"/>
                <w:szCs w:val="18"/>
              </w:rPr>
              <w:t>48,</w:t>
            </w:r>
            <w:r>
              <w:rPr>
                <w:rFonts w:ascii="Myriad Pro" w:eastAsia="Calibri" w:hAnsi="Myriad Pro" w:cs="Arial"/>
                <w:bCs/>
                <w:color w:val="000000"/>
                <w:sz w:val="18"/>
                <w:szCs w:val="18"/>
              </w:rPr>
              <w:t>2</w:t>
            </w:r>
          </w:p>
        </w:tc>
        <w:tc>
          <w:tcPr>
            <w:tcW w:w="296" w:type="pct"/>
          </w:tcPr>
          <w:p w14:paraId="421D7F50" w14:textId="75DBC37E" w:rsidR="001B7AF8" w:rsidRPr="00E65A3F" w:rsidRDefault="001B7AF8" w:rsidP="001B7AF8">
            <w:pPr>
              <w:spacing w:before="10" w:after="10" w:line="220" w:lineRule="atLeast"/>
              <w:jc w:val="right"/>
              <w:cnfStyle w:val="000000000000" w:firstRow="0" w:lastRow="0" w:firstColumn="0" w:lastColumn="0" w:oddVBand="0" w:evenVBand="0" w:oddHBand="0" w:evenHBand="0" w:firstRowFirstColumn="0" w:firstRowLastColumn="0" w:lastRowFirstColumn="0" w:lastRowLastColumn="0"/>
              <w:rPr>
                <w:rFonts w:ascii="Myriad Pro" w:eastAsia="Calibri" w:hAnsi="Myriad Pro" w:cs="Arial"/>
                <w:bCs/>
                <w:color w:val="000000"/>
                <w:sz w:val="18"/>
                <w:szCs w:val="18"/>
              </w:rPr>
            </w:pPr>
            <w:r>
              <w:rPr>
                <w:rFonts w:ascii="Myriad Pro" w:eastAsia="Calibri" w:hAnsi="Myriad Pro" w:cs="Arial"/>
                <w:bCs/>
                <w:color w:val="000000"/>
                <w:sz w:val="18"/>
                <w:szCs w:val="18"/>
              </w:rPr>
              <w:t>50,4</w:t>
            </w:r>
          </w:p>
        </w:tc>
      </w:tr>
    </w:tbl>
    <w:p w14:paraId="6550A3A1" w14:textId="77777777" w:rsidR="00921B87" w:rsidRPr="00E577BC" w:rsidRDefault="00921B87" w:rsidP="00921B87">
      <w:pPr>
        <w:spacing w:before="40" w:after="0" w:line="240" w:lineRule="auto"/>
        <w:jc w:val="both"/>
        <w:rPr>
          <w:rFonts w:ascii="Myriad Pro" w:eastAsia="Calibri" w:hAnsi="Myriad Pro" w:cs="Times New Roman"/>
          <w:sz w:val="16"/>
          <w:szCs w:val="16"/>
        </w:rPr>
      </w:pPr>
      <w:r w:rsidRPr="00E577BC">
        <w:rPr>
          <w:rFonts w:ascii="Myriad Pro" w:eastAsia="Calibri" w:hAnsi="Myriad Pro" w:cs="Times New Roman"/>
          <w:sz w:val="16"/>
        </w:rPr>
        <w:t>Vir: BS, lastni izrač</w:t>
      </w:r>
      <w:r w:rsidRPr="00E577BC">
        <w:rPr>
          <w:rFonts w:ascii="Myriad Pro" w:eastAsia="Calibri" w:hAnsi="Myriad Pro" w:cs="Times New Roman"/>
          <w:sz w:val="16"/>
          <w:szCs w:val="16"/>
        </w:rPr>
        <w:t>uni.</w:t>
      </w:r>
    </w:p>
    <w:p w14:paraId="61A23542" w14:textId="77777777" w:rsidR="00921B87" w:rsidRPr="00E577BC" w:rsidRDefault="00921B87" w:rsidP="00921B87">
      <w:pPr>
        <w:spacing w:after="0" w:line="288" w:lineRule="auto"/>
        <w:jc w:val="both"/>
        <w:rPr>
          <w:rFonts w:ascii="Myriad Pro" w:eastAsia="Times New Roman" w:hAnsi="Myriad Pro" w:cs="Arial"/>
          <w:b/>
          <w:bCs/>
          <w:sz w:val="20"/>
          <w:szCs w:val="20"/>
        </w:rPr>
      </w:pPr>
    </w:p>
    <w:p w14:paraId="26E21E5D" w14:textId="2B844B24" w:rsidR="001B7AF8" w:rsidRDefault="001B7AF8">
      <w:pPr>
        <w:spacing w:after="0" w:line="240" w:lineRule="auto"/>
        <w:rPr>
          <w:rFonts w:ascii="Myriad Pro" w:eastAsia="Calibri" w:hAnsi="Myriad Pro" w:cs="Arial"/>
          <w:sz w:val="20"/>
          <w:szCs w:val="20"/>
        </w:rPr>
      </w:pPr>
      <w:r>
        <w:rPr>
          <w:rFonts w:ascii="Myriad Pro" w:eastAsia="Calibri" w:hAnsi="Myriad Pro" w:cs="Arial"/>
          <w:sz w:val="20"/>
          <w:szCs w:val="20"/>
        </w:rPr>
        <w:br w:type="page"/>
      </w:r>
    </w:p>
    <w:p w14:paraId="43210FF1" w14:textId="6F17AB00" w:rsidR="00921B87" w:rsidRDefault="00921B87" w:rsidP="001B7AF8">
      <w:pPr>
        <w:pStyle w:val="BesediloUMAR"/>
        <w:rPr>
          <w:b/>
          <w:bCs/>
        </w:rPr>
      </w:pPr>
      <w:r w:rsidRPr="00E577BC">
        <w:lastRenderedPageBreak/>
        <w:t>Na druge spremembe vrednotenja širokih kategorij lastniških in nelastniških naložb (</w:t>
      </w:r>
      <w:r w:rsidRPr="00E577BC">
        <w:rPr>
          <w:i/>
          <w:iCs/>
        </w:rPr>
        <w:t>angl. equity and non-equity investments)</w:t>
      </w:r>
      <w:r w:rsidRPr="00E577BC">
        <w:t xml:space="preserve"> so vplivale cenovne in tečajne spremembe</w:t>
      </w:r>
      <w:r w:rsidR="007D11D9">
        <w:t xml:space="preserve"> (slika 10)</w:t>
      </w:r>
      <w:r w:rsidRPr="00E577BC">
        <w:t>.</w:t>
      </w:r>
      <w:r w:rsidRPr="00E577BC">
        <w:rPr>
          <w:b/>
          <w:bCs/>
        </w:rPr>
        <w:t xml:space="preserve"> </w:t>
      </w:r>
    </w:p>
    <w:p w14:paraId="666D630B" w14:textId="7EBF86DF" w:rsidR="00921B87" w:rsidRDefault="00921B87" w:rsidP="001B7AF8">
      <w:pPr>
        <w:pStyle w:val="Caption"/>
      </w:pPr>
      <w:r w:rsidRPr="00E577BC">
        <w:t xml:space="preserve">Slika 10: Kumulativne </w:t>
      </w:r>
      <w:r w:rsidR="00A133AB">
        <w:t>spremembe vrednotenja</w:t>
      </w:r>
      <w:r w:rsidRPr="00E577BC">
        <w:t xml:space="preserve">  </w:t>
      </w:r>
    </w:p>
    <w:p w14:paraId="794F6005" w14:textId="2164E24E" w:rsidR="003A2490" w:rsidRDefault="00D02723" w:rsidP="001B7AF8">
      <w:pPr>
        <w:pStyle w:val="BesediloUMAR"/>
      </w:pPr>
      <w:r>
        <w:rPr>
          <w:noProof/>
        </w:rPr>
        <w:drawing>
          <wp:inline distT="0" distB="0" distL="0" distR="0" wp14:anchorId="4851DAE8" wp14:editId="407401F1">
            <wp:extent cx="5752821" cy="2093066"/>
            <wp:effectExtent l="0" t="0" r="635"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96243" cy="2108864"/>
                    </a:xfrm>
                    <a:prstGeom prst="rect">
                      <a:avLst/>
                    </a:prstGeom>
                    <a:noFill/>
                  </pic:spPr>
                </pic:pic>
              </a:graphicData>
            </a:graphic>
          </wp:inline>
        </w:drawing>
      </w:r>
    </w:p>
    <w:p w14:paraId="0D7D9CAD" w14:textId="4A8F1023" w:rsidR="00921B87" w:rsidRPr="00E577BC" w:rsidRDefault="00921B87" w:rsidP="001B7AF8">
      <w:pPr>
        <w:pStyle w:val="VirUMAR"/>
        <w:rPr>
          <w:szCs w:val="16"/>
        </w:rPr>
      </w:pPr>
      <w:r w:rsidRPr="00E577BC">
        <w:t xml:space="preserve">Vir: BS, lastni </w:t>
      </w:r>
      <w:r w:rsidR="00A133AB">
        <w:t>iz</w:t>
      </w:r>
      <w:r w:rsidRPr="00E577BC">
        <w:t>računi.</w:t>
      </w:r>
    </w:p>
    <w:p w14:paraId="63B6DEF0" w14:textId="77777777" w:rsidR="00A133AB" w:rsidRDefault="00A133AB" w:rsidP="00D02723">
      <w:pPr>
        <w:pStyle w:val="BesediloUMAR"/>
      </w:pPr>
    </w:p>
    <w:p w14:paraId="42B16336" w14:textId="445896C3" w:rsidR="007D11D9" w:rsidRPr="00E577BC" w:rsidRDefault="007D11D9" w:rsidP="00D02723">
      <w:pPr>
        <w:pStyle w:val="BesediloUMAR"/>
        <w:rPr>
          <w:b/>
          <w:bCs/>
        </w:rPr>
      </w:pPr>
      <w:r w:rsidRPr="00E577BC">
        <w:t xml:space="preserve">Kumulativni vpliv drugih sprememb vrednotenja je bil sicer v celotnem obdobju negativen, v vrednosti </w:t>
      </w:r>
      <w:r w:rsidR="008C7D4D">
        <w:br/>
      </w:r>
      <w:r w:rsidR="009F0149">
        <w:t>1</w:t>
      </w:r>
      <w:r w:rsidRPr="00E577BC">
        <w:t>mrd EUR, a z večjimi kratkoročnimi gibanji v posameznih letih</w:t>
      </w:r>
      <w:r>
        <w:t xml:space="preserve"> (slika 11)</w:t>
      </w:r>
      <w:r w:rsidRPr="00E577BC">
        <w:t>. Pri tem so bile pozitivne cenovne (1,</w:t>
      </w:r>
      <w:r w:rsidR="009F0149">
        <w:t>8</w:t>
      </w:r>
      <w:r w:rsidRPr="00E577BC">
        <w:t xml:space="preserve"> mrd EUR</w:t>
      </w:r>
      <w:r>
        <w:t>)</w:t>
      </w:r>
      <w:r w:rsidRPr="00E577BC">
        <w:t xml:space="preserve"> in ostale</w:t>
      </w:r>
      <w:r w:rsidRPr="00E577BC">
        <w:rPr>
          <w:b/>
          <w:bCs/>
        </w:rPr>
        <w:t xml:space="preserve"> </w:t>
      </w:r>
      <w:r w:rsidRPr="00E577BC">
        <w:t>spremembe (0,</w:t>
      </w:r>
      <w:r w:rsidR="009F0149">
        <w:t>5</w:t>
      </w:r>
      <w:r w:rsidRPr="00E577BC">
        <w:t xml:space="preserve"> mrd EUR), vpliv tečajnih sprememb pa je bil negativen, v vrednosti </w:t>
      </w:r>
      <w:r w:rsidR="008C7D4D">
        <w:br/>
      </w:r>
      <w:r w:rsidRPr="00E577BC">
        <w:t>3,3 mrd EUR.</w:t>
      </w:r>
    </w:p>
    <w:p w14:paraId="3F19D3F3" w14:textId="77777777" w:rsidR="007D11D9" w:rsidRDefault="007D11D9" w:rsidP="00D02723">
      <w:pPr>
        <w:pStyle w:val="BesediloUMAR"/>
      </w:pPr>
    </w:p>
    <w:p w14:paraId="6AF8FCBE" w14:textId="099B31A8" w:rsidR="00921B87" w:rsidRPr="00E577BC" w:rsidRDefault="007457EF" w:rsidP="00D02723">
      <w:pPr>
        <w:pStyle w:val="BesediloUMAR"/>
      </w:pPr>
      <w:r>
        <w:t>Ob začetku</w:t>
      </w:r>
      <w:r w:rsidR="00D975D1">
        <w:t xml:space="preserve"> </w:t>
      </w:r>
      <w:r w:rsidR="00921B87" w:rsidRPr="00E577BC">
        <w:t>svetovne finančne krize, ki se je najprej odrazila na finančnem računu konec leta 2008, so slovenska podjetja in gospodinjstva izgubila precejšen del imetij v obliki lastniških portfeljskih naložb, izgube tujih vlagateljev v slovenske vrednostne papirje pa so bile manjše. V obdobju približno uravnoteženega tekočega računa in relativno stabilnega stanja mednarodnih naložb (2009–2012</w:t>
      </w:r>
      <w:r w:rsidR="00AD33BF">
        <w:t>)</w:t>
      </w:r>
      <w:r w:rsidR="00921B87" w:rsidRPr="00E577BC">
        <w:t xml:space="preserve"> je bil prispevek drugih sprememb vrednotenja sicer pozitiven. Mednarodni finančni trgi so se proti koncu omenjenega obdobja stabilizirali in Slovenija je izkazovala kapitalski dobiček, predvsem zaradi padca cen dolgoročnih vrednostnih papirjev tujih portfeljskih vlagateljev. Ostale spremembe vrednotenja, ki niso posledica cenovnih in tečajnih sprememb, so bile predvsem posledica sprememb kapitalskih povezav v lastniških verigah povezanih podjetij in </w:t>
      </w:r>
      <w:r w:rsidR="008A1676">
        <w:t xml:space="preserve">ostalih </w:t>
      </w:r>
      <w:r w:rsidR="00921B87" w:rsidRPr="00E577BC">
        <w:t>sprememb na segmentu vrednostnih papirjev ter ostalih naložb.</w:t>
      </w:r>
    </w:p>
    <w:p w14:paraId="6D04FB08" w14:textId="77777777" w:rsidR="00921B87" w:rsidRPr="00E577BC" w:rsidRDefault="00921B87" w:rsidP="00D02723">
      <w:pPr>
        <w:pStyle w:val="BesediloUMAR"/>
      </w:pPr>
    </w:p>
    <w:p w14:paraId="731F6567" w14:textId="0F26A71B" w:rsidR="00921B87" w:rsidRPr="00E577BC" w:rsidRDefault="00921B87" w:rsidP="00D02723">
      <w:pPr>
        <w:pStyle w:val="BesediloUMAR"/>
      </w:pPr>
      <w:r w:rsidRPr="00E577BC">
        <w:rPr>
          <w:b/>
          <w:bCs/>
        </w:rPr>
        <w:t>V obdobju 2013</w:t>
      </w:r>
      <w:r w:rsidR="009A4162">
        <w:rPr>
          <w:b/>
          <w:bCs/>
        </w:rPr>
        <w:t>–</w:t>
      </w:r>
      <w:r w:rsidRPr="00E577BC">
        <w:rPr>
          <w:b/>
          <w:bCs/>
        </w:rPr>
        <w:t>2022 so bile druge spremembe vrednotenja kumulativno negativne, in sicer v vrednosti 2,</w:t>
      </w:r>
      <w:r w:rsidR="009F0149">
        <w:rPr>
          <w:b/>
          <w:bCs/>
        </w:rPr>
        <w:t>2</w:t>
      </w:r>
      <w:r w:rsidRPr="00E577BC">
        <w:rPr>
          <w:b/>
          <w:bCs/>
        </w:rPr>
        <w:t xml:space="preserve"> mrd EUR (nelastniški instrumenti </w:t>
      </w:r>
      <w:r w:rsidR="009A4162">
        <w:rPr>
          <w:b/>
          <w:bCs/>
        </w:rPr>
        <w:t>–</w:t>
      </w:r>
      <w:r w:rsidRPr="00E577BC">
        <w:rPr>
          <w:b/>
          <w:bCs/>
        </w:rPr>
        <w:t>3,</w:t>
      </w:r>
      <w:r w:rsidR="009F0149">
        <w:rPr>
          <w:b/>
          <w:bCs/>
        </w:rPr>
        <w:t>5</w:t>
      </w:r>
      <w:r w:rsidRPr="00E577BC">
        <w:rPr>
          <w:b/>
          <w:bCs/>
        </w:rPr>
        <w:t xml:space="preserve"> mrd EUR, lastniški instrumenti 1,3 mrd EUR)</w:t>
      </w:r>
      <w:r w:rsidRPr="00E577BC">
        <w:t>. Republika Slovenija je v letih 2012–2014 izdala obveznice v USD in se hkrati zavarovala pred tečajnim rizikom. Zaradi depreciacije tečaja EUR v primerjavi z USD in naraščajočega deleža USD v valutni strukturi so bile tečajne spremembe izrazito negativne v letih 2014 in 2015. Vpliv negativnega tečajnega učinka je bil kompenziran s pozitivnim cenovnim učinkom, saj so se povečale terjatve iz izvedenih finančnih instrumentov. Zaradi takratnega naraščajočega deleža USD v valutni strukturi državnega dolga je bil tudi v letu 2016 negativni tečajni učinek še vedno prisoten.</w:t>
      </w:r>
    </w:p>
    <w:p w14:paraId="1682183B" w14:textId="77777777" w:rsidR="00921B87" w:rsidRPr="00E577BC" w:rsidRDefault="00921B87" w:rsidP="00D02723">
      <w:pPr>
        <w:pStyle w:val="BesediloUMAR"/>
      </w:pPr>
    </w:p>
    <w:p w14:paraId="4786E776" w14:textId="3D7B5AFC" w:rsidR="00D02723" w:rsidRDefault="00D02723">
      <w:pPr>
        <w:spacing w:after="0" w:line="240" w:lineRule="auto"/>
        <w:rPr>
          <w:rFonts w:ascii="Myriad Pro" w:hAnsi="Myriad Pro"/>
          <w:sz w:val="20"/>
        </w:rPr>
      </w:pPr>
      <w:r>
        <w:rPr>
          <w:rFonts w:ascii="Myriad Pro" w:hAnsi="Myriad Pro"/>
          <w:sz w:val="20"/>
        </w:rPr>
        <w:br w:type="page"/>
      </w:r>
    </w:p>
    <w:p w14:paraId="442469E3" w14:textId="7BC809C4" w:rsidR="00921B87" w:rsidRPr="00D02723" w:rsidRDefault="00921B87" w:rsidP="00585798">
      <w:pPr>
        <w:pStyle w:val="Caption"/>
        <w:ind w:left="862" w:hanging="862"/>
        <w:rPr>
          <w:rFonts w:eastAsia="Times New Roman" w:cs="Times New Roman"/>
        </w:rPr>
      </w:pPr>
      <w:r w:rsidRPr="00E577BC">
        <w:rPr>
          <w:rFonts w:eastAsia="Times New Roman" w:cs="Times New Roman"/>
        </w:rPr>
        <w:lastRenderedPageBreak/>
        <w:t>Tabela 2</w:t>
      </w:r>
      <w:hyperlink r:id="rId33" w:anchor="RANGE!_ftn1#RANGE!_ftn1" w:history="1">
        <w:r w:rsidRPr="00E577BC">
          <w:rPr>
            <w:rFonts w:eastAsia="Times New Roman" w:cs="Times New Roman"/>
          </w:rPr>
          <w:t>: Valutna struktura dolga državnega proračuna Republike Slovenije glede na valuto zadolžitve</w:t>
        </w:r>
      </w:hyperlink>
      <w:r w:rsidRPr="00E577BC">
        <w:rPr>
          <w:rFonts w:eastAsia="Times New Roman" w:cs="Times New Roman"/>
        </w:rPr>
        <w:t xml:space="preserve"> v obdobju 2011–2022, v %</w:t>
      </w:r>
    </w:p>
    <w:tbl>
      <w:tblPr>
        <w:tblStyle w:val="TableGridLight"/>
        <w:tblW w:w="5000" w:type="pct"/>
        <w:tblLayout w:type="fixed"/>
        <w:tblCellMar>
          <w:left w:w="0" w:type="dxa"/>
        </w:tblCellMar>
        <w:tblLook w:val="04A0" w:firstRow="1" w:lastRow="0" w:firstColumn="1" w:lastColumn="0" w:noHBand="0" w:noVBand="1"/>
      </w:tblPr>
      <w:tblGrid>
        <w:gridCol w:w="1419"/>
        <w:gridCol w:w="636"/>
        <w:gridCol w:w="638"/>
        <w:gridCol w:w="636"/>
        <w:gridCol w:w="639"/>
        <w:gridCol w:w="637"/>
        <w:gridCol w:w="639"/>
        <w:gridCol w:w="637"/>
        <w:gridCol w:w="639"/>
        <w:gridCol w:w="637"/>
        <w:gridCol w:w="639"/>
        <w:gridCol w:w="637"/>
        <w:gridCol w:w="637"/>
      </w:tblGrid>
      <w:tr w:rsidR="00921B87" w:rsidRPr="00E577BC" w14:paraId="77B85A08" w14:textId="77777777" w:rsidTr="00D0272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83" w:type="pct"/>
            <w:tcBorders>
              <w:bottom w:val="single" w:sz="8" w:space="0" w:color="auto"/>
            </w:tcBorders>
            <w:noWrap/>
          </w:tcPr>
          <w:p w14:paraId="43FF0062" w14:textId="77777777" w:rsidR="00921B87" w:rsidRPr="00E577BC" w:rsidRDefault="00921B87" w:rsidP="00D02723">
            <w:pPr>
              <w:spacing w:before="10" w:after="10" w:line="220" w:lineRule="atLeast"/>
              <w:jc w:val="left"/>
              <w:rPr>
                <w:rFonts w:ascii="Myriad Pro" w:eastAsia="Calibri" w:hAnsi="Myriad Pro" w:cs="Calibri"/>
                <w:bCs/>
                <w:sz w:val="18"/>
                <w:szCs w:val="18"/>
              </w:rPr>
            </w:pPr>
          </w:p>
        </w:tc>
        <w:tc>
          <w:tcPr>
            <w:tcW w:w="351" w:type="pct"/>
            <w:tcBorders>
              <w:bottom w:val="single" w:sz="8" w:space="0" w:color="auto"/>
            </w:tcBorders>
            <w:noWrap/>
          </w:tcPr>
          <w:p w14:paraId="28BE7E0E" w14:textId="77777777" w:rsidR="00921B87" w:rsidRPr="00E577BC" w:rsidRDefault="00921B87" w:rsidP="00D02723">
            <w:pPr>
              <w:spacing w:before="10" w:after="10" w:line="220" w:lineRule="atLeast"/>
              <w:cnfStyle w:val="100000000000" w:firstRow="1" w:lastRow="0" w:firstColumn="0" w:lastColumn="0" w:oddVBand="0" w:evenVBand="0" w:oddHBand="0" w:evenHBand="0" w:firstRowFirstColumn="0" w:firstRowLastColumn="0" w:lastRowFirstColumn="0" w:lastRowLastColumn="0"/>
              <w:rPr>
                <w:rFonts w:ascii="Myriad Pro" w:eastAsia="Calibri" w:hAnsi="Myriad Pro" w:cs="Calibri"/>
                <w:b/>
                <w:sz w:val="18"/>
                <w:szCs w:val="18"/>
              </w:rPr>
            </w:pPr>
            <w:r w:rsidRPr="00E577BC">
              <w:rPr>
                <w:rFonts w:ascii="Myriad Pro" w:eastAsia="Calibri" w:hAnsi="Myriad Pro" w:cs="Calibri"/>
                <w:b/>
                <w:sz w:val="18"/>
                <w:szCs w:val="18"/>
              </w:rPr>
              <w:t>2011</w:t>
            </w:r>
          </w:p>
        </w:tc>
        <w:tc>
          <w:tcPr>
            <w:tcW w:w="352" w:type="pct"/>
            <w:tcBorders>
              <w:bottom w:val="single" w:sz="8" w:space="0" w:color="auto"/>
            </w:tcBorders>
            <w:noWrap/>
          </w:tcPr>
          <w:p w14:paraId="2EF69962" w14:textId="77777777" w:rsidR="00921B87" w:rsidRPr="00E577BC" w:rsidRDefault="00921B87" w:rsidP="00D02723">
            <w:pPr>
              <w:spacing w:before="10" w:after="10" w:line="220" w:lineRule="atLeast"/>
              <w:cnfStyle w:val="100000000000" w:firstRow="1" w:lastRow="0" w:firstColumn="0" w:lastColumn="0" w:oddVBand="0" w:evenVBand="0" w:oddHBand="0" w:evenHBand="0" w:firstRowFirstColumn="0" w:firstRowLastColumn="0" w:lastRowFirstColumn="0" w:lastRowLastColumn="0"/>
              <w:rPr>
                <w:rFonts w:ascii="Myriad Pro" w:eastAsia="Calibri" w:hAnsi="Myriad Pro" w:cs="Calibri"/>
                <w:b/>
                <w:sz w:val="18"/>
                <w:szCs w:val="18"/>
              </w:rPr>
            </w:pPr>
            <w:r w:rsidRPr="00E577BC">
              <w:rPr>
                <w:rFonts w:ascii="Myriad Pro" w:eastAsia="Calibri" w:hAnsi="Myriad Pro" w:cs="Calibri"/>
                <w:b/>
                <w:sz w:val="18"/>
                <w:szCs w:val="18"/>
              </w:rPr>
              <w:t>2012</w:t>
            </w:r>
          </w:p>
        </w:tc>
        <w:tc>
          <w:tcPr>
            <w:tcW w:w="351" w:type="pct"/>
            <w:tcBorders>
              <w:bottom w:val="single" w:sz="8" w:space="0" w:color="auto"/>
            </w:tcBorders>
            <w:noWrap/>
          </w:tcPr>
          <w:p w14:paraId="45670437" w14:textId="77777777" w:rsidR="00921B87" w:rsidRPr="00E577BC" w:rsidRDefault="00921B87" w:rsidP="00D02723">
            <w:pPr>
              <w:spacing w:before="10" w:after="10" w:line="220" w:lineRule="atLeast"/>
              <w:cnfStyle w:val="100000000000" w:firstRow="1" w:lastRow="0" w:firstColumn="0" w:lastColumn="0" w:oddVBand="0" w:evenVBand="0" w:oddHBand="0" w:evenHBand="0" w:firstRowFirstColumn="0" w:firstRowLastColumn="0" w:lastRowFirstColumn="0" w:lastRowLastColumn="0"/>
              <w:rPr>
                <w:rFonts w:ascii="Myriad Pro" w:eastAsia="Calibri" w:hAnsi="Myriad Pro" w:cs="Calibri"/>
                <w:b/>
                <w:sz w:val="18"/>
                <w:szCs w:val="18"/>
              </w:rPr>
            </w:pPr>
            <w:r w:rsidRPr="00E577BC">
              <w:rPr>
                <w:rFonts w:ascii="Myriad Pro" w:eastAsia="Calibri" w:hAnsi="Myriad Pro" w:cs="Calibri"/>
                <w:b/>
                <w:sz w:val="18"/>
                <w:szCs w:val="18"/>
              </w:rPr>
              <w:t>2013</w:t>
            </w:r>
          </w:p>
        </w:tc>
        <w:tc>
          <w:tcPr>
            <w:tcW w:w="352" w:type="pct"/>
            <w:tcBorders>
              <w:bottom w:val="single" w:sz="8" w:space="0" w:color="auto"/>
            </w:tcBorders>
            <w:noWrap/>
          </w:tcPr>
          <w:p w14:paraId="1C1993FD" w14:textId="77777777" w:rsidR="00921B87" w:rsidRPr="00E577BC" w:rsidRDefault="00921B87" w:rsidP="00D02723">
            <w:pPr>
              <w:spacing w:before="10" w:after="10" w:line="220" w:lineRule="atLeast"/>
              <w:cnfStyle w:val="100000000000" w:firstRow="1" w:lastRow="0" w:firstColumn="0" w:lastColumn="0" w:oddVBand="0" w:evenVBand="0" w:oddHBand="0" w:evenHBand="0" w:firstRowFirstColumn="0" w:firstRowLastColumn="0" w:lastRowFirstColumn="0" w:lastRowLastColumn="0"/>
              <w:rPr>
                <w:rFonts w:ascii="Myriad Pro" w:eastAsia="Calibri" w:hAnsi="Myriad Pro" w:cs="Calibri"/>
                <w:b/>
                <w:sz w:val="18"/>
                <w:szCs w:val="18"/>
              </w:rPr>
            </w:pPr>
            <w:r w:rsidRPr="00E577BC">
              <w:rPr>
                <w:rFonts w:ascii="Myriad Pro" w:eastAsia="Calibri" w:hAnsi="Myriad Pro" w:cs="Calibri"/>
                <w:b/>
                <w:sz w:val="18"/>
                <w:szCs w:val="18"/>
              </w:rPr>
              <w:t>2014</w:t>
            </w:r>
          </w:p>
        </w:tc>
        <w:tc>
          <w:tcPr>
            <w:tcW w:w="351" w:type="pct"/>
            <w:tcBorders>
              <w:bottom w:val="single" w:sz="8" w:space="0" w:color="auto"/>
            </w:tcBorders>
          </w:tcPr>
          <w:p w14:paraId="1C4F1ADE" w14:textId="77777777" w:rsidR="00921B87" w:rsidRPr="00E577BC" w:rsidRDefault="00921B87" w:rsidP="00D02723">
            <w:pPr>
              <w:spacing w:before="10" w:after="10" w:line="220" w:lineRule="atLeast"/>
              <w:cnfStyle w:val="100000000000" w:firstRow="1" w:lastRow="0" w:firstColumn="0" w:lastColumn="0" w:oddVBand="0" w:evenVBand="0" w:oddHBand="0" w:evenHBand="0" w:firstRowFirstColumn="0" w:firstRowLastColumn="0" w:lastRowFirstColumn="0" w:lastRowLastColumn="0"/>
              <w:rPr>
                <w:rFonts w:ascii="Myriad Pro" w:eastAsia="Calibri" w:hAnsi="Myriad Pro" w:cs="Calibri"/>
                <w:b/>
                <w:sz w:val="18"/>
                <w:szCs w:val="18"/>
              </w:rPr>
            </w:pPr>
            <w:r w:rsidRPr="00E577BC">
              <w:rPr>
                <w:rFonts w:ascii="Myriad Pro" w:eastAsia="Calibri" w:hAnsi="Myriad Pro" w:cs="Calibri"/>
                <w:b/>
                <w:sz w:val="18"/>
                <w:szCs w:val="18"/>
              </w:rPr>
              <w:t>2015</w:t>
            </w:r>
          </w:p>
        </w:tc>
        <w:tc>
          <w:tcPr>
            <w:tcW w:w="352" w:type="pct"/>
            <w:tcBorders>
              <w:bottom w:val="single" w:sz="8" w:space="0" w:color="auto"/>
            </w:tcBorders>
          </w:tcPr>
          <w:p w14:paraId="21C674D7" w14:textId="77777777" w:rsidR="00921B87" w:rsidRPr="00E577BC" w:rsidRDefault="00921B87" w:rsidP="00D02723">
            <w:pPr>
              <w:spacing w:before="10" w:after="10" w:line="220" w:lineRule="atLeast"/>
              <w:cnfStyle w:val="100000000000" w:firstRow="1" w:lastRow="0" w:firstColumn="0" w:lastColumn="0" w:oddVBand="0" w:evenVBand="0" w:oddHBand="0" w:evenHBand="0" w:firstRowFirstColumn="0" w:firstRowLastColumn="0" w:lastRowFirstColumn="0" w:lastRowLastColumn="0"/>
              <w:rPr>
                <w:rFonts w:ascii="Myriad Pro" w:eastAsia="Calibri" w:hAnsi="Myriad Pro" w:cs="Calibri"/>
                <w:b/>
                <w:sz w:val="18"/>
                <w:szCs w:val="18"/>
              </w:rPr>
            </w:pPr>
            <w:r w:rsidRPr="00E577BC">
              <w:rPr>
                <w:rFonts w:ascii="Myriad Pro" w:eastAsia="Calibri" w:hAnsi="Myriad Pro" w:cs="Calibri"/>
                <w:b/>
                <w:sz w:val="18"/>
                <w:szCs w:val="18"/>
              </w:rPr>
              <w:t>2016</w:t>
            </w:r>
          </w:p>
        </w:tc>
        <w:tc>
          <w:tcPr>
            <w:tcW w:w="351" w:type="pct"/>
            <w:tcBorders>
              <w:bottom w:val="single" w:sz="8" w:space="0" w:color="auto"/>
            </w:tcBorders>
          </w:tcPr>
          <w:p w14:paraId="557D2CCD" w14:textId="77777777" w:rsidR="00921B87" w:rsidRPr="00E577BC" w:rsidRDefault="00921B87" w:rsidP="00D02723">
            <w:pPr>
              <w:spacing w:before="10" w:after="10" w:line="220" w:lineRule="atLeast"/>
              <w:cnfStyle w:val="100000000000" w:firstRow="1" w:lastRow="0" w:firstColumn="0" w:lastColumn="0" w:oddVBand="0" w:evenVBand="0" w:oddHBand="0" w:evenHBand="0" w:firstRowFirstColumn="0" w:firstRowLastColumn="0" w:lastRowFirstColumn="0" w:lastRowLastColumn="0"/>
              <w:rPr>
                <w:rFonts w:ascii="Myriad Pro" w:eastAsia="Calibri" w:hAnsi="Myriad Pro" w:cs="Calibri"/>
                <w:b/>
                <w:sz w:val="18"/>
                <w:szCs w:val="18"/>
              </w:rPr>
            </w:pPr>
            <w:r w:rsidRPr="00E577BC">
              <w:rPr>
                <w:rFonts w:ascii="Myriad Pro" w:eastAsia="Calibri" w:hAnsi="Myriad Pro" w:cs="Calibri"/>
                <w:b/>
                <w:sz w:val="18"/>
                <w:szCs w:val="18"/>
              </w:rPr>
              <w:t>2017</w:t>
            </w:r>
          </w:p>
        </w:tc>
        <w:tc>
          <w:tcPr>
            <w:tcW w:w="352" w:type="pct"/>
            <w:tcBorders>
              <w:bottom w:val="single" w:sz="8" w:space="0" w:color="auto"/>
            </w:tcBorders>
          </w:tcPr>
          <w:p w14:paraId="3E2CA65D" w14:textId="77777777" w:rsidR="00921B87" w:rsidRPr="00E577BC" w:rsidRDefault="00921B87" w:rsidP="00D02723">
            <w:pPr>
              <w:spacing w:before="10" w:after="10" w:line="220" w:lineRule="atLeast"/>
              <w:cnfStyle w:val="100000000000" w:firstRow="1" w:lastRow="0" w:firstColumn="0" w:lastColumn="0" w:oddVBand="0" w:evenVBand="0" w:oddHBand="0" w:evenHBand="0" w:firstRowFirstColumn="0" w:firstRowLastColumn="0" w:lastRowFirstColumn="0" w:lastRowLastColumn="0"/>
              <w:rPr>
                <w:rFonts w:ascii="Myriad Pro" w:eastAsia="Calibri" w:hAnsi="Myriad Pro" w:cs="Calibri"/>
                <w:b/>
                <w:sz w:val="18"/>
                <w:szCs w:val="18"/>
              </w:rPr>
            </w:pPr>
            <w:r w:rsidRPr="00E577BC">
              <w:rPr>
                <w:rFonts w:ascii="Myriad Pro" w:eastAsia="Calibri" w:hAnsi="Myriad Pro" w:cs="Calibri"/>
                <w:b/>
                <w:sz w:val="18"/>
                <w:szCs w:val="18"/>
              </w:rPr>
              <w:t>2018</w:t>
            </w:r>
          </w:p>
        </w:tc>
        <w:tc>
          <w:tcPr>
            <w:tcW w:w="351" w:type="pct"/>
            <w:tcBorders>
              <w:bottom w:val="single" w:sz="8" w:space="0" w:color="auto"/>
            </w:tcBorders>
          </w:tcPr>
          <w:p w14:paraId="51F71B38" w14:textId="77777777" w:rsidR="00921B87" w:rsidRPr="00E577BC" w:rsidRDefault="00921B87" w:rsidP="00D02723">
            <w:pPr>
              <w:spacing w:before="10" w:after="10" w:line="220" w:lineRule="atLeast"/>
              <w:cnfStyle w:val="100000000000" w:firstRow="1" w:lastRow="0" w:firstColumn="0" w:lastColumn="0" w:oddVBand="0" w:evenVBand="0" w:oddHBand="0" w:evenHBand="0" w:firstRowFirstColumn="0" w:firstRowLastColumn="0" w:lastRowFirstColumn="0" w:lastRowLastColumn="0"/>
              <w:rPr>
                <w:rFonts w:ascii="Myriad Pro" w:eastAsia="Calibri" w:hAnsi="Myriad Pro" w:cs="Calibri"/>
                <w:b/>
                <w:sz w:val="18"/>
                <w:szCs w:val="18"/>
              </w:rPr>
            </w:pPr>
            <w:r w:rsidRPr="00E577BC">
              <w:rPr>
                <w:rFonts w:ascii="Myriad Pro" w:eastAsia="Calibri" w:hAnsi="Myriad Pro" w:cs="Calibri"/>
                <w:b/>
                <w:sz w:val="18"/>
                <w:szCs w:val="18"/>
              </w:rPr>
              <w:t>2019</w:t>
            </w:r>
          </w:p>
        </w:tc>
        <w:tc>
          <w:tcPr>
            <w:tcW w:w="352" w:type="pct"/>
            <w:tcBorders>
              <w:bottom w:val="single" w:sz="8" w:space="0" w:color="auto"/>
            </w:tcBorders>
          </w:tcPr>
          <w:p w14:paraId="0FDC2098" w14:textId="77777777" w:rsidR="00921B87" w:rsidRPr="00E577BC" w:rsidRDefault="00921B87" w:rsidP="00D02723">
            <w:pPr>
              <w:spacing w:before="10" w:after="10" w:line="220" w:lineRule="atLeast"/>
              <w:cnfStyle w:val="100000000000" w:firstRow="1" w:lastRow="0" w:firstColumn="0" w:lastColumn="0" w:oddVBand="0" w:evenVBand="0" w:oddHBand="0" w:evenHBand="0" w:firstRowFirstColumn="0" w:firstRowLastColumn="0" w:lastRowFirstColumn="0" w:lastRowLastColumn="0"/>
              <w:rPr>
                <w:rFonts w:ascii="Myriad Pro" w:eastAsia="Calibri" w:hAnsi="Myriad Pro" w:cs="Calibri"/>
                <w:b/>
                <w:sz w:val="18"/>
                <w:szCs w:val="18"/>
              </w:rPr>
            </w:pPr>
            <w:r w:rsidRPr="00E577BC">
              <w:rPr>
                <w:rFonts w:ascii="Myriad Pro" w:eastAsia="Calibri" w:hAnsi="Myriad Pro" w:cs="Calibri"/>
                <w:b/>
                <w:sz w:val="18"/>
                <w:szCs w:val="18"/>
              </w:rPr>
              <w:t>2020</w:t>
            </w:r>
          </w:p>
        </w:tc>
        <w:tc>
          <w:tcPr>
            <w:tcW w:w="351" w:type="pct"/>
            <w:tcBorders>
              <w:bottom w:val="single" w:sz="8" w:space="0" w:color="auto"/>
            </w:tcBorders>
          </w:tcPr>
          <w:p w14:paraId="0ADB1441" w14:textId="77777777" w:rsidR="00921B87" w:rsidRPr="00E577BC" w:rsidRDefault="00921B87" w:rsidP="00D02723">
            <w:pPr>
              <w:spacing w:before="10" w:after="10" w:line="220" w:lineRule="atLeast"/>
              <w:cnfStyle w:val="100000000000" w:firstRow="1" w:lastRow="0" w:firstColumn="0" w:lastColumn="0" w:oddVBand="0" w:evenVBand="0" w:oddHBand="0" w:evenHBand="0" w:firstRowFirstColumn="0" w:firstRowLastColumn="0" w:lastRowFirstColumn="0" w:lastRowLastColumn="0"/>
              <w:rPr>
                <w:rFonts w:ascii="Myriad Pro" w:eastAsia="Calibri" w:hAnsi="Myriad Pro" w:cs="Calibri"/>
                <w:b/>
                <w:sz w:val="18"/>
                <w:szCs w:val="18"/>
              </w:rPr>
            </w:pPr>
            <w:r w:rsidRPr="00E577BC">
              <w:rPr>
                <w:rFonts w:ascii="Myriad Pro" w:eastAsia="Calibri" w:hAnsi="Myriad Pro" w:cs="Calibri"/>
                <w:b/>
                <w:sz w:val="18"/>
                <w:szCs w:val="18"/>
              </w:rPr>
              <w:t>2021</w:t>
            </w:r>
          </w:p>
        </w:tc>
        <w:tc>
          <w:tcPr>
            <w:tcW w:w="352" w:type="pct"/>
            <w:tcBorders>
              <w:bottom w:val="single" w:sz="8" w:space="0" w:color="auto"/>
            </w:tcBorders>
          </w:tcPr>
          <w:p w14:paraId="11A4BB76" w14:textId="77777777" w:rsidR="00921B87" w:rsidRPr="00E577BC" w:rsidRDefault="00921B87" w:rsidP="00D02723">
            <w:pPr>
              <w:spacing w:before="10" w:after="10" w:line="220" w:lineRule="atLeast"/>
              <w:cnfStyle w:val="100000000000" w:firstRow="1" w:lastRow="0" w:firstColumn="0" w:lastColumn="0" w:oddVBand="0" w:evenVBand="0" w:oddHBand="0" w:evenHBand="0" w:firstRowFirstColumn="0" w:firstRowLastColumn="0" w:lastRowFirstColumn="0" w:lastRowLastColumn="0"/>
              <w:rPr>
                <w:rFonts w:ascii="Myriad Pro" w:eastAsia="Calibri" w:hAnsi="Myriad Pro" w:cs="Calibri"/>
                <w:b/>
                <w:sz w:val="18"/>
                <w:szCs w:val="18"/>
              </w:rPr>
            </w:pPr>
            <w:r w:rsidRPr="00E577BC">
              <w:rPr>
                <w:rFonts w:ascii="Myriad Pro" w:eastAsia="Calibri" w:hAnsi="Myriad Pro" w:cs="Calibri"/>
                <w:b/>
                <w:sz w:val="18"/>
                <w:szCs w:val="18"/>
              </w:rPr>
              <w:t>2022</w:t>
            </w:r>
          </w:p>
        </w:tc>
      </w:tr>
      <w:tr w:rsidR="00921B87" w:rsidRPr="00E577BC" w14:paraId="0D27B85A" w14:textId="77777777" w:rsidTr="00D02723">
        <w:trPr>
          <w:trHeight w:val="315"/>
        </w:trPr>
        <w:tc>
          <w:tcPr>
            <w:cnfStyle w:val="001000000000" w:firstRow="0" w:lastRow="0" w:firstColumn="1" w:lastColumn="0" w:oddVBand="0" w:evenVBand="0" w:oddHBand="0" w:evenHBand="0" w:firstRowFirstColumn="0" w:firstRowLastColumn="0" w:lastRowFirstColumn="0" w:lastRowLastColumn="0"/>
            <w:tcW w:w="783" w:type="pct"/>
            <w:tcBorders>
              <w:top w:val="single" w:sz="8" w:space="0" w:color="auto"/>
            </w:tcBorders>
            <w:noWrap/>
          </w:tcPr>
          <w:p w14:paraId="7662DFA3" w14:textId="77777777" w:rsidR="00921B87" w:rsidRPr="00E577BC" w:rsidRDefault="00921B87" w:rsidP="008C7D4D">
            <w:pPr>
              <w:pStyle w:val="TabelalevoUMAR"/>
              <w:rPr>
                <w:b/>
              </w:rPr>
            </w:pPr>
            <w:r w:rsidRPr="00E577BC">
              <w:t>USD</w:t>
            </w:r>
          </w:p>
        </w:tc>
        <w:tc>
          <w:tcPr>
            <w:tcW w:w="351" w:type="pct"/>
            <w:tcBorders>
              <w:top w:val="single" w:sz="8" w:space="0" w:color="auto"/>
            </w:tcBorders>
            <w:noWrap/>
          </w:tcPr>
          <w:p w14:paraId="4A2A5E6F" w14:textId="77777777" w:rsidR="00921B87" w:rsidRPr="00E577BC" w:rsidRDefault="00921B87" w:rsidP="008C7D4D">
            <w:pPr>
              <w:pStyle w:val="TabeladesnoUMAR"/>
              <w:cnfStyle w:val="000000000000" w:firstRow="0" w:lastRow="0" w:firstColumn="0" w:lastColumn="0" w:oddVBand="0" w:evenVBand="0" w:oddHBand="0" w:evenHBand="0" w:firstRowFirstColumn="0" w:firstRowLastColumn="0" w:lastRowFirstColumn="0" w:lastRowLastColumn="0"/>
              <w:rPr>
                <w:b/>
              </w:rPr>
            </w:pPr>
            <w:r w:rsidRPr="00E577BC">
              <w:t>0,0</w:t>
            </w:r>
          </w:p>
        </w:tc>
        <w:tc>
          <w:tcPr>
            <w:tcW w:w="352" w:type="pct"/>
            <w:tcBorders>
              <w:top w:val="single" w:sz="8" w:space="0" w:color="auto"/>
            </w:tcBorders>
            <w:noWrap/>
          </w:tcPr>
          <w:p w14:paraId="5675A9A8" w14:textId="77777777" w:rsidR="00921B87" w:rsidRPr="00E577BC" w:rsidRDefault="00921B87" w:rsidP="008C7D4D">
            <w:pPr>
              <w:pStyle w:val="TabeladesnoUMAR"/>
              <w:cnfStyle w:val="000000000000" w:firstRow="0" w:lastRow="0" w:firstColumn="0" w:lastColumn="0" w:oddVBand="0" w:evenVBand="0" w:oddHBand="0" w:evenHBand="0" w:firstRowFirstColumn="0" w:firstRowLastColumn="0" w:lastRowFirstColumn="0" w:lastRowLastColumn="0"/>
              <w:rPr>
                <w:b/>
              </w:rPr>
            </w:pPr>
            <w:r w:rsidRPr="00E577BC">
              <w:t>10,1</w:t>
            </w:r>
          </w:p>
        </w:tc>
        <w:tc>
          <w:tcPr>
            <w:tcW w:w="351" w:type="pct"/>
            <w:tcBorders>
              <w:top w:val="single" w:sz="8" w:space="0" w:color="auto"/>
            </w:tcBorders>
            <w:noWrap/>
          </w:tcPr>
          <w:p w14:paraId="7AFA69FE" w14:textId="77777777" w:rsidR="00921B87" w:rsidRPr="00E577BC" w:rsidRDefault="00921B87" w:rsidP="008C7D4D">
            <w:pPr>
              <w:pStyle w:val="TabeladesnoUMAR"/>
              <w:cnfStyle w:val="000000000000" w:firstRow="0" w:lastRow="0" w:firstColumn="0" w:lastColumn="0" w:oddVBand="0" w:evenVBand="0" w:oddHBand="0" w:evenHBand="0" w:firstRowFirstColumn="0" w:firstRowLastColumn="0" w:lastRowFirstColumn="0" w:lastRowLastColumn="0"/>
              <w:rPr>
                <w:b/>
              </w:rPr>
            </w:pPr>
            <w:r w:rsidRPr="00E577BC">
              <w:t>20,1</w:t>
            </w:r>
          </w:p>
        </w:tc>
        <w:tc>
          <w:tcPr>
            <w:tcW w:w="352" w:type="pct"/>
            <w:tcBorders>
              <w:top w:val="single" w:sz="8" w:space="0" w:color="auto"/>
            </w:tcBorders>
            <w:noWrap/>
          </w:tcPr>
          <w:p w14:paraId="73C13EEA" w14:textId="77777777" w:rsidR="00921B87" w:rsidRPr="00E577BC" w:rsidRDefault="00921B87" w:rsidP="008C7D4D">
            <w:pPr>
              <w:pStyle w:val="TabeladesnoUMAR"/>
              <w:cnfStyle w:val="000000000000" w:firstRow="0" w:lastRow="0" w:firstColumn="0" w:lastColumn="0" w:oddVBand="0" w:evenVBand="0" w:oddHBand="0" w:evenHBand="0" w:firstRowFirstColumn="0" w:firstRowLastColumn="0" w:lastRowFirstColumn="0" w:lastRowLastColumn="0"/>
              <w:rPr>
                <w:b/>
              </w:rPr>
            </w:pPr>
            <w:r w:rsidRPr="00E577BC">
              <w:t>26,9</w:t>
            </w:r>
          </w:p>
        </w:tc>
        <w:tc>
          <w:tcPr>
            <w:tcW w:w="351" w:type="pct"/>
            <w:tcBorders>
              <w:top w:val="single" w:sz="8" w:space="0" w:color="auto"/>
            </w:tcBorders>
          </w:tcPr>
          <w:p w14:paraId="57978AC5" w14:textId="77777777" w:rsidR="00921B87" w:rsidRPr="00E577BC" w:rsidRDefault="00921B87" w:rsidP="008C7D4D">
            <w:pPr>
              <w:pStyle w:val="TabeladesnoUMAR"/>
              <w:cnfStyle w:val="000000000000" w:firstRow="0" w:lastRow="0" w:firstColumn="0" w:lastColumn="0" w:oddVBand="0" w:evenVBand="0" w:oddHBand="0" w:evenHBand="0" w:firstRowFirstColumn="0" w:firstRowLastColumn="0" w:lastRowFirstColumn="0" w:lastRowLastColumn="0"/>
              <w:rPr>
                <w:b/>
              </w:rPr>
            </w:pPr>
            <w:r w:rsidRPr="00E577BC">
              <w:t>25,6</w:t>
            </w:r>
          </w:p>
        </w:tc>
        <w:tc>
          <w:tcPr>
            <w:tcW w:w="352" w:type="pct"/>
            <w:tcBorders>
              <w:top w:val="single" w:sz="8" w:space="0" w:color="auto"/>
            </w:tcBorders>
          </w:tcPr>
          <w:p w14:paraId="6BB399D4" w14:textId="77777777" w:rsidR="00921B87" w:rsidRPr="00E577BC" w:rsidRDefault="00921B87" w:rsidP="008C7D4D">
            <w:pPr>
              <w:pStyle w:val="TabeladesnoUMAR"/>
              <w:cnfStyle w:val="000000000000" w:firstRow="0" w:lastRow="0" w:firstColumn="0" w:lastColumn="0" w:oddVBand="0" w:evenVBand="0" w:oddHBand="0" w:evenHBand="0" w:firstRowFirstColumn="0" w:firstRowLastColumn="0" w:lastRowFirstColumn="0" w:lastRowLastColumn="0"/>
              <w:rPr>
                <w:b/>
              </w:rPr>
            </w:pPr>
            <w:r w:rsidRPr="00E577BC">
              <w:t>18,4</w:t>
            </w:r>
          </w:p>
        </w:tc>
        <w:tc>
          <w:tcPr>
            <w:tcW w:w="351" w:type="pct"/>
            <w:tcBorders>
              <w:top w:val="single" w:sz="8" w:space="0" w:color="auto"/>
            </w:tcBorders>
          </w:tcPr>
          <w:p w14:paraId="64215A4A" w14:textId="77777777" w:rsidR="00921B87" w:rsidRPr="00E577BC" w:rsidRDefault="00921B87" w:rsidP="008C7D4D">
            <w:pPr>
              <w:pStyle w:val="TabeladesnoUMAR"/>
              <w:cnfStyle w:val="000000000000" w:firstRow="0" w:lastRow="0" w:firstColumn="0" w:lastColumn="0" w:oddVBand="0" w:evenVBand="0" w:oddHBand="0" w:evenHBand="0" w:firstRowFirstColumn="0" w:firstRowLastColumn="0" w:lastRowFirstColumn="0" w:lastRowLastColumn="0"/>
              <w:rPr>
                <w:b/>
              </w:rPr>
            </w:pPr>
            <w:r w:rsidRPr="00E577BC">
              <w:t>12,2</w:t>
            </w:r>
          </w:p>
        </w:tc>
        <w:tc>
          <w:tcPr>
            <w:tcW w:w="352" w:type="pct"/>
            <w:tcBorders>
              <w:top w:val="single" w:sz="8" w:space="0" w:color="auto"/>
            </w:tcBorders>
          </w:tcPr>
          <w:p w14:paraId="6E91C7E2" w14:textId="77777777" w:rsidR="00921B87" w:rsidRPr="00E577BC" w:rsidRDefault="00921B87" w:rsidP="008C7D4D">
            <w:pPr>
              <w:pStyle w:val="TabeladesnoUMAR"/>
              <w:cnfStyle w:val="000000000000" w:firstRow="0" w:lastRow="0" w:firstColumn="0" w:lastColumn="0" w:oddVBand="0" w:evenVBand="0" w:oddHBand="0" w:evenHBand="0" w:firstRowFirstColumn="0" w:firstRowLastColumn="0" w:lastRowFirstColumn="0" w:lastRowLastColumn="0"/>
              <w:rPr>
                <w:b/>
              </w:rPr>
            </w:pPr>
            <w:r w:rsidRPr="00E577BC">
              <w:t>8,2</w:t>
            </w:r>
          </w:p>
        </w:tc>
        <w:tc>
          <w:tcPr>
            <w:tcW w:w="351" w:type="pct"/>
            <w:tcBorders>
              <w:top w:val="single" w:sz="8" w:space="0" w:color="auto"/>
            </w:tcBorders>
          </w:tcPr>
          <w:p w14:paraId="69AE24BB" w14:textId="77777777" w:rsidR="00921B87" w:rsidRPr="00E577BC" w:rsidRDefault="00921B87" w:rsidP="008C7D4D">
            <w:pPr>
              <w:pStyle w:val="TabeladesnoUMAR"/>
              <w:cnfStyle w:val="000000000000" w:firstRow="0" w:lastRow="0" w:firstColumn="0" w:lastColumn="0" w:oddVBand="0" w:evenVBand="0" w:oddHBand="0" w:evenHBand="0" w:firstRowFirstColumn="0" w:firstRowLastColumn="0" w:lastRowFirstColumn="0" w:lastRowLastColumn="0"/>
              <w:rPr>
                <w:b/>
              </w:rPr>
            </w:pPr>
            <w:r w:rsidRPr="00E577BC">
              <w:t>4,5</w:t>
            </w:r>
          </w:p>
        </w:tc>
        <w:tc>
          <w:tcPr>
            <w:tcW w:w="352" w:type="pct"/>
            <w:tcBorders>
              <w:top w:val="single" w:sz="8" w:space="0" w:color="auto"/>
            </w:tcBorders>
          </w:tcPr>
          <w:p w14:paraId="58C40F0C" w14:textId="77777777" w:rsidR="00921B87" w:rsidRPr="00E577BC" w:rsidRDefault="00921B87" w:rsidP="008C7D4D">
            <w:pPr>
              <w:pStyle w:val="TabeladesnoUMAR"/>
              <w:cnfStyle w:val="000000000000" w:firstRow="0" w:lastRow="0" w:firstColumn="0" w:lastColumn="0" w:oddVBand="0" w:evenVBand="0" w:oddHBand="0" w:evenHBand="0" w:firstRowFirstColumn="0" w:firstRowLastColumn="0" w:lastRowFirstColumn="0" w:lastRowLastColumn="0"/>
              <w:rPr>
                <w:b/>
              </w:rPr>
            </w:pPr>
            <w:r w:rsidRPr="00E577BC">
              <w:t>3,8</w:t>
            </w:r>
          </w:p>
        </w:tc>
        <w:tc>
          <w:tcPr>
            <w:tcW w:w="351" w:type="pct"/>
            <w:tcBorders>
              <w:top w:val="single" w:sz="8" w:space="0" w:color="auto"/>
            </w:tcBorders>
          </w:tcPr>
          <w:p w14:paraId="74821586" w14:textId="77777777" w:rsidR="00921B87" w:rsidRPr="00E577BC" w:rsidRDefault="00921B87" w:rsidP="008C7D4D">
            <w:pPr>
              <w:pStyle w:val="TabeladesnoUMAR"/>
              <w:cnfStyle w:val="000000000000" w:firstRow="0" w:lastRow="0" w:firstColumn="0" w:lastColumn="0" w:oddVBand="0" w:evenVBand="0" w:oddHBand="0" w:evenHBand="0" w:firstRowFirstColumn="0" w:firstRowLastColumn="0" w:lastRowFirstColumn="0" w:lastRowLastColumn="0"/>
              <w:rPr>
                <w:b/>
              </w:rPr>
            </w:pPr>
            <w:r w:rsidRPr="00E577BC">
              <w:t>3,6</w:t>
            </w:r>
          </w:p>
        </w:tc>
        <w:tc>
          <w:tcPr>
            <w:tcW w:w="352" w:type="pct"/>
            <w:tcBorders>
              <w:top w:val="single" w:sz="8" w:space="0" w:color="auto"/>
            </w:tcBorders>
          </w:tcPr>
          <w:p w14:paraId="3D80B189" w14:textId="77777777" w:rsidR="00921B87" w:rsidRPr="00E577BC" w:rsidRDefault="00921B87" w:rsidP="008C7D4D">
            <w:pPr>
              <w:pStyle w:val="TabeladesnoUMAR"/>
              <w:cnfStyle w:val="000000000000" w:firstRow="0" w:lastRow="0" w:firstColumn="0" w:lastColumn="0" w:oddVBand="0" w:evenVBand="0" w:oddHBand="0" w:evenHBand="0" w:firstRowFirstColumn="0" w:firstRowLastColumn="0" w:lastRowFirstColumn="0" w:lastRowLastColumn="0"/>
            </w:pPr>
            <w:r w:rsidRPr="00E577BC">
              <w:t>0,4</w:t>
            </w:r>
          </w:p>
        </w:tc>
      </w:tr>
      <w:tr w:rsidR="00921B87" w:rsidRPr="00E577BC" w14:paraId="717347EB" w14:textId="77777777" w:rsidTr="00D02723">
        <w:trPr>
          <w:trHeight w:val="315"/>
        </w:trPr>
        <w:tc>
          <w:tcPr>
            <w:cnfStyle w:val="001000000000" w:firstRow="0" w:lastRow="0" w:firstColumn="1" w:lastColumn="0" w:oddVBand="0" w:evenVBand="0" w:oddHBand="0" w:evenHBand="0" w:firstRowFirstColumn="0" w:firstRowLastColumn="0" w:lastRowFirstColumn="0" w:lastRowLastColumn="0"/>
            <w:tcW w:w="783" w:type="pct"/>
            <w:noWrap/>
          </w:tcPr>
          <w:p w14:paraId="47D81788" w14:textId="77777777" w:rsidR="00921B87" w:rsidRPr="00E577BC" w:rsidRDefault="00921B87" w:rsidP="008C7D4D">
            <w:pPr>
              <w:pStyle w:val="TabelalevoUMAR"/>
            </w:pPr>
            <w:r w:rsidRPr="00E577BC">
              <w:t>EUR</w:t>
            </w:r>
          </w:p>
        </w:tc>
        <w:tc>
          <w:tcPr>
            <w:tcW w:w="351" w:type="pct"/>
            <w:noWrap/>
          </w:tcPr>
          <w:p w14:paraId="480B9725" w14:textId="77777777" w:rsidR="00921B87" w:rsidRPr="00E577BC" w:rsidRDefault="00921B87" w:rsidP="008C7D4D">
            <w:pPr>
              <w:pStyle w:val="TabeladesnoUMAR"/>
              <w:cnfStyle w:val="000000000000" w:firstRow="0" w:lastRow="0" w:firstColumn="0" w:lastColumn="0" w:oddVBand="0" w:evenVBand="0" w:oddHBand="0" w:evenHBand="0" w:firstRowFirstColumn="0" w:firstRowLastColumn="0" w:lastRowFirstColumn="0" w:lastRowLastColumn="0"/>
            </w:pPr>
            <w:r w:rsidRPr="00E577BC">
              <w:t>99,8</w:t>
            </w:r>
          </w:p>
        </w:tc>
        <w:tc>
          <w:tcPr>
            <w:tcW w:w="352" w:type="pct"/>
            <w:noWrap/>
          </w:tcPr>
          <w:p w14:paraId="7FB23F01" w14:textId="77777777" w:rsidR="00921B87" w:rsidRPr="00E577BC" w:rsidRDefault="00921B87" w:rsidP="008C7D4D">
            <w:pPr>
              <w:pStyle w:val="TabeladesnoUMAR"/>
              <w:cnfStyle w:val="000000000000" w:firstRow="0" w:lastRow="0" w:firstColumn="0" w:lastColumn="0" w:oddVBand="0" w:evenVBand="0" w:oddHBand="0" w:evenHBand="0" w:firstRowFirstColumn="0" w:firstRowLastColumn="0" w:lastRowFirstColumn="0" w:lastRowLastColumn="0"/>
            </w:pPr>
            <w:r w:rsidRPr="00E577BC">
              <w:t>89,7</w:t>
            </w:r>
          </w:p>
        </w:tc>
        <w:tc>
          <w:tcPr>
            <w:tcW w:w="351" w:type="pct"/>
            <w:noWrap/>
          </w:tcPr>
          <w:p w14:paraId="7427FE06" w14:textId="77777777" w:rsidR="00921B87" w:rsidRPr="00E577BC" w:rsidRDefault="00921B87" w:rsidP="008C7D4D">
            <w:pPr>
              <w:pStyle w:val="TabeladesnoUMAR"/>
              <w:cnfStyle w:val="000000000000" w:firstRow="0" w:lastRow="0" w:firstColumn="0" w:lastColumn="0" w:oddVBand="0" w:evenVBand="0" w:oddHBand="0" w:evenHBand="0" w:firstRowFirstColumn="0" w:firstRowLastColumn="0" w:lastRowFirstColumn="0" w:lastRowLastColumn="0"/>
            </w:pPr>
            <w:r w:rsidRPr="00E577BC">
              <w:t>79,8</w:t>
            </w:r>
          </w:p>
        </w:tc>
        <w:tc>
          <w:tcPr>
            <w:tcW w:w="352" w:type="pct"/>
            <w:noWrap/>
          </w:tcPr>
          <w:p w14:paraId="3D492557" w14:textId="77777777" w:rsidR="00921B87" w:rsidRPr="00E577BC" w:rsidRDefault="00921B87" w:rsidP="008C7D4D">
            <w:pPr>
              <w:pStyle w:val="TabeladesnoUMAR"/>
              <w:cnfStyle w:val="000000000000" w:firstRow="0" w:lastRow="0" w:firstColumn="0" w:lastColumn="0" w:oddVBand="0" w:evenVBand="0" w:oddHBand="0" w:evenHBand="0" w:firstRowFirstColumn="0" w:firstRowLastColumn="0" w:lastRowFirstColumn="0" w:lastRowLastColumn="0"/>
            </w:pPr>
            <w:r w:rsidRPr="00E577BC">
              <w:t>73,0</w:t>
            </w:r>
          </w:p>
        </w:tc>
        <w:tc>
          <w:tcPr>
            <w:tcW w:w="351" w:type="pct"/>
          </w:tcPr>
          <w:p w14:paraId="3A2A4981" w14:textId="77777777" w:rsidR="00921B87" w:rsidRPr="00E577BC" w:rsidRDefault="00921B87" w:rsidP="008C7D4D">
            <w:pPr>
              <w:pStyle w:val="TabeladesnoUMAR"/>
              <w:cnfStyle w:val="000000000000" w:firstRow="0" w:lastRow="0" w:firstColumn="0" w:lastColumn="0" w:oddVBand="0" w:evenVBand="0" w:oddHBand="0" w:evenHBand="0" w:firstRowFirstColumn="0" w:firstRowLastColumn="0" w:lastRowFirstColumn="0" w:lastRowLastColumn="0"/>
            </w:pPr>
            <w:r w:rsidRPr="00E577BC">
              <w:t>74,3</w:t>
            </w:r>
          </w:p>
        </w:tc>
        <w:tc>
          <w:tcPr>
            <w:tcW w:w="352" w:type="pct"/>
          </w:tcPr>
          <w:p w14:paraId="0352BDF9" w14:textId="77777777" w:rsidR="00921B87" w:rsidRPr="00E577BC" w:rsidRDefault="00921B87" w:rsidP="008C7D4D">
            <w:pPr>
              <w:pStyle w:val="TabeladesnoUMAR"/>
              <w:cnfStyle w:val="000000000000" w:firstRow="0" w:lastRow="0" w:firstColumn="0" w:lastColumn="0" w:oddVBand="0" w:evenVBand="0" w:oddHBand="0" w:evenHBand="0" w:firstRowFirstColumn="0" w:firstRowLastColumn="0" w:lastRowFirstColumn="0" w:lastRowLastColumn="0"/>
            </w:pPr>
            <w:r w:rsidRPr="00E577BC">
              <w:t>81,5</w:t>
            </w:r>
          </w:p>
        </w:tc>
        <w:tc>
          <w:tcPr>
            <w:tcW w:w="351" w:type="pct"/>
          </w:tcPr>
          <w:p w14:paraId="184EA059" w14:textId="77777777" w:rsidR="00921B87" w:rsidRPr="00E577BC" w:rsidRDefault="00921B87" w:rsidP="008C7D4D">
            <w:pPr>
              <w:pStyle w:val="TabeladesnoUMAR"/>
              <w:cnfStyle w:val="000000000000" w:firstRow="0" w:lastRow="0" w:firstColumn="0" w:lastColumn="0" w:oddVBand="0" w:evenVBand="0" w:oddHBand="0" w:evenHBand="0" w:firstRowFirstColumn="0" w:firstRowLastColumn="0" w:lastRowFirstColumn="0" w:lastRowLastColumn="0"/>
            </w:pPr>
            <w:r w:rsidRPr="00E577BC">
              <w:t>87,7</w:t>
            </w:r>
          </w:p>
        </w:tc>
        <w:tc>
          <w:tcPr>
            <w:tcW w:w="352" w:type="pct"/>
          </w:tcPr>
          <w:p w14:paraId="1B6A343A" w14:textId="77777777" w:rsidR="00921B87" w:rsidRPr="00E577BC" w:rsidRDefault="00921B87" w:rsidP="008C7D4D">
            <w:pPr>
              <w:pStyle w:val="TabeladesnoUMAR"/>
              <w:cnfStyle w:val="000000000000" w:firstRow="0" w:lastRow="0" w:firstColumn="0" w:lastColumn="0" w:oddVBand="0" w:evenVBand="0" w:oddHBand="0" w:evenHBand="0" w:firstRowFirstColumn="0" w:firstRowLastColumn="0" w:lastRowFirstColumn="0" w:lastRowLastColumn="0"/>
            </w:pPr>
            <w:r w:rsidRPr="00E577BC">
              <w:t>91,7</w:t>
            </w:r>
          </w:p>
        </w:tc>
        <w:tc>
          <w:tcPr>
            <w:tcW w:w="351" w:type="pct"/>
          </w:tcPr>
          <w:p w14:paraId="546260E6" w14:textId="77777777" w:rsidR="00921B87" w:rsidRPr="00E577BC" w:rsidRDefault="00921B87" w:rsidP="008C7D4D">
            <w:pPr>
              <w:pStyle w:val="TabeladesnoUMAR"/>
              <w:cnfStyle w:val="000000000000" w:firstRow="0" w:lastRow="0" w:firstColumn="0" w:lastColumn="0" w:oddVBand="0" w:evenVBand="0" w:oddHBand="0" w:evenHBand="0" w:firstRowFirstColumn="0" w:firstRowLastColumn="0" w:lastRowFirstColumn="0" w:lastRowLastColumn="0"/>
            </w:pPr>
            <w:r w:rsidRPr="00E577BC">
              <w:t>95,4</w:t>
            </w:r>
          </w:p>
        </w:tc>
        <w:tc>
          <w:tcPr>
            <w:tcW w:w="352" w:type="pct"/>
          </w:tcPr>
          <w:p w14:paraId="5D2C2A80" w14:textId="77777777" w:rsidR="00921B87" w:rsidRPr="00E577BC" w:rsidRDefault="00921B87" w:rsidP="008C7D4D">
            <w:pPr>
              <w:pStyle w:val="TabeladesnoUMAR"/>
              <w:cnfStyle w:val="000000000000" w:firstRow="0" w:lastRow="0" w:firstColumn="0" w:lastColumn="0" w:oddVBand="0" w:evenVBand="0" w:oddHBand="0" w:evenHBand="0" w:firstRowFirstColumn="0" w:firstRowLastColumn="0" w:lastRowFirstColumn="0" w:lastRowLastColumn="0"/>
            </w:pPr>
            <w:r w:rsidRPr="00E577BC">
              <w:t>96,1</w:t>
            </w:r>
          </w:p>
        </w:tc>
        <w:tc>
          <w:tcPr>
            <w:tcW w:w="351" w:type="pct"/>
          </w:tcPr>
          <w:p w14:paraId="02674D44" w14:textId="77777777" w:rsidR="00921B87" w:rsidRPr="00E577BC" w:rsidRDefault="00921B87" w:rsidP="008C7D4D">
            <w:pPr>
              <w:pStyle w:val="TabeladesnoUMAR"/>
              <w:cnfStyle w:val="000000000000" w:firstRow="0" w:lastRow="0" w:firstColumn="0" w:lastColumn="0" w:oddVBand="0" w:evenVBand="0" w:oddHBand="0" w:evenHBand="0" w:firstRowFirstColumn="0" w:firstRowLastColumn="0" w:lastRowFirstColumn="0" w:lastRowLastColumn="0"/>
            </w:pPr>
            <w:r w:rsidRPr="00E577BC">
              <w:t>96,3</w:t>
            </w:r>
          </w:p>
        </w:tc>
        <w:tc>
          <w:tcPr>
            <w:tcW w:w="352" w:type="pct"/>
          </w:tcPr>
          <w:p w14:paraId="500BD83C" w14:textId="77777777" w:rsidR="00921B87" w:rsidRPr="00E577BC" w:rsidRDefault="00921B87" w:rsidP="008C7D4D">
            <w:pPr>
              <w:pStyle w:val="TabeladesnoUMAR"/>
              <w:cnfStyle w:val="000000000000" w:firstRow="0" w:lastRow="0" w:firstColumn="0" w:lastColumn="0" w:oddVBand="0" w:evenVBand="0" w:oddHBand="0" w:evenHBand="0" w:firstRowFirstColumn="0" w:firstRowLastColumn="0" w:lastRowFirstColumn="0" w:lastRowLastColumn="0"/>
            </w:pPr>
            <w:r w:rsidRPr="00E577BC">
              <w:t>99,5</w:t>
            </w:r>
          </w:p>
        </w:tc>
      </w:tr>
      <w:tr w:rsidR="00921B87" w:rsidRPr="00E577BC" w14:paraId="2070880D" w14:textId="77777777" w:rsidTr="00D02723">
        <w:trPr>
          <w:trHeight w:val="300"/>
        </w:trPr>
        <w:tc>
          <w:tcPr>
            <w:cnfStyle w:val="001000000000" w:firstRow="0" w:lastRow="0" w:firstColumn="1" w:lastColumn="0" w:oddVBand="0" w:evenVBand="0" w:oddHBand="0" w:evenHBand="0" w:firstRowFirstColumn="0" w:firstRowLastColumn="0" w:lastRowFirstColumn="0" w:lastRowLastColumn="0"/>
            <w:tcW w:w="783" w:type="pct"/>
            <w:noWrap/>
          </w:tcPr>
          <w:p w14:paraId="6E9AF635" w14:textId="77777777" w:rsidR="00921B87" w:rsidRPr="00E577BC" w:rsidRDefault="00921B87" w:rsidP="008C7D4D">
            <w:pPr>
              <w:pStyle w:val="TabelalevoUMAR"/>
            </w:pPr>
            <w:r w:rsidRPr="00E577BC">
              <w:t>Ostalo</w:t>
            </w:r>
          </w:p>
        </w:tc>
        <w:tc>
          <w:tcPr>
            <w:tcW w:w="351" w:type="pct"/>
            <w:noWrap/>
          </w:tcPr>
          <w:p w14:paraId="49E44890" w14:textId="77777777" w:rsidR="00921B87" w:rsidRPr="00E577BC" w:rsidRDefault="00921B87" w:rsidP="008C7D4D">
            <w:pPr>
              <w:pStyle w:val="TabeladesnoUMAR"/>
              <w:cnfStyle w:val="000000000000" w:firstRow="0" w:lastRow="0" w:firstColumn="0" w:lastColumn="0" w:oddVBand="0" w:evenVBand="0" w:oddHBand="0" w:evenHBand="0" w:firstRowFirstColumn="0" w:firstRowLastColumn="0" w:lastRowFirstColumn="0" w:lastRowLastColumn="0"/>
            </w:pPr>
            <w:r w:rsidRPr="00E577BC">
              <w:t>0,2</w:t>
            </w:r>
          </w:p>
        </w:tc>
        <w:tc>
          <w:tcPr>
            <w:tcW w:w="352" w:type="pct"/>
            <w:noWrap/>
          </w:tcPr>
          <w:p w14:paraId="55C09926" w14:textId="77777777" w:rsidR="00921B87" w:rsidRPr="00E577BC" w:rsidRDefault="00921B87" w:rsidP="008C7D4D">
            <w:pPr>
              <w:pStyle w:val="TabeladesnoUMAR"/>
              <w:cnfStyle w:val="000000000000" w:firstRow="0" w:lastRow="0" w:firstColumn="0" w:lastColumn="0" w:oddVBand="0" w:evenVBand="0" w:oddHBand="0" w:evenHBand="0" w:firstRowFirstColumn="0" w:firstRowLastColumn="0" w:lastRowFirstColumn="0" w:lastRowLastColumn="0"/>
            </w:pPr>
            <w:r w:rsidRPr="00E577BC">
              <w:t>0,2</w:t>
            </w:r>
          </w:p>
        </w:tc>
        <w:tc>
          <w:tcPr>
            <w:tcW w:w="351" w:type="pct"/>
            <w:noWrap/>
          </w:tcPr>
          <w:p w14:paraId="58C022AA" w14:textId="77777777" w:rsidR="00921B87" w:rsidRPr="00E577BC" w:rsidRDefault="00921B87" w:rsidP="008C7D4D">
            <w:pPr>
              <w:pStyle w:val="TabeladesnoUMAR"/>
              <w:cnfStyle w:val="000000000000" w:firstRow="0" w:lastRow="0" w:firstColumn="0" w:lastColumn="0" w:oddVBand="0" w:evenVBand="0" w:oddHBand="0" w:evenHBand="0" w:firstRowFirstColumn="0" w:firstRowLastColumn="0" w:lastRowFirstColumn="0" w:lastRowLastColumn="0"/>
            </w:pPr>
            <w:r w:rsidRPr="00E577BC">
              <w:t>0,1</w:t>
            </w:r>
          </w:p>
        </w:tc>
        <w:tc>
          <w:tcPr>
            <w:tcW w:w="352" w:type="pct"/>
            <w:noWrap/>
          </w:tcPr>
          <w:p w14:paraId="5DFEC81F" w14:textId="77777777" w:rsidR="00921B87" w:rsidRPr="00E577BC" w:rsidRDefault="00921B87" w:rsidP="008C7D4D">
            <w:pPr>
              <w:pStyle w:val="TabeladesnoUMAR"/>
              <w:cnfStyle w:val="000000000000" w:firstRow="0" w:lastRow="0" w:firstColumn="0" w:lastColumn="0" w:oddVBand="0" w:evenVBand="0" w:oddHBand="0" w:evenHBand="0" w:firstRowFirstColumn="0" w:firstRowLastColumn="0" w:lastRowFirstColumn="0" w:lastRowLastColumn="0"/>
            </w:pPr>
            <w:r w:rsidRPr="00E577BC">
              <w:t>0,1</w:t>
            </w:r>
          </w:p>
        </w:tc>
        <w:tc>
          <w:tcPr>
            <w:tcW w:w="351" w:type="pct"/>
          </w:tcPr>
          <w:p w14:paraId="12502A7A" w14:textId="77777777" w:rsidR="00921B87" w:rsidRPr="00E577BC" w:rsidRDefault="00921B87" w:rsidP="008C7D4D">
            <w:pPr>
              <w:pStyle w:val="TabeladesnoUMAR"/>
              <w:cnfStyle w:val="000000000000" w:firstRow="0" w:lastRow="0" w:firstColumn="0" w:lastColumn="0" w:oddVBand="0" w:evenVBand="0" w:oddHBand="0" w:evenHBand="0" w:firstRowFirstColumn="0" w:firstRowLastColumn="0" w:lastRowFirstColumn="0" w:lastRowLastColumn="0"/>
            </w:pPr>
            <w:r w:rsidRPr="00E577BC">
              <w:t>0,1</w:t>
            </w:r>
          </w:p>
        </w:tc>
        <w:tc>
          <w:tcPr>
            <w:tcW w:w="352" w:type="pct"/>
          </w:tcPr>
          <w:p w14:paraId="287A3C4D" w14:textId="77777777" w:rsidR="00921B87" w:rsidRPr="00E577BC" w:rsidRDefault="00921B87" w:rsidP="008C7D4D">
            <w:pPr>
              <w:pStyle w:val="TabeladesnoUMAR"/>
              <w:cnfStyle w:val="000000000000" w:firstRow="0" w:lastRow="0" w:firstColumn="0" w:lastColumn="0" w:oddVBand="0" w:evenVBand="0" w:oddHBand="0" w:evenHBand="0" w:firstRowFirstColumn="0" w:firstRowLastColumn="0" w:lastRowFirstColumn="0" w:lastRowLastColumn="0"/>
            </w:pPr>
            <w:r w:rsidRPr="00E577BC">
              <w:t>0,1</w:t>
            </w:r>
          </w:p>
        </w:tc>
        <w:tc>
          <w:tcPr>
            <w:tcW w:w="351" w:type="pct"/>
          </w:tcPr>
          <w:p w14:paraId="74680F5D" w14:textId="77777777" w:rsidR="00921B87" w:rsidRPr="00E577BC" w:rsidRDefault="00921B87" w:rsidP="008C7D4D">
            <w:pPr>
              <w:pStyle w:val="TabeladesnoUMAR"/>
              <w:cnfStyle w:val="000000000000" w:firstRow="0" w:lastRow="0" w:firstColumn="0" w:lastColumn="0" w:oddVBand="0" w:evenVBand="0" w:oddHBand="0" w:evenHBand="0" w:firstRowFirstColumn="0" w:firstRowLastColumn="0" w:lastRowFirstColumn="0" w:lastRowLastColumn="0"/>
            </w:pPr>
            <w:r w:rsidRPr="00E577BC">
              <w:t>0,1</w:t>
            </w:r>
          </w:p>
        </w:tc>
        <w:tc>
          <w:tcPr>
            <w:tcW w:w="352" w:type="pct"/>
          </w:tcPr>
          <w:p w14:paraId="5722683B" w14:textId="77777777" w:rsidR="00921B87" w:rsidRPr="00E577BC" w:rsidRDefault="00921B87" w:rsidP="008C7D4D">
            <w:pPr>
              <w:pStyle w:val="TabeladesnoUMAR"/>
              <w:cnfStyle w:val="000000000000" w:firstRow="0" w:lastRow="0" w:firstColumn="0" w:lastColumn="0" w:oddVBand="0" w:evenVBand="0" w:oddHBand="0" w:evenHBand="0" w:firstRowFirstColumn="0" w:firstRowLastColumn="0" w:lastRowFirstColumn="0" w:lastRowLastColumn="0"/>
            </w:pPr>
            <w:r w:rsidRPr="00E577BC">
              <w:t>0,1</w:t>
            </w:r>
          </w:p>
        </w:tc>
        <w:tc>
          <w:tcPr>
            <w:tcW w:w="351" w:type="pct"/>
          </w:tcPr>
          <w:p w14:paraId="5E058C9A" w14:textId="77777777" w:rsidR="00921B87" w:rsidRPr="00E577BC" w:rsidRDefault="00921B87" w:rsidP="008C7D4D">
            <w:pPr>
              <w:pStyle w:val="TabeladesnoUMAR"/>
              <w:cnfStyle w:val="000000000000" w:firstRow="0" w:lastRow="0" w:firstColumn="0" w:lastColumn="0" w:oddVBand="0" w:evenVBand="0" w:oddHBand="0" w:evenHBand="0" w:firstRowFirstColumn="0" w:firstRowLastColumn="0" w:lastRowFirstColumn="0" w:lastRowLastColumn="0"/>
            </w:pPr>
            <w:r w:rsidRPr="00E577BC">
              <w:t>0,1</w:t>
            </w:r>
          </w:p>
        </w:tc>
        <w:tc>
          <w:tcPr>
            <w:tcW w:w="352" w:type="pct"/>
          </w:tcPr>
          <w:p w14:paraId="15EFE2BD" w14:textId="77777777" w:rsidR="00921B87" w:rsidRPr="00E577BC" w:rsidRDefault="00921B87" w:rsidP="008C7D4D">
            <w:pPr>
              <w:pStyle w:val="TabeladesnoUMAR"/>
              <w:cnfStyle w:val="000000000000" w:firstRow="0" w:lastRow="0" w:firstColumn="0" w:lastColumn="0" w:oddVBand="0" w:evenVBand="0" w:oddHBand="0" w:evenHBand="0" w:firstRowFirstColumn="0" w:firstRowLastColumn="0" w:lastRowFirstColumn="0" w:lastRowLastColumn="0"/>
            </w:pPr>
            <w:r w:rsidRPr="00E577BC">
              <w:t>0,1</w:t>
            </w:r>
          </w:p>
        </w:tc>
        <w:tc>
          <w:tcPr>
            <w:tcW w:w="351" w:type="pct"/>
          </w:tcPr>
          <w:p w14:paraId="2EDA2AA1" w14:textId="77777777" w:rsidR="00921B87" w:rsidRPr="00E577BC" w:rsidRDefault="00921B87" w:rsidP="008C7D4D">
            <w:pPr>
              <w:pStyle w:val="TabeladesnoUMAR"/>
              <w:cnfStyle w:val="000000000000" w:firstRow="0" w:lastRow="0" w:firstColumn="0" w:lastColumn="0" w:oddVBand="0" w:evenVBand="0" w:oddHBand="0" w:evenHBand="0" w:firstRowFirstColumn="0" w:firstRowLastColumn="0" w:lastRowFirstColumn="0" w:lastRowLastColumn="0"/>
            </w:pPr>
            <w:r w:rsidRPr="00E577BC">
              <w:t>0,1</w:t>
            </w:r>
          </w:p>
        </w:tc>
        <w:tc>
          <w:tcPr>
            <w:tcW w:w="352" w:type="pct"/>
          </w:tcPr>
          <w:p w14:paraId="02A21E49" w14:textId="77777777" w:rsidR="00921B87" w:rsidRPr="00E577BC" w:rsidRDefault="00921B87" w:rsidP="008C7D4D">
            <w:pPr>
              <w:pStyle w:val="TabeladesnoUMAR"/>
              <w:cnfStyle w:val="000000000000" w:firstRow="0" w:lastRow="0" w:firstColumn="0" w:lastColumn="0" w:oddVBand="0" w:evenVBand="0" w:oddHBand="0" w:evenHBand="0" w:firstRowFirstColumn="0" w:firstRowLastColumn="0" w:lastRowFirstColumn="0" w:lastRowLastColumn="0"/>
            </w:pPr>
            <w:r w:rsidRPr="00E577BC">
              <w:t>0,1</w:t>
            </w:r>
          </w:p>
        </w:tc>
      </w:tr>
      <w:tr w:rsidR="00921B87" w:rsidRPr="00E577BC" w14:paraId="501BAF71" w14:textId="77777777" w:rsidTr="00D02723">
        <w:trPr>
          <w:trHeight w:val="300"/>
        </w:trPr>
        <w:tc>
          <w:tcPr>
            <w:cnfStyle w:val="001000000000" w:firstRow="0" w:lastRow="0" w:firstColumn="1" w:lastColumn="0" w:oddVBand="0" w:evenVBand="0" w:oddHBand="0" w:evenHBand="0" w:firstRowFirstColumn="0" w:firstRowLastColumn="0" w:lastRowFirstColumn="0" w:lastRowLastColumn="0"/>
            <w:tcW w:w="783" w:type="pct"/>
            <w:noWrap/>
          </w:tcPr>
          <w:p w14:paraId="182010AD" w14:textId="77777777" w:rsidR="00921B87" w:rsidRPr="00E577BC" w:rsidRDefault="00921B87" w:rsidP="008C7D4D">
            <w:pPr>
              <w:pStyle w:val="TabelalevoUMAR"/>
            </w:pPr>
            <w:r w:rsidRPr="00E577BC">
              <w:t>SKUPAJ</w:t>
            </w:r>
          </w:p>
        </w:tc>
        <w:tc>
          <w:tcPr>
            <w:tcW w:w="351" w:type="pct"/>
            <w:noWrap/>
          </w:tcPr>
          <w:p w14:paraId="212C7EF0" w14:textId="77777777" w:rsidR="00921B87" w:rsidRPr="00E577BC" w:rsidRDefault="00921B87" w:rsidP="008C7D4D">
            <w:pPr>
              <w:pStyle w:val="TabeladesnoUMAR"/>
              <w:cnfStyle w:val="000000000000" w:firstRow="0" w:lastRow="0" w:firstColumn="0" w:lastColumn="0" w:oddVBand="0" w:evenVBand="0" w:oddHBand="0" w:evenHBand="0" w:firstRowFirstColumn="0" w:firstRowLastColumn="0" w:lastRowFirstColumn="0" w:lastRowLastColumn="0"/>
            </w:pPr>
            <w:r w:rsidRPr="00E577BC">
              <w:t>100,0</w:t>
            </w:r>
          </w:p>
        </w:tc>
        <w:tc>
          <w:tcPr>
            <w:tcW w:w="352" w:type="pct"/>
            <w:noWrap/>
          </w:tcPr>
          <w:p w14:paraId="430E789B" w14:textId="77777777" w:rsidR="00921B87" w:rsidRPr="00E577BC" w:rsidRDefault="00921B87" w:rsidP="008C7D4D">
            <w:pPr>
              <w:pStyle w:val="TabeladesnoUMAR"/>
              <w:cnfStyle w:val="000000000000" w:firstRow="0" w:lastRow="0" w:firstColumn="0" w:lastColumn="0" w:oddVBand="0" w:evenVBand="0" w:oddHBand="0" w:evenHBand="0" w:firstRowFirstColumn="0" w:firstRowLastColumn="0" w:lastRowFirstColumn="0" w:lastRowLastColumn="0"/>
            </w:pPr>
            <w:r w:rsidRPr="00E577BC">
              <w:t>100,0</w:t>
            </w:r>
          </w:p>
        </w:tc>
        <w:tc>
          <w:tcPr>
            <w:tcW w:w="351" w:type="pct"/>
            <w:noWrap/>
          </w:tcPr>
          <w:p w14:paraId="1D35ADB9" w14:textId="77777777" w:rsidR="00921B87" w:rsidRPr="00E577BC" w:rsidRDefault="00921B87" w:rsidP="008C7D4D">
            <w:pPr>
              <w:pStyle w:val="TabeladesnoUMAR"/>
              <w:cnfStyle w:val="000000000000" w:firstRow="0" w:lastRow="0" w:firstColumn="0" w:lastColumn="0" w:oddVBand="0" w:evenVBand="0" w:oddHBand="0" w:evenHBand="0" w:firstRowFirstColumn="0" w:firstRowLastColumn="0" w:lastRowFirstColumn="0" w:lastRowLastColumn="0"/>
            </w:pPr>
            <w:r w:rsidRPr="00E577BC">
              <w:t>100,0</w:t>
            </w:r>
          </w:p>
        </w:tc>
        <w:tc>
          <w:tcPr>
            <w:tcW w:w="352" w:type="pct"/>
            <w:noWrap/>
          </w:tcPr>
          <w:p w14:paraId="2F565CC3" w14:textId="77777777" w:rsidR="00921B87" w:rsidRPr="00E577BC" w:rsidRDefault="00921B87" w:rsidP="008C7D4D">
            <w:pPr>
              <w:pStyle w:val="TabeladesnoUMAR"/>
              <w:cnfStyle w:val="000000000000" w:firstRow="0" w:lastRow="0" w:firstColumn="0" w:lastColumn="0" w:oddVBand="0" w:evenVBand="0" w:oddHBand="0" w:evenHBand="0" w:firstRowFirstColumn="0" w:firstRowLastColumn="0" w:lastRowFirstColumn="0" w:lastRowLastColumn="0"/>
            </w:pPr>
            <w:r w:rsidRPr="00E577BC">
              <w:t>100,0</w:t>
            </w:r>
          </w:p>
        </w:tc>
        <w:tc>
          <w:tcPr>
            <w:tcW w:w="351" w:type="pct"/>
          </w:tcPr>
          <w:p w14:paraId="1F31746B" w14:textId="77777777" w:rsidR="00921B87" w:rsidRPr="00E577BC" w:rsidRDefault="00921B87" w:rsidP="008C7D4D">
            <w:pPr>
              <w:pStyle w:val="TabeladesnoUMAR"/>
              <w:cnfStyle w:val="000000000000" w:firstRow="0" w:lastRow="0" w:firstColumn="0" w:lastColumn="0" w:oddVBand="0" w:evenVBand="0" w:oddHBand="0" w:evenHBand="0" w:firstRowFirstColumn="0" w:firstRowLastColumn="0" w:lastRowFirstColumn="0" w:lastRowLastColumn="0"/>
            </w:pPr>
            <w:r w:rsidRPr="00E577BC">
              <w:t>100,0</w:t>
            </w:r>
          </w:p>
        </w:tc>
        <w:tc>
          <w:tcPr>
            <w:tcW w:w="352" w:type="pct"/>
          </w:tcPr>
          <w:p w14:paraId="474BDC9A" w14:textId="77777777" w:rsidR="00921B87" w:rsidRPr="00E577BC" w:rsidRDefault="00921B87" w:rsidP="008C7D4D">
            <w:pPr>
              <w:pStyle w:val="TabeladesnoUMAR"/>
              <w:cnfStyle w:val="000000000000" w:firstRow="0" w:lastRow="0" w:firstColumn="0" w:lastColumn="0" w:oddVBand="0" w:evenVBand="0" w:oddHBand="0" w:evenHBand="0" w:firstRowFirstColumn="0" w:firstRowLastColumn="0" w:lastRowFirstColumn="0" w:lastRowLastColumn="0"/>
            </w:pPr>
            <w:r w:rsidRPr="00E577BC">
              <w:t>100,0</w:t>
            </w:r>
          </w:p>
        </w:tc>
        <w:tc>
          <w:tcPr>
            <w:tcW w:w="351" w:type="pct"/>
          </w:tcPr>
          <w:p w14:paraId="445ACE78" w14:textId="77777777" w:rsidR="00921B87" w:rsidRPr="00E577BC" w:rsidRDefault="00921B87" w:rsidP="008C7D4D">
            <w:pPr>
              <w:pStyle w:val="TabeladesnoUMAR"/>
              <w:cnfStyle w:val="000000000000" w:firstRow="0" w:lastRow="0" w:firstColumn="0" w:lastColumn="0" w:oddVBand="0" w:evenVBand="0" w:oddHBand="0" w:evenHBand="0" w:firstRowFirstColumn="0" w:firstRowLastColumn="0" w:lastRowFirstColumn="0" w:lastRowLastColumn="0"/>
            </w:pPr>
            <w:r w:rsidRPr="00E577BC">
              <w:t>100,0</w:t>
            </w:r>
          </w:p>
        </w:tc>
        <w:tc>
          <w:tcPr>
            <w:tcW w:w="352" w:type="pct"/>
          </w:tcPr>
          <w:p w14:paraId="6AAFB938" w14:textId="77777777" w:rsidR="00921B87" w:rsidRPr="00E577BC" w:rsidRDefault="00921B87" w:rsidP="008C7D4D">
            <w:pPr>
              <w:pStyle w:val="TabeladesnoUMAR"/>
              <w:cnfStyle w:val="000000000000" w:firstRow="0" w:lastRow="0" w:firstColumn="0" w:lastColumn="0" w:oddVBand="0" w:evenVBand="0" w:oddHBand="0" w:evenHBand="0" w:firstRowFirstColumn="0" w:firstRowLastColumn="0" w:lastRowFirstColumn="0" w:lastRowLastColumn="0"/>
            </w:pPr>
            <w:r w:rsidRPr="00E577BC">
              <w:t>100,0</w:t>
            </w:r>
          </w:p>
        </w:tc>
        <w:tc>
          <w:tcPr>
            <w:tcW w:w="351" w:type="pct"/>
          </w:tcPr>
          <w:p w14:paraId="72617B33" w14:textId="77777777" w:rsidR="00921B87" w:rsidRPr="00E577BC" w:rsidRDefault="00921B87" w:rsidP="008C7D4D">
            <w:pPr>
              <w:pStyle w:val="TabeladesnoUMAR"/>
              <w:cnfStyle w:val="000000000000" w:firstRow="0" w:lastRow="0" w:firstColumn="0" w:lastColumn="0" w:oddVBand="0" w:evenVBand="0" w:oddHBand="0" w:evenHBand="0" w:firstRowFirstColumn="0" w:firstRowLastColumn="0" w:lastRowFirstColumn="0" w:lastRowLastColumn="0"/>
            </w:pPr>
            <w:r w:rsidRPr="00E577BC">
              <w:t>100,0</w:t>
            </w:r>
          </w:p>
        </w:tc>
        <w:tc>
          <w:tcPr>
            <w:tcW w:w="352" w:type="pct"/>
          </w:tcPr>
          <w:p w14:paraId="20C035E9" w14:textId="77777777" w:rsidR="00921B87" w:rsidRPr="00E577BC" w:rsidRDefault="00921B87" w:rsidP="008C7D4D">
            <w:pPr>
              <w:pStyle w:val="TabeladesnoUMAR"/>
              <w:cnfStyle w:val="000000000000" w:firstRow="0" w:lastRow="0" w:firstColumn="0" w:lastColumn="0" w:oddVBand="0" w:evenVBand="0" w:oddHBand="0" w:evenHBand="0" w:firstRowFirstColumn="0" w:firstRowLastColumn="0" w:lastRowFirstColumn="0" w:lastRowLastColumn="0"/>
            </w:pPr>
            <w:r w:rsidRPr="00E577BC">
              <w:t>100,0</w:t>
            </w:r>
          </w:p>
        </w:tc>
        <w:tc>
          <w:tcPr>
            <w:tcW w:w="351" w:type="pct"/>
          </w:tcPr>
          <w:p w14:paraId="08E0F228" w14:textId="77777777" w:rsidR="00921B87" w:rsidRPr="00E577BC" w:rsidRDefault="00921B87" w:rsidP="008C7D4D">
            <w:pPr>
              <w:pStyle w:val="TabeladesnoUMAR"/>
              <w:cnfStyle w:val="000000000000" w:firstRow="0" w:lastRow="0" w:firstColumn="0" w:lastColumn="0" w:oddVBand="0" w:evenVBand="0" w:oddHBand="0" w:evenHBand="0" w:firstRowFirstColumn="0" w:firstRowLastColumn="0" w:lastRowFirstColumn="0" w:lastRowLastColumn="0"/>
            </w:pPr>
            <w:r w:rsidRPr="00E577BC">
              <w:t>100,0</w:t>
            </w:r>
          </w:p>
        </w:tc>
        <w:tc>
          <w:tcPr>
            <w:tcW w:w="352" w:type="pct"/>
          </w:tcPr>
          <w:p w14:paraId="38B69916" w14:textId="77777777" w:rsidR="00921B87" w:rsidRPr="00E577BC" w:rsidRDefault="00921B87" w:rsidP="008C7D4D">
            <w:pPr>
              <w:pStyle w:val="TabeladesnoUMAR"/>
              <w:cnfStyle w:val="000000000000" w:firstRow="0" w:lastRow="0" w:firstColumn="0" w:lastColumn="0" w:oddVBand="0" w:evenVBand="0" w:oddHBand="0" w:evenHBand="0" w:firstRowFirstColumn="0" w:firstRowLastColumn="0" w:lastRowFirstColumn="0" w:lastRowLastColumn="0"/>
            </w:pPr>
            <w:r w:rsidRPr="00E577BC">
              <w:t>100,0</w:t>
            </w:r>
          </w:p>
        </w:tc>
      </w:tr>
    </w:tbl>
    <w:p w14:paraId="512662B5" w14:textId="1B57067C" w:rsidR="00921B87" w:rsidRPr="00E577BC" w:rsidRDefault="00921B87" w:rsidP="00D02723">
      <w:pPr>
        <w:pStyle w:val="VirUMAR"/>
      </w:pPr>
      <w:r w:rsidRPr="00E577BC">
        <w:rPr>
          <w:bCs/>
        </w:rPr>
        <w:t>Vir:</w:t>
      </w:r>
      <w:r w:rsidRPr="00E577BC">
        <w:t xml:space="preserve"> Ministrstvo za finance.</w:t>
      </w:r>
    </w:p>
    <w:p w14:paraId="19719FB4" w14:textId="77777777" w:rsidR="00FD6410" w:rsidRPr="00E577BC" w:rsidRDefault="00FD6410" w:rsidP="00D02723">
      <w:pPr>
        <w:pStyle w:val="BesediloUMAR"/>
      </w:pPr>
    </w:p>
    <w:p w14:paraId="04CDD387" w14:textId="58E575AC" w:rsidR="00921B87" w:rsidRPr="00E577BC" w:rsidRDefault="00921B87" w:rsidP="00D02723">
      <w:pPr>
        <w:pStyle w:val="Caption"/>
      </w:pPr>
      <w:r w:rsidRPr="002F176F">
        <w:t>Slika 11:</w:t>
      </w:r>
      <w:r w:rsidRPr="00E577BC">
        <w:t xml:space="preserve"> Druge spremembe vrednotenja po instrumentih in sektorjih</w:t>
      </w:r>
    </w:p>
    <w:p w14:paraId="5C69B2C2" w14:textId="35D86DF2" w:rsidR="00FD6410" w:rsidRDefault="00EE3167" w:rsidP="00D02723">
      <w:pPr>
        <w:pStyle w:val="BesediloUMAR"/>
      </w:pPr>
      <w:r>
        <w:rPr>
          <w:noProof/>
        </w:rPr>
        <w:drawing>
          <wp:inline distT="0" distB="0" distL="0" distR="0" wp14:anchorId="6E144FEB" wp14:editId="775FA4EB">
            <wp:extent cx="2764800" cy="2278800"/>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64800" cy="2278800"/>
                    </a:xfrm>
                    <a:prstGeom prst="rect">
                      <a:avLst/>
                    </a:prstGeom>
                    <a:noFill/>
                  </pic:spPr>
                </pic:pic>
              </a:graphicData>
            </a:graphic>
          </wp:inline>
        </w:drawing>
      </w:r>
      <w:r>
        <w:t xml:space="preserve">     </w:t>
      </w:r>
      <w:r>
        <w:rPr>
          <w:noProof/>
        </w:rPr>
        <w:drawing>
          <wp:inline distT="0" distB="0" distL="0" distR="0" wp14:anchorId="563055D2" wp14:editId="4AFEB3AE">
            <wp:extent cx="2775600" cy="2278800"/>
            <wp:effectExtent l="0" t="0" r="5715"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775600" cy="2278800"/>
                    </a:xfrm>
                    <a:prstGeom prst="rect">
                      <a:avLst/>
                    </a:prstGeom>
                    <a:noFill/>
                  </pic:spPr>
                </pic:pic>
              </a:graphicData>
            </a:graphic>
          </wp:inline>
        </w:drawing>
      </w:r>
    </w:p>
    <w:p w14:paraId="038481B2" w14:textId="7CEE48BF" w:rsidR="00921B87" w:rsidRPr="00E577BC" w:rsidRDefault="00921B87" w:rsidP="00D02723">
      <w:pPr>
        <w:pStyle w:val="VirUMAR"/>
        <w:rPr>
          <w:rFonts w:cs="Arial"/>
          <w:sz w:val="20"/>
          <w:szCs w:val="20"/>
        </w:rPr>
      </w:pPr>
      <w:r w:rsidRPr="00E577BC">
        <w:t xml:space="preserve">Vir: BS, lastni </w:t>
      </w:r>
      <w:r w:rsidR="008E5E90">
        <w:t>iz</w:t>
      </w:r>
      <w:r w:rsidRPr="00E577BC">
        <w:t>računi.</w:t>
      </w:r>
    </w:p>
    <w:p w14:paraId="0D703CD8" w14:textId="77777777" w:rsidR="00921B87" w:rsidRPr="00E577BC" w:rsidRDefault="00921B87" w:rsidP="00921B87">
      <w:pPr>
        <w:autoSpaceDE w:val="0"/>
        <w:autoSpaceDN w:val="0"/>
        <w:adjustRightInd w:val="0"/>
        <w:spacing w:after="0" w:line="288" w:lineRule="auto"/>
        <w:jc w:val="both"/>
        <w:rPr>
          <w:rFonts w:ascii="Myriad Pro" w:eastAsia="Calibri" w:hAnsi="Myriad Pro" w:cs="Arial"/>
          <w:sz w:val="20"/>
          <w:szCs w:val="20"/>
        </w:rPr>
      </w:pPr>
    </w:p>
    <w:p w14:paraId="25DAE045" w14:textId="34B2C492" w:rsidR="00921B87" w:rsidRPr="00E577BC" w:rsidRDefault="00921B87" w:rsidP="00EE3167">
      <w:pPr>
        <w:pStyle w:val="BesediloUMAR"/>
      </w:pPr>
      <w:r w:rsidRPr="00E577BC">
        <w:t>Od leta 2017 so k drugim spremembam vrednotenja v posameznih letih največ prispevale cenovne spremembe. V obdobju 2017</w:t>
      </w:r>
      <w:r w:rsidRPr="00E577BC">
        <w:rPr>
          <w:rFonts w:eastAsia="Times New Roman" w:cs="Times New Roman"/>
          <w:bCs/>
        </w:rPr>
        <w:t>–</w:t>
      </w:r>
      <w:r w:rsidRPr="00E577BC">
        <w:t xml:space="preserve">2018 so bile večje cenovne spremembe na segmentu izdanih dolžniških vrednostnih papirjev države in finančnih investicij zasebnega sektorja v tuje lastniške vrednostne papirje. </w:t>
      </w:r>
      <w:r w:rsidR="00201DD8">
        <w:br/>
      </w:r>
      <w:r w:rsidRPr="00E577BC">
        <w:t>V obdobju 2019</w:t>
      </w:r>
      <w:r w:rsidRPr="00E577BC">
        <w:rPr>
          <w:rFonts w:eastAsia="Times New Roman" w:cs="Times New Roman"/>
          <w:bCs/>
        </w:rPr>
        <w:t>–2021 so prevladovale vrednostne spremembe finančnih derivativov države.</w:t>
      </w:r>
      <w:r w:rsidRPr="00E577BC">
        <w:t xml:space="preserve"> Tržna vrednost izvedenih finančnih instrumentov se je zaradi nihanja kratkoročnih obrestnih mer na mednarodnih denarnih trgih spreminjala, kar je posledično vplivalo na izkazane vrednostne spremembe.</w:t>
      </w:r>
      <w:r w:rsidRPr="00E577BC">
        <w:rPr>
          <w:rFonts w:ascii="Calibri" w:hAnsi="Calibri" w:cs="Times New Roman"/>
          <w:vertAlign w:val="superscript"/>
        </w:rPr>
        <w:footnoteReference w:id="5"/>
      </w:r>
      <w:r w:rsidRPr="00E577BC">
        <w:t xml:space="preserve"> Poleg tega so bile prevrednotene še obveznosti državnega sektorja do tujih portfeljskih vlagateljev, katerih tržna vrednost se je gibala večinoma v skladu z dolgoročnimi obrestnimi merami evroobmočja</w:t>
      </w:r>
      <w:r w:rsidR="003F50AD">
        <w:t xml:space="preserve"> (slika 12)</w:t>
      </w:r>
      <w:r w:rsidRPr="00E577BC">
        <w:t>.</w:t>
      </w:r>
      <w:r w:rsidRPr="00E577BC">
        <w:rPr>
          <w:rFonts w:ascii="Calibri" w:hAnsi="Calibri" w:cs="Times New Roman"/>
          <w:vertAlign w:val="superscript"/>
        </w:rPr>
        <w:footnoteReference w:id="6"/>
      </w:r>
      <w:r w:rsidRPr="00E577BC">
        <w:t xml:space="preserve"> </w:t>
      </w:r>
    </w:p>
    <w:p w14:paraId="58DA7A93" w14:textId="77777777" w:rsidR="00921B87" w:rsidRPr="00E577BC" w:rsidRDefault="00921B87" w:rsidP="00EE3167">
      <w:pPr>
        <w:pStyle w:val="BesediloUMAR"/>
      </w:pPr>
    </w:p>
    <w:p w14:paraId="4C09F3B5" w14:textId="77777777" w:rsidR="00921B87" w:rsidRPr="00E577BC" w:rsidRDefault="00921B87" w:rsidP="00EE3167">
      <w:pPr>
        <w:pStyle w:val="BesediloUMAR"/>
      </w:pPr>
    </w:p>
    <w:p w14:paraId="40C499AB" w14:textId="24DC8AA7" w:rsidR="00921B87" w:rsidRDefault="00921B87" w:rsidP="00E96416">
      <w:pPr>
        <w:pStyle w:val="Caption"/>
        <w:ind w:left="816" w:hanging="816"/>
      </w:pPr>
      <w:r w:rsidRPr="00E577BC">
        <w:lastRenderedPageBreak/>
        <w:t xml:space="preserve">Slika12: </w:t>
      </w:r>
      <w:r w:rsidR="003F50AD">
        <w:t>Gibanje</w:t>
      </w:r>
      <w:r w:rsidRPr="00E577BC">
        <w:t xml:space="preserve"> dolgoročnih obrestnih mer</w:t>
      </w:r>
      <w:r w:rsidR="003F50AD">
        <w:t xml:space="preserve"> in cenovne spremembe izdanih vrednostnih papirjev države</w:t>
      </w:r>
    </w:p>
    <w:p w14:paraId="70720ADF" w14:textId="31DDDAAC" w:rsidR="00586C9C" w:rsidRPr="00586C9C" w:rsidRDefault="00586C9C" w:rsidP="00586C9C">
      <w:pPr>
        <w:pStyle w:val="BesediloUMAR"/>
      </w:pPr>
      <w:r>
        <w:rPr>
          <w:noProof/>
        </w:rPr>
        <w:drawing>
          <wp:inline distT="0" distB="0" distL="0" distR="0" wp14:anchorId="45829F0E" wp14:editId="4F962680">
            <wp:extent cx="1767600" cy="2271600"/>
            <wp:effectExtent l="0" t="0" r="444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67600" cy="2271600"/>
                    </a:xfrm>
                    <a:prstGeom prst="rect">
                      <a:avLst/>
                    </a:prstGeom>
                    <a:noFill/>
                  </pic:spPr>
                </pic:pic>
              </a:graphicData>
            </a:graphic>
          </wp:inline>
        </w:drawing>
      </w:r>
      <w:r>
        <w:t xml:space="preserve">   </w:t>
      </w:r>
      <w:r w:rsidR="006F03C1">
        <w:t xml:space="preserve">  </w:t>
      </w:r>
      <w:r>
        <w:t xml:space="preserve">  </w:t>
      </w:r>
      <w:r w:rsidR="006F03C1">
        <w:rPr>
          <w:noProof/>
        </w:rPr>
        <w:drawing>
          <wp:inline distT="0" distB="0" distL="0" distR="0" wp14:anchorId="46EA155C" wp14:editId="74B2D837">
            <wp:extent cx="1767600" cy="22716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67600" cy="2271600"/>
                    </a:xfrm>
                    <a:prstGeom prst="rect">
                      <a:avLst/>
                    </a:prstGeom>
                    <a:noFill/>
                  </pic:spPr>
                </pic:pic>
              </a:graphicData>
            </a:graphic>
          </wp:inline>
        </w:drawing>
      </w:r>
      <w:r>
        <w:t xml:space="preserve"> </w:t>
      </w:r>
      <w:r w:rsidR="006F03C1">
        <w:t xml:space="preserve">  </w:t>
      </w:r>
      <w:r>
        <w:t xml:space="preserve">    </w:t>
      </w:r>
      <w:r w:rsidR="006F03C1">
        <w:rPr>
          <w:noProof/>
        </w:rPr>
        <w:drawing>
          <wp:inline distT="0" distB="0" distL="0" distR="0" wp14:anchorId="4896D0A8" wp14:editId="1071964E">
            <wp:extent cx="1767600" cy="227160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67600" cy="2271600"/>
                    </a:xfrm>
                    <a:prstGeom prst="rect">
                      <a:avLst/>
                    </a:prstGeom>
                    <a:noFill/>
                  </pic:spPr>
                </pic:pic>
              </a:graphicData>
            </a:graphic>
          </wp:inline>
        </w:drawing>
      </w:r>
    </w:p>
    <w:p w14:paraId="1446AF1C" w14:textId="1459A24D" w:rsidR="001E63E1" w:rsidRDefault="003F50AD" w:rsidP="005776C6">
      <w:pPr>
        <w:pStyle w:val="VirUMAR"/>
        <w:rPr>
          <w:sz w:val="20"/>
          <w:szCs w:val="20"/>
        </w:rPr>
      </w:pPr>
      <w:r w:rsidRPr="00E577BC">
        <w:t>Vir: BS, Eurostat, lastni preračuni</w:t>
      </w:r>
      <w:r w:rsidR="0007181D">
        <w:t>.</w:t>
      </w:r>
    </w:p>
    <w:p w14:paraId="684C6937" w14:textId="77777777" w:rsidR="005776C6" w:rsidRDefault="005776C6" w:rsidP="005776C6">
      <w:pPr>
        <w:pStyle w:val="BesediloUMAR"/>
      </w:pPr>
    </w:p>
    <w:p w14:paraId="56482694" w14:textId="492BF5EC" w:rsidR="00921B87" w:rsidRDefault="00921B87" w:rsidP="00D81773">
      <w:pPr>
        <w:pStyle w:val="BesediloUMAR"/>
      </w:pPr>
      <w:r w:rsidRPr="00E577BC">
        <w:t>K vrednostnim spremembam so prispevala tudi nihanja cen lastniških vrednostnih papirjev in delnic investicijskih skladov v Sloveniji in na mednarodnih delniških trgih.</w:t>
      </w:r>
      <w:r w:rsidRPr="00E577BC">
        <w:rPr>
          <w:rFonts w:ascii="Calibri" w:hAnsi="Calibri" w:cs="Times New Roman"/>
          <w:vertAlign w:val="superscript"/>
        </w:rPr>
        <w:footnoteReference w:id="7"/>
      </w:r>
      <w:r w:rsidRPr="00E577BC">
        <w:t xml:space="preserve"> Primerjava globalnih indeksov pokaže, da ameriški delniški indeks (od leta 2013) in japonski delniški indeks (od leta 2015) presegata raven pred svetovno finančno krizo. Evropski delniški indeks je predkrizno raven presegel šele leta 2021, a je v letu 2022 zopet padel pod njo. </w:t>
      </w:r>
    </w:p>
    <w:p w14:paraId="3E256373" w14:textId="77777777" w:rsidR="00D81773" w:rsidRDefault="00D81773" w:rsidP="00D81773">
      <w:pPr>
        <w:pStyle w:val="BesediloUMAR"/>
      </w:pPr>
    </w:p>
    <w:p w14:paraId="1295413C" w14:textId="36863341" w:rsidR="00921B87" w:rsidRDefault="00534190" w:rsidP="00D81773">
      <w:pPr>
        <w:pStyle w:val="BesediloUMAR"/>
      </w:pPr>
      <w:r w:rsidRPr="00E577BC">
        <w:t>Zaradi nerazvitosti domačega finančnega trga slovenski delniški indeks ostaja tudi pod ravnjo, ki jo je imel pred finančno-gospodarsko krizo</w:t>
      </w:r>
      <w:r>
        <w:t>.</w:t>
      </w:r>
      <w:r w:rsidRPr="00E577BC">
        <w:t xml:space="preserve"> </w:t>
      </w:r>
      <w:r w:rsidR="00921B87" w:rsidRPr="00E577BC">
        <w:t>Slovenija v obdobju 2013</w:t>
      </w:r>
      <w:r w:rsidR="00D75806">
        <w:t>–</w:t>
      </w:r>
      <w:r w:rsidR="00921B87" w:rsidRPr="00E577BC">
        <w:t>2022 izkazuje pozitivno neto pozicijo lastniških vrednostnih papirjev, pri čemer delež imetij presega delež obveznosti v povprečju za 8,</w:t>
      </w:r>
      <w:r w:rsidR="0009048C">
        <w:t>4</w:t>
      </w:r>
      <w:r w:rsidR="00921B87" w:rsidRPr="00E577BC">
        <w:t xml:space="preserve"> %. Vpliv relativnih cen lastniških vrednostnih papirjev na cenovne spremembe je bil pozitiven</w:t>
      </w:r>
      <w:r w:rsidR="00D75806">
        <w:t>,</w:t>
      </w:r>
      <w:r w:rsidR="00921B87" w:rsidRPr="00E577BC">
        <w:t xml:space="preserve"> saj so cene delnic na tujih finančnih trgih v povprečju naraščale hitreje od cen delnic na domačem trgu. </w:t>
      </w:r>
    </w:p>
    <w:p w14:paraId="419CC3B9" w14:textId="77777777" w:rsidR="00D81773" w:rsidRPr="00E577BC" w:rsidRDefault="00D81773" w:rsidP="00D81773">
      <w:pPr>
        <w:pStyle w:val="BesediloUMAR"/>
      </w:pPr>
    </w:p>
    <w:p w14:paraId="02F4541F" w14:textId="55691A41" w:rsidR="00921B87" w:rsidRPr="00E577BC" w:rsidRDefault="00921B87" w:rsidP="00D81773">
      <w:pPr>
        <w:pStyle w:val="BesediloUMAR"/>
      </w:pPr>
      <w:r w:rsidRPr="00E577BC">
        <w:rPr>
          <w:b/>
          <w:bCs/>
        </w:rPr>
        <w:t xml:space="preserve">V letu 2022 je </w:t>
      </w:r>
      <w:r w:rsidR="00534190">
        <w:rPr>
          <w:b/>
          <w:bCs/>
        </w:rPr>
        <w:t xml:space="preserve">dvig obrestnih mer </w:t>
      </w:r>
      <w:r w:rsidRPr="00E577BC">
        <w:rPr>
          <w:rFonts w:ascii="Calibri" w:hAnsi="Calibri" w:cs="Times New Roman"/>
          <w:vertAlign w:val="superscript"/>
        </w:rPr>
        <w:footnoteReference w:id="8"/>
      </w:r>
      <w:r w:rsidRPr="00E577BC">
        <w:rPr>
          <w:b/>
          <w:bCs/>
        </w:rPr>
        <w:t xml:space="preserve"> občutno vplival tudi na druge spremembe vrednotenja in posledično neto finančno pozicijo do tujine.</w:t>
      </w:r>
      <w:r w:rsidRPr="00E577BC">
        <w:t xml:space="preserve"> Ob krepitvi inflacije in inflacijskih pričakovanj je ECB lani pričela z normalizacijo denarne politike oziroma umikom nestandardnih ukrepov, sprejetih v preteklih letih</w:t>
      </w:r>
      <w:r w:rsidR="003A6D3E">
        <w:t>,</w:t>
      </w:r>
      <w:r w:rsidRPr="00E577BC">
        <w:t xml:space="preserve"> in dvigovanjem ključnih obrestnih mer, podoben je bil tudi odziv drugih centralnih bank v EU izven evrskega območja. Tudi Fed je dvignil ključne obrestne mere, skupaj v celem letu za 4,75 o.</w:t>
      </w:r>
      <w:r w:rsidR="003A6D3E">
        <w:t xml:space="preserve"> </w:t>
      </w:r>
      <w:r w:rsidRPr="00E577BC">
        <w:t>t</w:t>
      </w:r>
      <w:r w:rsidR="002D3B67">
        <w:t>.</w:t>
      </w:r>
      <w:r w:rsidRPr="00E577BC">
        <w:t xml:space="preserve"> Ključne obrestne</w:t>
      </w:r>
      <w:r w:rsidR="003A6D3E">
        <w:t xml:space="preserve"> mere</w:t>
      </w:r>
      <w:r w:rsidRPr="00E577BC">
        <w:t xml:space="preserve"> so dvignile tudi centralne banke Združenega Kraljestva, Avstralije, Kanade.</w:t>
      </w:r>
    </w:p>
    <w:p w14:paraId="724BDB03" w14:textId="77777777" w:rsidR="00921B87" w:rsidRPr="00E577BC" w:rsidRDefault="00921B87" w:rsidP="00D81773">
      <w:pPr>
        <w:pStyle w:val="BesediloUMAR"/>
      </w:pPr>
    </w:p>
    <w:p w14:paraId="631DF34F" w14:textId="7283B3B5" w:rsidR="00921B87" w:rsidRPr="00D81773" w:rsidRDefault="00921B87" w:rsidP="00D81773">
      <w:pPr>
        <w:pStyle w:val="BesediloUMAR"/>
        <w:rPr>
          <w:spacing w:val="-2"/>
        </w:rPr>
      </w:pPr>
      <w:r w:rsidRPr="00D81773">
        <w:rPr>
          <w:rFonts w:cs="Times New Roman"/>
          <w:spacing w:val="-2"/>
        </w:rPr>
        <w:t xml:space="preserve">Ob visoki inflaciji je ECB v drugi polovici leta 2022 začela </w:t>
      </w:r>
      <w:r w:rsidR="00534190" w:rsidRPr="00D81773">
        <w:rPr>
          <w:rFonts w:cs="Times New Roman"/>
          <w:spacing w:val="-2"/>
        </w:rPr>
        <w:t>dvigati obrestne mere</w:t>
      </w:r>
      <w:r w:rsidRPr="00D81773">
        <w:rPr>
          <w:rFonts w:cs="Times New Roman"/>
          <w:spacing w:val="-2"/>
        </w:rPr>
        <w:t xml:space="preserve">. </w:t>
      </w:r>
      <w:r w:rsidR="00534190" w:rsidRPr="00D81773">
        <w:rPr>
          <w:rFonts w:cs="Times New Roman"/>
          <w:spacing w:val="-2"/>
        </w:rPr>
        <w:t xml:space="preserve">S </w:t>
      </w:r>
      <w:r w:rsidRPr="00D81773">
        <w:rPr>
          <w:rFonts w:cs="Times New Roman"/>
          <w:spacing w:val="-2"/>
        </w:rPr>
        <w:t>1. julijem 2022 je prenehala izvajati neto nakupe vrednostnih nakupov v okviru programa APP. V tretjem četrtletju pa je, prvič po desetih letih, dvignila vse tri ključne obrestne mere, v letu 2022 skupaj za 2,50 o. t.</w:t>
      </w:r>
      <w:r w:rsidRPr="00D81773">
        <w:rPr>
          <w:spacing w:val="-2"/>
        </w:rPr>
        <w:t xml:space="preserve"> Pogoji zadolževanja za podjetja, gospodinjstva in državo so se posledično v Sloveniji in v evrskem območju</w:t>
      </w:r>
      <w:r w:rsidR="003F5F84" w:rsidRPr="003F5F84">
        <w:rPr>
          <w:spacing w:val="-2"/>
        </w:rPr>
        <w:t xml:space="preserve"> </w:t>
      </w:r>
      <w:r w:rsidR="003F5F84" w:rsidRPr="00D81773">
        <w:rPr>
          <w:spacing w:val="-2"/>
        </w:rPr>
        <w:t>poslabšali</w:t>
      </w:r>
      <w:r w:rsidRPr="00D81773">
        <w:rPr>
          <w:spacing w:val="-2"/>
        </w:rPr>
        <w:t xml:space="preserve">. Slovenija spada v skupino držav, ki ponavadi hitreje reagirajo na zaostrovanje razmer na finančnih trgih. Donosnost do dospetja državnih obveznic je tako po letu 2016 znova presegla povprečno raven držav </w:t>
      </w:r>
      <w:r w:rsidR="00BA3B44" w:rsidRPr="00D81773">
        <w:rPr>
          <w:spacing w:val="-2"/>
        </w:rPr>
        <w:t>EU</w:t>
      </w:r>
      <w:r w:rsidR="00564E91" w:rsidRPr="00D81773">
        <w:rPr>
          <w:spacing w:val="-2"/>
        </w:rPr>
        <w:t xml:space="preserve"> (slika 14).</w:t>
      </w:r>
      <w:r w:rsidRPr="00D81773">
        <w:rPr>
          <w:spacing w:val="-2"/>
        </w:rPr>
        <w:t xml:space="preserve"> </w:t>
      </w:r>
    </w:p>
    <w:p w14:paraId="4A3132F2" w14:textId="77777777" w:rsidR="00921B87" w:rsidRPr="00E577BC" w:rsidRDefault="00921B87" w:rsidP="00921B87">
      <w:pPr>
        <w:spacing w:after="0" w:line="288" w:lineRule="auto"/>
        <w:jc w:val="both"/>
        <w:rPr>
          <w:rFonts w:ascii="Myriad Pro" w:eastAsia="Calibri" w:hAnsi="Myriad Pro" w:cs="Arial"/>
          <w:sz w:val="20"/>
          <w:szCs w:val="20"/>
        </w:rPr>
      </w:pPr>
    </w:p>
    <w:p w14:paraId="26CB296F" w14:textId="28B2ED48" w:rsidR="00921B87" w:rsidRPr="00E577BC" w:rsidRDefault="00921B87" w:rsidP="003820B8">
      <w:pPr>
        <w:pStyle w:val="Caption"/>
      </w:pPr>
      <w:r w:rsidRPr="00E577BC">
        <w:lastRenderedPageBreak/>
        <w:t>Slika 1</w:t>
      </w:r>
      <w:r w:rsidR="00DC33D6">
        <w:t>3</w:t>
      </w:r>
      <w:r w:rsidRPr="00E577BC">
        <w:t>: Donosnosti do dospetja državnih obveznic</w:t>
      </w:r>
    </w:p>
    <w:p w14:paraId="7F54DF28" w14:textId="2C1DCDC8" w:rsidR="003820B8" w:rsidRDefault="003820B8" w:rsidP="003820B8">
      <w:pPr>
        <w:pStyle w:val="BesediloUMAR"/>
      </w:pPr>
      <w:r>
        <w:rPr>
          <w:noProof/>
        </w:rPr>
        <w:drawing>
          <wp:inline distT="0" distB="0" distL="0" distR="0" wp14:anchorId="43DE9414" wp14:editId="18E41543">
            <wp:extent cx="5745803" cy="2076207"/>
            <wp:effectExtent l="0" t="0" r="7620" b="63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90298" cy="2092285"/>
                    </a:xfrm>
                    <a:prstGeom prst="rect">
                      <a:avLst/>
                    </a:prstGeom>
                    <a:noFill/>
                  </pic:spPr>
                </pic:pic>
              </a:graphicData>
            </a:graphic>
          </wp:inline>
        </w:drawing>
      </w:r>
    </w:p>
    <w:p w14:paraId="3DD3F5BC" w14:textId="5ED3D30F" w:rsidR="00C64A4E" w:rsidRPr="003820B8" w:rsidRDefault="00C64A4E" w:rsidP="003820B8">
      <w:pPr>
        <w:pStyle w:val="BesediloUMAR"/>
        <w:rPr>
          <w:rStyle w:val="VirUMARChar"/>
        </w:rPr>
      </w:pPr>
      <w:r w:rsidRPr="003820B8">
        <w:rPr>
          <w:rStyle w:val="VirUMARChar"/>
        </w:rPr>
        <w:t>Vir: Eurostat, Bloomberg.</w:t>
      </w:r>
    </w:p>
    <w:p w14:paraId="113C3FA2" w14:textId="77777777" w:rsidR="003820B8" w:rsidRDefault="003820B8" w:rsidP="003820B8">
      <w:pPr>
        <w:pStyle w:val="BesediloUMAR"/>
      </w:pPr>
    </w:p>
    <w:p w14:paraId="2D893E50" w14:textId="0E80B306" w:rsidR="00564E91" w:rsidRPr="00E577BC" w:rsidRDefault="00564E91" w:rsidP="003820B8">
      <w:pPr>
        <w:pStyle w:val="BesediloUMAR"/>
      </w:pPr>
      <w:r w:rsidRPr="00E033FE">
        <w:t xml:space="preserve">V letu 2022 se je celotna neto zadolženost Slovenije znižala zaradi padca tržne vrednosti (cen) obveznic, ki so bile </w:t>
      </w:r>
      <w:r w:rsidR="00337122">
        <w:t xml:space="preserve">visoke </w:t>
      </w:r>
      <w:r w:rsidRPr="00E033FE">
        <w:t xml:space="preserve">tudi zaradi pretekle denarne politike </w:t>
      </w:r>
      <w:r w:rsidRPr="00ED78B8">
        <w:t>ECB, k</w:t>
      </w:r>
      <w:r w:rsidR="00ED78B8" w:rsidRPr="00ED78B8">
        <w:t>o</w:t>
      </w:r>
      <w:r w:rsidRPr="00ED78B8">
        <w:t xml:space="preserve"> je redno</w:t>
      </w:r>
      <w:r w:rsidRPr="00E033FE">
        <w:t xml:space="preserve"> odkupovala obveznice in s tem povečanim povpraševanjem vplivala na cen</w:t>
      </w:r>
      <w:r w:rsidR="00337122">
        <w:t>e</w:t>
      </w:r>
      <w:r w:rsidRPr="00E033FE">
        <w:t xml:space="preserve"> obveznic</w:t>
      </w:r>
      <w:r w:rsidRPr="00331E9C">
        <w:rPr>
          <w:b/>
          <w:bCs/>
        </w:rPr>
        <w:t>.</w:t>
      </w:r>
      <w:r w:rsidRPr="00E577BC">
        <w:t xml:space="preserve"> Monetarna politika je v letu 2022 z dvigovanjem referenčnih obrestnih mer zaostrila pogoje zadolževanja v evrskem območju, zato so tuji vlagatelji zahtevali višje donose. Dvig obrestnih mer je namreč znižal tržno vrednost obstoječih obveznic.</w:t>
      </w:r>
    </w:p>
    <w:p w14:paraId="78082105" w14:textId="77777777" w:rsidR="00564E91" w:rsidRDefault="00564E91" w:rsidP="003820B8">
      <w:pPr>
        <w:pStyle w:val="BesediloUMAR"/>
      </w:pPr>
    </w:p>
    <w:p w14:paraId="5C3ED95B" w14:textId="1CCE0F45" w:rsidR="00921B87" w:rsidRPr="00E577BC" w:rsidRDefault="00921B87" w:rsidP="003820B8">
      <w:pPr>
        <w:pStyle w:val="BesediloUMAR"/>
      </w:pPr>
      <w:r w:rsidRPr="00E577BC">
        <w:t>Največ vrednostnih sprememb (negativne cenovne spremembe) je bilo na državnih vrednostnih papirjih. Ker so zneski stanj izdanih vrednostnih papirjev države veliki, je bil tudi glede na delež znesek cenovnih sprememb sorazmerno velik. Tržna vrednost državnih vrednostnih papirjev v lasti nerezidentov se je zato v letu 2022 občutno znižala, in sicer največ v celotnem obdobju. Kapitalska izguba tujih portfeljskih vlagateljev v Sloveniji je znašala 4,</w:t>
      </w:r>
      <w:r w:rsidR="00005D96">
        <w:t>6</w:t>
      </w:r>
      <w:r w:rsidRPr="00E577BC">
        <w:t xml:space="preserve"> mrd EUR</w:t>
      </w:r>
      <w:r w:rsidR="00C1780F">
        <w:t>. Vrednostne spremembe i</w:t>
      </w:r>
      <w:r w:rsidRPr="00E577BC">
        <w:t>met</w:t>
      </w:r>
      <w:r w:rsidR="00C1780F">
        <w:t>ij</w:t>
      </w:r>
      <w:r w:rsidRPr="00E577BC">
        <w:t xml:space="preserve"> vrednostnih papirjev države v tujini so se znižal</w:t>
      </w:r>
      <w:r w:rsidR="00C1780F">
        <w:t>e</w:t>
      </w:r>
      <w:r w:rsidRPr="00E577BC">
        <w:t xml:space="preserve"> le za 0,1 mrd EUR. Neto učinek cenovnih sprememb na vrednostne papirje</w:t>
      </w:r>
      <w:r w:rsidR="00534190">
        <w:t xml:space="preserve"> države </w:t>
      </w:r>
      <w:r w:rsidRPr="00E577BC">
        <w:t>je bil zato izrazito pozitiven, v vrednosti 4,</w:t>
      </w:r>
      <w:r w:rsidR="00005D96">
        <w:t>5</w:t>
      </w:r>
      <w:r w:rsidRPr="00E577BC">
        <w:t xml:space="preserve"> mrd EUR. Cenovne spremembe so se precej odrazile tudi na finančnih derivativih države. </w:t>
      </w:r>
      <w:r w:rsidR="00201DD8">
        <w:br/>
      </w:r>
      <w:r w:rsidRPr="00E577BC">
        <w:t xml:space="preserve">Po podatkih statistike finančnih računov ima Slovenija sklenjenih več izvedenih finančnih instrumentov: </w:t>
      </w:r>
      <w:r w:rsidR="00201DD8">
        <w:br/>
      </w:r>
      <w:r w:rsidRPr="00E577BC">
        <w:t xml:space="preserve">Cross currency swap (CCS), Interest rate swap (IRS) in Swaption. Imetja finančnih derivativov države so se </w:t>
      </w:r>
      <w:r w:rsidR="00030A43">
        <w:t xml:space="preserve">zaradi cenovnih sprememb </w:t>
      </w:r>
      <w:r w:rsidRPr="00E577BC">
        <w:t>povečala za 0,6 mrd EUR, obveznosti pa znižale za 1,</w:t>
      </w:r>
      <w:r w:rsidR="00005D96">
        <w:t>4</w:t>
      </w:r>
      <w:r w:rsidRPr="00E577BC">
        <w:t xml:space="preserve"> mrd EUR, kar je tudi vplivalo na izboljšanje neto finančne pozicije. </w:t>
      </w:r>
    </w:p>
    <w:p w14:paraId="7225556B" w14:textId="77777777" w:rsidR="00921B87" w:rsidRPr="00E577BC" w:rsidRDefault="00921B87" w:rsidP="003820B8">
      <w:pPr>
        <w:pStyle w:val="BesediloUMAR"/>
      </w:pPr>
    </w:p>
    <w:p w14:paraId="1D4AD027" w14:textId="282C96A5" w:rsidR="00921B87" w:rsidRPr="00E577BC" w:rsidRDefault="00921B87" w:rsidP="003820B8">
      <w:pPr>
        <w:pStyle w:val="BesediloUMAR"/>
      </w:pPr>
      <w:r w:rsidRPr="00E577BC">
        <w:t xml:space="preserve">Padec cen dolžniških vrednostnih papirjev je vplival tudi na </w:t>
      </w:r>
      <w:r w:rsidR="00337122">
        <w:t xml:space="preserve">vrednost </w:t>
      </w:r>
      <w:r w:rsidRPr="00E577BC">
        <w:t xml:space="preserve">naložb BS, ki je </w:t>
      </w:r>
      <w:r w:rsidR="00114F4B">
        <w:t xml:space="preserve">zato </w:t>
      </w:r>
      <w:r w:rsidRPr="00E577BC">
        <w:t xml:space="preserve">znižala svoje finančno premoženje na računih v tujini. Neto učinek cenovnih sprememb je bil negativen, v vrednosti 0,6 mrd EUR. </w:t>
      </w:r>
    </w:p>
    <w:p w14:paraId="5A201965" w14:textId="77777777" w:rsidR="00921B87" w:rsidRPr="00E577BC" w:rsidRDefault="00921B87" w:rsidP="003820B8">
      <w:pPr>
        <w:pStyle w:val="BesediloUMAR"/>
        <w:rPr>
          <w:rFonts w:ascii="Arial" w:hAnsi="Arial"/>
          <w:sz w:val="16"/>
          <w:szCs w:val="16"/>
        </w:rPr>
      </w:pPr>
    </w:p>
    <w:p w14:paraId="461D8CE7" w14:textId="13A70813" w:rsidR="00295BB5" w:rsidRDefault="00921B87" w:rsidP="003820B8">
      <w:pPr>
        <w:pStyle w:val="BesediloUMAR"/>
      </w:pPr>
      <w:r w:rsidRPr="00E577BC">
        <w:t xml:space="preserve">V zasebnem sektorju so vrednostne </w:t>
      </w:r>
      <w:r w:rsidRPr="00040A16">
        <w:t xml:space="preserve">spremembe </w:t>
      </w:r>
      <w:r w:rsidR="004E3454" w:rsidRPr="00040A16">
        <w:t>bolj vplivale na imetja</w:t>
      </w:r>
      <w:r w:rsidR="00725CFB" w:rsidRPr="00040A16">
        <w:t xml:space="preserve"> </w:t>
      </w:r>
      <w:r w:rsidRPr="00040A16">
        <w:t>vrednostnih</w:t>
      </w:r>
      <w:r w:rsidRPr="00E577BC">
        <w:t xml:space="preserve"> papirjev, in sicer zaradi padca cen vrednostnih papirjev na mednarodnih finančnih trgih. </w:t>
      </w:r>
      <w:r w:rsidR="00C1780F">
        <w:t xml:space="preserve">Slovenski investitorji so povečali finančne naložbe </w:t>
      </w:r>
      <w:r w:rsidRPr="00E577BC">
        <w:t xml:space="preserve">v tuje vrednostne papirje različnih sektorjev </w:t>
      </w:r>
      <w:r w:rsidR="00A67DA6">
        <w:t>(država, banke, podjetja)</w:t>
      </w:r>
      <w:r w:rsidRPr="00E577BC">
        <w:t xml:space="preserve">, </w:t>
      </w:r>
      <w:r w:rsidR="00761751">
        <w:t xml:space="preserve">v </w:t>
      </w:r>
      <w:r w:rsidRPr="00A517E3">
        <w:t xml:space="preserve">katerih </w:t>
      </w:r>
      <w:r w:rsidR="00761751">
        <w:t xml:space="preserve">je bilo </w:t>
      </w:r>
      <w:r w:rsidRPr="00A517E3">
        <w:t>gibanje tržnih cen večinoma negativno</w:t>
      </w:r>
      <w:r w:rsidRPr="00E577BC">
        <w:t xml:space="preserve">. Največ so izgubili slovenski vlagatelji v tuje dolžniške dolgoročne vrednostne papirje ter tuje lastniške vrednostne papirje in delnice investicijskih skladov. </w:t>
      </w:r>
    </w:p>
    <w:p w14:paraId="7916D14F" w14:textId="77777777" w:rsidR="003820B8" w:rsidRDefault="003820B8" w:rsidP="003820B8">
      <w:pPr>
        <w:pStyle w:val="BesediloUMAR"/>
      </w:pPr>
    </w:p>
    <w:p w14:paraId="5758F181" w14:textId="4C680A46" w:rsidR="00E033FE" w:rsidRDefault="00E033FE" w:rsidP="003820B8">
      <w:pPr>
        <w:pStyle w:val="BesediloUMAR"/>
      </w:pPr>
      <w:r w:rsidRPr="00E033FE">
        <w:t xml:space="preserve">Mednarodna investicijska pozicija Slovenije se je leta 2022 </w:t>
      </w:r>
      <w:r>
        <w:t xml:space="preserve">tako </w:t>
      </w:r>
      <w:r w:rsidRPr="00E033FE">
        <w:t>še izboljšala in imela le še rahel primanjkljaj</w:t>
      </w:r>
      <w:r w:rsidR="00F35F55">
        <w:t xml:space="preserve">, in sicer </w:t>
      </w:r>
      <w:r w:rsidR="00FA20B2">
        <w:t>–</w:t>
      </w:r>
      <w:r w:rsidR="00035C81">
        <w:t>1,5</w:t>
      </w:r>
      <w:r w:rsidRPr="00E033FE">
        <w:t xml:space="preserve"> %</w:t>
      </w:r>
      <w:r>
        <w:t xml:space="preserve"> BDP</w:t>
      </w:r>
      <w:r w:rsidRPr="00E033FE">
        <w:t xml:space="preserve">. Skupne obveznosti so se, glede na BDP, ponovno zmanjšale bolj </w:t>
      </w:r>
      <w:r w:rsidR="00FA20B2">
        <w:t>od</w:t>
      </w:r>
      <w:r w:rsidRPr="00E033FE">
        <w:t xml:space="preserve"> skupn</w:t>
      </w:r>
      <w:r w:rsidR="00FA20B2">
        <w:t>ih</w:t>
      </w:r>
      <w:r w:rsidRPr="00E033FE">
        <w:t xml:space="preserve"> terjat</w:t>
      </w:r>
      <w:r w:rsidR="00FA20B2">
        <w:t>ev</w:t>
      </w:r>
      <w:r w:rsidR="0059625E">
        <w:t>.</w:t>
      </w:r>
      <w:r>
        <w:t xml:space="preserve"> </w:t>
      </w:r>
      <w:r w:rsidRPr="00E033FE">
        <w:t xml:space="preserve">V letu 2022 je bil učinek drugih sprememb vrednotenja najvišji doslej in </w:t>
      </w:r>
      <w:r w:rsidR="00233B07">
        <w:t xml:space="preserve">je </w:t>
      </w:r>
      <w:r w:rsidRPr="00E033FE">
        <w:t>k izboljšanju neto finančne pozicije Slovenije do tujine (za 3,</w:t>
      </w:r>
      <w:r w:rsidR="00186CAB">
        <w:t>1</w:t>
      </w:r>
      <w:r w:rsidRPr="00E033FE">
        <w:t xml:space="preserve"> mrd EUR) prispeval 4,</w:t>
      </w:r>
      <w:r w:rsidR="00186CAB">
        <w:t>8</w:t>
      </w:r>
      <w:r w:rsidRPr="00E033FE">
        <w:t xml:space="preserve"> mrd EUR, medtem ko so transakcije pozicijo poslabšale za 1,</w:t>
      </w:r>
      <w:r w:rsidR="00186CAB">
        <w:t>7</w:t>
      </w:r>
      <w:r w:rsidRPr="00E033FE">
        <w:t xml:space="preserve"> mrd EUR. Večino pozitivnih sprememb prevrednotenja so predstavljale cenovne spremembe (4,</w:t>
      </w:r>
      <w:r w:rsidR="00186CAB">
        <w:t>5</w:t>
      </w:r>
      <w:r w:rsidRPr="00E033FE">
        <w:t xml:space="preserve"> mrd EUR), tečajne in ostale spremembe so bile skromne (0,3 mrd EUR). Učinek tečajnih sprememb na neto finančno pozicijo je bil skromen, saj v valutni strukturi imetij in obveznosti prevladuje evro (več kot 90 %).</w:t>
      </w:r>
    </w:p>
    <w:p w14:paraId="148CE191" w14:textId="17DE4C30" w:rsidR="00921B87" w:rsidRPr="00295BB5" w:rsidRDefault="00921B87" w:rsidP="003820B8">
      <w:pPr>
        <w:pStyle w:val="Heading1"/>
      </w:pPr>
      <w:r w:rsidRPr="00E577BC">
        <w:lastRenderedPageBreak/>
        <w:t>Sklep</w:t>
      </w:r>
    </w:p>
    <w:p w14:paraId="7BB646B9" w14:textId="77777777" w:rsidR="00921B87" w:rsidRPr="00E577BC" w:rsidRDefault="00921B87" w:rsidP="003820B8">
      <w:pPr>
        <w:pStyle w:val="BesediloUMAR"/>
      </w:pPr>
    </w:p>
    <w:p w14:paraId="667FA8C6" w14:textId="28B8471B" w:rsidR="002B0265" w:rsidRPr="00D01BF2" w:rsidRDefault="00921B87" w:rsidP="003820B8">
      <w:pPr>
        <w:pStyle w:val="BesediloUMAR"/>
        <w:rPr>
          <w:rFonts w:eastAsia="Times New Roman" w:cs="Times New Roman"/>
          <w:spacing w:val="1"/>
        </w:rPr>
      </w:pPr>
      <w:r w:rsidRPr="00D01BF2">
        <w:rPr>
          <w:spacing w:val="1"/>
        </w:rPr>
        <w:t>V obdobju med finančno-gospodarsko krizo in energetsko krizo (2009–2022</w:t>
      </w:r>
      <w:r w:rsidRPr="00D01BF2">
        <w:rPr>
          <w:b/>
          <w:bCs/>
          <w:spacing w:val="1"/>
        </w:rPr>
        <w:t xml:space="preserve">) </w:t>
      </w:r>
      <w:r w:rsidRPr="00D01BF2">
        <w:rPr>
          <w:spacing w:val="1"/>
        </w:rPr>
        <w:t>se je celotna neto zadolženost Slovenije do tujine močno znižala, in sicer za 14</w:t>
      </w:r>
      <w:r w:rsidR="00C91271" w:rsidRPr="00D01BF2">
        <w:rPr>
          <w:spacing w:val="1"/>
        </w:rPr>
        <w:t xml:space="preserve"> </w:t>
      </w:r>
      <w:r w:rsidRPr="00D01BF2">
        <w:rPr>
          <w:spacing w:val="1"/>
        </w:rPr>
        <w:t>mrd EUR</w:t>
      </w:r>
      <w:r w:rsidRPr="00D01BF2">
        <w:rPr>
          <w:rFonts w:cs="Times New Roman"/>
          <w:spacing w:val="1"/>
        </w:rPr>
        <w:t xml:space="preserve"> (s 14,9 mrd EUR konec leta 2008 na 0,</w:t>
      </w:r>
      <w:r w:rsidR="00186CAB" w:rsidRPr="00D01BF2">
        <w:rPr>
          <w:rFonts w:cs="Times New Roman"/>
          <w:spacing w:val="1"/>
        </w:rPr>
        <w:t>9</w:t>
      </w:r>
      <w:r w:rsidRPr="00D01BF2">
        <w:rPr>
          <w:rFonts w:cs="Times New Roman"/>
          <w:spacing w:val="1"/>
        </w:rPr>
        <w:t xml:space="preserve"> mrd EUR konec leta 2022). </w:t>
      </w:r>
      <w:r w:rsidRPr="00D01BF2">
        <w:rPr>
          <w:spacing w:val="1"/>
        </w:rPr>
        <w:t xml:space="preserve">Desetletni presežek na tekočem računu plačilne bilance </w:t>
      </w:r>
      <w:r w:rsidRPr="00D01BF2">
        <w:rPr>
          <w:rFonts w:cs="Calibri"/>
          <w:spacing w:val="1"/>
        </w:rPr>
        <w:t xml:space="preserve">in s tem povezani neto kapitalski odlivi </w:t>
      </w:r>
      <w:r w:rsidRPr="00D01BF2">
        <w:rPr>
          <w:spacing w:val="1"/>
        </w:rPr>
        <w:t xml:space="preserve">so </w:t>
      </w:r>
      <w:r w:rsidR="00172F47" w:rsidRPr="00D01BF2">
        <w:rPr>
          <w:spacing w:val="1"/>
        </w:rPr>
        <w:t xml:space="preserve">od leta 2013 </w:t>
      </w:r>
      <w:r w:rsidRPr="00D01BF2">
        <w:rPr>
          <w:spacing w:val="1"/>
        </w:rPr>
        <w:t>omogočili občutno izboljšanje neto finančne pozicije do tujine. Podjetja so zaradi krepitve tujega povpraševanja in tudi izboljšanja stroškovne konkurenčnosti</w:t>
      </w:r>
      <w:r w:rsidR="00172F47" w:rsidRPr="00D01BF2">
        <w:rPr>
          <w:spacing w:val="1"/>
        </w:rPr>
        <w:t xml:space="preserve"> </w:t>
      </w:r>
      <w:r w:rsidRPr="00D01BF2">
        <w:rPr>
          <w:spacing w:val="1"/>
        </w:rPr>
        <w:t xml:space="preserve">precej povečala tržni delež na svetovnem trgu. Ob zmerni rasti domačega trošenja je bila rast uvoza počasnejša od rasti izvoza. Rast presežka tekočega računa plačilne bilance se je odražala tako v povečanju terjatev kot tudi znižanju obveznosti do tujine. </w:t>
      </w:r>
      <w:r w:rsidR="00501273" w:rsidRPr="00D01BF2">
        <w:rPr>
          <w:rFonts w:eastAsia="Times New Roman" w:cs="Times New Roman"/>
          <w:spacing w:val="1"/>
        </w:rPr>
        <w:t xml:space="preserve">Dolgoročni vpliv drugih sprememb vrednotenja je bil </w:t>
      </w:r>
      <w:r w:rsidR="00C90EDE" w:rsidRPr="00D01BF2">
        <w:rPr>
          <w:rFonts w:eastAsia="Times New Roman" w:cs="Times New Roman"/>
          <w:spacing w:val="1"/>
        </w:rPr>
        <w:t>razmeroma</w:t>
      </w:r>
      <w:r w:rsidR="00A86D9D" w:rsidRPr="00D01BF2">
        <w:rPr>
          <w:rFonts w:eastAsia="Times New Roman" w:cs="Times New Roman"/>
          <w:spacing w:val="1"/>
        </w:rPr>
        <w:t xml:space="preserve"> </w:t>
      </w:r>
      <w:r w:rsidR="00501273" w:rsidRPr="00D01BF2">
        <w:rPr>
          <w:rFonts w:eastAsia="Times New Roman" w:cs="Times New Roman"/>
          <w:spacing w:val="1"/>
        </w:rPr>
        <w:t>skromen, a v posameznih letih</w:t>
      </w:r>
      <w:r w:rsidR="00C90EDE" w:rsidRPr="00D01BF2">
        <w:rPr>
          <w:rFonts w:eastAsia="Times New Roman" w:cs="Times New Roman"/>
          <w:spacing w:val="1"/>
        </w:rPr>
        <w:t xml:space="preserve"> zelo močan</w:t>
      </w:r>
      <w:r w:rsidR="00501273" w:rsidRPr="00D01BF2">
        <w:rPr>
          <w:rFonts w:eastAsia="Times New Roman" w:cs="Times New Roman"/>
          <w:spacing w:val="1"/>
        </w:rPr>
        <w:t xml:space="preserve">, najbolj v letu 2022. </w:t>
      </w:r>
    </w:p>
    <w:p w14:paraId="408C9539" w14:textId="77777777" w:rsidR="00D01BF2" w:rsidRDefault="00D01BF2" w:rsidP="003820B8">
      <w:pPr>
        <w:pStyle w:val="BesediloUMAR"/>
        <w:rPr>
          <w:rFonts w:eastAsia="Times New Roman" w:cs="Times New Roman"/>
        </w:rPr>
      </w:pPr>
    </w:p>
    <w:p w14:paraId="1AC41940" w14:textId="6335A210" w:rsidR="00921B87" w:rsidRPr="002B0265" w:rsidRDefault="00501273" w:rsidP="003820B8">
      <w:pPr>
        <w:pStyle w:val="BesediloUMAR"/>
      </w:pPr>
      <w:r w:rsidRPr="00C37076">
        <w:t>Po desetih letih presežka se je saldo tekočega računa leta 2022 prevesil v primanjkljaj (</w:t>
      </w:r>
      <w:r w:rsidR="007E0E9B">
        <w:t>–</w:t>
      </w:r>
      <w:r>
        <w:t>1</w:t>
      </w:r>
      <w:r w:rsidR="00DA6CA6">
        <w:t xml:space="preserve"> </w:t>
      </w:r>
      <w:r w:rsidRPr="00C37076">
        <w:t>% BDP), k čemur je največ prispevala blagovna menjava. K nižjemu blagovnemu saldu je količinski učinek prispeval 2</w:t>
      </w:r>
      <w:r w:rsidR="00BB3456">
        <w:t xml:space="preserve"> </w:t>
      </w:r>
      <w:r w:rsidRPr="00C37076">
        <w:t xml:space="preserve">mrd EUR, pogoji menjave pa </w:t>
      </w:r>
      <w:r>
        <w:t>1</w:t>
      </w:r>
      <w:r w:rsidR="00BB3456">
        <w:t xml:space="preserve"> </w:t>
      </w:r>
      <w:r w:rsidRPr="00C37076">
        <w:t xml:space="preserve">mrd EUR. </w:t>
      </w:r>
      <w:r w:rsidR="00921B87" w:rsidRPr="00E577BC">
        <w:t>Monetarna politika je v letu 2022 z dvigovanjem referenčnih obrestnih mer zaostrila pogoje zadolževanja v evrskem območju, zato so vlagatelji zahtevali višje donose</w:t>
      </w:r>
      <w:r w:rsidR="00921B87" w:rsidRPr="00E577BC">
        <w:rPr>
          <w:rFonts w:cs="Times New Roman"/>
        </w:rPr>
        <w:t xml:space="preserve">. </w:t>
      </w:r>
      <w:r w:rsidR="00921B87" w:rsidRPr="00E577BC">
        <w:t xml:space="preserve">V letu 2022 se je glede na leto prej neto finančna pozicija izboljšala za </w:t>
      </w:r>
      <w:r>
        <w:t>3,1</w:t>
      </w:r>
      <w:r w:rsidR="00921B87" w:rsidRPr="00E577BC">
        <w:t xml:space="preserve"> mrd EUR, k čemur so večinoma prispevale cenovne spremembe. </w:t>
      </w:r>
      <w:r w:rsidR="000A64A2">
        <w:t>Zaradi dviga obrestnih</w:t>
      </w:r>
      <w:r w:rsidR="00921B87" w:rsidRPr="00E577BC">
        <w:t xml:space="preserve"> mer </w:t>
      </w:r>
      <w:r w:rsidR="000A64A2">
        <w:t xml:space="preserve">se je </w:t>
      </w:r>
      <w:r w:rsidR="00921B87" w:rsidRPr="00E577BC">
        <w:t>občutno znižala tržn</w:t>
      </w:r>
      <w:r w:rsidR="000A64A2">
        <w:t>a</w:t>
      </w:r>
      <w:r w:rsidR="00921B87" w:rsidRPr="00E577BC">
        <w:t xml:space="preserve"> vrednost obstoječih vrednostnih papirjev. Najbolj je izstopal padec tržne vrednosti državnih vrednostnih papirjev v lasti nerezidentov, pri čemer so se obveznosti znižale bolj kot imetja, kar je pomembno vplivalo na izboljšanje neto finančne pozicije do tujine. </w:t>
      </w:r>
    </w:p>
    <w:p w14:paraId="4789C89C" w14:textId="77777777" w:rsidR="004E481C" w:rsidRDefault="004E481C" w:rsidP="003820B8">
      <w:pPr>
        <w:pStyle w:val="BesediloUMAR"/>
        <w:rPr>
          <w:b/>
        </w:rPr>
      </w:pPr>
    </w:p>
    <w:p w14:paraId="765F0EDE" w14:textId="77777777" w:rsidR="004E481C" w:rsidRDefault="004E481C" w:rsidP="003820B8">
      <w:pPr>
        <w:pStyle w:val="BesediloUMAR"/>
        <w:rPr>
          <w:b/>
        </w:rPr>
      </w:pPr>
    </w:p>
    <w:p w14:paraId="67939FCF" w14:textId="77777777" w:rsidR="004E481C" w:rsidRDefault="004E481C" w:rsidP="003820B8">
      <w:pPr>
        <w:pStyle w:val="BesediloUMAR"/>
        <w:rPr>
          <w:b/>
        </w:rPr>
      </w:pPr>
    </w:p>
    <w:p w14:paraId="6DBC474B" w14:textId="77777777" w:rsidR="004E481C" w:rsidRDefault="004E481C" w:rsidP="003820B8">
      <w:pPr>
        <w:pStyle w:val="BesediloUMAR"/>
        <w:rPr>
          <w:b/>
        </w:rPr>
      </w:pPr>
    </w:p>
    <w:p w14:paraId="2C41EC15" w14:textId="77777777" w:rsidR="004E481C" w:rsidRDefault="004E481C" w:rsidP="003820B8">
      <w:pPr>
        <w:pStyle w:val="BesediloUMAR"/>
        <w:rPr>
          <w:b/>
        </w:rPr>
      </w:pPr>
    </w:p>
    <w:p w14:paraId="4D904A3B" w14:textId="77777777" w:rsidR="004E481C" w:rsidRDefault="004E481C" w:rsidP="003820B8">
      <w:pPr>
        <w:pStyle w:val="BesediloUMAR"/>
        <w:rPr>
          <w:b/>
        </w:rPr>
      </w:pPr>
    </w:p>
    <w:p w14:paraId="50948EC9" w14:textId="77777777" w:rsidR="004E481C" w:rsidRDefault="004E481C" w:rsidP="003820B8">
      <w:pPr>
        <w:pStyle w:val="BesediloUMAR"/>
        <w:rPr>
          <w:b/>
        </w:rPr>
      </w:pPr>
    </w:p>
    <w:p w14:paraId="3FFC099C" w14:textId="77777777" w:rsidR="004E481C" w:rsidRDefault="004E481C" w:rsidP="003820B8">
      <w:pPr>
        <w:pStyle w:val="BesediloUMAR"/>
        <w:rPr>
          <w:b/>
        </w:rPr>
      </w:pPr>
    </w:p>
    <w:p w14:paraId="5CDB285E" w14:textId="77777777" w:rsidR="004E481C" w:rsidRDefault="004E481C" w:rsidP="003820B8">
      <w:pPr>
        <w:pStyle w:val="BesediloUMAR"/>
        <w:rPr>
          <w:b/>
        </w:rPr>
      </w:pPr>
    </w:p>
    <w:p w14:paraId="003834C7" w14:textId="77777777" w:rsidR="004E481C" w:rsidRDefault="004E481C" w:rsidP="003820B8">
      <w:pPr>
        <w:pStyle w:val="BesediloUMAR"/>
        <w:rPr>
          <w:b/>
        </w:rPr>
      </w:pPr>
    </w:p>
    <w:p w14:paraId="3CE89E62" w14:textId="77777777" w:rsidR="004E481C" w:rsidRDefault="004E481C" w:rsidP="003820B8">
      <w:pPr>
        <w:pStyle w:val="BesediloUMAR"/>
        <w:rPr>
          <w:b/>
        </w:rPr>
      </w:pPr>
    </w:p>
    <w:p w14:paraId="7A260A12" w14:textId="77777777" w:rsidR="004E481C" w:rsidRDefault="004E481C" w:rsidP="003820B8">
      <w:pPr>
        <w:pStyle w:val="BesediloUMAR"/>
        <w:rPr>
          <w:b/>
        </w:rPr>
      </w:pPr>
    </w:p>
    <w:p w14:paraId="18421D4E" w14:textId="77777777" w:rsidR="0031300D" w:rsidRDefault="0031300D" w:rsidP="003820B8">
      <w:pPr>
        <w:pStyle w:val="BesediloUMAR"/>
        <w:rPr>
          <w:b/>
        </w:rPr>
      </w:pPr>
    </w:p>
    <w:p w14:paraId="3D88E733" w14:textId="77777777" w:rsidR="0031300D" w:rsidRDefault="0031300D" w:rsidP="003820B8">
      <w:pPr>
        <w:pStyle w:val="BesediloUMAR"/>
        <w:rPr>
          <w:b/>
        </w:rPr>
      </w:pPr>
    </w:p>
    <w:p w14:paraId="7977A1E4" w14:textId="77777777" w:rsidR="002B1C69" w:rsidRDefault="002B1C69" w:rsidP="003820B8">
      <w:pPr>
        <w:pStyle w:val="BesediloUMAR"/>
        <w:rPr>
          <w:b/>
        </w:rPr>
      </w:pPr>
    </w:p>
    <w:p w14:paraId="4960439E" w14:textId="7B68B763" w:rsidR="003820B8" w:rsidRDefault="003820B8">
      <w:pPr>
        <w:spacing w:after="0" w:line="240" w:lineRule="auto"/>
        <w:rPr>
          <w:rFonts w:ascii="Myriad Pro" w:eastAsia="Calibri" w:hAnsi="Myriad Pro" w:cs="Times New Roman"/>
          <w:b/>
          <w:sz w:val="20"/>
        </w:rPr>
      </w:pPr>
      <w:r>
        <w:rPr>
          <w:rFonts w:ascii="Myriad Pro" w:hAnsi="Myriad Pro"/>
          <w:b/>
          <w:sz w:val="20"/>
        </w:rPr>
        <w:br w:type="page"/>
      </w:r>
    </w:p>
    <w:p w14:paraId="7E254B01" w14:textId="77777777" w:rsidR="0031300D" w:rsidRPr="00E91B4F" w:rsidRDefault="0031300D" w:rsidP="003820B8">
      <w:pPr>
        <w:pStyle w:val="Heading1"/>
        <w:numPr>
          <w:ilvl w:val="0"/>
          <w:numId w:val="0"/>
        </w:numPr>
      </w:pPr>
      <w:r w:rsidRPr="00E91B4F">
        <w:lastRenderedPageBreak/>
        <w:t>Literatura in viri</w:t>
      </w:r>
    </w:p>
    <w:p w14:paraId="77BB6257" w14:textId="77777777" w:rsidR="0031300D" w:rsidRPr="0031300D" w:rsidRDefault="0031300D" w:rsidP="000D2172">
      <w:pPr>
        <w:pStyle w:val="LiteraturaUMAR"/>
        <w:numPr>
          <w:ilvl w:val="0"/>
          <w:numId w:val="0"/>
        </w:numPr>
        <w:spacing w:after="40"/>
        <w:ind w:left="357" w:hanging="357"/>
      </w:pPr>
    </w:p>
    <w:p w14:paraId="5BB1EDD6" w14:textId="446841D7" w:rsidR="00F56CF1" w:rsidRDefault="00F56CF1" w:rsidP="000D2172">
      <w:pPr>
        <w:pStyle w:val="LiteraturaUMAR"/>
        <w:numPr>
          <w:ilvl w:val="0"/>
          <w:numId w:val="0"/>
        </w:numPr>
        <w:spacing w:after="40"/>
        <w:ind w:left="357" w:hanging="357"/>
        <w:rPr>
          <w:szCs w:val="20"/>
        </w:rPr>
      </w:pPr>
      <w:r>
        <w:rPr>
          <w:szCs w:val="20"/>
        </w:rPr>
        <w:t xml:space="preserve">Analysis of UK international investment position (2016). </w:t>
      </w:r>
      <w:r w:rsidRPr="00F56CF1">
        <w:rPr>
          <w:szCs w:val="20"/>
        </w:rPr>
        <w:t>Office for National Statistics.</w:t>
      </w:r>
    </w:p>
    <w:p w14:paraId="21587A26" w14:textId="625F2B58" w:rsidR="00F42042" w:rsidRPr="006028F4" w:rsidRDefault="00F42042" w:rsidP="000D2172">
      <w:pPr>
        <w:pStyle w:val="LiteraturaUMAR"/>
        <w:numPr>
          <w:ilvl w:val="0"/>
          <w:numId w:val="0"/>
        </w:numPr>
        <w:spacing w:after="40"/>
        <w:ind w:left="357" w:hanging="357"/>
        <w:rPr>
          <w:szCs w:val="20"/>
        </w:rPr>
      </w:pPr>
      <w:r w:rsidRPr="00F42042">
        <w:rPr>
          <w:szCs w:val="20"/>
          <w:lang w:val="en-US"/>
        </w:rPr>
        <w:t xml:space="preserve">Andrew A., Jonathan </w:t>
      </w:r>
      <w:r>
        <w:rPr>
          <w:szCs w:val="20"/>
          <w:lang w:val="en-US"/>
        </w:rPr>
        <w:t>H</w:t>
      </w:r>
      <w:r w:rsidRPr="00F42042">
        <w:rPr>
          <w:szCs w:val="20"/>
          <w:lang w:val="en-US"/>
        </w:rPr>
        <w:t xml:space="preserve">., in </w:t>
      </w:r>
      <w:r>
        <w:rPr>
          <w:szCs w:val="20"/>
          <w:lang w:val="en-US"/>
        </w:rPr>
        <w:t>Fabrizio P</w:t>
      </w:r>
      <w:r w:rsidRPr="00F42042">
        <w:rPr>
          <w:szCs w:val="20"/>
          <w:lang w:val="en-US"/>
        </w:rPr>
        <w:t>. (20</w:t>
      </w:r>
      <w:r>
        <w:rPr>
          <w:szCs w:val="20"/>
          <w:lang w:val="en-US"/>
        </w:rPr>
        <w:t>23). The end of privilege: A reexamination of the net foreign asset position of the United States.</w:t>
      </w:r>
      <w:r w:rsidR="00AD5DC0">
        <w:rPr>
          <w:szCs w:val="20"/>
          <w:lang w:val="en-US"/>
        </w:rPr>
        <w:t xml:space="preserve"> </w:t>
      </w:r>
    </w:p>
    <w:p w14:paraId="38580716" w14:textId="6CDAD7B9" w:rsidR="006028F4" w:rsidRPr="00B456FA" w:rsidRDefault="006028F4" w:rsidP="000D2172">
      <w:pPr>
        <w:pStyle w:val="LiteraturaUMAR"/>
        <w:numPr>
          <w:ilvl w:val="0"/>
          <w:numId w:val="0"/>
        </w:numPr>
        <w:spacing w:after="40"/>
        <w:ind w:left="357" w:hanging="357"/>
        <w:rPr>
          <w:szCs w:val="20"/>
        </w:rPr>
      </w:pPr>
      <w:r w:rsidRPr="006028F4">
        <w:rPr>
          <w:szCs w:val="20"/>
          <w:lang w:val="it-IT"/>
        </w:rPr>
        <w:t>Banco de Espana. Analytical a</w:t>
      </w:r>
      <w:r>
        <w:rPr>
          <w:szCs w:val="20"/>
          <w:lang w:val="it-IT"/>
        </w:rPr>
        <w:t xml:space="preserve">rticles. </w:t>
      </w:r>
      <w:r w:rsidRPr="00015806">
        <w:rPr>
          <w:szCs w:val="20"/>
          <w:lang w:val="en-US"/>
        </w:rPr>
        <w:t>Economic Bulletin 3/2022.</w:t>
      </w:r>
    </w:p>
    <w:p w14:paraId="7F802174" w14:textId="0AD8B5F0" w:rsidR="00B456FA" w:rsidRDefault="00933F30" w:rsidP="000D2172">
      <w:pPr>
        <w:pStyle w:val="LiteraturaUMAR"/>
        <w:numPr>
          <w:ilvl w:val="0"/>
          <w:numId w:val="0"/>
        </w:numPr>
        <w:spacing w:after="40"/>
        <w:ind w:left="357" w:hanging="357"/>
        <w:rPr>
          <w:szCs w:val="20"/>
        </w:rPr>
      </w:pPr>
      <w:r>
        <w:rPr>
          <w:szCs w:val="20"/>
        </w:rPr>
        <w:t>Bank of England (2023). Financial Stability Report 2022.</w:t>
      </w:r>
    </w:p>
    <w:p w14:paraId="1BB062F5" w14:textId="7030F50B" w:rsidR="00F50D81" w:rsidRDefault="00F50D81" w:rsidP="000D2172">
      <w:pPr>
        <w:pStyle w:val="LiteraturaUMAR"/>
        <w:numPr>
          <w:ilvl w:val="0"/>
          <w:numId w:val="0"/>
        </w:numPr>
        <w:spacing w:after="40"/>
        <w:ind w:left="357" w:hanging="357"/>
        <w:rPr>
          <w:szCs w:val="20"/>
        </w:rPr>
      </w:pPr>
      <w:r>
        <w:rPr>
          <w:szCs w:val="20"/>
        </w:rPr>
        <w:t xml:space="preserve">Bergant K. (2021). </w:t>
      </w:r>
      <w:r w:rsidRPr="00F50D81">
        <w:rPr>
          <w:szCs w:val="20"/>
        </w:rPr>
        <w:t>The role of stock-flow adjustment during the global financial crisis</w:t>
      </w:r>
      <w:r>
        <w:rPr>
          <w:szCs w:val="20"/>
        </w:rPr>
        <w:t xml:space="preserve">. </w:t>
      </w:r>
      <w:r w:rsidRPr="00F50D81">
        <w:rPr>
          <w:szCs w:val="20"/>
        </w:rPr>
        <w:t>Journal of International Money and Finance 110 (2021)</w:t>
      </w:r>
      <w:r>
        <w:rPr>
          <w:szCs w:val="20"/>
        </w:rPr>
        <w:t>.</w:t>
      </w:r>
    </w:p>
    <w:p w14:paraId="6AB8A2E8" w14:textId="37DE06A6" w:rsidR="0031300D" w:rsidRDefault="0031300D" w:rsidP="000D2172">
      <w:pPr>
        <w:pStyle w:val="LiteraturaUMAR"/>
        <w:numPr>
          <w:ilvl w:val="0"/>
          <w:numId w:val="0"/>
        </w:numPr>
        <w:spacing w:after="40"/>
        <w:ind w:left="357" w:hanging="357"/>
        <w:rPr>
          <w:szCs w:val="20"/>
        </w:rPr>
      </w:pPr>
      <w:r w:rsidRPr="0031300D">
        <w:rPr>
          <w:szCs w:val="20"/>
        </w:rPr>
        <w:t>Bleaney M., in Tian M. (2018). Net foreign assets, real exchange rates and net exports revisited. Working Paper No. 2013/04.</w:t>
      </w:r>
    </w:p>
    <w:p w14:paraId="1C889C7C" w14:textId="77777777" w:rsidR="00810C59" w:rsidRPr="00810C59" w:rsidRDefault="00810C59" w:rsidP="000D2172">
      <w:pPr>
        <w:pStyle w:val="LiteraturaUMAR"/>
        <w:numPr>
          <w:ilvl w:val="0"/>
          <w:numId w:val="0"/>
        </w:numPr>
        <w:spacing w:after="40"/>
        <w:ind w:left="357" w:hanging="357"/>
        <w:rPr>
          <w:szCs w:val="20"/>
        </w:rPr>
      </w:pPr>
      <w:r w:rsidRPr="00810C59">
        <w:rPr>
          <w:szCs w:val="20"/>
        </w:rPr>
        <w:t>Coronavirus and the effects on the UK Institutional Sector Accounts. (2020). Office for National Statistics.</w:t>
      </w:r>
    </w:p>
    <w:p w14:paraId="2424AB60" w14:textId="175FEF41" w:rsidR="00810C59" w:rsidRPr="00810C59" w:rsidRDefault="00810C59" w:rsidP="000D2172">
      <w:pPr>
        <w:pStyle w:val="LiteraturaUMAR"/>
        <w:numPr>
          <w:ilvl w:val="0"/>
          <w:numId w:val="0"/>
        </w:numPr>
        <w:spacing w:after="40"/>
        <w:ind w:left="357" w:hanging="357"/>
        <w:rPr>
          <w:szCs w:val="20"/>
        </w:rPr>
      </w:pPr>
      <w:r w:rsidRPr="00810C59">
        <w:rPr>
          <w:szCs w:val="20"/>
        </w:rPr>
        <w:t>Coronavirus and the effects on the UK Balace of Payments. (2020). Office for National Statistics.</w:t>
      </w:r>
    </w:p>
    <w:p w14:paraId="484E8F7F" w14:textId="77777777" w:rsidR="0031300D" w:rsidRDefault="0031300D" w:rsidP="000D2172">
      <w:pPr>
        <w:pStyle w:val="LiteraturaUMAR"/>
        <w:numPr>
          <w:ilvl w:val="0"/>
          <w:numId w:val="0"/>
        </w:numPr>
        <w:spacing w:after="40"/>
        <w:ind w:left="357" w:hanging="357"/>
        <w:rPr>
          <w:szCs w:val="20"/>
        </w:rPr>
      </w:pPr>
      <w:r w:rsidRPr="00015806">
        <w:rPr>
          <w:szCs w:val="20"/>
          <w:lang w:val="en-US"/>
        </w:rPr>
        <w:t xml:space="preserve">Corte V., Federico S., in Tosti E. (2018). </w:t>
      </w:r>
      <w:r w:rsidRPr="0031300D">
        <w:rPr>
          <w:szCs w:val="20"/>
          <w:lang w:val="en-US"/>
        </w:rPr>
        <w:t>Unwinding external stock imbalances? The case of</w:t>
      </w:r>
      <w:r w:rsidRPr="0031300D">
        <w:rPr>
          <w:szCs w:val="20"/>
        </w:rPr>
        <w:t xml:space="preserve"> Italy’s net international investment position. Banca D’Italia.</w:t>
      </w:r>
    </w:p>
    <w:p w14:paraId="4B2ABEC4" w14:textId="470D9E7C" w:rsidR="00B456FA" w:rsidRDefault="00B456FA" w:rsidP="000D2172">
      <w:pPr>
        <w:pStyle w:val="LiteraturaUMAR"/>
        <w:numPr>
          <w:ilvl w:val="0"/>
          <w:numId w:val="0"/>
        </w:numPr>
        <w:spacing w:after="40"/>
        <w:ind w:left="357" w:hanging="357"/>
        <w:rPr>
          <w:szCs w:val="20"/>
        </w:rPr>
      </w:pPr>
      <w:r>
        <w:rPr>
          <w:szCs w:val="20"/>
        </w:rPr>
        <w:t>Current Account Surpluses in the EU (2012). European Commission. Directorate-General for Economic and Financial Affairs.</w:t>
      </w:r>
    </w:p>
    <w:p w14:paraId="3124E7D0" w14:textId="64427FF7" w:rsidR="00320E14" w:rsidRDefault="00320E14" w:rsidP="000D2172">
      <w:pPr>
        <w:pStyle w:val="LiteraturaUMAR"/>
        <w:numPr>
          <w:ilvl w:val="0"/>
          <w:numId w:val="0"/>
        </w:numPr>
        <w:spacing w:after="40"/>
        <w:ind w:left="357" w:hanging="357"/>
        <w:rPr>
          <w:szCs w:val="20"/>
        </w:rPr>
      </w:pPr>
      <w:r>
        <w:rPr>
          <w:szCs w:val="20"/>
        </w:rPr>
        <w:t xml:space="preserve">Darvas Z., in Huttl P. (2017). </w:t>
      </w:r>
      <w:r w:rsidRPr="00320E14">
        <w:rPr>
          <w:szCs w:val="20"/>
        </w:rPr>
        <w:t>Returns on foreign assets and liabilities: exorbitant privileges and stabilising adjustments</w:t>
      </w:r>
      <w:r>
        <w:rPr>
          <w:szCs w:val="20"/>
        </w:rPr>
        <w:t xml:space="preserve">. </w:t>
      </w:r>
      <w:r w:rsidRPr="0031300D">
        <w:rPr>
          <w:szCs w:val="20"/>
        </w:rPr>
        <w:t xml:space="preserve">Working Paper No. </w:t>
      </w:r>
      <w:r>
        <w:rPr>
          <w:szCs w:val="20"/>
        </w:rPr>
        <w:t>7.</w:t>
      </w:r>
    </w:p>
    <w:p w14:paraId="37E629AD" w14:textId="7C0D4477" w:rsidR="00553C30" w:rsidRPr="00553C30" w:rsidRDefault="00553C30" w:rsidP="000D2172">
      <w:pPr>
        <w:pStyle w:val="LiteraturaUMAR"/>
        <w:numPr>
          <w:ilvl w:val="0"/>
          <w:numId w:val="0"/>
        </w:numPr>
        <w:spacing w:after="40"/>
        <w:ind w:left="357" w:hanging="357"/>
        <w:rPr>
          <w:szCs w:val="20"/>
        </w:rPr>
      </w:pPr>
      <w:r w:rsidRPr="00553C30">
        <w:rPr>
          <w:szCs w:val="20"/>
        </w:rPr>
        <w:t>Deutsche Bundesbank Monthly Report (2018). Germany’s external position: new statistical approaches and results since financial crisis.</w:t>
      </w:r>
    </w:p>
    <w:p w14:paraId="33C7D9B1" w14:textId="6461A8F9" w:rsidR="007A3417" w:rsidRPr="00320E14" w:rsidRDefault="007A3417" w:rsidP="000D2172">
      <w:pPr>
        <w:pStyle w:val="LiteraturaUMAR"/>
        <w:numPr>
          <w:ilvl w:val="0"/>
          <w:numId w:val="0"/>
        </w:numPr>
        <w:spacing w:after="40"/>
        <w:ind w:left="357" w:hanging="357"/>
        <w:rPr>
          <w:szCs w:val="20"/>
        </w:rPr>
      </w:pPr>
      <w:r>
        <w:rPr>
          <w:bCs/>
          <w:szCs w:val="20"/>
        </w:rPr>
        <w:t xml:space="preserve">ECB (2016). </w:t>
      </w:r>
      <w:r w:rsidRPr="00F76717">
        <w:rPr>
          <w:bCs/>
          <w:szCs w:val="20"/>
        </w:rPr>
        <w:t>Financial integration in Europe</w:t>
      </w:r>
      <w:r>
        <w:rPr>
          <w:bCs/>
          <w:szCs w:val="20"/>
        </w:rPr>
        <w:t xml:space="preserve">. </w:t>
      </w:r>
      <w:r w:rsidRPr="007A3417">
        <w:rPr>
          <w:bCs/>
          <w:szCs w:val="20"/>
        </w:rPr>
        <w:t>Frankfurt: Evropska centralna banka.</w:t>
      </w:r>
    </w:p>
    <w:p w14:paraId="08E3E696" w14:textId="77777777" w:rsidR="0031300D" w:rsidRDefault="0031300D" w:rsidP="000D2172">
      <w:pPr>
        <w:pStyle w:val="LiteraturaUMAR"/>
        <w:numPr>
          <w:ilvl w:val="0"/>
          <w:numId w:val="0"/>
        </w:numPr>
        <w:spacing w:after="40"/>
        <w:ind w:left="357" w:hanging="357"/>
        <w:rPr>
          <w:bCs/>
          <w:szCs w:val="20"/>
        </w:rPr>
      </w:pPr>
      <w:bookmarkStart w:id="5" w:name="_Hlk137735692"/>
      <w:r w:rsidRPr="0031300D">
        <w:rPr>
          <w:szCs w:val="20"/>
        </w:rPr>
        <w:t xml:space="preserve">ECB (2017). </w:t>
      </w:r>
      <w:bookmarkEnd w:id="5"/>
      <w:r w:rsidRPr="0031300D">
        <w:rPr>
          <w:rFonts w:cs="Arial"/>
          <w:szCs w:val="20"/>
        </w:rPr>
        <w:t>Large net foreign liabilities of euroarea countries.</w:t>
      </w:r>
      <w:r w:rsidRPr="0031300D">
        <w:rPr>
          <w:szCs w:val="20"/>
        </w:rPr>
        <w:t xml:space="preserve"> </w:t>
      </w:r>
      <w:bookmarkStart w:id="6" w:name="_Hlk137733992"/>
      <w:r w:rsidRPr="0031300D">
        <w:rPr>
          <w:szCs w:val="20"/>
        </w:rPr>
        <w:t>Frankfurt: Evropska centralna banka.</w:t>
      </w:r>
      <w:r w:rsidRPr="0031300D">
        <w:rPr>
          <w:bCs/>
          <w:szCs w:val="20"/>
        </w:rPr>
        <w:t xml:space="preserve"> </w:t>
      </w:r>
      <w:bookmarkEnd w:id="6"/>
    </w:p>
    <w:p w14:paraId="374D9D68" w14:textId="6C49B3F1" w:rsidR="00C408F4" w:rsidRDefault="00C408F4" w:rsidP="000D2172">
      <w:pPr>
        <w:pStyle w:val="LiteraturaUMAR"/>
        <w:numPr>
          <w:ilvl w:val="0"/>
          <w:numId w:val="0"/>
        </w:numPr>
        <w:spacing w:after="40"/>
        <w:ind w:left="357" w:hanging="357"/>
        <w:rPr>
          <w:bCs/>
          <w:szCs w:val="20"/>
        </w:rPr>
      </w:pPr>
      <w:r w:rsidRPr="00C408F4">
        <w:rPr>
          <w:bCs/>
          <w:szCs w:val="20"/>
        </w:rPr>
        <w:t>ECB (2017).</w:t>
      </w:r>
      <w:r>
        <w:rPr>
          <w:bCs/>
          <w:szCs w:val="20"/>
        </w:rPr>
        <w:t xml:space="preserve"> Reducing large net </w:t>
      </w:r>
      <w:r w:rsidRPr="00C408F4">
        <w:rPr>
          <w:bCs/>
          <w:szCs w:val="20"/>
        </w:rPr>
        <w:t>net foreign liabilities</w:t>
      </w:r>
      <w:r>
        <w:rPr>
          <w:bCs/>
          <w:szCs w:val="20"/>
        </w:rPr>
        <w:t xml:space="preserve">. </w:t>
      </w:r>
      <w:r w:rsidRPr="00C408F4">
        <w:rPr>
          <w:bCs/>
          <w:szCs w:val="20"/>
        </w:rPr>
        <w:t>Working Paper No</w:t>
      </w:r>
      <w:r>
        <w:rPr>
          <w:bCs/>
          <w:szCs w:val="20"/>
        </w:rPr>
        <w:t>. 2074.</w:t>
      </w:r>
    </w:p>
    <w:p w14:paraId="099BD984" w14:textId="53A00F46" w:rsidR="00752A5D" w:rsidRDefault="00752A5D" w:rsidP="000D2172">
      <w:pPr>
        <w:pStyle w:val="LiteraturaUMAR"/>
        <w:numPr>
          <w:ilvl w:val="0"/>
          <w:numId w:val="0"/>
        </w:numPr>
        <w:spacing w:after="40"/>
        <w:ind w:left="357" w:hanging="357"/>
        <w:rPr>
          <w:bCs/>
          <w:szCs w:val="20"/>
        </w:rPr>
      </w:pPr>
      <w:r w:rsidRPr="00752A5D">
        <w:rPr>
          <w:bCs/>
          <w:szCs w:val="20"/>
        </w:rPr>
        <w:t>Factors driving the recent improvement in the euro area’s international investment position. ECB Economic Bulletin, Issue 3 / 2018.</w:t>
      </w:r>
    </w:p>
    <w:p w14:paraId="321B93D5" w14:textId="17214618" w:rsidR="006A4B10" w:rsidRDefault="006A4B10" w:rsidP="000D2172">
      <w:pPr>
        <w:pStyle w:val="LiteraturaUMAR"/>
        <w:numPr>
          <w:ilvl w:val="0"/>
          <w:numId w:val="0"/>
        </w:numPr>
        <w:spacing w:after="40"/>
        <w:ind w:left="357" w:hanging="357"/>
        <w:rPr>
          <w:bCs/>
          <w:szCs w:val="20"/>
        </w:rPr>
      </w:pPr>
      <w:r w:rsidRPr="006A4B10">
        <w:rPr>
          <w:bCs/>
          <w:szCs w:val="20"/>
        </w:rPr>
        <w:t>Germany’s Foreign Investment Returns in International Comparison</w:t>
      </w:r>
      <w:r>
        <w:rPr>
          <w:bCs/>
          <w:szCs w:val="20"/>
        </w:rPr>
        <w:t xml:space="preserve"> (2019). Kiel </w:t>
      </w:r>
      <w:r w:rsidRPr="006A4B10">
        <w:rPr>
          <w:bCs/>
          <w:szCs w:val="20"/>
        </w:rPr>
        <w:t>Working Paper No.</w:t>
      </w:r>
      <w:r>
        <w:rPr>
          <w:bCs/>
          <w:szCs w:val="20"/>
        </w:rPr>
        <w:t xml:space="preserve"> </w:t>
      </w:r>
      <w:r w:rsidR="00C408F4">
        <w:rPr>
          <w:bCs/>
          <w:szCs w:val="20"/>
        </w:rPr>
        <w:t>2133.</w:t>
      </w:r>
    </w:p>
    <w:p w14:paraId="2A11CE1A" w14:textId="77777777" w:rsidR="0031300D" w:rsidRDefault="0031300D" w:rsidP="000D2172">
      <w:pPr>
        <w:pStyle w:val="LiteraturaUMAR"/>
        <w:numPr>
          <w:ilvl w:val="0"/>
          <w:numId w:val="0"/>
        </w:numPr>
        <w:spacing w:after="40"/>
        <w:ind w:left="357" w:hanging="357"/>
        <w:rPr>
          <w:szCs w:val="20"/>
        </w:rPr>
      </w:pPr>
      <w:r w:rsidRPr="0031300D">
        <w:rPr>
          <w:szCs w:val="20"/>
        </w:rPr>
        <w:t xml:space="preserve">IMF External sector report: Global Imbalances and the COVID-19 Crisis. (2020). Washington: International Monetary Fund. </w:t>
      </w:r>
    </w:p>
    <w:p w14:paraId="02F702C9" w14:textId="13F73BDE" w:rsidR="00166C61" w:rsidRPr="0031300D" w:rsidRDefault="00166C61" w:rsidP="000D2172">
      <w:pPr>
        <w:pStyle w:val="LiteraturaUMAR"/>
        <w:numPr>
          <w:ilvl w:val="0"/>
          <w:numId w:val="0"/>
        </w:numPr>
        <w:spacing w:after="40"/>
        <w:ind w:left="357" w:hanging="357"/>
        <w:rPr>
          <w:szCs w:val="20"/>
        </w:rPr>
      </w:pPr>
      <w:r>
        <w:rPr>
          <w:szCs w:val="20"/>
        </w:rPr>
        <w:t xml:space="preserve">Lane P. (2015). </w:t>
      </w:r>
      <w:r w:rsidR="00513FD2" w:rsidRPr="00513FD2">
        <w:rPr>
          <w:szCs w:val="20"/>
        </w:rPr>
        <w:t xml:space="preserve">A </w:t>
      </w:r>
      <w:r w:rsidR="00513FD2">
        <w:rPr>
          <w:szCs w:val="20"/>
        </w:rPr>
        <w:t>financial</w:t>
      </w:r>
      <w:r w:rsidR="00513FD2" w:rsidRPr="00513FD2">
        <w:rPr>
          <w:szCs w:val="20"/>
        </w:rPr>
        <w:t xml:space="preserve"> </w:t>
      </w:r>
      <w:r w:rsidR="00513FD2">
        <w:rPr>
          <w:szCs w:val="20"/>
        </w:rPr>
        <w:t>perspective on the</w:t>
      </w:r>
      <w:r w:rsidR="00513FD2" w:rsidRPr="00513FD2">
        <w:rPr>
          <w:szCs w:val="20"/>
        </w:rPr>
        <w:t xml:space="preserve"> UK </w:t>
      </w:r>
      <w:r w:rsidR="00513FD2">
        <w:rPr>
          <w:szCs w:val="20"/>
        </w:rPr>
        <w:t xml:space="preserve">current account deficit. </w:t>
      </w:r>
      <w:r w:rsidR="00C928A4" w:rsidRPr="00C928A4">
        <w:rPr>
          <w:szCs w:val="20"/>
        </w:rPr>
        <w:t>National Institute Economic Review No. 234</w:t>
      </w:r>
      <w:r w:rsidR="00C928A4">
        <w:rPr>
          <w:szCs w:val="20"/>
        </w:rPr>
        <w:t>.</w:t>
      </w:r>
    </w:p>
    <w:p w14:paraId="081C8B79" w14:textId="77777777" w:rsidR="0031300D" w:rsidRDefault="0031300D" w:rsidP="000D2172">
      <w:pPr>
        <w:pStyle w:val="LiteraturaUMAR"/>
        <w:numPr>
          <w:ilvl w:val="0"/>
          <w:numId w:val="0"/>
        </w:numPr>
        <w:spacing w:after="40"/>
        <w:ind w:left="357" w:hanging="357"/>
        <w:rPr>
          <w:szCs w:val="20"/>
        </w:rPr>
      </w:pPr>
      <w:r w:rsidRPr="0031300D">
        <w:rPr>
          <w:szCs w:val="20"/>
        </w:rPr>
        <w:t>Markič J. (2020). Analiza odzivnosti slovenskega blagovnega izvoza. Delovni zvezek št. 2/2020, letnik XXIX. Ljubljana: Urad RS za makroekonske analize in razvoj.</w:t>
      </w:r>
    </w:p>
    <w:p w14:paraId="47D4BC28" w14:textId="2BF62D2E" w:rsidR="004A7209" w:rsidRDefault="004A7209" w:rsidP="000D2172">
      <w:pPr>
        <w:pStyle w:val="LiteraturaUMAR"/>
        <w:numPr>
          <w:ilvl w:val="0"/>
          <w:numId w:val="0"/>
        </w:numPr>
        <w:spacing w:after="40"/>
        <w:ind w:left="357" w:hanging="357"/>
        <w:rPr>
          <w:szCs w:val="20"/>
        </w:rPr>
      </w:pPr>
      <w:r w:rsidRPr="0031300D">
        <w:rPr>
          <w:szCs w:val="20"/>
        </w:rPr>
        <w:t>Markič J. (202</w:t>
      </w:r>
      <w:r>
        <w:rPr>
          <w:szCs w:val="20"/>
        </w:rPr>
        <w:t>1</w:t>
      </w:r>
      <w:r w:rsidRPr="0031300D">
        <w:rPr>
          <w:szCs w:val="20"/>
        </w:rPr>
        <w:t>).</w:t>
      </w:r>
      <w:r>
        <w:rPr>
          <w:szCs w:val="20"/>
        </w:rPr>
        <w:t xml:space="preserve"> Mednarodne naložbe Slovenije. Kratke analize, september 2021.</w:t>
      </w:r>
    </w:p>
    <w:p w14:paraId="5608D2EB" w14:textId="1BA79152" w:rsidR="004A7209" w:rsidRDefault="004A7209" w:rsidP="000D2172">
      <w:pPr>
        <w:pStyle w:val="LiteraturaUMAR"/>
        <w:numPr>
          <w:ilvl w:val="0"/>
          <w:numId w:val="0"/>
        </w:numPr>
        <w:spacing w:after="40"/>
        <w:ind w:left="357" w:hanging="357"/>
        <w:rPr>
          <w:szCs w:val="20"/>
        </w:rPr>
      </w:pPr>
      <w:r>
        <w:rPr>
          <w:szCs w:val="20"/>
        </w:rPr>
        <w:t xml:space="preserve">Mayer J. (2021). </w:t>
      </w:r>
      <w:r w:rsidRPr="004A7209">
        <w:rPr>
          <w:szCs w:val="20"/>
        </w:rPr>
        <w:t>The “exorbitant privilege” and “exorbitant duty”of the United States in the international monetary system: implications for developing countries. Review of World Economics (2021) 157:927–964.</w:t>
      </w:r>
    </w:p>
    <w:p w14:paraId="1D22FFC4" w14:textId="5232A710" w:rsidR="00553C30" w:rsidRPr="0031300D" w:rsidRDefault="00553C30" w:rsidP="000D2172">
      <w:pPr>
        <w:pStyle w:val="LiteraturaUMAR"/>
        <w:numPr>
          <w:ilvl w:val="0"/>
          <w:numId w:val="0"/>
        </w:numPr>
        <w:spacing w:after="40"/>
        <w:ind w:left="357" w:hanging="357"/>
        <w:rPr>
          <w:szCs w:val="20"/>
        </w:rPr>
      </w:pPr>
      <w:r>
        <w:rPr>
          <w:szCs w:val="20"/>
        </w:rPr>
        <w:t>Ministrstvo za finance (2022). Strategija razvoja trga kapitala</w:t>
      </w:r>
      <w:r w:rsidR="007C7C2D">
        <w:rPr>
          <w:szCs w:val="20"/>
        </w:rPr>
        <w:t xml:space="preserve"> v Sloveniji za obdobje 2023-2030.</w:t>
      </w:r>
    </w:p>
    <w:p w14:paraId="4A1F5422" w14:textId="77777777" w:rsidR="0031300D" w:rsidRDefault="0031300D" w:rsidP="000D2172">
      <w:pPr>
        <w:pStyle w:val="LiteraturaUMAR"/>
        <w:numPr>
          <w:ilvl w:val="0"/>
          <w:numId w:val="0"/>
        </w:numPr>
        <w:spacing w:after="40"/>
        <w:ind w:left="357" w:hanging="357"/>
        <w:rPr>
          <w:szCs w:val="20"/>
        </w:rPr>
      </w:pPr>
      <w:r w:rsidRPr="00015806">
        <w:rPr>
          <w:szCs w:val="20"/>
        </w:rPr>
        <w:t xml:space="preserve">Oddo G., in Tosti E. (2017). </w:t>
      </w:r>
      <w:r w:rsidRPr="0031300D">
        <w:rPr>
          <w:szCs w:val="20"/>
          <w:lang w:val="en-US"/>
        </w:rPr>
        <w:t xml:space="preserve">The evolution of </w:t>
      </w:r>
      <w:r w:rsidRPr="0031300D">
        <w:rPr>
          <w:szCs w:val="20"/>
        </w:rPr>
        <w:t>Italy’s investment income balance. Banca D’Italia.</w:t>
      </w:r>
    </w:p>
    <w:p w14:paraId="2579998A" w14:textId="3AA9B93F" w:rsidR="00810C59" w:rsidRPr="0031300D" w:rsidRDefault="00810C59" w:rsidP="000D2172">
      <w:pPr>
        <w:pStyle w:val="LiteraturaUMAR"/>
        <w:numPr>
          <w:ilvl w:val="0"/>
          <w:numId w:val="0"/>
        </w:numPr>
        <w:spacing w:after="40"/>
        <w:ind w:left="357" w:hanging="357"/>
        <w:rPr>
          <w:szCs w:val="20"/>
        </w:rPr>
      </w:pPr>
      <w:r w:rsidRPr="00810C59">
        <w:rPr>
          <w:szCs w:val="20"/>
        </w:rPr>
        <w:t>T</w:t>
      </w:r>
      <w:r>
        <w:rPr>
          <w:szCs w:val="20"/>
        </w:rPr>
        <w:t xml:space="preserve">rends in net international investment positions during the pandemic period (2022). United Nations. Monthly briefing No. 158. </w:t>
      </w:r>
    </w:p>
    <w:p w14:paraId="2EEB7884" w14:textId="77777777" w:rsidR="0031300D" w:rsidRPr="00015806" w:rsidRDefault="0031300D" w:rsidP="000D2172">
      <w:pPr>
        <w:pStyle w:val="LiteraturaUMAR"/>
        <w:numPr>
          <w:ilvl w:val="0"/>
          <w:numId w:val="0"/>
        </w:numPr>
        <w:spacing w:after="40"/>
        <w:ind w:left="357" w:hanging="357"/>
        <w:rPr>
          <w:szCs w:val="20"/>
          <w:lang w:val="en-US"/>
        </w:rPr>
      </w:pPr>
      <w:r w:rsidRPr="0031300D">
        <w:rPr>
          <w:szCs w:val="20"/>
        </w:rPr>
        <w:t>The impact of COVID-19 on China’s Balance of Payments and Foreign reserves. (2020). BBVA research</w:t>
      </w:r>
      <w:r w:rsidRPr="0031300D">
        <w:rPr>
          <w:szCs w:val="20"/>
          <w:lang w:val="en-US"/>
        </w:rPr>
        <w:t>.</w:t>
      </w:r>
    </w:p>
    <w:p w14:paraId="67501877" w14:textId="0F90CB21" w:rsidR="00810C59" w:rsidRPr="00015806" w:rsidRDefault="00810C59" w:rsidP="000D2172">
      <w:pPr>
        <w:pStyle w:val="LiteraturaUMAR"/>
        <w:numPr>
          <w:ilvl w:val="0"/>
          <w:numId w:val="0"/>
        </w:numPr>
        <w:spacing w:after="40"/>
        <w:ind w:left="357" w:hanging="357"/>
        <w:rPr>
          <w:szCs w:val="20"/>
          <w:lang w:val="en-US"/>
        </w:rPr>
      </w:pPr>
      <w:r w:rsidRPr="00810C59">
        <w:rPr>
          <w:szCs w:val="20"/>
          <w:lang w:val="en-US"/>
        </w:rPr>
        <w:t xml:space="preserve">Understanding the UK’s net international investment position. </w:t>
      </w:r>
      <w:r w:rsidRPr="00015806">
        <w:rPr>
          <w:szCs w:val="20"/>
          <w:lang w:val="en-US"/>
        </w:rPr>
        <w:t>(2020). Office for National Statistics.</w:t>
      </w:r>
    </w:p>
    <w:p w14:paraId="1A7B2377" w14:textId="77777777" w:rsidR="0031300D" w:rsidRPr="0031300D" w:rsidRDefault="0031300D" w:rsidP="000D2172">
      <w:pPr>
        <w:pStyle w:val="LiteraturaUMAR"/>
        <w:numPr>
          <w:ilvl w:val="0"/>
          <w:numId w:val="0"/>
        </w:numPr>
        <w:spacing w:after="40"/>
        <w:ind w:left="357" w:hanging="357"/>
        <w:rPr>
          <w:szCs w:val="20"/>
        </w:rPr>
      </w:pPr>
      <w:r w:rsidRPr="0031300D">
        <w:rPr>
          <w:szCs w:val="20"/>
        </w:rPr>
        <w:t>Yang L. (2018). Net foreign assets, real exchange rates and net exports revisited. Working Paper No. 2011/10.</w:t>
      </w:r>
    </w:p>
    <w:p w14:paraId="010C58F6" w14:textId="77777777" w:rsidR="0031300D" w:rsidRPr="0031300D" w:rsidRDefault="0031300D" w:rsidP="000D2172">
      <w:pPr>
        <w:pStyle w:val="LiteraturaUMAR"/>
        <w:numPr>
          <w:ilvl w:val="0"/>
          <w:numId w:val="0"/>
        </w:numPr>
        <w:spacing w:after="40"/>
        <w:ind w:left="357" w:hanging="357"/>
        <w:rPr>
          <w:rStyle w:val="Hyperlink"/>
          <w:color w:val="auto"/>
          <w:szCs w:val="20"/>
          <w:lang w:val="it-IT"/>
        </w:rPr>
      </w:pPr>
      <w:r w:rsidRPr="0031300D">
        <w:rPr>
          <w:szCs w:val="20"/>
          <w:lang w:val="it-IT"/>
        </w:rPr>
        <w:lastRenderedPageBreak/>
        <w:t xml:space="preserve">Banka Slovenije (2023) podatkovni portal. Ljubljana. Pridobljeno na </w:t>
      </w:r>
      <w:hyperlink r:id="rId40" w:history="1">
        <w:r w:rsidRPr="00C06691">
          <w:rPr>
            <w:rStyle w:val="Hyperlink"/>
            <w:rFonts w:eastAsia="Calibri" w:cs="Arial"/>
            <w:color w:val="auto"/>
            <w:szCs w:val="20"/>
            <w:u w:val="none"/>
            <w:lang w:val="it-IT"/>
          </w:rPr>
          <w:t>https://www.bsi.si/statistika/podatkovne-serije/podatkovne-serije</w:t>
        </w:r>
      </w:hyperlink>
    </w:p>
    <w:p w14:paraId="51BD88D8" w14:textId="77777777" w:rsidR="0031300D" w:rsidRPr="0031300D" w:rsidRDefault="0031300D" w:rsidP="000D2172">
      <w:pPr>
        <w:pStyle w:val="LiteraturaUMAR"/>
        <w:numPr>
          <w:ilvl w:val="0"/>
          <w:numId w:val="0"/>
        </w:numPr>
        <w:spacing w:after="40"/>
        <w:ind w:left="357" w:hanging="357"/>
        <w:rPr>
          <w:rStyle w:val="Hyperlink"/>
          <w:color w:val="auto"/>
          <w:szCs w:val="20"/>
          <w:lang w:val="it-IT"/>
        </w:rPr>
      </w:pPr>
      <w:r w:rsidRPr="0031300D">
        <w:rPr>
          <w:szCs w:val="20"/>
          <w:lang w:val="it-IT"/>
        </w:rPr>
        <w:t>Banka Slovenije (2016) Letno poročilo 2015.</w:t>
      </w:r>
      <w:r w:rsidRPr="0031300D">
        <w:rPr>
          <w:rStyle w:val="Hyperlink"/>
          <w:color w:val="auto"/>
          <w:szCs w:val="20"/>
          <w:lang w:val="it-IT"/>
        </w:rPr>
        <w:t xml:space="preserve"> </w:t>
      </w:r>
    </w:p>
    <w:p w14:paraId="6F379824" w14:textId="77777777" w:rsidR="0031300D" w:rsidRPr="0031300D" w:rsidRDefault="0031300D" w:rsidP="000D2172">
      <w:pPr>
        <w:pStyle w:val="LiteraturaUMAR"/>
        <w:numPr>
          <w:ilvl w:val="0"/>
          <w:numId w:val="0"/>
        </w:numPr>
        <w:spacing w:after="40"/>
        <w:ind w:left="357" w:hanging="357"/>
        <w:rPr>
          <w:rStyle w:val="Hyperlink"/>
          <w:color w:val="auto"/>
          <w:szCs w:val="20"/>
          <w:lang w:val="it-IT"/>
        </w:rPr>
      </w:pPr>
      <w:r w:rsidRPr="0031300D">
        <w:rPr>
          <w:szCs w:val="20"/>
          <w:lang w:val="it-IT"/>
        </w:rPr>
        <w:t>Banka Slovenije (2021) Letno poročilo 2020.</w:t>
      </w:r>
      <w:r w:rsidRPr="0031300D">
        <w:rPr>
          <w:rStyle w:val="Hyperlink"/>
          <w:color w:val="auto"/>
          <w:szCs w:val="20"/>
          <w:lang w:val="it-IT"/>
        </w:rPr>
        <w:t xml:space="preserve"> </w:t>
      </w:r>
    </w:p>
    <w:p w14:paraId="26D0C20D" w14:textId="16DFBBCE" w:rsidR="00553C30" w:rsidRPr="00553C30" w:rsidRDefault="0031300D" w:rsidP="000D2172">
      <w:pPr>
        <w:pStyle w:val="LiteraturaUMAR"/>
        <w:numPr>
          <w:ilvl w:val="0"/>
          <w:numId w:val="0"/>
        </w:numPr>
        <w:spacing w:after="40"/>
        <w:ind w:left="357" w:hanging="357"/>
        <w:rPr>
          <w:rStyle w:val="Hyperlink"/>
          <w:color w:val="auto"/>
          <w:szCs w:val="20"/>
          <w:u w:val="none"/>
          <w:lang w:val="it-IT"/>
        </w:rPr>
      </w:pPr>
      <w:r w:rsidRPr="0031300D">
        <w:rPr>
          <w:szCs w:val="20"/>
          <w:lang w:val="it-IT"/>
        </w:rPr>
        <w:t xml:space="preserve">Eurostat Portal Page (2023). Luxemburg: Eurostat. Pridobljeno na </w:t>
      </w:r>
      <w:hyperlink r:id="rId41" w:history="1">
        <w:r w:rsidRPr="00316B97">
          <w:rPr>
            <w:rStyle w:val="Hyperlink"/>
            <w:rFonts w:eastAsia="Calibri" w:cs="Arial"/>
            <w:color w:val="auto"/>
            <w:szCs w:val="20"/>
            <w:u w:val="none"/>
            <w:lang w:val="it-IT"/>
          </w:rPr>
          <w:t>http://ec.europa.eu/eurostat/data/database</w:t>
        </w:r>
      </w:hyperlink>
    </w:p>
    <w:p w14:paraId="5B7BFCF1" w14:textId="77777777" w:rsidR="0031300D" w:rsidRPr="0031300D" w:rsidRDefault="0031300D" w:rsidP="000D2172">
      <w:pPr>
        <w:pStyle w:val="LiteraturaUMAR"/>
        <w:numPr>
          <w:ilvl w:val="0"/>
          <w:numId w:val="0"/>
        </w:numPr>
        <w:spacing w:after="40"/>
        <w:ind w:left="357" w:hanging="357"/>
        <w:rPr>
          <w:szCs w:val="20"/>
          <w:lang w:val="it-IT"/>
        </w:rPr>
      </w:pPr>
      <w:r w:rsidRPr="0031300D">
        <w:rPr>
          <w:szCs w:val="20"/>
          <w:lang w:val="it-IT"/>
        </w:rPr>
        <w:t>SURS. (2021). SI-STAT podatkovni portal. Ljubljana: Statistični urad RS. Pridobljeno na:</w:t>
      </w:r>
    </w:p>
    <w:p w14:paraId="3EA38E54" w14:textId="77777777" w:rsidR="0031300D" w:rsidRPr="00316B97" w:rsidRDefault="004B59E1" w:rsidP="000D2172">
      <w:pPr>
        <w:pStyle w:val="LiteraturaUMAR"/>
        <w:numPr>
          <w:ilvl w:val="0"/>
          <w:numId w:val="0"/>
        </w:numPr>
        <w:spacing w:after="40"/>
        <w:ind w:left="357" w:hanging="357"/>
        <w:rPr>
          <w:rFonts w:cs="Arial"/>
          <w:szCs w:val="20"/>
        </w:rPr>
      </w:pPr>
      <w:hyperlink r:id="rId42" w:history="1">
        <w:r w:rsidR="0031300D" w:rsidRPr="00316B97">
          <w:rPr>
            <w:rStyle w:val="Hyperlink"/>
            <w:rFonts w:cs="Arial"/>
            <w:color w:val="auto"/>
            <w:szCs w:val="20"/>
            <w:u w:val="none"/>
          </w:rPr>
          <w:t>https://pxweb.stat.si/pxweb/Database/Ekonomsko/Ekonomsko.asp</w:t>
        </w:r>
      </w:hyperlink>
    </w:p>
    <w:p w14:paraId="2398121F" w14:textId="77777777" w:rsidR="0031300D" w:rsidRPr="0031300D" w:rsidRDefault="0031300D" w:rsidP="000D2172">
      <w:pPr>
        <w:pStyle w:val="LiteraturaUMAR"/>
        <w:numPr>
          <w:ilvl w:val="0"/>
          <w:numId w:val="0"/>
        </w:numPr>
        <w:spacing w:after="40"/>
        <w:ind w:left="357" w:hanging="357"/>
        <w:rPr>
          <w:rStyle w:val="Hyperlink"/>
          <w:color w:val="auto"/>
          <w:szCs w:val="20"/>
        </w:rPr>
      </w:pPr>
      <w:r w:rsidRPr="0031300D">
        <w:rPr>
          <w:szCs w:val="20"/>
        </w:rPr>
        <w:t xml:space="preserve">UMAR (2023). Pomladanska napoved gospodarskih gibanj. Ljubljana: Urad RS za makroekonomske analize in razvoj. Pridobljeno na: </w:t>
      </w:r>
      <w:hyperlink r:id="rId43" w:history="1">
        <w:r w:rsidRPr="00316B97">
          <w:rPr>
            <w:rStyle w:val="Hyperlink"/>
            <w:color w:val="auto"/>
            <w:szCs w:val="20"/>
            <w:u w:val="none"/>
          </w:rPr>
          <w:t>https://www.UMAR.gov.si/</w:t>
        </w:r>
      </w:hyperlink>
    </w:p>
    <w:p w14:paraId="1BFBEE6E" w14:textId="36CAA69B" w:rsidR="0031300D" w:rsidRPr="0031300D" w:rsidRDefault="0031300D" w:rsidP="000D2172">
      <w:pPr>
        <w:pStyle w:val="LiteraturaUMAR"/>
        <w:numPr>
          <w:ilvl w:val="0"/>
          <w:numId w:val="0"/>
        </w:numPr>
        <w:spacing w:after="40"/>
        <w:ind w:left="357" w:hanging="357"/>
        <w:rPr>
          <w:rStyle w:val="Hyperlink"/>
          <w:color w:val="auto"/>
          <w:szCs w:val="20"/>
        </w:rPr>
      </w:pPr>
      <w:r w:rsidRPr="0031300D">
        <w:rPr>
          <w:szCs w:val="20"/>
        </w:rPr>
        <w:t>UMAR (20</w:t>
      </w:r>
      <w:r w:rsidR="00553C30">
        <w:rPr>
          <w:szCs w:val="20"/>
        </w:rPr>
        <w:t>20</w:t>
      </w:r>
      <w:r w:rsidRPr="0031300D">
        <w:rPr>
          <w:szCs w:val="20"/>
        </w:rPr>
        <w:t>). Poročilo o razvoju. Ljubljana: Urad RS za makroekonomske analize in razvoj. Pridobljeno na</w:t>
      </w:r>
      <w:r w:rsidRPr="00316B97">
        <w:rPr>
          <w:szCs w:val="20"/>
        </w:rPr>
        <w:t xml:space="preserve">: </w:t>
      </w:r>
      <w:hyperlink r:id="rId44" w:history="1">
        <w:r w:rsidRPr="00316B97">
          <w:rPr>
            <w:rStyle w:val="Hyperlink"/>
            <w:color w:val="auto"/>
            <w:szCs w:val="20"/>
            <w:u w:val="none"/>
          </w:rPr>
          <w:t>https://www.UMAR.gov.si/</w:t>
        </w:r>
      </w:hyperlink>
    </w:p>
    <w:p w14:paraId="2AF6AA29" w14:textId="4BCD94A0" w:rsidR="0031300D" w:rsidRPr="00316B97" w:rsidRDefault="0031300D" w:rsidP="000D2172">
      <w:pPr>
        <w:pStyle w:val="LiteraturaUMAR"/>
        <w:numPr>
          <w:ilvl w:val="0"/>
          <w:numId w:val="0"/>
        </w:numPr>
        <w:spacing w:after="40"/>
        <w:ind w:left="357" w:hanging="357"/>
        <w:rPr>
          <w:rStyle w:val="Hyperlink"/>
          <w:color w:val="auto"/>
          <w:szCs w:val="20"/>
          <w:u w:val="none"/>
        </w:rPr>
      </w:pPr>
      <w:r w:rsidRPr="0031300D">
        <w:rPr>
          <w:szCs w:val="20"/>
        </w:rPr>
        <w:t>UMAR (202</w:t>
      </w:r>
      <w:r w:rsidR="00553C30">
        <w:rPr>
          <w:szCs w:val="20"/>
        </w:rPr>
        <w:t>3</w:t>
      </w:r>
      <w:r w:rsidRPr="0031300D">
        <w:rPr>
          <w:szCs w:val="20"/>
        </w:rPr>
        <w:t xml:space="preserve">). Poročilo o razvoju. Ljubljana: Urad RS za makroekonomske analize in razvoj. Pridobljeno na: </w:t>
      </w:r>
      <w:hyperlink r:id="rId45" w:history="1">
        <w:r w:rsidRPr="00316B97">
          <w:rPr>
            <w:rStyle w:val="Hyperlink"/>
            <w:color w:val="auto"/>
            <w:szCs w:val="20"/>
            <w:u w:val="none"/>
          </w:rPr>
          <w:t>https://www.UMAR.gov.si/</w:t>
        </w:r>
      </w:hyperlink>
    </w:p>
    <w:p w14:paraId="6B8430EC" w14:textId="1B97323B" w:rsidR="0031300D" w:rsidRPr="0031300D" w:rsidRDefault="0031300D" w:rsidP="000D2172">
      <w:pPr>
        <w:pStyle w:val="LiteraturaUMAR"/>
        <w:numPr>
          <w:ilvl w:val="0"/>
          <w:numId w:val="0"/>
        </w:numPr>
        <w:spacing w:after="40"/>
        <w:ind w:left="357" w:hanging="357"/>
        <w:rPr>
          <w:szCs w:val="20"/>
          <w:lang w:val="it-IT"/>
        </w:rPr>
      </w:pPr>
      <w:r w:rsidRPr="0031300D">
        <w:rPr>
          <w:szCs w:val="20"/>
          <w:lang w:val="it-IT"/>
        </w:rPr>
        <w:t xml:space="preserve">WTO (2021). Portal Page (2019). Pridobljeno na:   </w:t>
      </w:r>
      <w:hyperlink r:id="rId46" w:history="1">
        <w:r w:rsidRPr="00316B97">
          <w:rPr>
            <w:rStyle w:val="Hyperlink"/>
            <w:rFonts w:eastAsia="Calibri" w:cs="Arial"/>
            <w:color w:val="auto"/>
            <w:szCs w:val="20"/>
            <w:u w:val="none"/>
            <w:lang w:val="it-IT"/>
          </w:rPr>
          <w:t>https://www.wto.org/english/res_e/statis_e/merch_trade_stat_e.htm</w:t>
        </w:r>
      </w:hyperlink>
    </w:p>
    <w:p w14:paraId="4955B390" w14:textId="77777777" w:rsidR="0031300D" w:rsidRDefault="0031300D" w:rsidP="000D2172">
      <w:pPr>
        <w:pStyle w:val="BesediloUMAR"/>
      </w:pPr>
    </w:p>
    <w:p w14:paraId="77D66F74" w14:textId="77777777" w:rsidR="0031300D" w:rsidRDefault="0031300D" w:rsidP="000D2172">
      <w:pPr>
        <w:pStyle w:val="BesediloUMAR"/>
      </w:pPr>
    </w:p>
    <w:p w14:paraId="1962050D" w14:textId="0D301112" w:rsidR="00E21F7F" w:rsidRPr="0031300D" w:rsidRDefault="00E21F7F" w:rsidP="000D2172">
      <w:pPr>
        <w:pStyle w:val="BesediloUMAR"/>
        <w:rPr>
          <w:rFonts w:ascii="Arial" w:hAnsi="Arial" w:cs="Arial"/>
          <w:szCs w:val="20"/>
        </w:rPr>
      </w:pPr>
    </w:p>
    <w:sectPr w:rsidR="00E21F7F" w:rsidRPr="0031300D" w:rsidSect="00DA3486">
      <w:headerReference w:type="default" r:id="rId47"/>
      <w:pgSz w:w="11906" w:h="16838"/>
      <w:pgMar w:top="1701" w:right="1418" w:bottom="1418" w:left="1418" w:header="567"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A7F9C" w14:textId="77777777" w:rsidR="00CB3B81" w:rsidRDefault="00CB3B81" w:rsidP="00FF5B7E">
      <w:r>
        <w:separator/>
      </w:r>
    </w:p>
    <w:p w14:paraId="46EE4EFA" w14:textId="77777777" w:rsidR="00CB3B81" w:rsidRDefault="00CB3B81" w:rsidP="00FF5B7E"/>
    <w:p w14:paraId="3F58955A" w14:textId="77777777" w:rsidR="00CB3B81" w:rsidRDefault="00CB3B81" w:rsidP="00FF5B7E"/>
    <w:p w14:paraId="446670F1" w14:textId="77777777" w:rsidR="00CB3B81" w:rsidRDefault="00CB3B81" w:rsidP="00FF5B7E"/>
    <w:p w14:paraId="29079FD3" w14:textId="77777777" w:rsidR="00CB3B81" w:rsidRDefault="00CB3B81" w:rsidP="00FF5B7E"/>
    <w:p w14:paraId="248B2610" w14:textId="77777777" w:rsidR="00CB3B81" w:rsidRDefault="00CB3B81" w:rsidP="00FF5B7E"/>
    <w:p w14:paraId="09400770" w14:textId="77777777" w:rsidR="00CB3B81" w:rsidRDefault="00CB3B81" w:rsidP="00FF5B7E"/>
    <w:p w14:paraId="7869FC12" w14:textId="77777777" w:rsidR="00CB3B81" w:rsidRDefault="00CB3B81" w:rsidP="00FF5B7E"/>
    <w:p w14:paraId="14F83B13" w14:textId="77777777" w:rsidR="00CB3B81" w:rsidRDefault="00CB3B81" w:rsidP="00FF5B7E"/>
    <w:p w14:paraId="11FEF72F" w14:textId="77777777" w:rsidR="00CB3B81" w:rsidRDefault="00CB3B81" w:rsidP="00FF5B7E"/>
    <w:p w14:paraId="7D5D9126" w14:textId="77777777" w:rsidR="00CB3B81" w:rsidRDefault="00CB3B81" w:rsidP="00FF5B7E"/>
    <w:p w14:paraId="09965F29" w14:textId="77777777" w:rsidR="00CB3B81" w:rsidRDefault="00CB3B81" w:rsidP="00FF5B7E"/>
    <w:p w14:paraId="68CD6136" w14:textId="77777777" w:rsidR="00CB3B81" w:rsidRDefault="00CB3B81" w:rsidP="00FF5B7E"/>
    <w:p w14:paraId="2A175319" w14:textId="77777777" w:rsidR="00CB3B81" w:rsidRDefault="00CB3B81" w:rsidP="00FF5B7E"/>
    <w:p w14:paraId="5BDBB0EF" w14:textId="77777777" w:rsidR="00CB3B81" w:rsidRDefault="00CB3B81" w:rsidP="00FF5B7E"/>
    <w:p w14:paraId="161FAC46" w14:textId="77777777" w:rsidR="00CB3B81" w:rsidRDefault="00CB3B81" w:rsidP="00FF5B7E"/>
    <w:p w14:paraId="5820BF09" w14:textId="77777777" w:rsidR="00CB3B81" w:rsidRDefault="00CB3B81" w:rsidP="00FF5B7E"/>
    <w:p w14:paraId="7B4DB2A7" w14:textId="77777777" w:rsidR="00CB3B81" w:rsidRDefault="00CB3B81" w:rsidP="00FF5B7E"/>
    <w:p w14:paraId="6ECBB091" w14:textId="77777777" w:rsidR="00CB3B81" w:rsidRDefault="00CB3B81" w:rsidP="00FF5B7E"/>
  </w:endnote>
  <w:endnote w:type="continuationSeparator" w:id="0">
    <w:p w14:paraId="4DA14759" w14:textId="77777777" w:rsidR="00CB3B81" w:rsidRDefault="00CB3B81" w:rsidP="00FF5B7E">
      <w:r>
        <w:continuationSeparator/>
      </w:r>
    </w:p>
    <w:p w14:paraId="3F3AF0E8" w14:textId="77777777" w:rsidR="00CB3B81" w:rsidRDefault="00CB3B81" w:rsidP="00FF5B7E"/>
    <w:p w14:paraId="5338CA5F" w14:textId="77777777" w:rsidR="00CB3B81" w:rsidRDefault="00CB3B81" w:rsidP="00FF5B7E"/>
    <w:p w14:paraId="44B89366" w14:textId="77777777" w:rsidR="00CB3B81" w:rsidRDefault="00CB3B81" w:rsidP="00FF5B7E"/>
    <w:p w14:paraId="77FB97AD" w14:textId="77777777" w:rsidR="00CB3B81" w:rsidRDefault="00CB3B81" w:rsidP="00FF5B7E"/>
    <w:p w14:paraId="09F6D012" w14:textId="77777777" w:rsidR="00CB3B81" w:rsidRDefault="00CB3B81" w:rsidP="00FF5B7E"/>
    <w:p w14:paraId="5C98FEB4" w14:textId="77777777" w:rsidR="00CB3B81" w:rsidRDefault="00CB3B81" w:rsidP="00FF5B7E"/>
    <w:p w14:paraId="74703A1F" w14:textId="77777777" w:rsidR="00CB3B81" w:rsidRDefault="00CB3B81" w:rsidP="00FF5B7E"/>
    <w:p w14:paraId="1072A556" w14:textId="77777777" w:rsidR="00CB3B81" w:rsidRDefault="00CB3B81" w:rsidP="00FF5B7E"/>
    <w:p w14:paraId="193D8147" w14:textId="77777777" w:rsidR="00CB3B81" w:rsidRDefault="00CB3B81" w:rsidP="00FF5B7E"/>
    <w:p w14:paraId="67953AA3" w14:textId="77777777" w:rsidR="00CB3B81" w:rsidRDefault="00CB3B81" w:rsidP="00FF5B7E"/>
    <w:p w14:paraId="62F761BE" w14:textId="77777777" w:rsidR="00CB3B81" w:rsidRDefault="00CB3B81" w:rsidP="00FF5B7E"/>
    <w:p w14:paraId="476DB0C1" w14:textId="77777777" w:rsidR="00CB3B81" w:rsidRDefault="00CB3B81" w:rsidP="00FF5B7E"/>
    <w:p w14:paraId="5622CA2F" w14:textId="77777777" w:rsidR="00CB3B81" w:rsidRDefault="00CB3B81" w:rsidP="00FF5B7E"/>
    <w:p w14:paraId="0FB34066" w14:textId="77777777" w:rsidR="00CB3B81" w:rsidRDefault="00CB3B81" w:rsidP="00FF5B7E"/>
    <w:p w14:paraId="6ABA3BEE" w14:textId="77777777" w:rsidR="00CB3B81" w:rsidRDefault="00CB3B81" w:rsidP="00FF5B7E"/>
    <w:p w14:paraId="059A001E" w14:textId="77777777" w:rsidR="00CB3B81" w:rsidRDefault="00CB3B81" w:rsidP="00FF5B7E"/>
    <w:p w14:paraId="00032C89" w14:textId="77777777" w:rsidR="00CB3B81" w:rsidRDefault="00CB3B81" w:rsidP="00FF5B7E"/>
    <w:p w14:paraId="14D028A3" w14:textId="77777777" w:rsidR="00CB3B81" w:rsidRDefault="00CB3B81" w:rsidP="00FF5B7E"/>
  </w:endnote>
  <w:endnote w:type="continuationNotice" w:id="1">
    <w:p w14:paraId="5977D57B" w14:textId="77777777" w:rsidR="00CB3B81" w:rsidRDefault="00CB3B81" w:rsidP="00FF5B7E"/>
    <w:p w14:paraId="6545C86E" w14:textId="77777777" w:rsidR="00CB3B81" w:rsidRDefault="00CB3B81" w:rsidP="00FF5B7E"/>
    <w:p w14:paraId="412705F8" w14:textId="77777777" w:rsidR="00CB3B81" w:rsidRDefault="00CB3B81" w:rsidP="00FF5B7E"/>
    <w:p w14:paraId="111CC50D" w14:textId="77777777" w:rsidR="00CB3B81" w:rsidRDefault="00CB3B81" w:rsidP="00FF5B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1E667" w14:textId="77777777" w:rsidR="004B59E1" w:rsidRDefault="004B59E1">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744C0" w14:textId="77777777" w:rsidR="004B59E1" w:rsidRDefault="004B59E1">
    <w:pPr>
      <w:pStyle w:val="Footer"/>
      <w:framePr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3C080" w14:textId="77777777" w:rsidR="004B59E1" w:rsidRDefault="004B59E1">
    <w:pPr>
      <w:pStyle w:val="Footer"/>
      <w:framePr w:wrap="arou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246B2" w14:textId="77777777" w:rsidR="00CB3B81" w:rsidRPr="009B56EE" w:rsidRDefault="00CB3B81" w:rsidP="009B56EE">
      <w:pPr>
        <w:pStyle w:val="BesediloUMAR"/>
      </w:pPr>
      <w:r w:rsidRPr="009B56EE">
        <w:separator/>
      </w:r>
    </w:p>
  </w:footnote>
  <w:footnote w:type="continuationSeparator" w:id="0">
    <w:p w14:paraId="37CBDE23" w14:textId="77777777" w:rsidR="00CB3B81" w:rsidRDefault="00CB3B81" w:rsidP="00FF5B7E">
      <w:r>
        <w:separator/>
      </w:r>
    </w:p>
    <w:p w14:paraId="2315B8C9" w14:textId="77777777" w:rsidR="00CB3B81" w:rsidRDefault="00CB3B81" w:rsidP="00FF5B7E"/>
    <w:p w14:paraId="135EC938" w14:textId="77777777" w:rsidR="00CB3B81" w:rsidRDefault="00CB3B81" w:rsidP="00FF5B7E"/>
    <w:p w14:paraId="365A26C9" w14:textId="77777777" w:rsidR="00CB3B81" w:rsidRDefault="00CB3B81" w:rsidP="00FF5B7E"/>
  </w:footnote>
  <w:footnote w:type="continuationNotice" w:id="1">
    <w:p w14:paraId="6F1F3B36" w14:textId="77777777" w:rsidR="00CB3B81" w:rsidRDefault="00CB3B81" w:rsidP="00FF5B7E"/>
    <w:p w14:paraId="1C2F86AC" w14:textId="77777777" w:rsidR="00CB3B81" w:rsidRDefault="00CB3B81" w:rsidP="00FF5B7E"/>
    <w:p w14:paraId="664E384B" w14:textId="77777777" w:rsidR="00CB3B81" w:rsidRDefault="00CB3B81" w:rsidP="00FF5B7E"/>
    <w:p w14:paraId="61D27DD8" w14:textId="77777777" w:rsidR="00CB3B81" w:rsidRDefault="00CB3B81" w:rsidP="00FF5B7E"/>
  </w:footnote>
  <w:footnote w:id="2">
    <w:p w14:paraId="53D11DB2" w14:textId="77777777" w:rsidR="003A0569" w:rsidRPr="00E60803" w:rsidRDefault="003A0569" w:rsidP="00921B87">
      <w:pPr>
        <w:pStyle w:val="FootnoteText"/>
        <w:rPr>
          <w:sz w:val="16"/>
          <w:szCs w:val="16"/>
        </w:rPr>
      </w:pPr>
      <w:r w:rsidRPr="00E60803">
        <w:rPr>
          <w:rStyle w:val="FootnoteReference"/>
          <w:sz w:val="16"/>
          <w:szCs w:val="16"/>
        </w:rPr>
        <w:footnoteRef/>
      </w:r>
      <w:r w:rsidRPr="00E60803">
        <w:rPr>
          <w:sz w:val="16"/>
          <w:szCs w:val="16"/>
        </w:rPr>
        <w:t xml:space="preserve"> Ciklični dejavniki, ki kažejo kratkoročna nihanja v zunanji poziciji, vsebujejo ciklična nihanja BDP, spremembe pogojev menjave in deviznega tečaja. Ciklična komponenta pomeni, da se uvoz v obdobju gospodarske rasti (recesije) okrepi (skrči), primanjkljaj tekočega računa plačilne bilance pa poveča (zniža).</w:t>
      </w:r>
    </w:p>
  </w:footnote>
  <w:footnote w:id="3">
    <w:p w14:paraId="186D05B1" w14:textId="77777777" w:rsidR="003A0569" w:rsidRPr="00EC3652" w:rsidRDefault="003A0569" w:rsidP="00921B87">
      <w:pPr>
        <w:pStyle w:val="FootnoteText"/>
        <w:rPr>
          <w:sz w:val="16"/>
          <w:szCs w:val="16"/>
        </w:rPr>
      </w:pPr>
      <w:r>
        <w:rPr>
          <w:rStyle w:val="FootnoteReference"/>
        </w:rPr>
        <w:footnoteRef/>
      </w:r>
      <w:r>
        <w:t xml:space="preserve"> </w:t>
      </w:r>
      <w:r w:rsidRPr="00EC3652">
        <w:rPr>
          <w:sz w:val="16"/>
          <w:szCs w:val="16"/>
        </w:rPr>
        <w:t>Strukturna komponenta kaže vztrajnost zunanjih neravnovesij in vsebuje demografske dejavnike, fiskalno pozicijo, odvisnost od surovin in energentov, razvoj finančnih trgov, neto finančno pozicijo do tujine in stopnjo gospodarskega razvoja države.</w:t>
      </w:r>
    </w:p>
  </w:footnote>
  <w:footnote w:id="4">
    <w:p w14:paraId="29800A7A" w14:textId="3E38A822" w:rsidR="003A0569" w:rsidRPr="005B3B20" w:rsidRDefault="003A0569" w:rsidP="00921B87">
      <w:pPr>
        <w:pStyle w:val="FootnoteText"/>
        <w:rPr>
          <w:sz w:val="16"/>
          <w:szCs w:val="16"/>
        </w:rPr>
      </w:pPr>
      <w:r>
        <w:rPr>
          <w:rStyle w:val="FootnoteReference"/>
        </w:rPr>
        <w:footnoteRef/>
      </w:r>
      <w:r>
        <w:t xml:space="preserve"> </w:t>
      </w:r>
      <w:r w:rsidRPr="005B3B20">
        <w:rPr>
          <w:sz w:val="16"/>
          <w:szCs w:val="16"/>
        </w:rPr>
        <w:t>V obdobju približno uravnoteženega tekočega računa so k relativno stabilnem</w:t>
      </w:r>
      <w:r w:rsidR="00A54461">
        <w:rPr>
          <w:sz w:val="16"/>
          <w:szCs w:val="16"/>
        </w:rPr>
        <w:t>u</w:t>
      </w:r>
      <w:r w:rsidRPr="005B3B20">
        <w:rPr>
          <w:sz w:val="16"/>
          <w:szCs w:val="16"/>
        </w:rPr>
        <w:t xml:space="preserve"> primanjkljaju neto finančne pozicije prispevale pozitivne vrednostne spremembe. Od leta 2013 se je neto pozicija nenehno izboljševala zaradi nakopičenih presežkov tekočega računa plačilne bilance. Kumulativne vrednostne spremembe so bile negativne, vendar so se v letih 2021–2022 precej znižale.</w:t>
      </w:r>
    </w:p>
  </w:footnote>
  <w:footnote w:id="5">
    <w:p w14:paraId="27B1468F" w14:textId="1E96F65F" w:rsidR="003A0569" w:rsidRPr="001250B8" w:rsidRDefault="003A0569" w:rsidP="00921B87">
      <w:pPr>
        <w:pStyle w:val="FootnoteText"/>
        <w:rPr>
          <w:sz w:val="16"/>
          <w:szCs w:val="16"/>
        </w:rPr>
      </w:pPr>
      <w:r w:rsidRPr="001250B8">
        <w:rPr>
          <w:rStyle w:val="FootnoteReference"/>
          <w:sz w:val="16"/>
          <w:szCs w:val="16"/>
        </w:rPr>
        <w:footnoteRef/>
      </w:r>
      <w:r w:rsidRPr="001250B8">
        <w:rPr>
          <w:sz w:val="16"/>
          <w:szCs w:val="16"/>
        </w:rPr>
        <w:t xml:space="preserve"> Republika Slovenija </w:t>
      </w:r>
      <w:r w:rsidRPr="001250B8">
        <w:rPr>
          <w:rFonts w:cs="Arial"/>
          <w:sz w:val="16"/>
          <w:szCs w:val="16"/>
        </w:rPr>
        <w:t>v letih 2018 in 2019 sklenila več izvedenih finančnih instrumentov, ki omogočajo ščitenje pred dvigom osnovne obrestne mere srednje obrestne zamenjave (angl. interest rate swap).</w:t>
      </w:r>
    </w:p>
  </w:footnote>
  <w:footnote w:id="6">
    <w:p w14:paraId="56ECA8AD" w14:textId="20766212" w:rsidR="003A0569" w:rsidRPr="001250B8" w:rsidRDefault="003A0569" w:rsidP="00921B87">
      <w:pPr>
        <w:pStyle w:val="FootnoteText"/>
        <w:rPr>
          <w:sz w:val="16"/>
          <w:szCs w:val="16"/>
        </w:rPr>
      </w:pPr>
      <w:r w:rsidRPr="001250B8">
        <w:rPr>
          <w:rStyle w:val="FootnoteReference"/>
          <w:sz w:val="16"/>
          <w:szCs w:val="16"/>
        </w:rPr>
        <w:footnoteRef/>
      </w:r>
      <w:r w:rsidRPr="001250B8">
        <w:rPr>
          <w:sz w:val="16"/>
          <w:szCs w:val="16"/>
        </w:rPr>
        <w:t xml:space="preserve"> Dolgoročne obrestne mere s</w:t>
      </w:r>
      <w:r>
        <w:rPr>
          <w:sz w:val="16"/>
          <w:szCs w:val="16"/>
        </w:rPr>
        <w:t>o</w:t>
      </w:r>
      <w:r w:rsidRPr="001250B8">
        <w:rPr>
          <w:sz w:val="16"/>
          <w:szCs w:val="16"/>
        </w:rPr>
        <w:t xml:space="preserve"> obrestne mere za državne obveznice z dospelostjo 10 let, s katerimi se trguje na mednarodnih finančnih trgih. </w:t>
      </w:r>
      <w:r>
        <w:rPr>
          <w:sz w:val="16"/>
          <w:szCs w:val="16"/>
        </w:rPr>
        <w:t>Države se večinoma zadolžujejo s prodajo obveznic po fiksni obrestni meri. Ne glede na nihanja obrestnih mer, države za izdane obveznice plačujejo fiksni znesek obresti do dospelosti. Vendar pa gibanje obrestnih mer vpliva na tržno vrednost obveznic. Dvig obrestnih mer zniža tržno vrednost (ceno) obstoječih obveznic in obratno. Cenovne spremembe se v stanju mednarodnih naložb knjižijo kot učinek vrednotenja.</w:t>
      </w:r>
    </w:p>
  </w:footnote>
  <w:footnote w:id="7">
    <w:p w14:paraId="500FCEB0" w14:textId="42963EFE" w:rsidR="003A0569" w:rsidRPr="00890078" w:rsidRDefault="003A0569" w:rsidP="00921B87">
      <w:pPr>
        <w:pStyle w:val="FootnoteText"/>
        <w:rPr>
          <w:sz w:val="16"/>
          <w:szCs w:val="16"/>
        </w:rPr>
      </w:pPr>
      <w:r w:rsidRPr="00890078">
        <w:rPr>
          <w:rStyle w:val="FootnoteReference"/>
          <w:sz w:val="16"/>
          <w:szCs w:val="16"/>
        </w:rPr>
        <w:footnoteRef/>
      </w:r>
      <w:r w:rsidRPr="00890078">
        <w:rPr>
          <w:sz w:val="16"/>
          <w:szCs w:val="16"/>
        </w:rPr>
        <w:t xml:space="preserve"> Izrazita nihanja vrednosti delnic so bila predvsem zaradi: (i) zloma tehnoloških delnic v letu 2002, globalne finančn</w:t>
      </w:r>
      <w:r w:rsidR="007144CD">
        <w:rPr>
          <w:sz w:val="16"/>
          <w:szCs w:val="16"/>
        </w:rPr>
        <w:t>o</w:t>
      </w:r>
      <w:r w:rsidRPr="00890078">
        <w:rPr>
          <w:sz w:val="16"/>
          <w:szCs w:val="16"/>
        </w:rPr>
        <w:t>-gospodarsk</w:t>
      </w:r>
      <w:r w:rsidR="003F5F84">
        <w:rPr>
          <w:sz w:val="16"/>
          <w:szCs w:val="16"/>
        </w:rPr>
        <w:t>e</w:t>
      </w:r>
      <w:r w:rsidRPr="00890078">
        <w:rPr>
          <w:sz w:val="16"/>
          <w:szCs w:val="16"/>
        </w:rPr>
        <w:t xml:space="preserve"> krize v obdobju 2007</w:t>
      </w:r>
      <w:r w:rsidR="003F5F84">
        <w:rPr>
          <w:sz w:val="16"/>
          <w:szCs w:val="16"/>
        </w:rPr>
        <w:t>–</w:t>
      </w:r>
      <w:r w:rsidRPr="00890078">
        <w:rPr>
          <w:sz w:val="16"/>
          <w:szCs w:val="16"/>
        </w:rPr>
        <w:t xml:space="preserve">2009, (ii) pandemije in </w:t>
      </w:r>
      <w:r w:rsidRPr="008C462C">
        <w:rPr>
          <w:sz w:val="16"/>
          <w:szCs w:val="16"/>
        </w:rPr>
        <w:t>okrevanja v o</w:t>
      </w:r>
      <w:r w:rsidRPr="00890078">
        <w:rPr>
          <w:sz w:val="16"/>
          <w:szCs w:val="16"/>
        </w:rPr>
        <w:t>bdobju 2020</w:t>
      </w:r>
      <w:r w:rsidR="003F5F84">
        <w:rPr>
          <w:sz w:val="16"/>
          <w:szCs w:val="16"/>
        </w:rPr>
        <w:t>–</w:t>
      </w:r>
      <w:r w:rsidRPr="00890078">
        <w:rPr>
          <w:sz w:val="16"/>
          <w:szCs w:val="16"/>
        </w:rPr>
        <w:t xml:space="preserve">2021 ter (iii) uvedbe restriktivne monetarne politike v letu 2022. </w:t>
      </w:r>
    </w:p>
  </w:footnote>
  <w:footnote w:id="8">
    <w:p w14:paraId="0325C511" w14:textId="77777777" w:rsidR="003A0569" w:rsidRPr="00CB34E6" w:rsidRDefault="003A0569" w:rsidP="00921B87">
      <w:pPr>
        <w:spacing w:after="0" w:line="288" w:lineRule="auto"/>
        <w:jc w:val="both"/>
        <w:rPr>
          <w:rFonts w:ascii="Myriad Pro" w:hAnsi="Myriad Pro" w:cs="Arial"/>
          <w:sz w:val="16"/>
          <w:szCs w:val="16"/>
        </w:rPr>
      </w:pPr>
      <w:r w:rsidRPr="00CB34E6">
        <w:rPr>
          <w:rStyle w:val="FootnoteReference"/>
          <w:sz w:val="16"/>
          <w:szCs w:val="16"/>
        </w:rPr>
        <w:footnoteRef/>
      </w:r>
      <w:r w:rsidRPr="00CB34E6">
        <w:rPr>
          <w:rFonts w:ascii="Myriad Pro" w:hAnsi="Myriad Pro"/>
          <w:sz w:val="16"/>
          <w:szCs w:val="16"/>
        </w:rPr>
        <w:t xml:space="preserve"> </w:t>
      </w:r>
      <w:r w:rsidRPr="00CB34E6">
        <w:rPr>
          <w:rFonts w:ascii="Myriad Pro" w:hAnsi="Myriad Pro" w:cs="Arial"/>
          <w:sz w:val="16"/>
          <w:szCs w:val="16"/>
        </w:rPr>
        <w:t xml:space="preserve">Restriktivna denarna politika je vplivala tudi na spremembe cen delnic. Osrednji ameriški delniški indeks S&amp;P 500 je leta 2022 upadel za 4,2 %, osrednji evropski delniški indeks Stoxx Europe 50 za 7,5 %, japonski delniški indeks Nikkei 225 pa za 5,5 %. V Sloveniji se je po podatkih OECD delniški indeks nekoliko povečal, in sicer za 2,6 %.  </w:t>
      </w:r>
    </w:p>
    <w:p w14:paraId="5B05C509" w14:textId="77777777" w:rsidR="003A0569" w:rsidRPr="00CB34E6" w:rsidRDefault="003A0569" w:rsidP="00921B87">
      <w:pPr>
        <w:pStyle w:val="FootnoteText"/>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1C739" w14:textId="77777777" w:rsidR="004B59E1" w:rsidRDefault="004B59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7B46D" w14:textId="77777777" w:rsidR="004B59E1" w:rsidRDefault="004B59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FD28B" w14:textId="77777777" w:rsidR="004B59E1" w:rsidRDefault="004B59E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7" w:type="dxa"/>
      <w:tblCellMar>
        <w:left w:w="0" w:type="dxa"/>
        <w:right w:w="0" w:type="dxa"/>
      </w:tblCellMar>
      <w:tblLook w:val="04A0" w:firstRow="1" w:lastRow="0" w:firstColumn="1" w:lastColumn="0" w:noHBand="0" w:noVBand="1"/>
    </w:tblPr>
    <w:tblGrid>
      <w:gridCol w:w="8924"/>
      <w:gridCol w:w="153"/>
    </w:tblGrid>
    <w:tr w:rsidR="003A0569" w:rsidRPr="00717C1B" w14:paraId="3FDB05BC" w14:textId="77777777" w:rsidTr="004B59E1">
      <w:trPr>
        <w:trHeight w:val="632"/>
      </w:trPr>
      <w:tc>
        <w:tcPr>
          <w:tcW w:w="8924" w:type="dxa"/>
        </w:tcPr>
        <w:p w14:paraId="420BFBF8" w14:textId="126EC2ED" w:rsidR="003A0569" w:rsidRPr="00717C1B" w:rsidRDefault="003A0569" w:rsidP="004B59E1">
          <w:pPr>
            <w:pStyle w:val="Header"/>
            <w:tabs>
              <w:tab w:val="clear" w:pos="9072"/>
            </w:tabs>
            <w:ind w:right="-144"/>
            <w:rPr>
              <w:rFonts w:ascii="Myriad Pro" w:hAnsi="Myriad Pro"/>
              <w:b/>
              <w:sz w:val="16"/>
              <w:szCs w:val="16"/>
            </w:rPr>
          </w:pPr>
          <w:r w:rsidRPr="00717C1B">
            <w:rPr>
              <w:rFonts w:ascii="Myriad Pro" w:hAnsi="Myriad Pro"/>
              <w:b/>
              <w:noProof/>
              <w:sz w:val="16"/>
              <w:szCs w:val="16"/>
            </w:rPr>
            <w:drawing>
              <wp:anchor distT="0" distB="0" distL="114300" distR="114300" simplePos="0" relativeHeight="251658240" behindDoc="0" locked="0" layoutInCell="1" allowOverlap="1" wp14:anchorId="22A2A0D5" wp14:editId="54C1DCEB">
                <wp:simplePos x="0" y="0"/>
                <wp:positionH relativeFrom="column">
                  <wp:posOffset>326918</wp:posOffset>
                </wp:positionH>
                <wp:positionV relativeFrom="paragraph">
                  <wp:posOffset>19050</wp:posOffset>
                </wp:positionV>
                <wp:extent cx="58420" cy="762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20" cy="76200"/>
                        </a:xfrm>
                        <a:prstGeom prst="rect">
                          <a:avLst/>
                        </a:prstGeom>
                        <a:noFill/>
                        <a:ln>
                          <a:noFill/>
                        </a:ln>
                      </pic:spPr>
                    </pic:pic>
                  </a:graphicData>
                </a:graphic>
              </wp:anchor>
            </w:drawing>
          </w:r>
          <w:r w:rsidRPr="00717C1B">
            <w:rPr>
              <w:rFonts w:ascii="Myriad Pro" w:hAnsi="Myriad Pro"/>
              <w:b/>
              <w:sz w:val="16"/>
              <w:szCs w:val="16"/>
            </w:rPr>
            <w:t xml:space="preserve">UMAR    </w:t>
          </w:r>
          <w:r>
            <w:rPr>
              <w:rFonts w:ascii="Myriad Pro" w:hAnsi="Myriad Pro"/>
              <w:b/>
              <w:sz w:val="16"/>
              <w:szCs w:val="16"/>
            </w:rPr>
            <w:t xml:space="preserve">   </w:t>
          </w:r>
          <w:r w:rsidRPr="003820B8">
            <w:rPr>
              <w:rFonts w:ascii="Myriad Pro" w:hAnsi="Myriad Pro"/>
              <w:sz w:val="16"/>
              <w:szCs w:val="16"/>
            </w:rPr>
            <w:t>Vpliv salda tekočega računa in drugih dejavnikov na mednarodne naložbe Slovenije</w:t>
          </w:r>
          <w:bookmarkStart w:id="7" w:name="_GoBack"/>
          <w:bookmarkEnd w:id="7"/>
        </w:p>
        <w:p w14:paraId="5E521FE3" w14:textId="60CE26F1" w:rsidR="003A0569" w:rsidRPr="00717C1B" w:rsidRDefault="003A0569" w:rsidP="00FF5B7E">
          <w:pPr>
            <w:pStyle w:val="Header"/>
            <w:rPr>
              <w:b/>
            </w:rPr>
          </w:pPr>
          <w:r w:rsidRPr="00717C1B">
            <w:rPr>
              <w:b/>
            </w:rPr>
            <w:tab/>
          </w:r>
        </w:p>
      </w:tc>
      <w:tc>
        <w:tcPr>
          <w:tcW w:w="153" w:type="dxa"/>
        </w:tcPr>
        <w:p w14:paraId="0F9E1D69" w14:textId="77777777" w:rsidR="003A0569" w:rsidRPr="00717C1B" w:rsidRDefault="003A0569" w:rsidP="00FF5B7E">
          <w:pPr>
            <w:pStyle w:val="Header"/>
            <w:rPr>
              <w:rFonts w:ascii="Myriad Pro" w:hAnsi="Myriad Pro"/>
              <w:b/>
              <w:sz w:val="16"/>
              <w:szCs w:val="16"/>
            </w:rPr>
          </w:pPr>
          <w:r w:rsidRPr="00717C1B">
            <w:rPr>
              <w:rFonts w:ascii="Myriad Pro" w:hAnsi="Myriad Pro"/>
              <w:b/>
              <w:sz w:val="16"/>
              <w:szCs w:val="16"/>
            </w:rPr>
            <w:fldChar w:fldCharType="begin"/>
          </w:r>
          <w:r w:rsidRPr="00717C1B">
            <w:rPr>
              <w:rFonts w:ascii="Myriad Pro" w:hAnsi="Myriad Pro"/>
              <w:b/>
              <w:sz w:val="16"/>
              <w:szCs w:val="16"/>
            </w:rPr>
            <w:instrText xml:space="preserve"> PAGE  \* Arabic  \* MERGEFORMAT </w:instrText>
          </w:r>
          <w:r w:rsidRPr="00717C1B">
            <w:rPr>
              <w:rFonts w:ascii="Myriad Pro" w:hAnsi="Myriad Pro"/>
              <w:b/>
              <w:sz w:val="16"/>
              <w:szCs w:val="16"/>
            </w:rPr>
            <w:fldChar w:fldCharType="separate"/>
          </w:r>
          <w:r w:rsidRPr="00717C1B">
            <w:rPr>
              <w:rFonts w:ascii="Myriad Pro" w:hAnsi="Myriad Pro"/>
              <w:b/>
              <w:sz w:val="16"/>
              <w:szCs w:val="16"/>
            </w:rPr>
            <w:t>3</w:t>
          </w:r>
          <w:r w:rsidRPr="00717C1B">
            <w:rPr>
              <w:rFonts w:ascii="Myriad Pro" w:hAnsi="Myriad Pro"/>
              <w:b/>
              <w:sz w:val="16"/>
              <w:szCs w:val="16"/>
            </w:rPr>
            <w:fldChar w:fldCharType="end"/>
          </w:r>
        </w:p>
      </w:tc>
    </w:tr>
  </w:tbl>
  <w:p w14:paraId="18CD6A6F" w14:textId="77777777" w:rsidR="003A0569" w:rsidRDefault="003A0569" w:rsidP="00FF5B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129AC"/>
    <w:multiLevelType w:val="hybridMultilevel"/>
    <w:tmpl w:val="409ABE48"/>
    <w:lvl w:ilvl="0" w:tplc="4ABEB312">
      <w:start w:val="1"/>
      <w:numFmt w:val="decimal"/>
      <w:lvlText w:val="%1."/>
      <w:lvlJc w:val="left"/>
      <w:pPr>
        <w:ind w:left="36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59F2413"/>
    <w:multiLevelType w:val="hybridMultilevel"/>
    <w:tmpl w:val="579ED5B6"/>
    <w:lvl w:ilvl="0" w:tplc="04240001">
      <w:start w:val="1"/>
      <w:numFmt w:val="bullet"/>
      <w:lvlText w:val=""/>
      <w:lvlJc w:val="left"/>
      <w:pPr>
        <w:tabs>
          <w:tab w:val="num" w:pos="780"/>
        </w:tabs>
        <w:ind w:left="780" w:hanging="360"/>
      </w:pPr>
      <w:rPr>
        <w:rFonts w:ascii="Symbol" w:hAnsi="Symbol" w:hint="default"/>
      </w:rPr>
    </w:lvl>
    <w:lvl w:ilvl="1" w:tplc="04240003" w:tentative="1">
      <w:start w:val="1"/>
      <w:numFmt w:val="bullet"/>
      <w:lvlText w:val="o"/>
      <w:lvlJc w:val="left"/>
      <w:pPr>
        <w:tabs>
          <w:tab w:val="num" w:pos="1500"/>
        </w:tabs>
        <w:ind w:left="1500" w:hanging="360"/>
      </w:pPr>
      <w:rPr>
        <w:rFonts w:ascii="Courier New" w:hAnsi="Courier New" w:cs="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cs="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cs="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284805F9"/>
    <w:multiLevelType w:val="multilevel"/>
    <w:tmpl w:val="AD6EF46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375A4772"/>
    <w:multiLevelType w:val="hybridMultilevel"/>
    <w:tmpl w:val="4208815A"/>
    <w:lvl w:ilvl="0" w:tplc="9C607CD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B060CD8"/>
    <w:multiLevelType w:val="multilevel"/>
    <w:tmpl w:val="4FDABEE6"/>
    <w:lvl w:ilvl="0">
      <w:start w:val="1"/>
      <w:numFmt w:val="decimal"/>
      <w:pStyle w:val="Heading1"/>
      <w:lvlText w:val="%1"/>
      <w:lvlJc w:val="left"/>
      <w:pPr>
        <w:ind w:left="360" w:hanging="360"/>
      </w:pPr>
      <w:rPr>
        <w:lang w:val="it-IT"/>
      </w:rPr>
    </w:lvl>
    <w:lvl w:ilvl="1">
      <w:start w:val="1"/>
      <w:numFmt w:val="decimal"/>
      <w:pStyle w:val="Heading2"/>
      <w:suff w:val="space"/>
      <w:lvlText w:val="%1.%2"/>
      <w:lvlJc w:val="left"/>
      <w:pPr>
        <w:ind w:left="425"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48BA3C93"/>
    <w:multiLevelType w:val="hybridMultilevel"/>
    <w:tmpl w:val="A35469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EB06FA1"/>
    <w:multiLevelType w:val="hybridMultilevel"/>
    <w:tmpl w:val="416C1FEC"/>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EF3128F"/>
    <w:multiLevelType w:val="hybridMultilevel"/>
    <w:tmpl w:val="938CDE0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8" w15:restartNumberingAfterBreak="0">
    <w:nsid w:val="53215C6C"/>
    <w:multiLevelType w:val="multilevel"/>
    <w:tmpl w:val="7F9E4D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CB66A94"/>
    <w:multiLevelType w:val="singleLevel"/>
    <w:tmpl w:val="BEAEA458"/>
    <w:lvl w:ilvl="0">
      <w:start w:val="1"/>
      <w:numFmt w:val="decimal"/>
      <w:pStyle w:val="LiteraturaUMAR"/>
      <w:lvlText w:val="%1."/>
      <w:lvlJc w:val="left"/>
      <w:pPr>
        <w:tabs>
          <w:tab w:val="num" w:pos="360"/>
        </w:tabs>
        <w:ind w:left="360" w:hanging="360"/>
      </w:pPr>
      <w:rPr>
        <w:rFonts w:hint="default"/>
      </w:rPr>
    </w:lvl>
  </w:abstractNum>
  <w:abstractNum w:abstractNumId="10" w15:restartNumberingAfterBreak="0">
    <w:nsid w:val="7E0D1BE9"/>
    <w:multiLevelType w:val="multilevel"/>
    <w:tmpl w:val="0424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4"/>
  </w:num>
  <w:num w:numId="3">
    <w:abstractNumId w:val="0"/>
  </w:num>
  <w:num w:numId="4">
    <w:abstractNumId w:val="3"/>
  </w:num>
  <w:num w:numId="5">
    <w:abstractNumId w:val="1"/>
  </w:num>
  <w:num w:numId="6">
    <w:abstractNumId w:val="5"/>
  </w:num>
  <w:num w:numId="7">
    <w:abstractNumId w:val="4"/>
    <w:lvlOverride w:ilvl="0">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0"/>
  </w:num>
  <w:num w:numId="11">
    <w:abstractNumId w:val="6"/>
  </w:num>
  <w:num w:numId="12">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hideSpellingErrors/>
  <w:hideGrammaticalErrors/>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F1C"/>
    <w:rsid w:val="000005F5"/>
    <w:rsid w:val="000017E8"/>
    <w:rsid w:val="00001D3E"/>
    <w:rsid w:val="000026EC"/>
    <w:rsid w:val="00002AB8"/>
    <w:rsid w:val="00002CAF"/>
    <w:rsid w:val="000032F1"/>
    <w:rsid w:val="00003E9D"/>
    <w:rsid w:val="00004323"/>
    <w:rsid w:val="00004DAC"/>
    <w:rsid w:val="0000568B"/>
    <w:rsid w:val="00005D96"/>
    <w:rsid w:val="00006657"/>
    <w:rsid w:val="00006975"/>
    <w:rsid w:val="00006BC6"/>
    <w:rsid w:val="00006F03"/>
    <w:rsid w:val="000071B5"/>
    <w:rsid w:val="00007719"/>
    <w:rsid w:val="000102DA"/>
    <w:rsid w:val="00010321"/>
    <w:rsid w:val="00013848"/>
    <w:rsid w:val="000141E1"/>
    <w:rsid w:val="00014DA7"/>
    <w:rsid w:val="00015775"/>
    <w:rsid w:val="00015806"/>
    <w:rsid w:val="000168FC"/>
    <w:rsid w:val="00016BAD"/>
    <w:rsid w:val="00020ED8"/>
    <w:rsid w:val="00021509"/>
    <w:rsid w:val="00022014"/>
    <w:rsid w:val="000236BC"/>
    <w:rsid w:val="00023A5C"/>
    <w:rsid w:val="00023FFD"/>
    <w:rsid w:val="0002452C"/>
    <w:rsid w:val="00024FA0"/>
    <w:rsid w:val="000256E0"/>
    <w:rsid w:val="000267E2"/>
    <w:rsid w:val="00026ACB"/>
    <w:rsid w:val="00026B30"/>
    <w:rsid w:val="00026B49"/>
    <w:rsid w:val="00027AFB"/>
    <w:rsid w:val="0003011B"/>
    <w:rsid w:val="00030A43"/>
    <w:rsid w:val="00032C9D"/>
    <w:rsid w:val="00032E05"/>
    <w:rsid w:val="0003308F"/>
    <w:rsid w:val="0003333C"/>
    <w:rsid w:val="00033FF7"/>
    <w:rsid w:val="00035989"/>
    <w:rsid w:val="00035C81"/>
    <w:rsid w:val="00035FBD"/>
    <w:rsid w:val="00036326"/>
    <w:rsid w:val="000365D0"/>
    <w:rsid w:val="0003751E"/>
    <w:rsid w:val="0003786F"/>
    <w:rsid w:val="00037DDD"/>
    <w:rsid w:val="00040A16"/>
    <w:rsid w:val="00040D49"/>
    <w:rsid w:val="000410C0"/>
    <w:rsid w:val="0004147D"/>
    <w:rsid w:val="00041838"/>
    <w:rsid w:val="00041BCA"/>
    <w:rsid w:val="00042655"/>
    <w:rsid w:val="00042B8F"/>
    <w:rsid w:val="00042E00"/>
    <w:rsid w:val="000438D4"/>
    <w:rsid w:val="00046034"/>
    <w:rsid w:val="0004617B"/>
    <w:rsid w:val="00046AF0"/>
    <w:rsid w:val="000470E3"/>
    <w:rsid w:val="0004754E"/>
    <w:rsid w:val="000519EA"/>
    <w:rsid w:val="000530D1"/>
    <w:rsid w:val="00053405"/>
    <w:rsid w:val="00054645"/>
    <w:rsid w:val="0005475A"/>
    <w:rsid w:val="000547F0"/>
    <w:rsid w:val="00055231"/>
    <w:rsid w:val="000552B7"/>
    <w:rsid w:val="00055C01"/>
    <w:rsid w:val="000572B9"/>
    <w:rsid w:val="00057C74"/>
    <w:rsid w:val="00057C78"/>
    <w:rsid w:val="00060302"/>
    <w:rsid w:val="00062469"/>
    <w:rsid w:val="0006607E"/>
    <w:rsid w:val="00066A45"/>
    <w:rsid w:val="00070123"/>
    <w:rsid w:val="0007025B"/>
    <w:rsid w:val="000706C0"/>
    <w:rsid w:val="00070830"/>
    <w:rsid w:val="00070B55"/>
    <w:rsid w:val="00071815"/>
    <w:rsid w:val="0007181D"/>
    <w:rsid w:val="00072E0A"/>
    <w:rsid w:val="0007354C"/>
    <w:rsid w:val="00074E32"/>
    <w:rsid w:val="00075A35"/>
    <w:rsid w:val="00075D73"/>
    <w:rsid w:val="0007780F"/>
    <w:rsid w:val="00077993"/>
    <w:rsid w:val="00077C63"/>
    <w:rsid w:val="00077E9C"/>
    <w:rsid w:val="000801E2"/>
    <w:rsid w:val="000804A3"/>
    <w:rsid w:val="0008109A"/>
    <w:rsid w:val="0008190E"/>
    <w:rsid w:val="00082B96"/>
    <w:rsid w:val="00083383"/>
    <w:rsid w:val="00083E22"/>
    <w:rsid w:val="00084484"/>
    <w:rsid w:val="000853B2"/>
    <w:rsid w:val="00087068"/>
    <w:rsid w:val="000878F8"/>
    <w:rsid w:val="00087983"/>
    <w:rsid w:val="0009048C"/>
    <w:rsid w:val="0009064B"/>
    <w:rsid w:val="000909CE"/>
    <w:rsid w:val="00090E58"/>
    <w:rsid w:val="000916F0"/>
    <w:rsid w:val="000918F3"/>
    <w:rsid w:val="00091D6A"/>
    <w:rsid w:val="0009247A"/>
    <w:rsid w:val="000929C6"/>
    <w:rsid w:val="00092DA8"/>
    <w:rsid w:val="0009321C"/>
    <w:rsid w:val="000936DA"/>
    <w:rsid w:val="000941A7"/>
    <w:rsid w:val="000943D3"/>
    <w:rsid w:val="000967F0"/>
    <w:rsid w:val="000968B4"/>
    <w:rsid w:val="000969D0"/>
    <w:rsid w:val="00096DB6"/>
    <w:rsid w:val="000A0634"/>
    <w:rsid w:val="000A103A"/>
    <w:rsid w:val="000A10B2"/>
    <w:rsid w:val="000A1879"/>
    <w:rsid w:val="000A18E2"/>
    <w:rsid w:val="000A1F78"/>
    <w:rsid w:val="000A220A"/>
    <w:rsid w:val="000A24BD"/>
    <w:rsid w:val="000A4967"/>
    <w:rsid w:val="000A528A"/>
    <w:rsid w:val="000A64A2"/>
    <w:rsid w:val="000A6E55"/>
    <w:rsid w:val="000A7538"/>
    <w:rsid w:val="000A78C0"/>
    <w:rsid w:val="000B033B"/>
    <w:rsid w:val="000B0C7C"/>
    <w:rsid w:val="000B177F"/>
    <w:rsid w:val="000B1E80"/>
    <w:rsid w:val="000B2606"/>
    <w:rsid w:val="000B2AF0"/>
    <w:rsid w:val="000B2CC4"/>
    <w:rsid w:val="000B31E2"/>
    <w:rsid w:val="000B3619"/>
    <w:rsid w:val="000B3EA2"/>
    <w:rsid w:val="000B48FF"/>
    <w:rsid w:val="000B6231"/>
    <w:rsid w:val="000B75F3"/>
    <w:rsid w:val="000B783B"/>
    <w:rsid w:val="000C0BBD"/>
    <w:rsid w:val="000C1952"/>
    <w:rsid w:val="000C1C5A"/>
    <w:rsid w:val="000C1D9E"/>
    <w:rsid w:val="000C2CAF"/>
    <w:rsid w:val="000C3D35"/>
    <w:rsid w:val="000C43BF"/>
    <w:rsid w:val="000C4E62"/>
    <w:rsid w:val="000C5063"/>
    <w:rsid w:val="000C5B3F"/>
    <w:rsid w:val="000C66F6"/>
    <w:rsid w:val="000D0C8F"/>
    <w:rsid w:val="000D1E72"/>
    <w:rsid w:val="000D2172"/>
    <w:rsid w:val="000D4A38"/>
    <w:rsid w:val="000D4CA8"/>
    <w:rsid w:val="000E04D0"/>
    <w:rsid w:val="000E0B25"/>
    <w:rsid w:val="000E0F55"/>
    <w:rsid w:val="000E1358"/>
    <w:rsid w:val="000E1654"/>
    <w:rsid w:val="000E1C81"/>
    <w:rsid w:val="000E25CB"/>
    <w:rsid w:val="000E3BEC"/>
    <w:rsid w:val="000E5777"/>
    <w:rsid w:val="000E70CE"/>
    <w:rsid w:val="000E7834"/>
    <w:rsid w:val="000E7B27"/>
    <w:rsid w:val="000E7BCB"/>
    <w:rsid w:val="000F0B06"/>
    <w:rsid w:val="000F12B3"/>
    <w:rsid w:val="000F23D6"/>
    <w:rsid w:val="000F2B1C"/>
    <w:rsid w:val="000F37C8"/>
    <w:rsid w:val="000F4330"/>
    <w:rsid w:val="000F6F5D"/>
    <w:rsid w:val="0010093A"/>
    <w:rsid w:val="00100DB9"/>
    <w:rsid w:val="00102756"/>
    <w:rsid w:val="00102BEA"/>
    <w:rsid w:val="0010366B"/>
    <w:rsid w:val="001048D6"/>
    <w:rsid w:val="00105026"/>
    <w:rsid w:val="0010507E"/>
    <w:rsid w:val="00105A87"/>
    <w:rsid w:val="00105D95"/>
    <w:rsid w:val="00106AEB"/>
    <w:rsid w:val="00106B4D"/>
    <w:rsid w:val="00106BE5"/>
    <w:rsid w:val="00107A6B"/>
    <w:rsid w:val="00107A7C"/>
    <w:rsid w:val="00110C49"/>
    <w:rsid w:val="00110FEB"/>
    <w:rsid w:val="001122F2"/>
    <w:rsid w:val="00112635"/>
    <w:rsid w:val="00114277"/>
    <w:rsid w:val="00114F4B"/>
    <w:rsid w:val="00115051"/>
    <w:rsid w:val="001153EC"/>
    <w:rsid w:val="0011551D"/>
    <w:rsid w:val="001170C5"/>
    <w:rsid w:val="00117115"/>
    <w:rsid w:val="00117342"/>
    <w:rsid w:val="0011783D"/>
    <w:rsid w:val="001206F6"/>
    <w:rsid w:val="001215DD"/>
    <w:rsid w:val="00121772"/>
    <w:rsid w:val="0012413A"/>
    <w:rsid w:val="001241D3"/>
    <w:rsid w:val="00124C6A"/>
    <w:rsid w:val="00124C9D"/>
    <w:rsid w:val="00126BDF"/>
    <w:rsid w:val="00127B1E"/>
    <w:rsid w:val="00127F1B"/>
    <w:rsid w:val="00130A1A"/>
    <w:rsid w:val="00130C2A"/>
    <w:rsid w:val="00132801"/>
    <w:rsid w:val="001329C7"/>
    <w:rsid w:val="00132A59"/>
    <w:rsid w:val="0013312D"/>
    <w:rsid w:val="0013374E"/>
    <w:rsid w:val="001350B6"/>
    <w:rsid w:val="0013548A"/>
    <w:rsid w:val="00135CF8"/>
    <w:rsid w:val="00136186"/>
    <w:rsid w:val="00137AB5"/>
    <w:rsid w:val="001406F5"/>
    <w:rsid w:val="00140706"/>
    <w:rsid w:val="0014176A"/>
    <w:rsid w:val="00141E1A"/>
    <w:rsid w:val="00143E7F"/>
    <w:rsid w:val="00144BCE"/>
    <w:rsid w:val="00145323"/>
    <w:rsid w:val="001455D8"/>
    <w:rsid w:val="0015080F"/>
    <w:rsid w:val="00150E9F"/>
    <w:rsid w:val="001513C3"/>
    <w:rsid w:val="00151AC2"/>
    <w:rsid w:val="0015219C"/>
    <w:rsid w:val="00152BD9"/>
    <w:rsid w:val="00152C1B"/>
    <w:rsid w:val="00154BDF"/>
    <w:rsid w:val="0015528E"/>
    <w:rsid w:val="001554D5"/>
    <w:rsid w:val="00157C8A"/>
    <w:rsid w:val="00161445"/>
    <w:rsid w:val="00161611"/>
    <w:rsid w:val="0016173F"/>
    <w:rsid w:val="00162561"/>
    <w:rsid w:val="0016394D"/>
    <w:rsid w:val="00165810"/>
    <w:rsid w:val="00166305"/>
    <w:rsid w:val="00166C61"/>
    <w:rsid w:val="001673B5"/>
    <w:rsid w:val="001673FC"/>
    <w:rsid w:val="001709CB"/>
    <w:rsid w:val="00172F47"/>
    <w:rsid w:val="00173AAE"/>
    <w:rsid w:val="0017411F"/>
    <w:rsid w:val="00175219"/>
    <w:rsid w:val="00175D93"/>
    <w:rsid w:val="00176421"/>
    <w:rsid w:val="001764AB"/>
    <w:rsid w:val="001770F0"/>
    <w:rsid w:val="00177732"/>
    <w:rsid w:val="00177F70"/>
    <w:rsid w:val="001800CD"/>
    <w:rsid w:val="00181502"/>
    <w:rsid w:val="00181CCA"/>
    <w:rsid w:val="001828D6"/>
    <w:rsid w:val="0018519C"/>
    <w:rsid w:val="001858EC"/>
    <w:rsid w:val="0018603A"/>
    <w:rsid w:val="00186CAB"/>
    <w:rsid w:val="00186DC8"/>
    <w:rsid w:val="001874B9"/>
    <w:rsid w:val="00187581"/>
    <w:rsid w:val="0019054C"/>
    <w:rsid w:val="001908FD"/>
    <w:rsid w:val="001909A9"/>
    <w:rsid w:val="00190CDE"/>
    <w:rsid w:val="001910C2"/>
    <w:rsid w:val="001917B6"/>
    <w:rsid w:val="00192DEB"/>
    <w:rsid w:val="0019334D"/>
    <w:rsid w:val="00193789"/>
    <w:rsid w:val="00194A2C"/>
    <w:rsid w:val="0019577E"/>
    <w:rsid w:val="001957D0"/>
    <w:rsid w:val="00195F97"/>
    <w:rsid w:val="0019720D"/>
    <w:rsid w:val="00197C1E"/>
    <w:rsid w:val="001A0885"/>
    <w:rsid w:val="001A1629"/>
    <w:rsid w:val="001A2035"/>
    <w:rsid w:val="001A2214"/>
    <w:rsid w:val="001A2F26"/>
    <w:rsid w:val="001A5E72"/>
    <w:rsid w:val="001A6125"/>
    <w:rsid w:val="001A65E5"/>
    <w:rsid w:val="001B0816"/>
    <w:rsid w:val="001B1862"/>
    <w:rsid w:val="001B1C81"/>
    <w:rsid w:val="001B2F40"/>
    <w:rsid w:val="001B5E5C"/>
    <w:rsid w:val="001B6398"/>
    <w:rsid w:val="001B727F"/>
    <w:rsid w:val="001B7AF8"/>
    <w:rsid w:val="001C1A0F"/>
    <w:rsid w:val="001C20B3"/>
    <w:rsid w:val="001C2233"/>
    <w:rsid w:val="001C313F"/>
    <w:rsid w:val="001C3A0A"/>
    <w:rsid w:val="001C487D"/>
    <w:rsid w:val="001C4D46"/>
    <w:rsid w:val="001C5AF2"/>
    <w:rsid w:val="001C683C"/>
    <w:rsid w:val="001C6A33"/>
    <w:rsid w:val="001D0642"/>
    <w:rsid w:val="001D0A6E"/>
    <w:rsid w:val="001D0B2F"/>
    <w:rsid w:val="001D1834"/>
    <w:rsid w:val="001D2EEB"/>
    <w:rsid w:val="001D3A3F"/>
    <w:rsid w:val="001D40CE"/>
    <w:rsid w:val="001D63B1"/>
    <w:rsid w:val="001D65E7"/>
    <w:rsid w:val="001D663D"/>
    <w:rsid w:val="001D7563"/>
    <w:rsid w:val="001E07FD"/>
    <w:rsid w:val="001E0960"/>
    <w:rsid w:val="001E1F88"/>
    <w:rsid w:val="001E2C7B"/>
    <w:rsid w:val="001E3891"/>
    <w:rsid w:val="001E3BED"/>
    <w:rsid w:val="001E5715"/>
    <w:rsid w:val="001E5E38"/>
    <w:rsid w:val="001E63E1"/>
    <w:rsid w:val="001E6765"/>
    <w:rsid w:val="001E7BEE"/>
    <w:rsid w:val="001F0482"/>
    <w:rsid w:val="001F1537"/>
    <w:rsid w:val="001F166C"/>
    <w:rsid w:val="001F1F26"/>
    <w:rsid w:val="001F379C"/>
    <w:rsid w:val="001F3BAC"/>
    <w:rsid w:val="001F483F"/>
    <w:rsid w:val="001F4893"/>
    <w:rsid w:val="001F60CF"/>
    <w:rsid w:val="001F62CF"/>
    <w:rsid w:val="00200AB9"/>
    <w:rsid w:val="00201DD8"/>
    <w:rsid w:val="00202CCF"/>
    <w:rsid w:val="00202ED1"/>
    <w:rsid w:val="00203819"/>
    <w:rsid w:val="00203C04"/>
    <w:rsid w:val="00204185"/>
    <w:rsid w:val="002048C7"/>
    <w:rsid w:val="00205616"/>
    <w:rsid w:val="00206FBD"/>
    <w:rsid w:val="002074D9"/>
    <w:rsid w:val="00210E92"/>
    <w:rsid w:val="002111FC"/>
    <w:rsid w:val="00211DB8"/>
    <w:rsid w:val="00212697"/>
    <w:rsid w:val="002131E1"/>
    <w:rsid w:val="00214084"/>
    <w:rsid w:val="00214A8B"/>
    <w:rsid w:val="00214D59"/>
    <w:rsid w:val="00216C85"/>
    <w:rsid w:val="00216E1F"/>
    <w:rsid w:val="00216FE5"/>
    <w:rsid w:val="00217E32"/>
    <w:rsid w:val="00220A86"/>
    <w:rsid w:val="00220E84"/>
    <w:rsid w:val="002212C5"/>
    <w:rsid w:val="00221E37"/>
    <w:rsid w:val="002225D3"/>
    <w:rsid w:val="002238B3"/>
    <w:rsid w:val="00223E55"/>
    <w:rsid w:val="00225170"/>
    <w:rsid w:val="0022533F"/>
    <w:rsid w:val="002257A9"/>
    <w:rsid w:val="0022671A"/>
    <w:rsid w:val="00226C5A"/>
    <w:rsid w:val="00227572"/>
    <w:rsid w:val="00227FB2"/>
    <w:rsid w:val="0023014C"/>
    <w:rsid w:val="002307C4"/>
    <w:rsid w:val="002309B4"/>
    <w:rsid w:val="00230DE5"/>
    <w:rsid w:val="00232BBE"/>
    <w:rsid w:val="0023391F"/>
    <w:rsid w:val="00233B07"/>
    <w:rsid w:val="0023463D"/>
    <w:rsid w:val="00234DFD"/>
    <w:rsid w:val="00235E12"/>
    <w:rsid w:val="00240339"/>
    <w:rsid w:val="0024045A"/>
    <w:rsid w:val="00240E5E"/>
    <w:rsid w:val="002416E4"/>
    <w:rsid w:val="00242872"/>
    <w:rsid w:val="00243D25"/>
    <w:rsid w:val="0024422E"/>
    <w:rsid w:val="00244E0B"/>
    <w:rsid w:val="00245E3D"/>
    <w:rsid w:val="00245FF0"/>
    <w:rsid w:val="00246623"/>
    <w:rsid w:val="0024791E"/>
    <w:rsid w:val="00250B99"/>
    <w:rsid w:val="00252660"/>
    <w:rsid w:val="00252A12"/>
    <w:rsid w:val="00252F81"/>
    <w:rsid w:val="002531D4"/>
    <w:rsid w:val="00253567"/>
    <w:rsid w:val="002536BE"/>
    <w:rsid w:val="00256363"/>
    <w:rsid w:val="00256A2D"/>
    <w:rsid w:val="002572F0"/>
    <w:rsid w:val="002577FF"/>
    <w:rsid w:val="00260617"/>
    <w:rsid w:val="002628DA"/>
    <w:rsid w:val="00263E3D"/>
    <w:rsid w:val="0026487E"/>
    <w:rsid w:val="00265B02"/>
    <w:rsid w:val="00265E7B"/>
    <w:rsid w:val="00266B89"/>
    <w:rsid w:val="00267477"/>
    <w:rsid w:val="00267A72"/>
    <w:rsid w:val="00270F9D"/>
    <w:rsid w:val="00271BCF"/>
    <w:rsid w:val="00272852"/>
    <w:rsid w:val="00272C68"/>
    <w:rsid w:val="00274A6B"/>
    <w:rsid w:val="002750B5"/>
    <w:rsid w:val="00275C9C"/>
    <w:rsid w:val="00275CAC"/>
    <w:rsid w:val="002800D2"/>
    <w:rsid w:val="00280195"/>
    <w:rsid w:val="00280B77"/>
    <w:rsid w:val="00281355"/>
    <w:rsid w:val="00282A01"/>
    <w:rsid w:val="00284F14"/>
    <w:rsid w:val="00285D75"/>
    <w:rsid w:val="002871CD"/>
    <w:rsid w:val="00287C4E"/>
    <w:rsid w:val="002901C9"/>
    <w:rsid w:val="00291052"/>
    <w:rsid w:val="00291205"/>
    <w:rsid w:val="00291B55"/>
    <w:rsid w:val="0029204B"/>
    <w:rsid w:val="00292528"/>
    <w:rsid w:val="0029270E"/>
    <w:rsid w:val="002927CC"/>
    <w:rsid w:val="00292889"/>
    <w:rsid w:val="0029296C"/>
    <w:rsid w:val="002942DB"/>
    <w:rsid w:val="002943B0"/>
    <w:rsid w:val="0029461C"/>
    <w:rsid w:val="00294E71"/>
    <w:rsid w:val="00294FA5"/>
    <w:rsid w:val="002953B4"/>
    <w:rsid w:val="00295489"/>
    <w:rsid w:val="00295BB5"/>
    <w:rsid w:val="00295F86"/>
    <w:rsid w:val="00296655"/>
    <w:rsid w:val="00296ADF"/>
    <w:rsid w:val="00296B59"/>
    <w:rsid w:val="002979FF"/>
    <w:rsid w:val="002A0E59"/>
    <w:rsid w:val="002A1218"/>
    <w:rsid w:val="002A1940"/>
    <w:rsid w:val="002A27D3"/>
    <w:rsid w:val="002A368E"/>
    <w:rsid w:val="002A3EA9"/>
    <w:rsid w:val="002A410B"/>
    <w:rsid w:val="002A489C"/>
    <w:rsid w:val="002A5A95"/>
    <w:rsid w:val="002A5B83"/>
    <w:rsid w:val="002A6C97"/>
    <w:rsid w:val="002A70D4"/>
    <w:rsid w:val="002A7EF2"/>
    <w:rsid w:val="002B0265"/>
    <w:rsid w:val="002B06FB"/>
    <w:rsid w:val="002B1C69"/>
    <w:rsid w:val="002B2843"/>
    <w:rsid w:val="002B3773"/>
    <w:rsid w:val="002B3890"/>
    <w:rsid w:val="002B3FA8"/>
    <w:rsid w:val="002B550C"/>
    <w:rsid w:val="002B5546"/>
    <w:rsid w:val="002B5771"/>
    <w:rsid w:val="002B5937"/>
    <w:rsid w:val="002B5D48"/>
    <w:rsid w:val="002B631F"/>
    <w:rsid w:val="002C0465"/>
    <w:rsid w:val="002C0769"/>
    <w:rsid w:val="002C0D76"/>
    <w:rsid w:val="002C35BC"/>
    <w:rsid w:val="002C3668"/>
    <w:rsid w:val="002C42D3"/>
    <w:rsid w:val="002C450B"/>
    <w:rsid w:val="002C5109"/>
    <w:rsid w:val="002C551E"/>
    <w:rsid w:val="002C6D49"/>
    <w:rsid w:val="002D0D1B"/>
    <w:rsid w:val="002D1AD7"/>
    <w:rsid w:val="002D1D30"/>
    <w:rsid w:val="002D1D84"/>
    <w:rsid w:val="002D30C0"/>
    <w:rsid w:val="002D3375"/>
    <w:rsid w:val="002D3B67"/>
    <w:rsid w:val="002D4281"/>
    <w:rsid w:val="002D460E"/>
    <w:rsid w:val="002D4C0D"/>
    <w:rsid w:val="002D5102"/>
    <w:rsid w:val="002D528E"/>
    <w:rsid w:val="002D64EA"/>
    <w:rsid w:val="002D7840"/>
    <w:rsid w:val="002E032A"/>
    <w:rsid w:val="002E0618"/>
    <w:rsid w:val="002E1F2B"/>
    <w:rsid w:val="002E2FA4"/>
    <w:rsid w:val="002E35C8"/>
    <w:rsid w:val="002E37AA"/>
    <w:rsid w:val="002E45C6"/>
    <w:rsid w:val="002E5907"/>
    <w:rsid w:val="002E5E23"/>
    <w:rsid w:val="002E72ED"/>
    <w:rsid w:val="002F176F"/>
    <w:rsid w:val="002F36AC"/>
    <w:rsid w:val="002F4663"/>
    <w:rsid w:val="002F4C2F"/>
    <w:rsid w:val="002F4D6C"/>
    <w:rsid w:val="002F5D0F"/>
    <w:rsid w:val="002F5E15"/>
    <w:rsid w:val="002F5EE5"/>
    <w:rsid w:val="002F61FF"/>
    <w:rsid w:val="002F62CB"/>
    <w:rsid w:val="002F7147"/>
    <w:rsid w:val="002F7708"/>
    <w:rsid w:val="002F77EF"/>
    <w:rsid w:val="0030011D"/>
    <w:rsid w:val="003012E7"/>
    <w:rsid w:val="003014DC"/>
    <w:rsid w:val="003036A7"/>
    <w:rsid w:val="00303817"/>
    <w:rsid w:val="00305924"/>
    <w:rsid w:val="00306706"/>
    <w:rsid w:val="00306DBF"/>
    <w:rsid w:val="00307C24"/>
    <w:rsid w:val="003119D2"/>
    <w:rsid w:val="00312B23"/>
    <w:rsid w:val="0031300D"/>
    <w:rsid w:val="003134B5"/>
    <w:rsid w:val="00313F47"/>
    <w:rsid w:val="00315406"/>
    <w:rsid w:val="0031550F"/>
    <w:rsid w:val="0031554C"/>
    <w:rsid w:val="00316A98"/>
    <w:rsid w:val="00316B97"/>
    <w:rsid w:val="00320E14"/>
    <w:rsid w:val="00324F45"/>
    <w:rsid w:val="003253F6"/>
    <w:rsid w:val="00326620"/>
    <w:rsid w:val="00327B96"/>
    <w:rsid w:val="00330829"/>
    <w:rsid w:val="0033107B"/>
    <w:rsid w:val="003312A2"/>
    <w:rsid w:val="00331380"/>
    <w:rsid w:val="00331E9C"/>
    <w:rsid w:val="00334607"/>
    <w:rsid w:val="00336899"/>
    <w:rsid w:val="00336A07"/>
    <w:rsid w:val="00337122"/>
    <w:rsid w:val="0033734A"/>
    <w:rsid w:val="003373CC"/>
    <w:rsid w:val="003378AD"/>
    <w:rsid w:val="00340546"/>
    <w:rsid w:val="00340B00"/>
    <w:rsid w:val="0034152B"/>
    <w:rsid w:val="00341C2C"/>
    <w:rsid w:val="00341E37"/>
    <w:rsid w:val="00341EEF"/>
    <w:rsid w:val="00343039"/>
    <w:rsid w:val="00344940"/>
    <w:rsid w:val="00344FE4"/>
    <w:rsid w:val="00345603"/>
    <w:rsid w:val="00345DA9"/>
    <w:rsid w:val="00345E33"/>
    <w:rsid w:val="003468B7"/>
    <w:rsid w:val="00347510"/>
    <w:rsid w:val="00347515"/>
    <w:rsid w:val="003478D9"/>
    <w:rsid w:val="0035126D"/>
    <w:rsid w:val="00351BD0"/>
    <w:rsid w:val="003529F5"/>
    <w:rsid w:val="00352A65"/>
    <w:rsid w:val="00353175"/>
    <w:rsid w:val="0035382D"/>
    <w:rsid w:val="00353B44"/>
    <w:rsid w:val="00353D73"/>
    <w:rsid w:val="00354A68"/>
    <w:rsid w:val="00355D20"/>
    <w:rsid w:val="00355F20"/>
    <w:rsid w:val="00361F24"/>
    <w:rsid w:val="00362BC9"/>
    <w:rsid w:val="00363A1A"/>
    <w:rsid w:val="00364CEA"/>
    <w:rsid w:val="00365008"/>
    <w:rsid w:val="003651A0"/>
    <w:rsid w:val="003656BC"/>
    <w:rsid w:val="00365B36"/>
    <w:rsid w:val="00365CA9"/>
    <w:rsid w:val="003663C9"/>
    <w:rsid w:val="003672B4"/>
    <w:rsid w:val="00367549"/>
    <w:rsid w:val="00367B09"/>
    <w:rsid w:val="00370EB3"/>
    <w:rsid w:val="00371D88"/>
    <w:rsid w:val="00371E64"/>
    <w:rsid w:val="00373951"/>
    <w:rsid w:val="00373E63"/>
    <w:rsid w:val="00374268"/>
    <w:rsid w:val="003743DD"/>
    <w:rsid w:val="0037476D"/>
    <w:rsid w:val="00374A64"/>
    <w:rsid w:val="00374B26"/>
    <w:rsid w:val="00375C3D"/>
    <w:rsid w:val="00376234"/>
    <w:rsid w:val="00377C62"/>
    <w:rsid w:val="00377DE9"/>
    <w:rsid w:val="00380375"/>
    <w:rsid w:val="00380DEB"/>
    <w:rsid w:val="003819F5"/>
    <w:rsid w:val="00381EEC"/>
    <w:rsid w:val="003820B8"/>
    <w:rsid w:val="00382212"/>
    <w:rsid w:val="00382733"/>
    <w:rsid w:val="00382C4A"/>
    <w:rsid w:val="00382D5B"/>
    <w:rsid w:val="00383F11"/>
    <w:rsid w:val="003844E5"/>
    <w:rsid w:val="00385490"/>
    <w:rsid w:val="00385729"/>
    <w:rsid w:val="00385DBF"/>
    <w:rsid w:val="00385DE5"/>
    <w:rsid w:val="00386ACD"/>
    <w:rsid w:val="00386F59"/>
    <w:rsid w:val="0038783C"/>
    <w:rsid w:val="00387C7D"/>
    <w:rsid w:val="00390A78"/>
    <w:rsid w:val="00391645"/>
    <w:rsid w:val="00391FB9"/>
    <w:rsid w:val="003926AD"/>
    <w:rsid w:val="003934B1"/>
    <w:rsid w:val="003936E4"/>
    <w:rsid w:val="00394200"/>
    <w:rsid w:val="003944B6"/>
    <w:rsid w:val="0039491A"/>
    <w:rsid w:val="00394B17"/>
    <w:rsid w:val="0039523D"/>
    <w:rsid w:val="00395593"/>
    <w:rsid w:val="003965C6"/>
    <w:rsid w:val="00396660"/>
    <w:rsid w:val="003A0569"/>
    <w:rsid w:val="003A110C"/>
    <w:rsid w:val="003A130C"/>
    <w:rsid w:val="003A1CC3"/>
    <w:rsid w:val="003A2490"/>
    <w:rsid w:val="003A2C11"/>
    <w:rsid w:val="003A2EB1"/>
    <w:rsid w:val="003A44FF"/>
    <w:rsid w:val="003A4B98"/>
    <w:rsid w:val="003A4C58"/>
    <w:rsid w:val="003A5537"/>
    <w:rsid w:val="003A5848"/>
    <w:rsid w:val="003A6C2F"/>
    <w:rsid w:val="003A6D3E"/>
    <w:rsid w:val="003A716E"/>
    <w:rsid w:val="003A7D45"/>
    <w:rsid w:val="003A7F44"/>
    <w:rsid w:val="003B1B5B"/>
    <w:rsid w:val="003B1BDA"/>
    <w:rsid w:val="003B208C"/>
    <w:rsid w:val="003B2E0E"/>
    <w:rsid w:val="003B30E3"/>
    <w:rsid w:val="003B3D3D"/>
    <w:rsid w:val="003B495C"/>
    <w:rsid w:val="003B4CCC"/>
    <w:rsid w:val="003B5450"/>
    <w:rsid w:val="003B5F73"/>
    <w:rsid w:val="003B6254"/>
    <w:rsid w:val="003B64A5"/>
    <w:rsid w:val="003B7667"/>
    <w:rsid w:val="003B7CD1"/>
    <w:rsid w:val="003B7FC6"/>
    <w:rsid w:val="003C12F9"/>
    <w:rsid w:val="003C3E4B"/>
    <w:rsid w:val="003C4521"/>
    <w:rsid w:val="003C46D6"/>
    <w:rsid w:val="003C4984"/>
    <w:rsid w:val="003C4D02"/>
    <w:rsid w:val="003C7719"/>
    <w:rsid w:val="003D17C5"/>
    <w:rsid w:val="003D2EFD"/>
    <w:rsid w:val="003D39EE"/>
    <w:rsid w:val="003D431F"/>
    <w:rsid w:val="003D4882"/>
    <w:rsid w:val="003D65E1"/>
    <w:rsid w:val="003D7EE3"/>
    <w:rsid w:val="003E005A"/>
    <w:rsid w:val="003E0B22"/>
    <w:rsid w:val="003E193D"/>
    <w:rsid w:val="003E1D01"/>
    <w:rsid w:val="003E2886"/>
    <w:rsid w:val="003E2BA4"/>
    <w:rsid w:val="003E31F6"/>
    <w:rsid w:val="003E3739"/>
    <w:rsid w:val="003E3A2D"/>
    <w:rsid w:val="003E4462"/>
    <w:rsid w:val="003E48E7"/>
    <w:rsid w:val="003E4990"/>
    <w:rsid w:val="003E5C63"/>
    <w:rsid w:val="003F058C"/>
    <w:rsid w:val="003F090C"/>
    <w:rsid w:val="003F0F27"/>
    <w:rsid w:val="003F18D2"/>
    <w:rsid w:val="003F1B14"/>
    <w:rsid w:val="003F1D22"/>
    <w:rsid w:val="003F26A8"/>
    <w:rsid w:val="003F33CD"/>
    <w:rsid w:val="003F4231"/>
    <w:rsid w:val="003F50AD"/>
    <w:rsid w:val="003F5F84"/>
    <w:rsid w:val="003F5FD3"/>
    <w:rsid w:val="003F6AB1"/>
    <w:rsid w:val="003F71AC"/>
    <w:rsid w:val="003F73BF"/>
    <w:rsid w:val="00400465"/>
    <w:rsid w:val="00400DE5"/>
    <w:rsid w:val="004016AB"/>
    <w:rsid w:val="00402400"/>
    <w:rsid w:val="0040242E"/>
    <w:rsid w:val="004029BB"/>
    <w:rsid w:val="00402AF9"/>
    <w:rsid w:val="00402B00"/>
    <w:rsid w:val="00403A79"/>
    <w:rsid w:val="00404473"/>
    <w:rsid w:val="00404841"/>
    <w:rsid w:val="004049B7"/>
    <w:rsid w:val="00405412"/>
    <w:rsid w:val="0040550A"/>
    <w:rsid w:val="0040727D"/>
    <w:rsid w:val="004073E8"/>
    <w:rsid w:val="00407C0D"/>
    <w:rsid w:val="00407D7E"/>
    <w:rsid w:val="00407E3C"/>
    <w:rsid w:val="004110B8"/>
    <w:rsid w:val="00411FE9"/>
    <w:rsid w:val="00413392"/>
    <w:rsid w:val="004134AB"/>
    <w:rsid w:val="00413A61"/>
    <w:rsid w:val="004155C8"/>
    <w:rsid w:val="00415D75"/>
    <w:rsid w:val="00416D9C"/>
    <w:rsid w:val="004178E0"/>
    <w:rsid w:val="00422C41"/>
    <w:rsid w:val="0042350D"/>
    <w:rsid w:val="00423D6C"/>
    <w:rsid w:val="004248C0"/>
    <w:rsid w:val="0042499E"/>
    <w:rsid w:val="0042577D"/>
    <w:rsid w:val="00427357"/>
    <w:rsid w:val="00427E7B"/>
    <w:rsid w:val="00430947"/>
    <w:rsid w:val="004312E1"/>
    <w:rsid w:val="004316F7"/>
    <w:rsid w:val="00431FB3"/>
    <w:rsid w:val="004338E5"/>
    <w:rsid w:val="00433D41"/>
    <w:rsid w:val="00433DB0"/>
    <w:rsid w:val="00433EC8"/>
    <w:rsid w:val="00435423"/>
    <w:rsid w:val="00437CB6"/>
    <w:rsid w:val="00440FB2"/>
    <w:rsid w:val="004410A9"/>
    <w:rsid w:val="00441504"/>
    <w:rsid w:val="004423CC"/>
    <w:rsid w:val="0044242E"/>
    <w:rsid w:val="00443516"/>
    <w:rsid w:val="0044421E"/>
    <w:rsid w:val="004448D1"/>
    <w:rsid w:val="00445358"/>
    <w:rsid w:val="00445B98"/>
    <w:rsid w:val="00446186"/>
    <w:rsid w:val="004462CC"/>
    <w:rsid w:val="0044754D"/>
    <w:rsid w:val="00447A71"/>
    <w:rsid w:val="00450EA6"/>
    <w:rsid w:val="0045125E"/>
    <w:rsid w:val="00452B84"/>
    <w:rsid w:val="00452E83"/>
    <w:rsid w:val="00453958"/>
    <w:rsid w:val="00454751"/>
    <w:rsid w:val="00457C59"/>
    <w:rsid w:val="00457F81"/>
    <w:rsid w:val="004610CF"/>
    <w:rsid w:val="0046114D"/>
    <w:rsid w:val="00461535"/>
    <w:rsid w:val="00461840"/>
    <w:rsid w:val="00462EDA"/>
    <w:rsid w:val="00463654"/>
    <w:rsid w:val="0046366D"/>
    <w:rsid w:val="004655B9"/>
    <w:rsid w:val="00466AA3"/>
    <w:rsid w:val="00466C5F"/>
    <w:rsid w:val="00467B42"/>
    <w:rsid w:val="00467CD9"/>
    <w:rsid w:val="00467D8A"/>
    <w:rsid w:val="00470031"/>
    <w:rsid w:val="00471237"/>
    <w:rsid w:val="00471568"/>
    <w:rsid w:val="00471713"/>
    <w:rsid w:val="00471C63"/>
    <w:rsid w:val="00471D85"/>
    <w:rsid w:val="00472FEA"/>
    <w:rsid w:val="004730B8"/>
    <w:rsid w:val="00474258"/>
    <w:rsid w:val="00474F4F"/>
    <w:rsid w:val="0047533F"/>
    <w:rsid w:val="0047635E"/>
    <w:rsid w:val="00476A88"/>
    <w:rsid w:val="004774EA"/>
    <w:rsid w:val="004774F9"/>
    <w:rsid w:val="00477DBE"/>
    <w:rsid w:val="00481B30"/>
    <w:rsid w:val="00481E14"/>
    <w:rsid w:val="0048345E"/>
    <w:rsid w:val="00483922"/>
    <w:rsid w:val="00483A88"/>
    <w:rsid w:val="00483B0E"/>
    <w:rsid w:val="00484DF1"/>
    <w:rsid w:val="00484EB8"/>
    <w:rsid w:val="00485096"/>
    <w:rsid w:val="00485174"/>
    <w:rsid w:val="004856A5"/>
    <w:rsid w:val="0048594C"/>
    <w:rsid w:val="0048599C"/>
    <w:rsid w:val="00487357"/>
    <w:rsid w:val="00487AA0"/>
    <w:rsid w:val="00487D9F"/>
    <w:rsid w:val="00487DB9"/>
    <w:rsid w:val="00487FA1"/>
    <w:rsid w:val="004901C2"/>
    <w:rsid w:val="00491D8D"/>
    <w:rsid w:val="00491DF7"/>
    <w:rsid w:val="00491F0F"/>
    <w:rsid w:val="00492534"/>
    <w:rsid w:val="0049286E"/>
    <w:rsid w:val="0049345B"/>
    <w:rsid w:val="0049356B"/>
    <w:rsid w:val="00493C5B"/>
    <w:rsid w:val="004945BD"/>
    <w:rsid w:val="0049481F"/>
    <w:rsid w:val="00495854"/>
    <w:rsid w:val="00495889"/>
    <w:rsid w:val="00495DC4"/>
    <w:rsid w:val="00496165"/>
    <w:rsid w:val="004964EE"/>
    <w:rsid w:val="004966FB"/>
    <w:rsid w:val="004977CC"/>
    <w:rsid w:val="00497805"/>
    <w:rsid w:val="004A1088"/>
    <w:rsid w:val="004A1E92"/>
    <w:rsid w:val="004A276B"/>
    <w:rsid w:val="004A318E"/>
    <w:rsid w:val="004A3312"/>
    <w:rsid w:val="004A454B"/>
    <w:rsid w:val="004A45DA"/>
    <w:rsid w:val="004A4EC5"/>
    <w:rsid w:val="004A7209"/>
    <w:rsid w:val="004B275E"/>
    <w:rsid w:val="004B3384"/>
    <w:rsid w:val="004B39ED"/>
    <w:rsid w:val="004B3B2E"/>
    <w:rsid w:val="004B4B54"/>
    <w:rsid w:val="004B59A6"/>
    <w:rsid w:val="004B59E1"/>
    <w:rsid w:val="004B5B4C"/>
    <w:rsid w:val="004C0235"/>
    <w:rsid w:val="004C1588"/>
    <w:rsid w:val="004C1673"/>
    <w:rsid w:val="004C200D"/>
    <w:rsid w:val="004C22C6"/>
    <w:rsid w:val="004C297D"/>
    <w:rsid w:val="004C3776"/>
    <w:rsid w:val="004C3F1A"/>
    <w:rsid w:val="004C4982"/>
    <w:rsid w:val="004C53F1"/>
    <w:rsid w:val="004C5AD3"/>
    <w:rsid w:val="004C689A"/>
    <w:rsid w:val="004C6B99"/>
    <w:rsid w:val="004C7DC1"/>
    <w:rsid w:val="004D05C0"/>
    <w:rsid w:val="004D1933"/>
    <w:rsid w:val="004D1990"/>
    <w:rsid w:val="004D1C81"/>
    <w:rsid w:val="004D22FB"/>
    <w:rsid w:val="004D2B31"/>
    <w:rsid w:val="004D33D1"/>
    <w:rsid w:val="004D372F"/>
    <w:rsid w:val="004D429B"/>
    <w:rsid w:val="004D51EA"/>
    <w:rsid w:val="004D5670"/>
    <w:rsid w:val="004D65B6"/>
    <w:rsid w:val="004D6D6F"/>
    <w:rsid w:val="004D6E67"/>
    <w:rsid w:val="004D78A9"/>
    <w:rsid w:val="004E0DE6"/>
    <w:rsid w:val="004E17F8"/>
    <w:rsid w:val="004E26C0"/>
    <w:rsid w:val="004E2862"/>
    <w:rsid w:val="004E3454"/>
    <w:rsid w:val="004E481C"/>
    <w:rsid w:val="004E538D"/>
    <w:rsid w:val="004E5F9D"/>
    <w:rsid w:val="004E5FAD"/>
    <w:rsid w:val="004E6E8D"/>
    <w:rsid w:val="004E6EFF"/>
    <w:rsid w:val="004F09ED"/>
    <w:rsid w:val="004F0F3E"/>
    <w:rsid w:val="004F1872"/>
    <w:rsid w:val="004F25F6"/>
    <w:rsid w:val="004F2BE3"/>
    <w:rsid w:val="004F3403"/>
    <w:rsid w:val="004F38EB"/>
    <w:rsid w:val="004F38FC"/>
    <w:rsid w:val="004F3C08"/>
    <w:rsid w:val="004F47DC"/>
    <w:rsid w:val="004F496D"/>
    <w:rsid w:val="004F4CC1"/>
    <w:rsid w:val="004F4FBD"/>
    <w:rsid w:val="004F54A2"/>
    <w:rsid w:val="004F62F9"/>
    <w:rsid w:val="004F6889"/>
    <w:rsid w:val="0050010C"/>
    <w:rsid w:val="00500B8F"/>
    <w:rsid w:val="00501273"/>
    <w:rsid w:val="00501B23"/>
    <w:rsid w:val="00501BD9"/>
    <w:rsid w:val="00502FA8"/>
    <w:rsid w:val="00503BAB"/>
    <w:rsid w:val="0050539D"/>
    <w:rsid w:val="0050550D"/>
    <w:rsid w:val="00505AF2"/>
    <w:rsid w:val="0050616E"/>
    <w:rsid w:val="005067DA"/>
    <w:rsid w:val="00507498"/>
    <w:rsid w:val="0050750C"/>
    <w:rsid w:val="00507640"/>
    <w:rsid w:val="0050798F"/>
    <w:rsid w:val="00510461"/>
    <w:rsid w:val="00511F3E"/>
    <w:rsid w:val="0051231B"/>
    <w:rsid w:val="005123D3"/>
    <w:rsid w:val="00512B8C"/>
    <w:rsid w:val="005139FA"/>
    <w:rsid w:val="00513F8E"/>
    <w:rsid w:val="00513FD2"/>
    <w:rsid w:val="0051582D"/>
    <w:rsid w:val="00515BA5"/>
    <w:rsid w:val="0051702C"/>
    <w:rsid w:val="0051766C"/>
    <w:rsid w:val="00517B41"/>
    <w:rsid w:val="00517C85"/>
    <w:rsid w:val="00517FCC"/>
    <w:rsid w:val="00520E00"/>
    <w:rsid w:val="005222CB"/>
    <w:rsid w:val="005237FD"/>
    <w:rsid w:val="005239C1"/>
    <w:rsid w:val="005243E1"/>
    <w:rsid w:val="00524EBC"/>
    <w:rsid w:val="0052552A"/>
    <w:rsid w:val="00525FE4"/>
    <w:rsid w:val="0052706E"/>
    <w:rsid w:val="0052743B"/>
    <w:rsid w:val="00527D55"/>
    <w:rsid w:val="00527DEB"/>
    <w:rsid w:val="00530590"/>
    <w:rsid w:val="00531979"/>
    <w:rsid w:val="00531E5E"/>
    <w:rsid w:val="0053228F"/>
    <w:rsid w:val="00532FEB"/>
    <w:rsid w:val="005331FB"/>
    <w:rsid w:val="00534190"/>
    <w:rsid w:val="00534995"/>
    <w:rsid w:val="00535AB2"/>
    <w:rsid w:val="00537053"/>
    <w:rsid w:val="00537135"/>
    <w:rsid w:val="0053749A"/>
    <w:rsid w:val="00540387"/>
    <w:rsid w:val="0054083E"/>
    <w:rsid w:val="005411B0"/>
    <w:rsid w:val="0054235A"/>
    <w:rsid w:val="00543646"/>
    <w:rsid w:val="00543748"/>
    <w:rsid w:val="00544150"/>
    <w:rsid w:val="0054607D"/>
    <w:rsid w:val="005461EB"/>
    <w:rsid w:val="0054632F"/>
    <w:rsid w:val="0054650F"/>
    <w:rsid w:val="00546BB0"/>
    <w:rsid w:val="00546BDD"/>
    <w:rsid w:val="005472C7"/>
    <w:rsid w:val="00550042"/>
    <w:rsid w:val="00550431"/>
    <w:rsid w:val="00550662"/>
    <w:rsid w:val="00551677"/>
    <w:rsid w:val="00552FD1"/>
    <w:rsid w:val="00553C30"/>
    <w:rsid w:val="00554A45"/>
    <w:rsid w:val="00555663"/>
    <w:rsid w:val="00555AA0"/>
    <w:rsid w:val="00555B1E"/>
    <w:rsid w:val="005562FD"/>
    <w:rsid w:val="0055675A"/>
    <w:rsid w:val="0055724C"/>
    <w:rsid w:val="005601C6"/>
    <w:rsid w:val="00560321"/>
    <w:rsid w:val="005604EC"/>
    <w:rsid w:val="0056113D"/>
    <w:rsid w:val="0056169C"/>
    <w:rsid w:val="00562453"/>
    <w:rsid w:val="005633C7"/>
    <w:rsid w:val="00563A34"/>
    <w:rsid w:val="00564898"/>
    <w:rsid w:val="00564BF8"/>
    <w:rsid w:val="00564E06"/>
    <w:rsid w:val="00564E91"/>
    <w:rsid w:val="00565A2A"/>
    <w:rsid w:val="00565AB0"/>
    <w:rsid w:val="00565E00"/>
    <w:rsid w:val="00566138"/>
    <w:rsid w:val="00567D5E"/>
    <w:rsid w:val="0057035C"/>
    <w:rsid w:val="00570725"/>
    <w:rsid w:val="00571842"/>
    <w:rsid w:val="005722CB"/>
    <w:rsid w:val="005727D4"/>
    <w:rsid w:val="00575C6D"/>
    <w:rsid w:val="005776C6"/>
    <w:rsid w:val="00577D88"/>
    <w:rsid w:val="00585293"/>
    <w:rsid w:val="00585798"/>
    <w:rsid w:val="00585C7B"/>
    <w:rsid w:val="005861F1"/>
    <w:rsid w:val="0058622D"/>
    <w:rsid w:val="00586C8F"/>
    <w:rsid w:val="00586C9C"/>
    <w:rsid w:val="00587AA5"/>
    <w:rsid w:val="00590676"/>
    <w:rsid w:val="0059231A"/>
    <w:rsid w:val="00593328"/>
    <w:rsid w:val="00594A6D"/>
    <w:rsid w:val="00594ACA"/>
    <w:rsid w:val="00594B4F"/>
    <w:rsid w:val="00595582"/>
    <w:rsid w:val="005955CD"/>
    <w:rsid w:val="00596071"/>
    <w:rsid w:val="0059625E"/>
    <w:rsid w:val="00596BFA"/>
    <w:rsid w:val="005A0953"/>
    <w:rsid w:val="005A0BF8"/>
    <w:rsid w:val="005A0E8F"/>
    <w:rsid w:val="005A1447"/>
    <w:rsid w:val="005A1D18"/>
    <w:rsid w:val="005A261E"/>
    <w:rsid w:val="005A265B"/>
    <w:rsid w:val="005A2A6F"/>
    <w:rsid w:val="005A39AE"/>
    <w:rsid w:val="005A39D3"/>
    <w:rsid w:val="005A4724"/>
    <w:rsid w:val="005A4F69"/>
    <w:rsid w:val="005A58B0"/>
    <w:rsid w:val="005A6D55"/>
    <w:rsid w:val="005A6E51"/>
    <w:rsid w:val="005A74B4"/>
    <w:rsid w:val="005A7F55"/>
    <w:rsid w:val="005B0540"/>
    <w:rsid w:val="005B0D81"/>
    <w:rsid w:val="005B0D84"/>
    <w:rsid w:val="005B19BA"/>
    <w:rsid w:val="005B2828"/>
    <w:rsid w:val="005B3500"/>
    <w:rsid w:val="005B3B73"/>
    <w:rsid w:val="005B3B9E"/>
    <w:rsid w:val="005B4654"/>
    <w:rsid w:val="005B5CD9"/>
    <w:rsid w:val="005B659C"/>
    <w:rsid w:val="005B6E4D"/>
    <w:rsid w:val="005B7168"/>
    <w:rsid w:val="005C00FC"/>
    <w:rsid w:val="005C0C5B"/>
    <w:rsid w:val="005C0E47"/>
    <w:rsid w:val="005C0EAB"/>
    <w:rsid w:val="005C13BA"/>
    <w:rsid w:val="005C161F"/>
    <w:rsid w:val="005C2526"/>
    <w:rsid w:val="005C2CEA"/>
    <w:rsid w:val="005C3872"/>
    <w:rsid w:val="005C441B"/>
    <w:rsid w:val="005C4A87"/>
    <w:rsid w:val="005C4D8C"/>
    <w:rsid w:val="005C5C18"/>
    <w:rsid w:val="005C60C3"/>
    <w:rsid w:val="005C6791"/>
    <w:rsid w:val="005C6830"/>
    <w:rsid w:val="005C7541"/>
    <w:rsid w:val="005C772C"/>
    <w:rsid w:val="005C78CA"/>
    <w:rsid w:val="005D03BA"/>
    <w:rsid w:val="005D0DF9"/>
    <w:rsid w:val="005D1010"/>
    <w:rsid w:val="005D17C6"/>
    <w:rsid w:val="005D1D02"/>
    <w:rsid w:val="005D1FEF"/>
    <w:rsid w:val="005D3ACF"/>
    <w:rsid w:val="005D40BC"/>
    <w:rsid w:val="005D46FD"/>
    <w:rsid w:val="005D50A8"/>
    <w:rsid w:val="005D6200"/>
    <w:rsid w:val="005D6BEE"/>
    <w:rsid w:val="005D6EA1"/>
    <w:rsid w:val="005D6EE4"/>
    <w:rsid w:val="005D741E"/>
    <w:rsid w:val="005D7F86"/>
    <w:rsid w:val="005E0B82"/>
    <w:rsid w:val="005E0E14"/>
    <w:rsid w:val="005E1947"/>
    <w:rsid w:val="005E2A7C"/>
    <w:rsid w:val="005E2EEB"/>
    <w:rsid w:val="005E3C5C"/>
    <w:rsid w:val="005E3DEA"/>
    <w:rsid w:val="005E4B82"/>
    <w:rsid w:val="005E539F"/>
    <w:rsid w:val="005E6119"/>
    <w:rsid w:val="005F02F1"/>
    <w:rsid w:val="005F0D5A"/>
    <w:rsid w:val="005F333F"/>
    <w:rsid w:val="005F3BD9"/>
    <w:rsid w:val="005F3C8A"/>
    <w:rsid w:val="005F4007"/>
    <w:rsid w:val="005F4578"/>
    <w:rsid w:val="005F4797"/>
    <w:rsid w:val="005F4B6E"/>
    <w:rsid w:val="005F52F4"/>
    <w:rsid w:val="005F65D7"/>
    <w:rsid w:val="005F6EF4"/>
    <w:rsid w:val="005F75E5"/>
    <w:rsid w:val="005F7F5A"/>
    <w:rsid w:val="006000A1"/>
    <w:rsid w:val="006019C3"/>
    <w:rsid w:val="0060268E"/>
    <w:rsid w:val="006028F4"/>
    <w:rsid w:val="00602B1F"/>
    <w:rsid w:val="00603A57"/>
    <w:rsid w:val="006040E6"/>
    <w:rsid w:val="00604372"/>
    <w:rsid w:val="00605B8A"/>
    <w:rsid w:val="00605F9A"/>
    <w:rsid w:val="00606B77"/>
    <w:rsid w:val="0060740A"/>
    <w:rsid w:val="006075B0"/>
    <w:rsid w:val="00611931"/>
    <w:rsid w:val="006119CB"/>
    <w:rsid w:val="006134EC"/>
    <w:rsid w:val="0061384F"/>
    <w:rsid w:val="006146B9"/>
    <w:rsid w:val="006151CF"/>
    <w:rsid w:val="006152CF"/>
    <w:rsid w:val="0061586C"/>
    <w:rsid w:val="006170FF"/>
    <w:rsid w:val="006172FF"/>
    <w:rsid w:val="00617A5B"/>
    <w:rsid w:val="00617F94"/>
    <w:rsid w:val="006217FD"/>
    <w:rsid w:val="00621928"/>
    <w:rsid w:val="00622948"/>
    <w:rsid w:val="00622E86"/>
    <w:rsid w:val="0062397C"/>
    <w:rsid w:val="00623F38"/>
    <w:rsid w:val="00625131"/>
    <w:rsid w:val="00626525"/>
    <w:rsid w:val="006310DD"/>
    <w:rsid w:val="006316FB"/>
    <w:rsid w:val="0063281E"/>
    <w:rsid w:val="00632C88"/>
    <w:rsid w:val="0063376E"/>
    <w:rsid w:val="00633AA6"/>
    <w:rsid w:val="00634D6B"/>
    <w:rsid w:val="00635C20"/>
    <w:rsid w:val="006360FC"/>
    <w:rsid w:val="0063764B"/>
    <w:rsid w:val="00637ECF"/>
    <w:rsid w:val="00641386"/>
    <w:rsid w:val="00641D14"/>
    <w:rsid w:val="006420B9"/>
    <w:rsid w:val="0064491A"/>
    <w:rsid w:val="00645B49"/>
    <w:rsid w:val="006465AF"/>
    <w:rsid w:val="006501DA"/>
    <w:rsid w:val="00651A6C"/>
    <w:rsid w:val="006528D6"/>
    <w:rsid w:val="006556AC"/>
    <w:rsid w:val="00655CD6"/>
    <w:rsid w:val="00656FEC"/>
    <w:rsid w:val="00661EA6"/>
    <w:rsid w:val="006624A2"/>
    <w:rsid w:val="0066357F"/>
    <w:rsid w:val="006635D7"/>
    <w:rsid w:val="00663652"/>
    <w:rsid w:val="00663920"/>
    <w:rsid w:val="00664261"/>
    <w:rsid w:val="0066575F"/>
    <w:rsid w:val="006658A7"/>
    <w:rsid w:val="00665D3C"/>
    <w:rsid w:val="006667FE"/>
    <w:rsid w:val="00666BE2"/>
    <w:rsid w:val="006674A7"/>
    <w:rsid w:val="0066780A"/>
    <w:rsid w:val="006710A4"/>
    <w:rsid w:val="00671173"/>
    <w:rsid w:val="00671908"/>
    <w:rsid w:val="0067192A"/>
    <w:rsid w:val="00671AA1"/>
    <w:rsid w:val="00672275"/>
    <w:rsid w:val="0067227C"/>
    <w:rsid w:val="0067267D"/>
    <w:rsid w:val="006730C0"/>
    <w:rsid w:val="00673B2D"/>
    <w:rsid w:val="00673C07"/>
    <w:rsid w:val="00674080"/>
    <w:rsid w:val="00674223"/>
    <w:rsid w:val="00674599"/>
    <w:rsid w:val="0067505F"/>
    <w:rsid w:val="0067591C"/>
    <w:rsid w:val="00677435"/>
    <w:rsid w:val="00677AC1"/>
    <w:rsid w:val="00680118"/>
    <w:rsid w:val="0068061D"/>
    <w:rsid w:val="00682F05"/>
    <w:rsid w:val="006839FC"/>
    <w:rsid w:val="0068623B"/>
    <w:rsid w:val="00686D0F"/>
    <w:rsid w:val="00686F72"/>
    <w:rsid w:val="006909E4"/>
    <w:rsid w:val="00690FF9"/>
    <w:rsid w:val="006910BD"/>
    <w:rsid w:val="00691861"/>
    <w:rsid w:val="00691A9C"/>
    <w:rsid w:val="006936FB"/>
    <w:rsid w:val="00693AF7"/>
    <w:rsid w:val="00693BD3"/>
    <w:rsid w:val="00694CD4"/>
    <w:rsid w:val="006954CB"/>
    <w:rsid w:val="006966BC"/>
    <w:rsid w:val="006969C3"/>
    <w:rsid w:val="00696D3B"/>
    <w:rsid w:val="00697FF6"/>
    <w:rsid w:val="006A1918"/>
    <w:rsid w:val="006A2D0A"/>
    <w:rsid w:val="006A2EF0"/>
    <w:rsid w:val="006A310A"/>
    <w:rsid w:val="006A3C17"/>
    <w:rsid w:val="006A4B10"/>
    <w:rsid w:val="006A529D"/>
    <w:rsid w:val="006A5F00"/>
    <w:rsid w:val="006B1D3D"/>
    <w:rsid w:val="006B20DE"/>
    <w:rsid w:val="006B2A0B"/>
    <w:rsid w:val="006B2E64"/>
    <w:rsid w:val="006B37C8"/>
    <w:rsid w:val="006B58CC"/>
    <w:rsid w:val="006B631C"/>
    <w:rsid w:val="006B7AE0"/>
    <w:rsid w:val="006C043C"/>
    <w:rsid w:val="006C05C7"/>
    <w:rsid w:val="006C086E"/>
    <w:rsid w:val="006C09F7"/>
    <w:rsid w:val="006C1815"/>
    <w:rsid w:val="006C1B66"/>
    <w:rsid w:val="006C39B1"/>
    <w:rsid w:val="006C403C"/>
    <w:rsid w:val="006C4B8D"/>
    <w:rsid w:val="006C4DBB"/>
    <w:rsid w:val="006C6647"/>
    <w:rsid w:val="006C680F"/>
    <w:rsid w:val="006C6A5D"/>
    <w:rsid w:val="006C7E4C"/>
    <w:rsid w:val="006D0C34"/>
    <w:rsid w:val="006D1872"/>
    <w:rsid w:val="006D18CE"/>
    <w:rsid w:val="006D1AFD"/>
    <w:rsid w:val="006D1C20"/>
    <w:rsid w:val="006D3160"/>
    <w:rsid w:val="006D48B0"/>
    <w:rsid w:val="006D4C24"/>
    <w:rsid w:val="006D52AE"/>
    <w:rsid w:val="006D6AE3"/>
    <w:rsid w:val="006D7195"/>
    <w:rsid w:val="006D7925"/>
    <w:rsid w:val="006E0130"/>
    <w:rsid w:val="006E2BB1"/>
    <w:rsid w:val="006E2C8C"/>
    <w:rsid w:val="006E2CCE"/>
    <w:rsid w:val="006E3A4C"/>
    <w:rsid w:val="006E4FDE"/>
    <w:rsid w:val="006E5BD4"/>
    <w:rsid w:val="006E6427"/>
    <w:rsid w:val="006E78F4"/>
    <w:rsid w:val="006E7DEF"/>
    <w:rsid w:val="006E7E41"/>
    <w:rsid w:val="006F00BF"/>
    <w:rsid w:val="006F03C1"/>
    <w:rsid w:val="006F0499"/>
    <w:rsid w:val="006F062B"/>
    <w:rsid w:val="006F11C6"/>
    <w:rsid w:val="006F1980"/>
    <w:rsid w:val="006F3432"/>
    <w:rsid w:val="006F412C"/>
    <w:rsid w:val="006F4BBF"/>
    <w:rsid w:val="006F4CF2"/>
    <w:rsid w:val="006F5351"/>
    <w:rsid w:val="006F5892"/>
    <w:rsid w:val="00701097"/>
    <w:rsid w:val="00701E95"/>
    <w:rsid w:val="007023A3"/>
    <w:rsid w:val="00703342"/>
    <w:rsid w:val="00703589"/>
    <w:rsid w:val="00703B89"/>
    <w:rsid w:val="0070405B"/>
    <w:rsid w:val="00704190"/>
    <w:rsid w:val="00704A07"/>
    <w:rsid w:val="00704B11"/>
    <w:rsid w:val="00705590"/>
    <w:rsid w:val="00705B6F"/>
    <w:rsid w:val="00706494"/>
    <w:rsid w:val="0070699D"/>
    <w:rsid w:val="0071002E"/>
    <w:rsid w:val="007115B7"/>
    <w:rsid w:val="007123CD"/>
    <w:rsid w:val="0071240A"/>
    <w:rsid w:val="00712CB4"/>
    <w:rsid w:val="00713206"/>
    <w:rsid w:val="007138A8"/>
    <w:rsid w:val="0071423C"/>
    <w:rsid w:val="007144CD"/>
    <w:rsid w:val="007149B8"/>
    <w:rsid w:val="00715E87"/>
    <w:rsid w:val="0071650C"/>
    <w:rsid w:val="007169F6"/>
    <w:rsid w:val="00716F8F"/>
    <w:rsid w:val="00717AD3"/>
    <w:rsid w:val="00717C1B"/>
    <w:rsid w:val="007209FA"/>
    <w:rsid w:val="00721A70"/>
    <w:rsid w:val="00722488"/>
    <w:rsid w:val="00723370"/>
    <w:rsid w:val="00724F4D"/>
    <w:rsid w:val="0072522B"/>
    <w:rsid w:val="00725CFB"/>
    <w:rsid w:val="00725D56"/>
    <w:rsid w:val="00726EE8"/>
    <w:rsid w:val="00727AA2"/>
    <w:rsid w:val="00731841"/>
    <w:rsid w:val="00732BAD"/>
    <w:rsid w:val="00732FA2"/>
    <w:rsid w:val="007332CD"/>
    <w:rsid w:val="00733421"/>
    <w:rsid w:val="00733E66"/>
    <w:rsid w:val="007340C3"/>
    <w:rsid w:val="007342B4"/>
    <w:rsid w:val="007345C0"/>
    <w:rsid w:val="00735E8D"/>
    <w:rsid w:val="00736DB1"/>
    <w:rsid w:val="0073783D"/>
    <w:rsid w:val="00737A4C"/>
    <w:rsid w:val="00741950"/>
    <w:rsid w:val="007430CC"/>
    <w:rsid w:val="007439FD"/>
    <w:rsid w:val="00743B0A"/>
    <w:rsid w:val="007444E2"/>
    <w:rsid w:val="007444EC"/>
    <w:rsid w:val="007445E8"/>
    <w:rsid w:val="00744742"/>
    <w:rsid w:val="00744F0D"/>
    <w:rsid w:val="007457EF"/>
    <w:rsid w:val="00746505"/>
    <w:rsid w:val="00747002"/>
    <w:rsid w:val="00747875"/>
    <w:rsid w:val="0075113D"/>
    <w:rsid w:val="00752A5D"/>
    <w:rsid w:val="00752E58"/>
    <w:rsid w:val="0075319C"/>
    <w:rsid w:val="007532FA"/>
    <w:rsid w:val="007538F0"/>
    <w:rsid w:val="007539EE"/>
    <w:rsid w:val="00753CE9"/>
    <w:rsid w:val="00753FFF"/>
    <w:rsid w:val="007544FA"/>
    <w:rsid w:val="00754964"/>
    <w:rsid w:val="00756DFB"/>
    <w:rsid w:val="007570AC"/>
    <w:rsid w:val="00757564"/>
    <w:rsid w:val="007579F3"/>
    <w:rsid w:val="00761751"/>
    <w:rsid w:val="00761994"/>
    <w:rsid w:val="00761FD7"/>
    <w:rsid w:val="0076213D"/>
    <w:rsid w:val="00762F34"/>
    <w:rsid w:val="00763700"/>
    <w:rsid w:val="00763CDB"/>
    <w:rsid w:val="00764033"/>
    <w:rsid w:val="00765C58"/>
    <w:rsid w:val="007660A5"/>
    <w:rsid w:val="007661DC"/>
    <w:rsid w:val="00766FEC"/>
    <w:rsid w:val="00767854"/>
    <w:rsid w:val="00767C0F"/>
    <w:rsid w:val="00770703"/>
    <w:rsid w:val="00770E71"/>
    <w:rsid w:val="00771744"/>
    <w:rsid w:val="00772268"/>
    <w:rsid w:val="00772B31"/>
    <w:rsid w:val="007731CD"/>
    <w:rsid w:val="007735DF"/>
    <w:rsid w:val="007736C3"/>
    <w:rsid w:val="00773D4A"/>
    <w:rsid w:val="007743B6"/>
    <w:rsid w:val="00774B58"/>
    <w:rsid w:val="00774D84"/>
    <w:rsid w:val="007759EA"/>
    <w:rsid w:val="00775AD2"/>
    <w:rsid w:val="007760FC"/>
    <w:rsid w:val="00776801"/>
    <w:rsid w:val="00777572"/>
    <w:rsid w:val="00781D29"/>
    <w:rsid w:val="00781F66"/>
    <w:rsid w:val="0078243B"/>
    <w:rsid w:val="0078248D"/>
    <w:rsid w:val="0078292C"/>
    <w:rsid w:val="00783B7D"/>
    <w:rsid w:val="00784074"/>
    <w:rsid w:val="00784670"/>
    <w:rsid w:val="00785127"/>
    <w:rsid w:val="0078597E"/>
    <w:rsid w:val="00785C12"/>
    <w:rsid w:val="007860F8"/>
    <w:rsid w:val="0078615C"/>
    <w:rsid w:val="00787735"/>
    <w:rsid w:val="00787EC1"/>
    <w:rsid w:val="00787F5E"/>
    <w:rsid w:val="00790255"/>
    <w:rsid w:val="00790279"/>
    <w:rsid w:val="007915C0"/>
    <w:rsid w:val="00792BEF"/>
    <w:rsid w:val="00794018"/>
    <w:rsid w:val="007958B1"/>
    <w:rsid w:val="00795A47"/>
    <w:rsid w:val="00795ED9"/>
    <w:rsid w:val="007960DF"/>
    <w:rsid w:val="00796692"/>
    <w:rsid w:val="00796DD1"/>
    <w:rsid w:val="00796FBE"/>
    <w:rsid w:val="007A2B84"/>
    <w:rsid w:val="007A3179"/>
    <w:rsid w:val="007A3417"/>
    <w:rsid w:val="007A37CD"/>
    <w:rsid w:val="007A3C64"/>
    <w:rsid w:val="007A5347"/>
    <w:rsid w:val="007B0EEF"/>
    <w:rsid w:val="007B2B73"/>
    <w:rsid w:val="007B2D1C"/>
    <w:rsid w:val="007B307E"/>
    <w:rsid w:val="007B34D6"/>
    <w:rsid w:val="007B460A"/>
    <w:rsid w:val="007B6137"/>
    <w:rsid w:val="007B7666"/>
    <w:rsid w:val="007B7B07"/>
    <w:rsid w:val="007B7CC6"/>
    <w:rsid w:val="007C212A"/>
    <w:rsid w:val="007C26AB"/>
    <w:rsid w:val="007C3756"/>
    <w:rsid w:val="007C3A38"/>
    <w:rsid w:val="007C4D30"/>
    <w:rsid w:val="007C4DF7"/>
    <w:rsid w:val="007C542A"/>
    <w:rsid w:val="007C58E1"/>
    <w:rsid w:val="007C59E5"/>
    <w:rsid w:val="007C5ADD"/>
    <w:rsid w:val="007C6528"/>
    <w:rsid w:val="007C7C2D"/>
    <w:rsid w:val="007D02D4"/>
    <w:rsid w:val="007D0B81"/>
    <w:rsid w:val="007D11D9"/>
    <w:rsid w:val="007D22BF"/>
    <w:rsid w:val="007D2F05"/>
    <w:rsid w:val="007D4FDE"/>
    <w:rsid w:val="007D507D"/>
    <w:rsid w:val="007D5FE5"/>
    <w:rsid w:val="007D6B1B"/>
    <w:rsid w:val="007E0E9B"/>
    <w:rsid w:val="007E1030"/>
    <w:rsid w:val="007E18E5"/>
    <w:rsid w:val="007E2B35"/>
    <w:rsid w:val="007E56AE"/>
    <w:rsid w:val="007E572E"/>
    <w:rsid w:val="007E589B"/>
    <w:rsid w:val="007E5FB3"/>
    <w:rsid w:val="007E6A79"/>
    <w:rsid w:val="007E6C1A"/>
    <w:rsid w:val="007E7CA3"/>
    <w:rsid w:val="007E7E3B"/>
    <w:rsid w:val="007F0F20"/>
    <w:rsid w:val="007F1CC9"/>
    <w:rsid w:val="007F22C0"/>
    <w:rsid w:val="007F24FB"/>
    <w:rsid w:val="007F2D11"/>
    <w:rsid w:val="007F3981"/>
    <w:rsid w:val="007F3F14"/>
    <w:rsid w:val="007F4BE5"/>
    <w:rsid w:val="007F5A6A"/>
    <w:rsid w:val="00800A0E"/>
    <w:rsid w:val="00802C8C"/>
    <w:rsid w:val="00803E1C"/>
    <w:rsid w:val="00804622"/>
    <w:rsid w:val="00805108"/>
    <w:rsid w:val="008059F7"/>
    <w:rsid w:val="00805A00"/>
    <w:rsid w:val="00805C98"/>
    <w:rsid w:val="00806AEE"/>
    <w:rsid w:val="00806D14"/>
    <w:rsid w:val="00806D72"/>
    <w:rsid w:val="008101ED"/>
    <w:rsid w:val="00810C59"/>
    <w:rsid w:val="008118B7"/>
    <w:rsid w:val="00811F1B"/>
    <w:rsid w:val="00812202"/>
    <w:rsid w:val="008130D5"/>
    <w:rsid w:val="008135D9"/>
    <w:rsid w:val="008139D4"/>
    <w:rsid w:val="00813F73"/>
    <w:rsid w:val="00814309"/>
    <w:rsid w:val="00815793"/>
    <w:rsid w:val="00816849"/>
    <w:rsid w:val="00816CD8"/>
    <w:rsid w:val="00820AC8"/>
    <w:rsid w:val="008215D7"/>
    <w:rsid w:val="0082247E"/>
    <w:rsid w:val="008231CF"/>
    <w:rsid w:val="008237DF"/>
    <w:rsid w:val="00823AC1"/>
    <w:rsid w:val="00823B4E"/>
    <w:rsid w:val="008240D2"/>
    <w:rsid w:val="00824448"/>
    <w:rsid w:val="00825445"/>
    <w:rsid w:val="00825C93"/>
    <w:rsid w:val="00825CC5"/>
    <w:rsid w:val="008261A9"/>
    <w:rsid w:val="00826216"/>
    <w:rsid w:val="008264C6"/>
    <w:rsid w:val="00830962"/>
    <w:rsid w:val="0083280E"/>
    <w:rsid w:val="00833407"/>
    <w:rsid w:val="00833551"/>
    <w:rsid w:val="008336EA"/>
    <w:rsid w:val="00834F0E"/>
    <w:rsid w:val="0083552E"/>
    <w:rsid w:val="00835CBB"/>
    <w:rsid w:val="00835D43"/>
    <w:rsid w:val="00836FF8"/>
    <w:rsid w:val="00837151"/>
    <w:rsid w:val="008374A8"/>
    <w:rsid w:val="008374CD"/>
    <w:rsid w:val="00837DAC"/>
    <w:rsid w:val="0084067E"/>
    <w:rsid w:val="008416E2"/>
    <w:rsid w:val="0084191B"/>
    <w:rsid w:val="00841F72"/>
    <w:rsid w:val="008450BA"/>
    <w:rsid w:val="0084587F"/>
    <w:rsid w:val="00846D8D"/>
    <w:rsid w:val="00847493"/>
    <w:rsid w:val="00847855"/>
    <w:rsid w:val="00847870"/>
    <w:rsid w:val="0085058C"/>
    <w:rsid w:val="008507C3"/>
    <w:rsid w:val="00851ABD"/>
    <w:rsid w:val="00851B4F"/>
    <w:rsid w:val="00852D36"/>
    <w:rsid w:val="008542A0"/>
    <w:rsid w:val="008544BC"/>
    <w:rsid w:val="008544ED"/>
    <w:rsid w:val="008562B5"/>
    <w:rsid w:val="00856B78"/>
    <w:rsid w:val="008577F4"/>
    <w:rsid w:val="0086024C"/>
    <w:rsid w:val="0086096B"/>
    <w:rsid w:val="008621D2"/>
    <w:rsid w:val="00863095"/>
    <w:rsid w:val="008639E8"/>
    <w:rsid w:val="008643C2"/>
    <w:rsid w:val="008657DE"/>
    <w:rsid w:val="00865904"/>
    <w:rsid w:val="00867CC9"/>
    <w:rsid w:val="00870882"/>
    <w:rsid w:val="00870DED"/>
    <w:rsid w:val="00872DB6"/>
    <w:rsid w:val="0087311A"/>
    <w:rsid w:val="008735F1"/>
    <w:rsid w:val="0087412B"/>
    <w:rsid w:val="0087451A"/>
    <w:rsid w:val="008747D0"/>
    <w:rsid w:val="00874E67"/>
    <w:rsid w:val="0087606A"/>
    <w:rsid w:val="00876E3B"/>
    <w:rsid w:val="0087795F"/>
    <w:rsid w:val="00877D7C"/>
    <w:rsid w:val="00880D8D"/>
    <w:rsid w:val="00880DE7"/>
    <w:rsid w:val="00881457"/>
    <w:rsid w:val="00881E4E"/>
    <w:rsid w:val="00886E25"/>
    <w:rsid w:val="00887956"/>
    <w:rsid w:val="00887B64"/>
    <w:rsid w:val="00890C13"/>
    <w:rsid w:val="00890FA1"/>
    <w:rsid w:val="00891A1C"/>
    <w:rsid w:val="00891ADB"/>
    <w:rsid w:val="00891B01"/>
    <w:rsid w:val="008923A0"/>
    <w:rsid w:val="008944C1"/>
    <w:rsid w:val="00894DD2"/>
    <w:rsid w:val="00895565"/>
    <w:rsid w:val="00895A61"/>
    <w:rsid w:val="00895B4C"/>
    <w:rsid w:val="00896BD4"/>
    <w:rsid w:val="00897C32"/>
    <w:rsid w:val="00897D11"/>
    <w:rsid w:val="008A0B74"/>
    <w:rsid w:val="008A1676"/>
    <w:rsid w:val="008A1DB8"/>
    <w:rsid w:val="008A326A"/>
    <w:rsid w:val="008A3347"/>
    <w:rsid w:val="008A5C0C"/>
    <w:rsid w:val="008A5FC7"/>
    <w:rsid w:val="008A605A"/>
    <w:rsid w:val="008A6FB8"/>
    <w:rsid w:val="008A7ED6"/>
    <w:rsid w:val="008B068D"/>
    <w:rsid w:val="008B18F0"/>
    <w:rsid w:val="008B1ED9"/>
    <w:rsid w:val="008B3527"/>
    <w:rsid w:val="008B4AB1"/>
    <w:rsid w:val="008B547C"/>
    <w:rsid w:val="008B6393"/>
    <w:rsid w:val="008B6EC2"/>
    <w:rsid w:val="008B7525"/>
    <w:rsid w:val="008B7DBE"/>
    <w:rsid w:val="008C2631"/>
    <w:rsid w:val="008C2ADB"/>
    <w:rsid w:val="008C420C"/>
    <w:rsid w:val="008C4268"/>
    <w:rsid w:val="008C44ED"/>
    <w:rsid w:val="008C462C"/>
    <w:rsid w:val="008C5461"/>
    <w:rsid w:val="008C5FFC"/>
    <w:rsid w:val="008C6EC5"/>
    <w:rsid w:val="008C7D4D"/>
    <w:rsid w:val="008D0E22"/>
    <w:rsid w:val="008D1B43"/>
    <w:rsid w:val="008D2B3B"/>
    <w:rsid w:val="008D3A06"/>
    <w:rsid w:val="008D3FAA"/>
    <w:rsid w:val="008D64B9"/>
    <w:rsid w:val="008E09BE"/>
    <w:rsid w:val="008E0C86"/>
    <w:rsid w:val="008E1911"/>
    <w:rsid w:val="008E1ECC"/>
    <w:rsid w:val="008E2858"/>
    <w:rsid w:val="008E32CA"/>
    <w:rsid w:val="008E4726"/>
    <w:rsid w:val="008E5BB6"/>
    <w:rsid w:val="008E5E90"/>
    <w:rsid w:val="008E7274"/>
    <w:rsid w:val="008E75BD"/>
    <w:rsid w:val="008E7D4B"/>
    <w:rsid w:val="008F0A30"/>
    <w:rsid w:val="008F0A52"/>
    <w:rsid w:val="008F1409"/>
    <w:rsid w:val="008F195C"/>
    <w:rsid w:val="008F19FA"/>
    <w:rsid w:val="008F27B7"/>
    <w:rsid w:val="008F3146"/>
    <w:rsid w:val="008F329B"/>
    <w:rsid w:val="008F35C6"/>
    <w:rsid w:val="008F4F89"/>
    <w:rsid w:val="008F5E24"/>
    <w:rsid w:val="00900064"/>
    <w:rsid w:val="00900651"/>
    <w:rsid w:val="00901025"/>
    <w:rsid w:val="0090185E"/>
    <w:rsid w:val="0090191D"/>
    <w:rsid w:val="00901ACE"/>
    <w:rsid w:val="00901F96"/>
    <w:rsid w:val="00902CA4"/>
    <w:rsid w:val="00903CCB"/>
    <w:rsid w:val="00907124"/>
    <w:rsid w:val="009104B9"/>
    <w:rsid w:val="00910DB3"/>
    <w:rsid w:val="00912B20"/>
    <w:rsid w:val="009138CB"/>
    <w:rsid w:val="00914772"/>
    <w:rsid w:val="00915777"/>
    <w:rsid w:val="00917409"/>
    <w:rsid w:val="009205D1"/>
    <w:rsid w:val="00921454"/>
    <w:rsid w:val="00921B87"/>
    <w:rsid w:val="00921E98"/>
    <w:rsid w:val="00922D25"/>
    <w:rsid w:val="0092346F"/>
    <w:rsid w:val="00923AFA"/>
    <w:rsid w:val="00923B83"/>
    <w:rsid w:val="00924FB6"/>
    <w:rsid w:val="0092535E"/>
    <w:rsid w:val="00925373"/>
    <w:rsid w:val="0092656D"/>
    <w:rsid w:val="00926792"/>
    <w:rsid w:val="00930265"/>
    <w:rsid w:val="00930890"/>
    <w:rsid w:val="00930DAB"/>
    <w:rsid w:val="00931D2D"/>
    <w:rsid w:val="00932310"/>
    <w:rsid w:val="00932E92"/>
    <w:rsid w:val="00933E33"/>
    <w:rsid w:val="00933F30"/>
    <w:rsid w:val="00934B1F"/>
    <w:rsid w:val="009354E5"/>
    <w:rsid w:val="00936DB4"/>
    <w:rsid w:val="00937695"/>
    <w:rsid w:val="009400F0"/>
    <w:rsid w:val="0094040C"/>
    <w:rsid w:val="00941D0A"/>
    <w:rsid w:val="0094225F"/>
    <w:rsid w:val="00942373"/>
    <w:rsid w:val="009436C9"/>
    <w:rsid w:val="0094448C"/>
    <w:rsid w:val="009457C6"/>
    <w:rsid w:val="009467D5"/>
    <w:rsid w:val="00946CAB"/>
    <w:rsid w:val="00947E74"/>
    <w:rsid w:val="009507EB"/>
    <w:rsid w:val="00951967"/>
    <w:rsid w:val="00952082"/>
    <w:rsid w:val="00952309"/>
    <w:rsid w:val="009525B3"/>
    <w:rsid w:val="00953A23"/>
    <w:rsid w:val="00953D69"/>
    <w:rsid w:val="00953D91"/>
    <w:rsid w:val="00954BE4"/>
    <w:rsid w:val="00956337"/>
    <w:rsid w:val="00956B26"/>
    <w:rsid w:val="00957011"/>
    <w:rsid w:val="00960B50"/>
    <w:rsid w:val="009627CD"/>
    <w:rsid w:val="00963048"/>
    <w:rsid w:val="0096329A"/>
    <w:rsid w:val="00965315"/>
    <w:rsid w:val="00966B9E"/>
    <w:rsid w:val="00967249"/>
    <w:rsid w:val="00967DEC"/>
    <w:rsid w:val="0097063C"/>
    <w:rsid w:val="0097070F"/>
    <w:rsid w:val="00970E39"/>
    <w:rsid w:val="00971367"/>
    <w:rsid w:val="00972E33"/>
    <w:rsid w:val="00973251"/>
    <w:rsid w:val="00973B3C"/>
    <w:rsid w:val="009748DB"/>
    <w:rsid w:val="00977D20"/>
    <w:rsid w:val="00977E7C"/>
    <w:rsid w:val="00980050"/>
    <w:rsid w:val="00980147"/>
    <w:rsid w:val="0098151F"/>
    <w:rsid w:val="00981EB2"/>
    <w:rsid w:val="00981FBA"/>
    <w:rsid w:val="00986CB8"/>
    <w:rsid w:val="00987422"/>
    <w:rsid w:val="00987E90"/>
    <w:rsid w:val="009902CB"/>
    <w:rsid w:val="00990547"/>
    <w:rsid w:val="009917B3"/>
    <w:rsid w:val="00991BDB"/>
    <w:rsid w:val="00992A05"/>
    <w:rsid w:val="0099400D"/>
    <w:rsid w:val="009951C9"/>
    <w:rsid w:val="0099523F"/>
    <w:rsid w:val="0099612C"/>
    <w:rsid w:val="00996604"/>
    <w:rsid w:val="00996BF0"/>
    <w:rsid w:val="00997696"/>
    <w:rsid w:val="009A02AF"/>
    <w:rsid w:val="009A07D5"/>
    <w:rsid w:val="009A0AA1"/>
    <w:rsid w:val="009A1724"/>
    <w:rsid w:val="009A1D75"/>
    <w:rsid w:val="009A3A04"/>
    <w:rsid w:val="009A4162"/>
    <w:rsid w:val="009A4B8F"/>
    <w:rsid w:val="009A4E29"/>
    <w:rsid w:val="009A7C09"/>
    <w:rsid w:val="009A7FC8"/>
    <w:rsid w:val="009B0030"/>
    <w:rsid w:val="009B0A34"/>
    <w:rsid w:val="009B217B"/>
    <w:rsid w:val="009B2EF4"/>
    <w:rsid w:val="009B3549"/>
    <w:rsid w:val="009B3741"/>
    <w:rsid w:val="009B433C"/>
    <w:rsid w:val="009B469A"/>
    <w:rsid w:val="009B56EE"/>
    <w:rsid w:val="009B5D1A"/>
    <w:rsid w:val="009B5D75"/>
    <w:rsid w:val="009B661A"/>
    <w:rsid w:val="009B6F28"/>
    <w:rsid w:val="009B7343"/>
    <w:rsid w:val="009B74DB"/>
    <w:rsid w:val="009B7BFB"/>
    <w:rsid w:val="009B7C4C"/>
    <w:rsid w:val="009C147D"/>
    <w:rsid w:val="009C1561"/>
    <w:rsid w:val="009C2471"/>
    <w:rsid w:val="009C2527"/>
    <w:rsid w:val="009C26C6"/>
    <w:rsid w:val="009C27DC"/>
    <w:rsid w:val="009C2A04"/>
    <w:rsid w:val="009C334A"/>
    <w:rsid w:val="009C3479"/>
    <w:rsid w:val="009C4066"/>
    <w:rsid w:val="009C4DDF"/>
    <w:rsid w:val="009C5658"/>
    <w:rsid w:val="009C5BC4"/>
    <w:rsid w:val="009C6C12"/>
    <w:rsid w:val="009C6C39"/>
    <w:rsid w:val="009C79E5"/>
    <w:rsid w:val="009D02DD"/>
    <w:rsid w:val="009D0C14"/>
    <w:rsid w:val="009D0F39"/>
    <w:rsid w:val="009D1290"/>
    <w:rsid w:val="009D4A53"/>
    <w:rsid w:val="009D634C"/>
    <w:rsid w:val="009D6F28"/>
    <w:rsid w:val="009D702B"/>
    <w:rsid w:val="009D7471"/>
    <w:rsid w:val="009E1648"/>
    <w:rsid w:val="009E1DE3"/>
    <w:rsid w:val="009E2576"/>
    <w:rsid w:val="009E34A4"/>
    <w:rsid w:val="009E3791"/>
    <w:rsid w:val="009E4BF1"/>
    <w:rsid w:val="009E4C45"/>
    <w:rsid w:val="009E60E6"/>
    <w:rsid w:val="009E627A"/>
    <w:rsid w:val="009E660C"/>
    <w:rsid w:val="009E6EA1"/>
    <w:rsid w:val="009F0149"/>
    <w:rsid w:val="009F0B69"/>
    <w:rsid w:val="009F174F"/>
    <w:rsid w:val="009F2785"/>
    <w:rsid w:val="009F2D3D"/>
    <w:rsid w:val="009F330F"/>
    <w:rsid w:val="009F3888"/>
    <w:rsid w:val="009F3AD0"/>
    <w:rsid w:val="009F5424"/>
    <w:rsid w:val="009F6408"/>
    <w:rsid w:val="00A0042E"/>
    <w:rsid w:val="00A00A07"/>
    <w:rsid w:val="00A00B82"/>
    <w:rsid w:val="00A01F8A"/>
    <w:rsid w:val="00A02853"/>
    <w:rsid w:val="00A02AF2"/>
    <w:rsid w:val="00A02FC4"/>
    <w:rsid w:val="00A030BA"/>
    <w:rsid w:val="00A0366E"/>
    <w:rsid w:val="00A03B90"/>
    <w:rsid w:val="00A03F4D"/>
    <w:rsid w:val="00A04510"/>
    <w:rsid w:val="00A0491D"/>
    <w:rsid w:val="00A04ED7"/>
    <w:rsid w:val="00A0523C"/>
    <w:rsid w:val="00A0586D"/>
    <w:rsid w:val="00A05A5C"/>
    <w:rsid w:val="00A05D92"/>
    <w:rsid w:val="00A10610"/>
    <w:rsid w:val="00A10664"/>
    <w:rsid w:val="00A1240D"/>
    <w:rsid w:val="00A12E4C"/>
    <w:rsid w:val="00A133AB"/>
    <w:rsid w:val="00A14303"/>
    <w:rsid w:val="00A148E1"/>
    <w:rsid w:val="00A149C2"/>
    <w:rsid w:val="00A17B24"/>
    <w:rsid w:val="00A17F8E"/>
    <w:rsid w:val="00A20058"/>
    <w:rsid w:val="00A20877"/>
    <w:rsid w:val="00A21F90"/>
    <w:rsid w:val="00A23281"/>
    <w:rsid w:val="00A242AE"/>
    <w:rsid w:val="00A248F0"/>
    <w:rsid w:val="00A271A3"/>
    <w:rsid w:val="00A30109"/>
    <w:rsid w:val="00A30C4A"/>
    <w:rsid w:val="00A30E4F"/>
    <w:rsid w:val="00A32666"/>
    <w:rsid w:val="00A33A1F"/>
    <w:rsid w:val="00A3547C"/>
    <w:rsid w:val="00A358BC"/>
    <w:rsid w:val="00A35AF0"/>
    <w:rsid w:val="00A36D01"/>
    <w:rsid w:val="00A4029A"/>
    <w:rsid w:val="00A40651"/>
    <w:rsid w:val="00A40938"/>
    <w:rsid w:val="00A40EA8"/>
    <w:rsid w:val="00A42099"/>
    <w:rsid w:val="00A4374F"/>
    <w:rsid w:val="00A4521B"/>
    <w:rsid w:val="00A45E22"/>
    <w:rsid w:val="00A479C5"/>
    <w:rsid w:val="00A50610"/>
    <w:rsid w:val="00A512A4"/>
    <w:rsid w:val="00A517E3"/>
    <w:rsid w:val="00A51E1C"/>
    <w:rsid w:val="00A52DF1"/>
    <w:rsid w:val="00A53E2D"/>
    <w:rsid w:val="00A54085"/>
    <w:rsid w:val="00A540FA"/>
    <w:rsid w:val="00A54461"/>
    <w:rsid w:val="00A54A39"/>
    <w:rsid w:val="00A56E31"/>
    <w:rsid w:val="00A57AE7"/>
    <w:rsid w:val="00A57D65"/>
    <w:rsid w:val="00A600FE"/>
    <w:rsid w:val="00A61130"/>
    <w:rsid w:val="00A62BAF"/>
    <w:rsid w:val="00A63099"/>
    <w:rsid w:val="00A637C9"/>
    <w:rsid w:val="00A6402E"/>
    <w:rsid w:val="00A647F3"/>
    <w:rsid w:val="00A6563F"/>
    <w:rsid w:val="00A65C05"/>
    <w:rsid w:val="00A66CF9"/>
    <w:rsid w:val="00A67DA6"/>
    <w:rsid w:val="00A7070D"/>
    <w:rsid w:val="00A70AED"/>
    <w:rsid w:val="00A716E2"/>
    <w:rsid w:val="00A71860"/>
    <w:rsid w:val="00A7193C"/>
    <w:rsid w:val="00A7408A"/>
    <w:rsid w:val="00A74277"/>
    <w:rsid w:val="00A74EFF"/>
    <w:rsid w:val="00A75698"/>
    <w:rsid w:val="00A75949"/>
    <w:rsid w:val="00A77D2B"/>
    <w:rsid w:val="00A80EF0"/>
    <w:rsid w:val="00A81144"/>
    <w:rsid w:val="00A81548"/>
    <w:rsid w:val="00A8210E"/>
    <w:rsid w:val="00A836E7"/>
    <w:rsid w:val="00A83835"/>
    <w:rsid w:val="00A841E1"/>
    <w:rsid w:val="00A8446A"/>
    <w:rsid w:val="00A84C7D"/>
    <w:rsid w:val="00A86D9D"/>
    <w:rsid w:val="00A87994"/>
    <w:rsid w:val="00A9191A"/>
    <w:rsid w:val="00A91BE5"/>
    <w:rsid w:val="00A92748"/>
    <w:rsid w:val="00A92A65"/>
    <w:rsid w:val="00A9337D"/>
    <w:rsid w:val="00A93EB1"/>
    <w:rsid w:val="00A947DF"/>
    <w:rsid w:val="00A94888"/>
    <w:rsid w:val="00A957A0"/>
    <w:rsid w:val="00A95813"/>
    <w:rsid w:val="00A96A1A"/>
    <w:rsid w:val="00A96B57"/>
    <w:rsid w:val="00AA0164"/>
    <w:rsid w:val="00AA0464"/>
    <w:rsid w:val="00AA0F51"/>
    <w:rsid w:val="00AA13B7"/>
    <w:rsid w:val="00AA1566"/>
    <w:rsid w:val="00AA15AF"/>
    <w:rsid w:val="00AA1A80"/>
    <w:rsid w:val="00AA1D6E"/>
    <w:rsid w:val="00AA45AE"/>
    <w:rsid w:val="00AA482C"/>
    <w:rsid w:val="00AA51A0"/>
    <w:rsid w:val="00AA5404"/>
    <w:rsid w:val="00AA59F9"/>
    <w:rsid w:val="00AA5A77"/>
    <w:rsid w:val="00AA5EF3"/>
    <w:rsid w:val="00AA6CC4"/>
    <w:rsid w:val="00AA6CE9"/>
    <w:rsid w:val="00AA796C"/>
    <w:rsid w:val="00AB09C9"/>
    <w:rsid w:val="00AB0CE5"/>
    <w:rsid w:val="00AB1E38"/>
    <w:rsid w:val="00AB26B8"/>
    <w:rsid w:val="00AB276E"/>
    <w:rsid w:val="00AB2849"/>
    <w:rsid w:val="00AB2BDC"/>
    <w:rsid w:val="00AB2D21"/>
    <w:rsid w:val="00AB346B"/>
    <w:rsid w:val="00AB514D"/>
    <w:rsid w:val="00AB55DE"/>
    <w:rsid w:val="00AB5B7F"/>
    <w:rsid w:val="00AB6F1C"/>
    <w:rsid w:val="00AB770E"/>
    <w:rsid w:val="00AB7FF0"/>
    <w:rsid w:val="00AC0949"/>
    <w:rsid w:val="00AC0B88"/>
    <w:rsid w:val="00AC1947"/>
    <w:rsid w:val="00AC2293"/>
    <w:rsid w:val="00AC23C3"/>
    <w:rsid w:val="00AC2CA3"/>
    <w:rsid w:val="00AC2FF4"/>
    <w:rsid w:val="00AC442C"/>
    <w:rsid w:val="00AC5AF3"/>
    <w:rsid w:val="00AC5F1D"/>
    <w:rsid w:val="00AC7416"/>
    <w:rsid w:val="00AD01A0"/>
    <w:rsid w:val="00AD0BB8"/>
    <w:rsid w:val="00AD1692"/>
    <w:rsid w:val="00AD1837"/>
    <w:rsid w:val="00AD1850"/>
    <w:rsid w:val="00AD208C"/>
    <w:rsid w:val="00AD2C1D"/>
    <w:rsid w:val="00AD2F31"/>
    <w:rsid w:val="00AD33BF"/>
    <w:rsid w:val="00AD46D5"/>
    <w:rsid w:val="00AD492E"/>
    <w:rsid w:val="00AD49FB"/>
    <w:rsid w:val="00AD53FA"/>
    <w:rsid w:val="00AD553C"/>
    <w:rsid w:val="00AD5DC0"/>
    <w:rsid w:val="00AD6251"/>
    <w:rsid w:val="00AD78D7"/>
    <w:rsid w:val="00AD7EE1"/>
    <w:rsid w:val="00AE05FF"/>
    <w:rsid w:val="00AE0F24"/>
    <w:rsid w:val="00AE10D2"/>
    <w:rsid w:val="00AE1BB7"/>
    <w:rsid w:val="00AE2805"/>
    <w:rsid w:val="00AE3561"/>
    <w:rsid w:val="00AE35C2"/>
    <w:rsid w:val="00AE398A"/>
    <w:rsid w:val="00AE438F"/>
    <w:rsid w:val="00AE4DB5"/>
    <w:rsid w:val="00AE7140"/>
    <w:rsid w:val="00AF0164"/>
    <w:rsid w:val="00AF0374"/>
    <w:rsid w:val="00AF0A9A"/>
    <w:rsid w:val="00AF0AAE"/>
    <w:rsid w:val="00AF2776"/>
    <w:rsid w:val="00AF2E43"/>
    <w:rsid w:val="00AF30BC"/>
    <w:rsid w:val="00AF3AD4"/>
    <w:rsid w:val="00AF4BD4"/>
    <w:rsid w:val="00AF5045"/>
    <w:rsid w:val="00AF512B"/>
    <w:rsid w:val="00AF545A"/>
    <w:rsid w:val="00AF5825"/>
    <w:rsid w:val="00AF71CE"/>
    <w:rsid w:val="00B00D38"/>
    <w:rsid w:val="00B012E6"/>
    <w:rsid w:val="00B0281B"/>
    <w:rsid w:val="00B04468"/>
    <w:rsid w:val="00B045D1"/>
    <w:rsid w:val="00B0505F"/>
    <w:rsid w:val="00B06651"/>
    <w:rsid w:val="00B06D4F"/>
    <w:rsid w:val="00B1008F"/>
    <w:rsid w:val="00B10528"/>
    <w:rsid w:val="00B107CA"/>
    <w:rsid w:val="00B109E7"/>
    <w:rsid w:val="00B10C74"/>
    <w:rsid w:val="00B11382"/>
    <w:rsid w:val="00B122B4"/>
    <w:rsid w:val="00B12FF0"/>
    <w:rsid w:val="00B14448"/>
    <w:rsid w:val="00B155DD"/>
    <w:rsid w:val="00B15C74"/>
    <w:rsid w:val="00B1676B"/>
    <w:rsid w:val="00B16F29"/>
    <w:rsid w:val="00B1716A"/>
    <w:rsid w:val="00B17CC4"/>
    <w:rsid w:val="00B201D8"/>
    <w:rsid w:val="00B2032D"/>
    <w:rsid w:val="00B20E02"/>
    <w:rsid w:val="00B21FA2"/>
    <w:rsid w:val="00B22F4C"/>
    <w:rsid w:val="00B23FD8"/>
    <w:rsid w:val="00B26254"/>
    <w:rsid w:val="00B274DA"/>
    <w:rsid w:val="00B27AAF"/>
    <w:rsid w:val="00B322F7"/>
    <w:rsid w:val="00B323B0"/>
    <w:rsid w:val="00B32A4D"/>
    <w:rsid w:val="00B33D2F"/>
    <w:rsid w:val="00B3466D"/>
    <w:rsid w:val="00B35647"/>
    <w:rsid w:val="00B35C70"/>
    <w:rsid w:val="00B3615D"/>
    <w:rsid w:val="00B36A91"/>
    <w:rsid w:val="00B3702F"/>
    <w:rsid w:val="00B371B2"/>
    <w:rsid w:val="00B372E6"/>
    <w:rsid w:val="00B37623"/>
    <w:rsid w:val="00B37B15"/>
    <w:rsid w:val="00B37E74"/>
    <w:rsid w:val="00B40F15"/>
    <w:rsid w:val="00B4173D"/>
    <w:rsid w:val="00B419C9"/>
    <w:rsid w:val="00B426E6"/>
    <w:rsid w:val="00B42AAC"/>
    <w:rsid w:val="00B434E0"/>
    <w:rsid w:val="00B438C8"/>
    <w:rsid w:val="00B44023"/>
    <w:rsid w:val="00B44E41"/>
    <w:rsid w:val="00B450F6"/>
    <w:rsid w:val="00B45645"/>
    <w:rsid w:val="00B456FA"/>
    <w:rsid w:val="00B45979"/>
    <w:rsid w:val="00B46F20"/>
    <w:rsid w:val="00B51060"/>
    <w:rsid w:val="00B514FD"/>
    <w:rsid w:val="00B51AFF"/>
    <w:rsid w:val="00B53735"/>
    <w:rsid w:val="00B53EDB"/>
    <w:rsid w:val="00B54069"/>
    <w:rsid w:val="00B5504B"/>
    <w:rsid w:val="00B550F2"/>
    <w:rsid w:val="00B555D0"/>
    <w:rsid w:val="00B560A6"/>
    <w:rsid w:val="00B607E3"/>
    <w:rsid w:val="00B60AB3"/>
    <w:rsid w:val="00B60F95"/>
    <w:rsid w:val="00B63373"/>
    <w:rsid w:val="00B63504"/>
    <w:rsid w:val="00B6359B"/>
    <w:rsid w:val="00B63B9D"/>
    <w:rsid w:val="00B64CD8"/>
    <w:rsid w:val="00B65FA9"/>
    <w:rsid w:val="00B6709B"/>
    <w:rsid w:val="00B704AE"/>
    <w:rsid w:val="00B71000"/>
    <w:rsid w:val="00B717B6"/>
    <w:rsid w:val="00B724BA"/>
    <w:rsid w:val="00B72583"/>
    <w:rsid w:val="00B727D5"/>
    <w:rsid w:val="00B72C16"/>
    <w:rsid w:val="00B72C2D"/>
    <w:rsid w:val="00B74B3D"/>
    <w:rsid w:val="00B74D09"/>
    <w:rsid w:val="00B75916"/>
    <w:rsid w:val="00B75EE2"/>
    <w:rsid w:val="00B7609F"/>
    <w:rsid w:val="00B767D7"/>
    <w:rsid w:val="00B77A5C"/>
    <w:rsid w:val="00B80CF5"/>
    <w:rsid w:val="00B81128"/>
    <w:rsid w:val="00B813D7"/>
    <w:rsid w:val="00B81785"/>
    <w:rsid w:val="00B81A22"/>
    <w:rsid w:val="00B82307"/>
    <w:rsid w:val="00B82E45"/>
    <w:rsid w:val="00B83BE7"/>
    <w:rsid w:val="00B83EB7"/>
    <w:rsid w:val="00B84351"/>
    <w:rsid w:val="00B85066"/>
    <w:rsid w:val="00B85FA5"/>
    <w:rsid w:val="00B86A3D"/>
    <w:rsid w:val="00B872EB"/>
    <w:rsid w:val="00B87327"/>
    <w:rsid w:val="00B87576"/>
    <w:rsid w:val="00B876AF"/>
    <w:rsid w:val="00B904AA"/>
    <w:rsid w:val="00B91D24"/>
    <w:rsid w:val="00B92FB5"/>
    <w:rsid w:val="00B93C61"/>
    <w:rsid w:val="00B93F78"/>
    <w:rsid w:val="00B9438D"/>
    <w:rsid w:val="00B94B1F"/>
    <w:rsid w:val="00B951D5"/>
    <w:rsid w:val="00B95EA1"/>
    <w:rsid w:val="00B96F89"/>
    <w:rsid w:val="00BA0EC6"/>
    <w:rsid w:val="00BA13CB"/>
    <w:rsid w:val="00BA23F1"/>
    <w:rsid w:val="00BA3657"/>
    <w:rsid w:val="00BA3AE0"/>
    <w:rsid w:val="00BA3B44"/>
    <w:rsid w:val="00BA3BAD"/>
    <w:rsid w:val="00BA4571"/>
    <w:rsid w:val="00BA4579"/>
    <w:rsid w:val="00BA4584"/>
    <w:rsid w:val="00BA4CEB"/>
    <w:rsid w:val="00BA5CD6"/>
    <w:rsid w:val="00BA6D9F"/>
    <w:rsid w:val="00BB0509"/>
    <w:rsid w:val="00BB1C7E"/>
    <w:rsid w:val="00BB213C"/>
    <w:rsid w:val="00BB247E"/>
    <w:rsid w:val="00BB2734"/>
    <w:rsid w:val="00BB3456"/>
    <w:rsid w:val="00BB3F75"/>
    <w:rsid w:val="00BB4F7E"/>
    <w:rsid w:val="00BB539F"/>
    <w:rsid w:val="00BB5712"/>
    <w:rsid w:val="00BB6382"/>
    <w:rsid w:val="00BC1755"/>
    <w:rsid w:val="00BC1C29"/>
    <w:rsid w:val="00BC30E5"/>
    <w:rsid w:val="00BC4138"/>
    <w:rsid w:val="00BC48DB"/>
    <w:rsid w:val="00BC4993"/>
    <w:rsid w:val="00BC4F2C"/>
    <w:rsid w:val="00BC52CE"/>
    <w:rsid w:val="00BD0D6E"/>
    <w:rsid w:val="00BD0FBD"/>
    <w:rsid w:val="00BD28A7"/>
    <w:rsid w:val="00BD4DE8"/>
    <w:rsid w:val="00BD4FA7"/>
    <w:rsid w:val="00BD52EA"/>
    <w:rsid w:val="00BD53DF"/>
    <w:rsid w:val="00BD5C16"/>
    <w:rsid w:val="00BD690B"/>
    <w:rsid w:val="00BE0341"/>
    <w:rsid w:val="00BE037A"/>
    <w:rsid w:val="00BE03CF"/>
    <w:rsid w:val="00BE117F"/>
    <w:rsid w:val="00BE2751"/>
    <w:rsid w:val="00BE3464"/>
    <w:rsid w:val="00BE3732"/>
    <w:rsid w:val="00BE3DAE"/>
    <w:rsid w:val="00BE3E61"/>
    <w:rsid w:val="00BE4369"/>
    <w:rsid w:val="00BE4897"/>
    <w:rsid w:val="00BE49D4"/>
    <w:rsid w:val="00BE4FF6"/>
    <w:rsid w:val="00BE501B"/>
    <w:rsid w:val="00BE53C1"/>
    <w:rsid w:val="00BE55C3"/>
    <w:rsid w:val="00BE5C15"/>
    <w:rsid w:val="00BE5E05"/>
    <w:rsid w:val="00BE672C"/>
    <w:rsid w:val="00BE68E7"/>
    <w:rsid w:val="00BE75C3"/>
    <w:rsid w:val="00BF00D5"/>
    <w:rsid w:val="00BF12D1"/>
    <w:rsid w:val="00BF13A1"/>
    <w:rsid w:val="00BF26AF"/>
    <w:rsid w:val="00BF3456"/>
    <w:rsid w:val="00BF3CA1"/>
    <w:rsid w:val="00BF3D71"/>
    <w:rsid w:val="00BF4F39"/>
    <w:rsid w:val="00BF688F"/>
    <w:rsid w:val="00BF760F"/>
    <w:rsid w:val="00BF7667"/>
    <w:rsid w:val="00C0037D"/>
    <w:rsid w:val="00C0057E"/>
    <w:rsid w:val="00C0168C"/>
    <w:rsid w:val="00C02607"/>
    <w:rsid w:val="00C042D0"/>
    <w:rsid w:val="00C047F1"/>
    <w:rsid w:val="00C055A6"/>
    <w:rsid w:val="00C0565A"/>
    <w:rsid w:val="00C05AE5"/>
    <w:rsid w:val="00C06691"/>
    <w:rsid w:val="00C06794"/>
    <w:rsid w:val="00C07CEA"/>
    <w:rsid w:val="00C10424"/>
    <w:rsid w:val="00C13672"/>
    <w:rsid w:val="00C166CD"/>
    <w:rsid w:val="00C1780F"/>
    <w:rsid w:val="00C200C8"/>
    <w:rsid w:val="00C202FB"/>
    <w:rsid w:val="00C2222C"/>
    <w:rsid w:val="00C22FFD"/>
    <w:rsid w:val="00C23231"/>
    <w:rsid w:val="00C23E2B"/>
    <w:rsid w:val="00C23EA9"/>
    <w:rsid w:val="00C2435B"/>
    <w:rsid w:val="00C24C39"/>
    <w:rsid w:val="00C24E64"/>
    <w:rsid w:val="00C26576"/>
    <w:rsid w:val="00C30182"/>
    <w:rsid w:val="00C327A2"/>
    <w:rsid w:val="00C32C57"/>
    <w:rsid w:val="00C33442"/>
    <w:rsid w:val="00C34379"/>
    <w:rsid w:val="00C3472F"/>
    <w:rsid w:val="00C35550"/>
    <w:rsid w:val="00C35B0A"/>
    <w:rsid w:val="00C36A26"/>
    <w:rsid w:val="00C36B1E"/>
    <w:rsid w:val="00C36BAB"/>
    <w:rsid w:val="00C37076"/>
    <w:rsid w:val="00C378C7"/>
    <w:rsid w:val="00C40038"/>
    <w:rsid w:val="00C408F4"/>
    <w:rsid w:val="00C40E92"/>
    <w:rsid w:val="00C41181"/>
    <w:rsid w:val="00C41C5B"/>
    <w:rsid w:val="00C42146"/>
    <w:rsid w:val="00C43BBD"/>
    <w:rsid w:val="00C453A8"/>
    <w:rsid w:val="00C45A63"/>
    <w:rsid w:val="00C45DE6"/>
    <w:rsid w:val="00C46AC4"/>
    <w:rsid w:val="00C47425"/>
    <w:rsid w:val="00C475AF"/>
    <w:rsid w:val="00C47DC6"/>
    <w:rsid w:val="00C500CC"/>
    <w:rsid w:val="00C50BE0"/>
    <w:rsid w:val="00C50DFE"/>
    <w:rsid w:val="00C52E05"/>
    <w:rsid w:val="00C52E1F"/>
    <w:rsid w:val="00C52FC3"/>
    <w:rsid w:val="00C53539"/>
    <w:rsid w:val="00C53A5D"/>
    <w:rsid w:val="00C54592"/>
    <w:rsid w:val="00C54E4F"/>
    <w:rsid w:val="00C55114"/>
    <w:rsid w:val="00C56118"/>
    <w:rsid w:val="00C5680B"/>
    <w:rsid w:val="00C56B2A"/>
    <w:rsid w:val="00C5740D"/>
    <w:rsid w:val="00C5748F"/>
    <w:rsid w:val="00C57A0D"/>
    <w:rsid w:val="00C57DED"/>
    <w:rsid w:val="00C60027"/>
    <w:rsid w:val="00C602D1"/>
    <w:rsid w:val="00C60C99"/>
    <w:rsid w:val="00C61198"/>
    <w:rsid w:val="00C62336"/>
    <w:rsid w:val="00C62F35"/>
    <w:rsid w:val="00C63E97"/>
    <w:rsid w:val="00C6431B"/>
    <w:rsid w:val="00C643CA"/>
    <w:rsid w:val="00C64A4E"/>
    <w:rsid w:val="00C64AD2"/>
    <w:rsid w:val="00C66804"/>
    <w:rsid w:val="00C669FB"/>
    <w:rsid w:val="00C67146"/>
    <w:rsid w:val="00C70492"/>
    <w:rsid w:val="00C70C09"/>
    <w:rsid w:val="00C718C9"/>
    <w:rsid w:val="00C71B4C"/>
    <w:rsid w:val="00C71EFC"/>
    <w:rsid w:val="00C72360"/>
    <w:rsid w:val="00C72C7B"/>
    <w:rsid w:val="00C73240"/>
    <w:rsid w:val="00C73CE9"/>
    <w:rsid w:val="00C74072"/>
    <w:rsid w:val="00C76268"/>
    <w:rsid w:val="00C762C8"/>
    <w:rsid w:val="00C76472"/>
    <w:rsid w:val="00C76913"/>
    <w:rsid w:val="00C7748A"/>
    <w:rsid w:val="00C7765B"/>
    <w:rsid w:val="00C7779E"/>
    <w:rsid w:val="00C77AD3"/>
    <w:rsid w:val="00C77FD3"/>
    <w:rsid w:val="00C800D8"/>
    <w:rsid w:val="00C81E2B"/>
    <w:rsid w:val="00C824F7"/>
    <w:rsid w:val="00C841D3"/>
    <w:rsid w:val="00C84388"/>
    <w:rsid w:val="00C857F9"/>
    <w:rsid w:val="00C85824"/>
    <w:rsid w:val="00C85995"/>
    <w:rsid w:val="00C85BD5"/>
    <w:rsid w:val="00C85C37"/>
    <w:rsid w:val="00C86814"/>
    <w:rsid w:val="00C86A24"/>
    <w:rsid w:val="00C90EDE"/>
    <w:rsid w:val="00C91041"/>
    <w:rsid w:val="00C91271"/>
    <w:rsid w:val="00C91A19"/>
    <w:rsid w:val="00C91C4B"/>
    <w:rsid w:val="00C91E48"/>
    <w:rsid w:val="00C92340"/>
    <w:rsid w:val="00C9246C"/>
    <w:rsid w:val="00C928A4"/>
    <w:rsid w:val="00C92F5E"/>
    <w:rsid w:val="00C93534"/>
    <w:rsid w:val="00C93B11"/>
    <w:rsid w:val="00C93D87"/>
    <w:rsid w:val="00C94362"/>
    <w:rsid w:val="00C94B97"/>
    <w:rsid w:val="00C963F3"/>
    <w:rsid w:val="00C96648"/>
    <w:rsid w:val="00C97AC0"/>
    <w:rsid w:val="00CA0210"/>
    <w:rsid w:val="00CA1D5E"/>
    <w:rsid w:val="00CA37B1"/>
    <w:rsid w:val="00CA387F"/>
    <w:rsid w:val="00CA4C1C"/>
    <w:rsid w:val="00CA4D1F"/>
    <w:rsid w:val="00CA6C96"/>
    <w:rsid w:val="00CA6D82"/>
    <w:rsid w:val="00CA70E5"/>
    <w:rsid w:val="00CA7529"/>
    <w:rsid w:val="00CB06BD"/>
    <w:rsid w:val="00CB36AD"/>
    <w:rsid w:val="00CB3B81"/>
    <w:rsid w:val="00CB4E86"/>
    <w:rsid w:val="00CB560C"/>
    <w:rsid w:val="00CB5C21"/>
    <w:rsid w:val="00CB6664"/>
    <w:rsid w:val="00CB6DA3"/>
    <w:rsid w:val="00CB7058"/>
    <w:rsid w:val="00CC0051"/>
    <w:rsid w:val="00CC1DD1"/>
    <w:rsid w:val="00CC2626"/>
    <w:rsid w:val="00CC28D2"/>
    <w:rsid w:val="00CC3514"/>
    <w:rsid w:val="00CC5F73"/>
    <w:rsid w:val="00CC6BE4"/>
    <w:rsid w:val="00CC715B"/>
    <w:rsid w:val="00CC7CC0"/>
    <w:rsid w:val="00CC7E33"/>
    <w:rsid w:val="00CD090A"/>
    <w:rsid w:val="00CD0EE4"/>
    <w:rsid w:val="00CD1C52"/>
    <w:rsid w:val="00CD37AD"/>
    <w:rsid w:val="00CD3804"/>
    <w:rsid w:val="00CD40DF"/>
    <w:rsid w:val="00CD432D"/>
    <w:rsid w:val="00CD605E"/>
    <w:rsid w:val="00CE03CD"/>
    <w:rsid w:val="00CE03EE"/>
    <w:rsid w:val="00CE065E"/>
    <w:rsid w:val="00CE0A6D"/>
    <w:rsid w:val="00CE0C27"/>
    <w:rsid w:val="00CE1396"/>
    <w:rsid w:val="00CE2225"/>
    <w:rsid w:val="00CE4370"/>
    <w:rsid w:val="00CE471C"/>
    <w:rsid w:val="00CE5E57"/>
    <w:rsid w:val="00CE6D73"/>
    <w:rsid w:val="00CE7996"/>
    <w:rsid w:val="00CE7FD1"/>
    <w:rsid w:val="00CF1A94"/>
    <w:rsid w:val="00CF1CBE"/>
    <w:rsid w:val="00CF1E57"/>
    <w:rsid w:val="00CF24CE"/>
    <w:rsid w:val="00CF2F7F"/>
    <w:rsid w:val="00CF5DDE"/>
    <w:rsid w:val="00CF623C"/>
    <w:rsid w:val="00CF6466"/>
    <w:rsid w:val="00CF64DC"/>
    <w:rsid w:val="00D01AE0"/>
    <w:rsid w:val="00D01BF2"/>
    <w:rsid w:val="00D01EB5"/>
    <w:rsid w:val="00D01F75"/>
    <w:rsid w:val="00D02723"/>
    <w:rsid w:val="00D02F94"/>
    <w:rsid w:val="00D04336"/>
    <w:rsid w:val="00D045CF"/>
    <w:rsid w:val="00D04759"/>
    <w:rsid w:val="00D04DBE"/>
    <w:rsid w:val="00D0563B"/>
    <w:rsid w:val="00D05843"/>
    <w:rsid w:val="00D06B16"/>
    <w:rsid w:val="00D07F34"/>
    <w:rsid w:val="00D100FC"/>
    <w:rsid w:val="00D1060A"/>
    <w:rsid w:val="00D10D0B"/>
    <w:rsid w:val="00D11999"/>
    <w:rsid w:val="00D11A69"/>
    <w:rsid w:val="00D1212F"/>
    <w:rsid w:val="00D12B05"/>
    <w:rsid w:val="00D12E86"/>
    <w:rsid w:val="00D140A0"/>
    <w:rsid w:val="00D142E1"/>
    <w:rsid w:val="00D146D5"/>
    <w:rsid w:val="00D158DE"/>
    <w:rsid w:val="00D15EE0"/>
    <w:rsid w:val="00D165EF"/>
    <w:rsid w:val="00D1701B"/>
    <w:rsid w:val="00D17034"/>
    <w:rsid w:val="00D17988"/>
    <w:rsid w:val="00D17B74"/>
    <w:rsid w:val="00D17E64"/>
    <w:rsid w:val="00D21BD1"/>
    <w:rsid w:val="00D22DA7"/>
    <w:rsid w:val="00D26010"/>
    <w:rsid w:val="00D26069"/>
    <w:rsid w:val="00D26338"/>
    <w:rsid w:val="00D2700A"/>
    <w:rsid w:val="00D302CC"/>
    <w:rsid w:val="00D30697"/>
    <w:rsid w:val="00D3263F"/>
    <w:rsid w:val="00D364AA"/>
    <w:rsid w:val="00D36977"/>
    <w:rsid w:val="00D36E92"/>
    <w:rsid w:val="00D37EFE"/>
    <w:rsid w:val="00D41181"/>
    <w:rsid w:val="00D4186C"/>
    <w:rsid w:val="00D41F08"/>
    <w:rsid w:val="00D42BC5"/>
    <w:rsid w:val="00D435A0"/>
    <w:rsid w:val="00D4386F"/>
    <w:rsid w:val="00D43A43"/>
    <w:rsid w:val="00D44FE5"/>
    <w:rsid w:val="00D46124"/>
    <w:rsid w:val="00D46F54"/>
    <w:rsid w:val="00D509F1"/>
    <w:rsid w:val="00D50AB4"/>
    <w:rsid w:val="00D50BD1"/>
    <w:rsid w:val="00D52221"/>
    <w:rsid w:val="00D52C76"/>
    <w:rsid w:val="00D53E54"/>
    <w:rsid w:val="00D564EF"/>
    <w:rsid w:val="00D56DEC"/>
    <w:rsid w:val="00D602A0"/>
    <w:rsid w:val="00D60718"/>
    <w:rsid w:val="00D60A4F"/>
    <w:rsid w:val="00D61039"/>
    <w:rsid w:val="00D61D69"/>
    <w:rsid w:val="00D63900"/>
    <w:rsid w:val="00D63DB9"/>
    <w:rsid w:val="00D63EBF"/>
    <w:rsid w:val="00D63FDA"/>
    <w:rsid w:val="00D64796"/>
    <w:rsid w:val="00D64F40"/>
    <w:rsid w:val="00D6595C"/>
    <w:rsid w:val="00D66667"/>
    <w:rsid w:val="00D67382"/>
    <w:rsid w:val="00D71159"/>
    <w:rsid w:val="00D71312"/>
    <w:rsid w:val="00D72482"/>
    <w:rsid w:val="00D75806"/>
    <w:rsid w:val="00D75C8C"/>
    <w:rsid w:val="00D76676"/>
    <w:rsid w:val="00D76C29"/>
    <w:rsid w:val="00D771AA"/>
    <w:rsid w:val="00D77D88"/>
    <w:rsid w:val="00D8040A"/>
    <w:rsid w:val="00D80508"/>
    <w:rsid w:val="00D80AE5"/>
    <w:rsid w:val="00D81707"/>
    <w:rsid w:val="00D81773"/>
    <w:rsid w:val="00D8241B"/>
    <w:rsid w:val="00D82C2A"/>
    <w:rsid w:val="00D837E3"/>
    <w:rsid w:val="00D83D84"/>
    <w:rsid w:val="00D841BF"/>
    <w:rsid w:val="00D844CB"/>
    <w:rsid w:val="00D8529D"/>
    <w:rsid w:val="00D85442"/>
    <w:rsid w:val="00D85C86"/>
    <w:rsid w:val="00D8611F"/>
    <w:rsid w:val="00D86267"/>
    <w:rsid w:val="00D862F1"/>
    <w:rsid w:val="00D86C63"/>
    <w:rsid w:val="00D90D0F"/>
    <w:rsid w:val="00D9216E"/>
    <w:rsid w:val="00D92B68"/>
    <w:rsid w:val="00D92C0C"/>
    <w:rsid w:val="00D9474C"/>
    <w:rsid w:val="00D950F8"/>
    <w:rsid w:val="00D95305"/>
    <w:rsid w:val="00D95965"/>
    <w:rsid w:val="00D95BEF"/>
    <w:rsid w:val="00D963ED"/>
    <w:rsid w:val="00D975D1"/>
    <w:rsid w:val="00DA02F7"/>
    <w:rsid w:val="00DA0E69"/>
    <w:rsid w:val="00DA1F19"/>
    <w:rsid w:val="00DA2EAA"/>
    <w:rsid w:val="00DA3018"/>
    <w:rsid w:val="00DA33E3"/>
    <w:rsid w:val="00DA3486"/>
    <w:rsid w:val="00DA3A1E"/>
    <w:rsid w:val="00DA58A8"/>
    <w:rsid w:val="00DA6CA6"/>
    <w:rsid w:val="00DA7BE2"/>
    <w:rsid w:val="00DA7CE4"/>
    <w:rsid w:val="00DA7D75"/>
    <w:rsid w:val="00DB1C17"/>
    <w:rsid w:val="00DB2577"/>
    <w:rsid w:val="00DB29D8"/>
    <w:rsid w:val="00DB2A47"/>
    <w:rsid w:val="00DB2B9E"/>
    <w:rsid w:val="00DB30AC"/>
    <w:rsid w:val="00DB32CD"/>
    <w:rsid w:val="00DB3B7F"/>
    <w:rsid w:val="00DB3F24"/>
    <w:rsid w:val="00DB5113"/>
    <w:rsid w:val="00DB6B83"/>
    <w:rsid w:val="00DB7FD3"/>
    <w:rsid w:val="00DC0834"/>
    <w:rsid w:val="00DC0F61"/>
    <w:rsid w:val="00DC1380"/>
    <w:rsid w:val="00DC18EF"/>
    <w:rsid w:val="00DC1B9A"/>
    <w:rsid w:val="00DC26E4"/>
    <w:rsid w:val="00DC26F6"/>
    <w:rsid w:val="00DC2848"/>
    <w:rsid w:val="00DC305D"/>
    <w:rsid w:val="00DC3100"/>
    <w:rsid w:val="00DC33D6"/>
    <w:rsid w:val="00DC3449"/>
    <w:rsid w:val="00DC3EBB"/>
    <w:rsid w:val="00DC4347"/>
    <w:rsid w:val="00DC7DF8"/>
    <w:rsid w:val="00DD16EF"/>
    <w:rsid w:val="00DD402D"/>
    <w:rsid w:val="00DD4080"/>
    <w:rsid w:val="00DD5CE1"/>
    <w:rsid w:val="00DE09B5"/>
    <w:rsid w:val="00DE0CAB"/>
    <w:rsid w:val="00DE210F"/>
    <w:rsid w:val="00DE26F9"/>
    <w:rsid w:val="00DE30A1"/>
    <w:rsid w:val="00DE3607"/>
    <w:rsid w:val="00DE3B0D"/>
    <w:rsid w:val="00DE4807"/>
    <w:rsid w:val="00DE5022"/>
    <w:rsid w:val="00DE5F43"/>
    <w:rsid w:val="00DE6415"/>
    <w:rsid w:val="00DE6D08"/>
    <w:rsid w:val="00DE7C2E"/>
    <w:rsid w:val="00DF0AE9"/>
    <w:rsid w:val="00DF0D30"/>
    <w:rsid w:val="00DF0F9B"/>
    <w:rsid w:val="00DF1AB0"/>
    <w:rsid w:val="00DF1FEA"/>
    <w:rsid w:val="00DF3078"/>
    <w:rsid w:val="00DF313F"/>
    <w:rsid w:val="00DF368E"/>
    <w:rsid w:val="00DF477E"/>
    <w:rsid w:val="00DF567A"/>
    <w:rsid w:val="00DF59F8"/>
    <w:rsid w:val="00DF5CF3"/>
    <w:rsid w:val="00DF627F"/>
    <w:rsid w:val="00DF709F"/>
    <w:rsid w:val="00DF777C"/>
    <w:rsid w:val="00E00431"/>
    <w:rsid w:val="00E01653"/>
    <w:rsid w:val="00E01CCE"/>
    <w:rsid w:val="00E033FE"/>
    <w:rsid w:val="00E039BA"/>
    <w:rsid w:val="00E04354"/>
    <w:rsid w:val="00E0656E"/>
    <w:rsid w:val="00E0717A"/>
    <w:rsid w:val="00E0799A"/>
    <w:rsid w:val="00E100BA"/>
    <w:rsid w:val="00E12BBC"/>
    <w:rsid w:val="00E1338F"/>
    <w:rsid w:val="00E14771"/>
    <w:rsid w:val="00E14C31"/>
    <w:rsid w:val="00E1598D"/>
    <w:rsid w:val="00E15A1E"/>
    <w:rsid w:val="00E162C5"/>
    <w:rsid w:val="00E171D2"/>
    <w:rsid w:val="00E178A3"/>
    <w:rsid w:val="00E211D2"/>
    <w:rsid w:val="00E213EF"/>
    <w:rsid w:val="00E2161E"/>
    <w:rsid w:val="00E21F7F"/>
    <w:rsid w:val="00E22787"/>
    <w:rsid w:val="00E233BD"/>
    <w:rsid w:val="00E2567D"/>
    <w:rsid w:val="00E25EB3"/>
    <w:rsid w:val="00E30C65"/>
    <w:rsid w:val="00E30E55"/>
    <w:rsid w:val="00E31B1F"/>
    <w:rsid w:val="00E327A6"/>
    <w:rsid w:val="00E32A17"/>
    <w:rsid w:val="00E35522"/>
    <w:rsid w:val="00E3622A"/>
    <w:rsid w:val="00E37278"/>
    <w:rsid w:val="00E37ED7"/>
    <w:rsid w:val="00E37F34"/>
    <w:rsid w:val="00E402B8"/>
    <w:rsid w:val="00E404F3"/>
    <w:rsid w:val="00E4053F"/>
    <w:rsid w:val="00E41539"/>
    <w:rsid w:val="00E41A80"/>
    <w:rsid w:val="00E421A8"/>
    <w:rsid w:val="00E42EFE"/>
    <w:rsid w:val="00E43059"/>
    <w:rsid w:val="00E43F74"/>
    <w:rsid w:val="00E444CE"/>
    <w:rsid w:val="00E4547C"/>
    <w:rsid w:val="00E470F1"/>
    <w:rsid w:val="00E47687"/>
    <w:rsid w:val="00E47F60"/>
    <w:rsid w:val="00E47F9F"/>
    <w:rsid w:val="00E527D9"/>
    <w:rsid w:val="00E52BD4"/>
    <w:rsid w:val="00E52CA4"/>
    <w:rsid w:val="00E52D30"/>
    <w:rsid w:val="00E54C8A"/>
    <w:rsid w:val="00E552B3"/>
    <w:rsid w:val="00E5584A"/>
    <w:rsid w:val="00E561FC"/>
    <w:rsid w:val="00E5633B"/>
    <w:rsid w:val="00E56AB8"/>
    <w:rsid w:val="00E56D8D"/>
    <w:rsid w:val="00E56ECC"/>
    <w:rsid w:val="00E56FBC"/>
    <w:rsid w:val="00E571AD"/>
    <w:rsid w:val="00E577BC"/>
    <w:rsid w:val="00E57AD2"/>
    <w:rsid w:val="00E60966"/>
    <w:rsid w:val="00E61509"/>
    <w:rsid w:val="00E62AA7"/>
    <w:rsid w:val="00E6405A"/>
    <w:rsid w:val="00E65A3F"/>
    <w:rsid w:val="00E71624"/>
    <w:rsid w:val="00E71E41"/>
    <w:rsid w:val="00E72123"/>
    <w:rsid w:val="00E725CA"/>
    <w:rsid w:val="00E72ACF"/>
    <w:rsid w:val="00E73C01"/>
    <w:rsid w:val="00E7465A"/>
    <w:rsid w:val="00E751FD"/>
    <w:rsid w:val="00E76B70"/>
    <w:rsid w:val="00E77317"/>
    <w:rsid w:val="00E80545"/>
    <w:rsid w:val="00E814E7"/>
    <w:rsid w:val="00E81B75"/>
    <w:rsid w:val="00E81D39"/>
    <w:rsid w:val="00E8317D"/>
    <w:rsid w:val="00E83301"/>
    <w:rsid w:val="00E83849"/>
    <w:rsid w:val="00E838DA"/>
    <w:rsid w:val="00E855DE"/>
    <w:rsid w:val="00E8561C"/>
    <w:rsid w:val="00E86430"/>
    <w:rsid w:val="00E87633"/>
    <w:rsid w:val="00E8774C"/>
    <w:rsid w:val="00E8780A"/>
    <w:rsid w:val="00E90954"/>
    <w:rsid w:val="00E914B7"/>
    <w:rsid w:val="00E92639"/>
    <w:rsid w:val="00E9270C"/>
    <w:rsid w:val="00E92CD3"/>
    <w:rsid w:val="00E92F17"/>
    <w:rsid w:val="00E94CD2"/>
    <w:rsid w:val="00E95014"/>
    <w:rsid w:val="00E96096"/>
    <w:rsid w:val="00E96416"/>
    <w:rsid w:val="00E96D74"/>
    <w:rsid w:val="00E975C1"/>
    <w:rsid w:val="00EA0B3A"/>
    <w:rsid w:val="00EA0B8A"/>
    <w:rsid w:val="00EA1B99"/>
    <w:rsid w:val="00EA2C3C"/>
    <w:rsid w:val="00EA4CE7"/>
    <w:rsid w:val="00EA536F"/>
    <w:rsid w:val="00EA61C6"/>
    <w:rsid w:val="00EA61C7"/>
    <w:rsid w:val="00EA6342"/>
    <w:rsid w:val="00EA69D9"/>
    <w:rsid w:val="00EA6C84"/>
    <w:rsid w:val="00EA7277"/>
    <w:rsid w:val="00EB071D"/>
    <w:rsid w:val="00EB2963"/>
    <w:rsid w:val="00EB364B"/>
    <w:rsid w:val="00EB3FCA"/>
    <w:rsid w:val="00EB486E"/>
    <w:rsid w:val="00EB5559"/>
    <w:rsid w:val="00EB5B82"/>
    <w:rsid w:val="00EB5C23"/>
    <w:rsid w:val="00EB67A4"/>
    <w:rsid w:val="00EB7FDA"/>
    <w:rsid w:val="00EC02BB"/>
    <w:rsid w:val="00EC0998"/>
    <w:rsid w:val="00EC09DD"/>
    <w:rsid w:val="00EC0DF4"/>
    <w:rsid w:val="00EC1366"/>
    <w:rsid w:val="00EC293E"/>
    <w:rsid w:val="00EC2E5D"/>
    <w:rsid w:val="00EC35DA"/>
    <w:rsid w:val="00EC3F6C"/>
    <w:rsid w:val="00EC4098"/>
    <w:rsid w:val="00EC467B"/>
    <w:rsid w:val="00EC5840"/>
    <w:rsid w:val="00EC6D1A"/>
    <w:rsid w:val="00EC78CF"/>
    <w:rsid w:val="00EC7E96"/>
    <w:rsid w:val="00EC7FAD"/>
    <w:rsid w:val="00ED0B4D"/>
    <w:rsid w:val="00ED121A"/>
    <w:rsid w:val="00ED12FD"/>
    <w:rsid w:val="00ED1C7D"/>
    <w:rsid w:val="00ED1EFE"/>
    <w:rsid w:val="00ED222C"/>
    <w:rsid w:val="00ED53E3"/>
    <w:rsid w:val="00ED5D6B"/>
    <w:rsid w:val="00ED6923"/>
    <w:rsid w:val="00ED6EDF"/>
    <w:rsid w:val="00ED71F8"/>
    <w:rsid w:val="00ED78B8"/>
    <w:rsid w:val="00ED7E59"/>
    <w:rsid w:val="00EE022B"/>
    <w:rsid w:val="00EE10DE"/>
    <w:rsid w:val="00EE12C5"/>
    <w:rsid w:val="00EE3167"/>
    <w:rsid w:val="00EE316D"/>
    <w:rsid w:val="00EE49FA"/>
    <w:rsid w:val="00EE5402"/>
    <w:rsid w:val="00EE54BC"/>
    <w:rsid w:val="00EE54C8"/>
    <w:rsid w:val="00EE6BD9"/>
    <w:rsid w:val="00EE6DFB"/>
    <w:rsid w:val="00EE7B76"/>
    <w:rsid w:val="00EF00FF"/>
    <w:rsid w:val="00EF158C"/>
    <w:rsid w:val="00EF1B35"/>
    <w:rsid w:val="00EF1FAC"/>
    <w:rsid w:val="00EF351C"/>
    <w:rsid w:val="00EF4A8B"/>
    <w:rsid w:val="00EF4ABE"/>
    <w:rsid w:val="00EF4C70"/>
    <w:rsid w:val="00EF4DF5"/>
    <w:rsid w:val="00EF5913"/>
    <w:rsid w:val="00EF6D2F"/>
    <w:rsid w:val="00EF6F9E"/>
    <w:rsid w:val="00F00ABA"/>
    <w:rsid w:val="00F00DBD"/>
    <w:rsid w:val="00F01102"/>
    <w:rsid w:val="00F0136B"/>
    <w:rsid w:val="00F0161D"/>
    <w:rsid w:val="00F02AD4"/>
    <w:rsid w:val="00F02E77"/>
    <w:rsid w:val="00F02E9A"/>
    <w:rsid w:val="00F03528"/>
    <w:rsid w:val="00F03784"/>
    <w:rsid w:val="00F03ED1"/>
    <w:rsid w:val="00F044BD"/>
    <w:rsid w:val="00F04AA9"/>
    <w:rsid w:val="00F04C07"/>
    <w:rsid w:val="00F04C77"/>
    <w:rsid w:val="00F067C5"/>
    <w:rsid w:val="00F073F9"/>
    <w:rsid w:val="00F12988"/>
    <w:rsid w:val="00F135AC"/>
    <w:rsid w:val="00F142A0"/>
    <w:rsid w:val="00F143B0"/>
    <w:rsid w:val="00F146F6"/>
    <w:rsid w:val="00F14BD4"/>
    <w:rsid w:val="00F14D2B"/>
    <w:rsid w:val="00F14F84"/>
    <w:rsid w:val="00F1600F"/>
    <w:rsid w:val="00F167FD"/>
    <w:rsid w:val="00F168D8"/>
    <w:rsid w:val="00F16C4C"/>
    <w:rsid w:val="00F17129"/>
    <w:rsid w:val="00F17EC1"/>
    <w:rsid w:val="00F203D2"/>
    <w:rsid w:val="00F20854"/>
    <w:rsid w:val="00F20BAD"/>
    <w:rsid w:val="00F21006"/>
    <w:rsid w:val="00F21F08"/>
    <w:rsid w:val="00F22E73"/>
    <w:rsid w:val="00F252B9"/>
    <w:rsid w:val="00F266D5"/>
    <w:rsid w:val="00F267DB"/>
    <w:rsid w:val="00F26DDE"/>
    <w:rsid w:val="00F314E4"/>
    <w:rsid w:val="00F326B5"/>
    <w:rsid w:val="00F32F09"/>
    <w:rsid w:val="00F3345C"/>
    <w:rsid w:val="00F34E4E"/>
    <w:rsid w:val="00F356EA"/>
    <w:rsid w:val="00F35792"/>
    <w:rsid w:val="00F358A3"/>
    <w:rsid w:val="00F35F55"/>
    <w:rsid w:val="00F371DB"/>
    <w:rsid w:val="00F37B0C"/>
    <w:rsid w:val="00F40719"/>
    <w:rsid w:val="00F41E4C"/>
    <w:rsid w:val="00F42042"/>
    <w:rsid w:val="00F420B7"/>
    <w:rsid w:val="00F433BD"/>
    <w:rsid w:val="00F43CB0"/>
    <w:rsid w:val="00F44AF7"/>
    <w:rsid w:val="00F45182"/>
    <w:rsid w:val="00F45418"/>
    <w:rsid w:val="00F45625"/>
    <w:rsid w:val="00F45B55"/>
    <w:rsid w:val="00F45BA7"/>
    <w:rsid w:val="00F462BC"/>
    <w:rsid w:val="00F463C0"/>
    <w:rsid w:val="00F468ED"/>
    <w:rsid w:val="00F47618"/>
    <w:rsid w:val="00F47EDC"/>
    <w:rsid w:val="00F50628"/>
    <w:rsid w:val="00F5067D"/>
    <w:rsid w:val="00F50D6E"/>
    <w:rsid w:val="00F50D81"/>
    <w:rsid w:val="00F519A1"/>
    <w:rsid w:val="00F531C2"/>
    <w:rsid w:val="00F54777"/>
    <w:rsid w:val="00F54E0F"/>
    <w:rsid w:val="00F556F0"/>
    <w:rsid w:val="00F56CF1"/>
    <w:rsid w:val="00F56F61"/>
    <w:rsid w:val="00F57891"/>
    <w:rsid w:val="00F579BA"/>
    <w:rsid w:val="00F57AF8"/>
    <w:rsid w:val="00F57C55"/>
    <w:rsid w:val="00F60156"/>
    <w:rsid w:val="00F60BFC"/>
    <w:rsid w:val="00F6163A"/>
    <w:rsid w:val="00F61B4E"/>
    <w:rsid w:val="00F61C64"/>
    <w:rsid w:val="00F620E1"/>
    <w:rsid w:val="00F641C0"/>
    <w:rsid w:val="00F6642F"/>
    <w:rsid w:val="00F6783F"/>
    <w:rsid w:val="00F67C6A"/>
    <w:rsid w:val="00F7040B"/>
    <w:rsid w:val="00F70E22"/>
    <w:rsid w:val="00F71480"/>
    <w:rsid w:val="00F72346"/>
    <w:rsid w:val="00F72CEB"/>
    <w:rsid w:val="00F758B8"/>
    <w:rsid w:val="00F76717"/>
    <w:rsid w:val="00F76729"/>
    <w:rsid w:val="00F76910"/>
    <w:rsid w:val="00F76BF2"/>
    <w:rsid w:val="00F76F39"/>
    <w:rsid w:val="00F802DB"/>
    <w:rsid w:val="00F8044E"/>
    <w:rsid w:val="00F80B42"/>
    <w:rsid w:val="00F8107B"/>
    <w:rsid w:val="00F81107"/>
    <w:rsid w:val="00F81B2B"/>
    <w:rsid w:val="00F81F7D"/>
    <w:rsid w:val="00F823A4"/>
    <w:rsid w:val="00F82AAA"/>
    <w:rsid w:val="00F8318F"/>
    <w:rsid w:val="00F83532"/>
    <w:rsid w:val="00F838A6"/>
    <w:rsid w:val="00F847E0"/>
    <w:rsid w:val="00F85D25"/>
    <w:rsid w:val="00F86AD3"/>
    <w:rsid w:val="00F900D6"/>
    <w:rsid w:val="00F90623"/>
    <w:rsid w:val="00F907EB"/>
    <w:rsid w:val="00F91B32"/>
    <w:rsid w:val="00F92118"/>
    <w:rsid w:val="00F92DA9"/>
    <w:rsid w:val="00F935C1"/>
    <w:rsid w:val="00F938A5"/>
    <w:rsid w:val="00F94399"/>
    <w:rsid w:val="00F944CB"/>
    <w:rsid w:val="00F94EB1"/>
    <w:rsid w:val="00F964E9"/>
    <w:rsid w:val="00F96ED1"/>
    <w:rsid w:val="00F9728B"/>
    <w:rsid w:val="00F97FF3"/>
    <w:rsid w:val="00FA02D9"/>
    <w:rsid w:val="00FA0EA3"/>
    <w:rsid w:val="00FA1299"/>
    <w:rsid w:val="00FA20B2"/>
    <w:rsid w:val="00FA2BC2"/>
    <w:rsid w:val="00FA352F"/>
    <w:rsid w:val="00FA3974"/>
    <w:rsid w:val="00FA50E3"/>
    <w:rsid w:val="00FA51E5"/>
    <w:rsid w:val="00FA565B"/>
    <w:rsid w:val="00FA61DC"/>
    <w:rsid w:val="00FA6FE2"/>
    <w:rsid w:val="00FA703B"/>
    <w:rsid w:val="00FA77B5"/>
    <w:rsid w:val="00FB05C4"/>
    <w:rsid w:val="00FB09EC"/>
    <w:rsid w:val="00FB14A7"/>
    <w:rsid w:val="00FB1AC1"/>
    <w:rsid w:val="00FB1CA4"/>
    <w:rsid w:val="00FB366E"/>
    <w:rsid w:val="00FB4023"/>
    <w:rsid w:val="00FB5F5D"/>
    <w:rsid w:val="00FB63FA"/>
    <w:rsid w:val="00FB6825"/>
    <w:rsid w:val="00FB6FB0"/>
    <w:rsid w:val="00FB7A1E"/>
    <w:rsid w:val="00FC01D8"/>
    <w:rsid w:val="00FC04A8"/>
    <w:rsid w:val="00FC0D8E"/>
    <w:rsid w:val="00FC15F9"/>
    <w:rsid w:val="00FC17BD"/>
    <w:rsid w:val="00FC225E"/>
    <w:rsid w:val="00FC2624"/>
    <w:rsid w:val="00FC27DC"/>
    <w:rsid w:val="00FC2D5D"/>
    <w:rsid w:val="00FC2E12"/>
    <w:rsid w:val="00FC2FDB"/>
    <w:rsid w:val="00FC3024"/>
    <w:rsid w:val="00FC388D"/>
    <w:rsid w:val="00FC4A55"/>
    <w:rsid w:val="00FC51F2"/>
    <w:rsid w:val="00FC6826"/>
    <w:rsid w:val="00FC69C8"/>
    <w:rsid w:val="00FC7274"/>
    <w:rsid w:val="00FD013A"/>
    <w:rsid w:val="00FD0484"/>
    <w:rsid w:val="00FD10AF"/>
    <w:rsid w:val="00FD227E"/>
    <w:rsid w:val="00FD2392"/>
    <w:rsid w:val="00FD2422"/>
    <w:rsid w:val="00FD29DA"/>
    <w:rsid w:val="00FD44E0"/>
    <w:rsid w:val="00FD5276"/>
    <w:rsid w:val="00FD6410"/>
    <w:rsid w:val="00FD686F"/>
    <w:rsid w:val="00FD6A49"/>
    <w:rsid w:val="00FE0769"/>
    <w:rsid w:val="00FE1C72"/>
    <w:rsid w:val="00FE334C"/>
    <w:rsid w:val="00FE374D"/>
    <w:rsid w:val="00FE3914"/>
    <w:rsid w:val="00FE463B"/>
    <w:rsid w:val="00FE4644"/>
    <w:rsid w:val="00FE4B4C"/>
    <w:rsid w:val="00FE5F07"/>
    <w:rsid w:val="00FE6508"/>
    <w:rsid w:val="00FE68EF"/>
    <w:rsid w:val="00FE7266"/>
    <w:rsid w:val="00FF044B"/>
    <w:rsid w:val="00FF08B8"/>
    <w:rsid w:val="00FF2D03"/>
    <w:rsid w:val="00FF3013"/>
    <w:rsid w:val="00FF3635"/>
    <w:rsid w:val="00FF3D5A"/>
    <w:rsid w:val="00FF5B7E"/>
    <w:rsid w:val="00FF6180"/>
    <w:rsid w:val="00FF695F"/>
    <w:rsid w:val="00FF759C"/>
    <w:rsid w:val="00FF776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8FE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uiPriority="1" w:qFormat="1"/>
    <w:lsdException w:name="heading 2" w:uiPriority="2" w:qFormat="1"/>
    <w:lsdException w:name="heading 3" w:uiPriority="3" w:qFormat="1"/>
    <w:lsdException w:name="heading 4" w:uiPriority="8"/>
    <w:lsdException w:name="heading 5" w:uiPriority="8"/>
    <w:lsdException w:name="heading 6" w:uiPriority="8"/>
    <w:lsdException w:name="heading 7" w:semiHidden="1" w:uiPriority="8" w:unhideWhenUsed="1"/>
    <w:lsdException w:name="heading 8" w:semiHidden="1" w:uiPriority="8" w:unhideWhenUsed="1"/>
    <w:lsdException w:name="heading 9" w:semiHidden="1" w:uiPriority="8"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4"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5"/>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B59E1"/>
    <w:pPr>
      <w:spacing w:after="160" w:line="259" w:lineRule="auto"/>
    </w:pPr>
    <w:rPr>
      <w:rFonts w:asciiTheme="minorHAnsi" w:eastAsiaTheme="minorHAnsi" w:hAnsiTheme="minorHAnsi" w:cstheme="minorBidi"/>
      <w:sz w:val="22"/>
      <w:szCs w:val="22"/>
      <w:lang w:eastAsia="en-US"/>
    </w:rPr>
  </w:style>
  <w:style w:type="paragraph" w:styleId="Heading1">
    <w:name w:val="heading 1"/>
    <w:aliases w:val="Heading 1_UMAR"/>
    <w:next w:val="BesediloUMAR"/>
    <w:link w:val="Heading1Char"/>
    <w:uiPriority w:val="1"/>
    <w:qFormat/>
    <w:rsid w:val="00AD49FB"/>
    <w:pPr>
      <w:keepNext/>
      <w:keepLines/>
      <w:pageBreakBefore/>
      <w:numPr>
        <w:numId w:val="2"/>
      </w:numPr>
      <w:spacing w:before="200" w:after="100" w:line="288" w:lineRule="auto"/>
      <w:ind w:left="357" w:hanging="357"/>
      <w:outlineLvl w:val="0"/>
    </w:pPr>
    <w:rPr>
      <w:rFonts w:ascii="Myriad Pro" w:eastAsiaTheme="minorHAnsi" w:hAnsi="Myriad Pro" w:cs="Arial"/>
      <w:b/>
      <w:bCs/>
      <w:color w:val="A10305" w:themeColor="accent1"/>
      <w:kern w:val="32"/>
      <w:sz w:val="28"/>
      <w:szCs w:val="22"/>
      <w:lang w:eastAsia="en-US"/>
    </w:rPr>
  </w:style>
  <w:style w:type="paragraph" w:styleId="Heading2">
    <w:name w:val="heading 2"/>
    <w:aliases w:val="Heading 2_UMAR"/>
    <w:next w:val="BesediloUMAR"/>
    <w:link w:val="Heading2Char"/>
    <w:uiPriority w:val="2"/>
    <w:qFormat/>
    <w:rsid w:val="00AD49FB"/>
    <w:pPr>
      <w:keepNext/>
      <w:keepLines/>
      <w:numPr>
        <w:ilvl w:val="1"/>
        <w:numId w:val="2"/>
      </w:numPr>
      <w:spacing w:before="200" w:after="100" w:line="288" w:lineRule="auto"/>
      <w:ind w:left="0"/>
      <w:contextualSpacing/>
      <w:outlineLvl w:val="1"/>
    </w:pPr>
    <w:rPr>
      <w:rFonts w:ascii="Myriad Pro" w:eastAsiaTheme="minorHAnsi" w:hAnsi="Myriad Pro" w:cstheme="minorBidi"/>
      <w:b/>
      <w:color w:val="A10305" w:themeColor="accent1"/>
      <w:sz w:val="24"/>
      <w:szCs w:val="22"/>
      <w:lang w:eastAsia="en-US"/>
    </w:rPr>
  </w:style>
  <w:style w:type="paragraph" w:styleId="Heading3">
    <w:name w:val="heading 3"/>
    <w:aliases w:val="Heading 3_UMAR"/>
    <w:next w:val="BesediloUMAR"/>
    <w:link w:val="Heading3Char"/>
    <w:uiPriority w:val="3"/>
    <w:qFormat/>
    <w:rsid w:val="00AD49FB"/>
    <w:pPr>
      <w:keepNext/>
      <w:keepLines/>
      <w:numPr>
        <w:ilvl w:val="2"/>
        <w:numId w:val="2"/>
      </w:numPr>
      <w:spacing w:before="200" w:after="100" w:line="288" w:lineRule="auto"/>
      <w:contextualSpacing/>
      <w:outlineLvl w:val="2"/>
    </w:pPr>
    <w:rPr>
      <w:rFonts w:ascii="Myriad Pro" w:eastAsiaTheme="minorHAnsi" w:hAnsi="Myriad Pro" w:cs="Arial"/>
      <w:b/>
      <w:bCs/>
      <w:color w:val="A10305" w:themeColor="accent1"/>
      <w:sz w:val="24"/>
      <w:szCs w:val="26"/>
      <w:lang w:eastAsia="en-US"/>
    </w:rPr>
  </w:style>
  <w:style w:type="paragraph" w:styleId="Heading4">
    <w:name w:val="heading 4"/>
    <w:basedOn w:val="Normal"/>
    <w:next w:val="Normal"/>
    <w:link w:val="Heading4Char"/>
    <w:uiPriority w:val="8"/>
    <w:unhideWhenUsed/>
    <w:rsid w:val="00AD49FB"/>
    <w:pPr>
      <w:keepNext/>
      <w:numPr>
        <w:ilvl w:val="3"/>
        <w:numId w:val="2"/>
      </w:numPr>
      <w:spacing w:before="360" w:after="240"/>
      <w:outlineLvl w:val="3"/>
    </w:pPr>
    <w:rPr>
      <w:b/>
      <w:bCs/>
    </w:rPr>
  </w:style>
  <w:style w:type="paragraph" w:styleId="Heading5">
    <w:name w:val="heading 5"/>
    <w:basedOn w:val="Normal"/>
    <w:next w:val="Normal"/>
    <w:link w:val="Heading5Char"/>
    <w:uiPriority w:val="8"/>
    <w:unhideWhenUsed/>
    <w:rsid w:val="00AD49FB"/>
    <w:pPr>
      <w:numPr>
        <w:ilvl w:val="4"/>
        <w:numId w:val="2"/>
      </w:numPr>
      <w:spacing w:before="240" w:after="60"/>
      <w:outlineLvl w:val="4"/>
    </w:pPr>
    <w:rPr>
      <w:b/>
      <w:bCs/>
      <w:iCs/>
      <w:szCs w:val="26"/>
    </w:rPr>
  </w:style>
  <w:style w:type="paragraph" w:styleId="Heading6">
    <w:name w:val="heading 6"/>
    <w:basedOn w:val="Normal"/>
    <w:next w:val="Normal"/>
    <w:link w:val="Heading6Char"/>
    <w:uiPriority w:val="8"/>
    <w:unhideWhenUsed/>
    <w:rsid w:val="00AD49FB"/>
    <w:pPr>
      <w:numPr>
        <w:ilvl w:val="5"/>
        <w:numId w:val="2"/>
      </w:numPr>
      <w:spacing w:before="240" w:after="60"/>
      <w:outlineLvl w:val="5"/>
    </w:pPr>
    <w:rPr>
      <w:b/>
      <w:bCs/>
    </w:rPr>
  </w:style>
  <w:style w:type="paragraph" w:styleId="Heading7">
    <w:name w:val="heading 7"/>
    <w:basedOn w:val="Normal"/>
    <w:next w:val="Normal"/>
    <w:link w:val="Heading7Char"/>
    <w:uiPriority w:val="8"/>
    <w:unhideWhenUsed/>
    <w:rsid w:val="00AD49FB"/>
    <w:pPr>
      <w:numPr>
        <w:ilvl w:val="6"/>
        <w:numId w:val="2"/>
      </w:numPr>
      <w:spacing w:before="240" w:after="60"/>
      <w:outlineLvl w:val="6"/>
    </w:pPr>
  </w:style>
  <w:style w:type="paragraph" w:styleId="Heading8">
    <w:name w:val="heading 8"/>
    <w:basedOn w:val="Normal"/>
    <w:next w:val="Normal"/>
    <w:link w:val="Heading8Char"/>
    <w:uiPriority w:val="8"/>
    <w:unhideWhenUsed/>
    <w:rsid w:val="00AD49FB"/>
    <w:pPr>
      <w:numPr>
        <w:ilvl w:val="7"/>
        <w:numId w:val="2"/>
      </w:numPr>
      <w:spacing w:before="240" w:after="60"/>
      <w:outlineLvl w:val="7"/>
    </w:pPr>
    <w:rPr>
      <w:i/>
      <w:iCs/>
    </w:rPr>
  </w:style>
  <w:style w:type="paragraph" w:styleId="Heading9">
    <w:name w:val="heading 9"/>
    <w:basedOn w:val="Normal"/>
    <w:next w:val="Normal"/>
    <w:link w:val="Heading9Char"/>
    <w:uiPriority w:val="8"/>
    <w:unhideWhenUsed/>
    <w:rsid w:val="00AD49FB"/>
    <w:pPr>
      <w:numPr>
        <w:ilvl w:val="8"/>
        <w:numId w:val="2"/>
      </w:numPr>
      <w:spacing w:before="240" w:after="60"/>
      <w:outlineLvl w:val="8"/>
    </w:pPr>
  </w:style>
  <w:style w:type="character" w:default="1" w:styleId="DefaultParagraphFont">
    <w:name w:val="Default Paragraph Font"/>
    <w:uiPriority w:val="1"/>
    <w:semiHidden/>
    <w:unhideWhenUsed/>
    <w:rsid w:val="004B59E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B59E1"/>
  </w:style>
  <w:style w:type="paragraph" w:styleId="FootnoteText">
    <w:name w:val="footnote text"/>
    <w:aliases w:val="Sprotna opomba-besedilo,Char Char,Char Char Char Char,Char Char Char,Sprotna opomba - besedilo Znak1,Sprotna opomba - besedilo Znak Znak2,Sprotna opomba - besedilo Znak1 Znak Znak1,Sprotna opomba - besedilo Znak1 Znak Znak Znak"/>
    <w:basedOn w:val="BesediloUMAR"/>
    <w:link w:val="FootnoteTextChar"/>
    <w:autoRedefine/>
    <w:uiPriority w:val="99"/>
    <w:qFormat/>
    <w:rsid w:val="00677AC1"/>
    <w:rPr>
      <w:szCs w:val="20"/>
    </w:rPr>
  </w:style>
  <w:style w:type="character" w:customStyle="1" w:styleId="FootnoteTextChar">
    <w:name w:val="Footnote Text Char"/>
    <w:aliases w:val="Sprotna opomba-besedilo Char,Char Char Char1,Char Char Char Char Char,Char Char Char Char1,Sprotna opomba - besedilo Znak1 Char,Sprotna opomba - besedilo Znak Znak2 Char,Sprotna opomba - besedilo Znak1 Znak Znak1 Char"/>
    <w:basedOn w:val="DefaultParagraphFont"/>
    <w:link w:val="FootnoteText"/>
    <w:uiPriority w:val="99"/>
    <w:rsid w:val="00677AC1"/>
    <w:rPr>
      <w:rFonts w:ascii="Myriad Pro" w:eastAsiaTheme="minorHAnsi" w:hAnsi="Myriad Pro" w:cstheme="minorBidi"/>
      <w:lang w:eastAsia="en-US"/>
    </w:rPr>
  </w:style>
  <w:style w:type="character" w:styleId="FootnoteReference">
    <w:name w:val="footnote reference"/>
    <w:aliases w:val="Footnote symbol,Fussnota,Footnote,Footnote reference number,note TESI,SUPERS,EN Footnote Reference,-E Fußnotenzeichen,Times 10 Point,Exposant 3 Point,E...,nota de rodapé,Footnote Reference_LVL6,Footnote Reference_LVL61,Footnot"/>
    <w:basedOn w:val="DefaultParagraphFont"/>
    <w:uiPriority w:val="99"/>
    <w:qFormat/>
    <w:rsid w:val="00AD49FB"/>
    <w:rPr>
      <w:rFonts w:ascii="Myriad Pro" w:hAnsi="Myriad Pro"/>
      <w:sz w:val="18"/>
      <w:vertAlign w:val="superscript"/>
    </w:rPr>
  </w:style>
  <w:style w:type="paragraph" w:styleId="Caption">
    <w:name w:val="caption"/>
    <w:aliases w:val="Okvir/Slika/Tabela_UMAR"/>
    <w:basedOn w:val="TableofFigures"/>
    <w:next w:val="BesediloUMAR"/>
    <w:link w:val="CaptionChar"/>
    <w:uiPriority w:val="4"/>
    <w:qFormat/>
    <w:rsid w:val="00AF0AAE"/>
    <w:pPr>
      <w:keepNext/>
      <w:keepLines/>
      <w:spacing w:before="240" w:after="60" w:line="264" w:lineRule="auto"/>
      <w:contextualSpacing/>
    </w:pPr>
    <w:rPr>
      <w:b/>
      <w:bCs/>
    </w:rPr>
  </w:style>
  <w:style w:type="paragraph" w:styleId="Footer">
    <w:name w:val="footer"/>
    <w:basedOn w:val="Normal"/>
    <w:next w:val="Normal"/>
    <w:link w:val="FooterChar"/>
    <w:autoRedefine/>
    <w:uiPriority w:val="99"/>
    <w:rsid w:val="00AD49FB"/>
    <w:pPr>
      <w:framePr w:wrap="around" w:vAnchor="text" w:hAnchor="margin" w:xAlign="center" w:y="1"/>
      <w:tabs>
        <w:tab w:val="center" w:pos="4536"/>
        <w:tab w:val="right" w:pos="9072"/>
      </w:tabs>
      <w:jc w:val="center"/>
    </w:pPr>
    <w:rPr>
      <w:sz w:val="16"/>
      <w:szCs w:val="16"/>
    </w:rPr>
  </w:style>
  <w:style w:type="paragraph" w:styleId="TableofFigures">
    <w:name w:val="table of figures"/>
    <w:basedOn w:val="BesediloUMAR"/>
    <w:next w:val="BesediloUMAR"/>
    <w:autoRedefine/>
    <w:uiPriority w:val="99"/>
    <w:rsid w:val="00AD49FB"/>
    <w:pPr>
      <w:tabs>
        <w:tab w:val="right" w:leader="dot" w:pos="9070"/>
      </w:tabs>
    </w:pPr>
    <w:rPr>
      <w:noProof/>
      <w:szCs w:val="20"/>
    </w:rPr>
  </w:style>
  <w:style w:type="paragraph" w:styleId="TableofAuthorities">
    <w:name w:val="table of authorities"/>
    <w:basedOn w:val="Normal"/>
    <w:next w:val="Normal"/>
    <w:semiHidden/>
    <w:rsid w:val="00AD49FB"/>
    <w:pPr>
      <w:ind w:left="220" w:hanging="220"/>
    </w:pPr>
  </w:style>
  <w:style w:type="paragraph" w:styleId="TOAHeading">
    <w:name w:val="toa heading"/>
    <w:basedOn w:val="Normal"/>
    <w:next w:val="Normal"/>
    <w:semiHidden/>
    <w:rsid w:val="00AD49FB"/>
    <w:pPr>
      <w:spacing w:before="120"/>
    </w:pPr>
    <w:rPr>
      <w:b/>
      <w:bCs/>
    </w:rPr>
  </w:style>
  <w:style w:type="paragraph" w:styleId="TOC1">
    <w:name w:val="toc 1"/>
    <w:basedOn w:val="BesediloUMAR"/>
    <w:next w:val="BesediloUMAR"/>
    <w:autoRedefine/>
    <w:uiPriority w:val="39"/>
    <w:rsid w:val="00AD49FB"/>
    <w:pPr>
      <w:tabs>
        <w:tab w:val="left" w:pos="340"/>
        <w:tab w:val="right" w:leader="dot" w:pos="9070"/>
      </w:tabs>
      <w:spacing w:before="100" w:after="100"/>
    </w:pPr>
    <w:rPr>
      <w:rFonts w:cs="Arial"/>
      <w:noProof/>
      <w:szCs w:val="20"/>
    </w:rPr>
  </w:style>
  <w:style w:type="paragraph" w:styleId="TOC2">
    <w:name w:val="toc 2"/>
    <w:basedOn w:val="BesediloUMAR"/>
    <w:next w:val="BesediloUMAR"/>
    <w:autoRedefine/>
    <w:uiPriority w:val="39"/>
    <w:rsid w:val="00AD49FB"/>
    <w:pPr>
      <w:tabs>
        <w:tab w:val="right" w:leader="dot" w:pos="9070"/>
      </w:tabs>
      <w:spacing w:before="100" w:after="100"/>
      <w:ind w:left="340"/>
    </w:pPr>
    <w:rPr>
      <w:noProof/>
    </w:rPr>
  </w:style>
  <w:style w:type="paragraph" w:styleId="TOC3">
    <w:name w:val="toc 3"/>
    <w:next w:val="BesediloUMAR"/>
    <w:autoRedefine/>
    <w:uiPriority w:val="39"/>
    <w:rsid w:val="00AD49FB"/>
    <w:pPr>
      <w:tabs>
        <w:tab w:val="right" w:leader="dot" w:pos="9070"/>
      </w:tabs>
      <w:spacing w:after="100" w:line="288" w:lineRule="auto"/>
      <w:ind w:left="680"/>
      <w:jc w:val="both"/>
    </w:pPr>
    <w:rPr>
      <w:rFonts w:ascii="Myriad Pro" w:eastAsiaTheme="minorHAnsi" w:hAnsi="Myriad Pro" w:cstheme="minorBidi"/>
      <w:szCs w:val="22"/>
      <w:lang w:eastAsia="en-US"/>
    </w:rPr>
  </w:style>
  <w:style w:type="paragraph" w:styleId="TOC4">
    <w:name w:val="toc 4"/>
    <w:basedOn w:val="Normal"/>
    <w:autoRedefine/>
    <w:semiHidden/>
    <w:rsid w:val="00AD49FB"/>
    <w:pPr>
      <w:spacing w:after="20"/>
      <w:ind w:left="340"/>
      <w:contextualSpacing/>
    </w:pPr>
  </w:style>
  <w:style w:type="paragraph" w:styleId="TOC5">
    <w:name w:val="toc 5"/>
    <w:basedOn w:val="Normal"/>
    <w:autoRedefine/>
    <w:semiHidden/>
    <w:rsid w:val="00AD49FB"/>
    <w:pPr>
      <w:spacing w:after="20"/>
      <w:contextualSpacing/>
    </w:pPr>
  </w:style>
  <w:style w:type="paragraph" w:styleId="TOC6">
    <w:name w:val="toc 6"/>
    <w:basedOn w:val="Normal"/>
    <w:next w:val="Normal"/>
    <w:autoRedefine/>
    <w:semiHidden/>
    <w:rsid w:val="00AD49FB"/>
    <w:pPr>
      <w:ind w:left="1100"/>
    </w:pPr>
  </w:style>
  <w:style w:type="paragraph" w:styleId="TOC7">
    <w:name w:val="toc 7"/>
    <w:basedOn w:val="Normal"/>
    <w:next w:val="Normal"/>
    <w:autoRedefine/>
    <w:semiHidden/>
    <w:rsid w:val="00AD49FB"/>
    <w:pPr>
      <w:ind w:left="1320"/>
    </w:pPr>
  </w:style>
  <w:style w:type="paragraph" w:styleId="TOC8">
    <w:name w:val="toc 8"/>
    <w:basedOn w:val="Normal"/>
    <w:next w:val="Normal"/>
    <w:autoRedefine/>
    <w:semiHidden/>
    <w:rsid w:val="00AD49FB"/>
    <w:pPr>
      <w:ind w:left="1540"/>
    </w:pPr>
  </w:style>
  <w:style w:type="paragraph" w:styleId="TOC9">
    <w:name w:val="toc 9"/>
    <w:basedOn w:val="Normal"/>
    <w:next w:val="Normal"/>
    <w:autoRedefine/>
    <w:semiHidden/>
    <w:rsid w:val="00AD49FB"/>
    <w:pPr>
      <w:ind w:left="1760"/>
    </w:pPr>
  </w:style>
  <w:style w:type="paragraph" w:styleId="CommentText">
    <w:name w:val="annotation text"/>
    <w:basedOn w:val="Normal"/>
    <w:link w:val="CommentTextChar"/>
    <w:semiHidden/>
    <w:rsid w:val="00AD49FB"/>
  </w:style>
  <w:style w:type="character" w:styleId="CommentReference">
    <w:name w:val="annotation reference"/>
    <w:basedOn w:val="DefaultParagraphFont"/>
    <w:semiHidden/>
    <w:rsid w:val="00AD49FB"/>
    <w:rPr>
      <w:sz w:val="16"/>
      <w:szCs w:val="16"/>
    </w:rPr>
  </w:style>
  <w:style w:type="paragraph" w:styleId="EndnoteText">
    <w:name w:val="endnote text"/>
    <w:basedOn w:val="Normal"/>
    <w:autoRedefine/>
    <w:semiHidden/>
    <w:rsid w:val="00AD49FB"/>
  </w:style>
  <w:style w:type="character" w:styleId="EndnoteReference">
    <w:name w:val="endnote reference"/>
    <w:basedOn w:val="DefaultParagraphFont"/>
    <w:semiHidden/>
    <w:rsid w:val="00AD49FB"/>
    <w:rPr>
      <w:vertAlign w:val="superscript"/>
    </w:rPr>
  </w:style>
  <w:style w:type="paragraph" w:styleId="MacroText">
    <w:name w:val="macro"/>
    <w:semiHidden/>
    <w:rsid w:val="00AD49FB"/>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urier New" w:hAnsi="Courier New" w:cs="Courier New"/>
    </w:rPr>
  </w:style>
  <w:style w:type="paragraph" w:styleId="Index1">
    <w:name w:val="index 1"/>
    <w:basedOn w:val="Normal"/>
    <w:next w:val="Normal"/>
    <w:autoRedefine/>
    <w:semiHidden/>
    <w:rsid w:val="00AD49FB"/>
    <w:pPr>
      <w:ind w:left="220" w:hanging="220"/>
    </w:pPr>
  </w:style>
  <w:style w:type="paragraph" w:styleId="IndexHeading">
    <w:name w:val="index heading"/>
    <w:basedOn w:val="Normal"/>
    <w:next w:val="Index1"/>
    <w:semiHidden/>
    <w:rsid w:val="00AD49FB"/>
    <w:rPr>
      <w:b/>
      <w:bCs/>
    </w:rPr>
  </w:style>
  <w:style w:type="paragraph" w:styleId="Index2">
    <w:name w:val="index 2"/>
    <w:basedOn w:val="Normal"/>
    <w:next w:val="Normal"/>
    <w:autoRedefine/>
    <w:semiHidden/>
    <w:rsid w:val="00AD49FB"/>
    <w:pPr>
      <w:ind w:left="440" w:hanging="220"/>
    </w:pPr>
  </w:style>
  <w:style w:type="paragraph" w:styleId="Index3">
    <w:name w:val="index 3"/>
    <w:basedOn w:val="Normal"/>
    <w:next w:val="Normal"/>
    <w:autoRedefine/>
    <w:semiHidden/>
    <w:rsid w:val="00AD49FB"/>
    <w:pPr>
      <w:ind w:left="660" w:hanging="220"/>
    </w:pPr>
  </w:style>
  <w:style w:type="paragraph" w:styleId="Index4">
    <w:name w:val="index 4"/>
    <w:basedOn w:val="Normal"/>
    <w:next w:val="Normal"/>
    <w:autoRedefine/>
    <w:semiHidden/>
    <w:rsid w:val="00AD49FB"/>
    <w:pPr>
      <w:ind w:left="880" w:hanging="220"/>
    </w:pPr>
  </w:style>
  <w:style w:type="paragraph" w:styleId="Index5">
    <w:name w:val="index 5"/>
    <w:basedOn w:val="Normal"/>
    <w:next w:val="Normal"/>
    <w:autoRedefine/>
    <w:semiHidden/>
    <w:rsid w:val="00AD49FB"/>
    <w:pPr>
      <w:ind w:left="1100" w:hanging="220"/>
    </w:pPr>
  </w:style>
  <w:style w:type="paragraph" w:styleId="Index6">
    <w:name w:val="index 6"/>
    <w:basedOn w:val="Normal"/>
    <w:next w:val="Normal"/>
    <w:autoRedefine/>
    <w:semiHidden/>
    <w:rsid w:val="00AD49FB"/>
    <w:pPr>
      <w:ind w:left="1320" w:hanging="220"/>
    </w:pPr>
  </w:style>
  <w:style w:type="paragraph" w:styleId="Index7">
    <w:name w:val="index 7"/>
    <w:basedOn w:val="Normal"/>
    <w:next w:val="Normal"/>
    <w:autoRedefine/>
    <w:semiHidden/>
    <w:rsid w:val="00AD49FB"/>
    <w:pPr>
      <w:ind w:left="1540" w:hanging="220"/>
    </w:pPr>
  </w:style>
  <w:style w:type="paragraph" w:styleId="Index8">
    <w:name w:val="index 8"/>
    <w:basedOn w:val="Normal"/>
    <w:next w:val="Normal"/>
    <w:autoRedefine/>
    <w:semiHidden/>
    <w:rsid w:val="00AD49FB"/>
    <w:pPr>
      <w:ind w:left="1760" w:hanging="220"/>
    </w:pPr>
  </w:style>
  <w:style w:type="paragraph" w:styleId="Index9">
    <w:name w:val="index 9"/>
    <w:basedOn w:val="Normal"/>
    <w:next w:val="Normal"/>
    <w:autoRedefine/>
    <w:semiHidden/>
    <w:rsid w:val="00AD49FB"/>
    <w:pPr>
      <w:ind w:left="1980" w:hanging="220"/>
    </w:pPr>
  </w:style>
  <w:style w:type="paragraph" w:styleId="DocumentMap">
    <w:name w:val="Document Map"/>
    <w:basedOn w:val="Normal"/>
    <w:semiHidden/>
    <w:rsid w:val="00AD49FB"/>
    <w:pPr>
      <w:shd w:val="clear" w:color="auto" w:fill="000080"/>
    </w:pPr>
    <w:rPr>
      <w:rFonts w:ascii="Tahoma" w:hAnsi="Tahoma" w:cs="Tahoma"/>
    </w:rPr>
  </w:style>
  <w:style w:type="character" w:customStyle="1" w:styleId="VodilnistavekUMAR">
    <w:name w:val="Vodilni stavek_UMAR"/>
    <w:basedOn w:val="DefaultParagraphFont"/>
    <w:qFormat/>
    <w:rsid w:val="00AD49FB"/>
    <w:rPr>
      <w:b/>
    </w:rPr>
  </w:style>
  <w:style w:type="paragraph" w:styleId="BalloonText">
    <w:name w:val="Balloon Text"/>
    <w:basedOn w:val="Normal"/>
    <w:semiHidden/>
    <w:rsid w:val="00AD49FB"/>
    <w:rPr>
      <w:rFonts w:ascii="Tahoma" w:hAnsi="Tahoma" w:cs="Tahoma"/>
      <w:sz w:val="16"/>
      <w:szCs w:val="16"/>
    </w:rPr>
  </w:style>
  <w:style w:type="character" w:customStyle="1" w:styleId="HeaderChar">
    <w:name w:val="Header Char"/>
    <w:basedOn w:val="DefaultParagraphFont"/>
    <w:link w:val="Header"/>
    <w:uiPriority w:val="99"/>
    <w:rsid w:val="00AD49FB"/>
    <w:rPr>
      <w:rFonts w:ascii="Myriad Pro" w:eastAsiaTheme="minorHAnsi" w:hAnsi="Myriad Pro" w:cstheme="minorBidi"/>
      <w:sz w:val="22"/>
      <w:szCs w:val="22"/>
      <w:lang w:eastAsia="en-US"/>
    </w:rPr>
  </w:style>
  <w:style w:type="table" w:styleId="TableGrid">
    <w:name w:val="Table Grid"/>
    <w:basedOn w:val="TableNormal"/>
    <w:uiPriority w:val="59"/>
    <w:rsid w:val="00AD49FB"/>
    <w:rPr>
      <w:rFonts w:ascii="Myriad Pro" w:eastAsia="Calibri" w:hAnsi="Myriad Pro"/>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AD49FB"/>
    <w:pPr>
      <w:tabs>
        <w:tab w:val="center" w:pos="4536"/>
        <w:tab w:val="right" w:pos="9072"/>
      </w:tabs>
    </w:pPr>
  </w:style>
  <w:style w:type="character" w:styleId="Hyperlink">
    <w:name w:val="Hyperlink"/>
    <w:basedOn w:val="BesediloUMARChar"/>
    <w:uiPriority w:val="99"/>
    <w:rsid w:val="00AD49FB"/>
    <w:rPr>
      <w:rFonts w:ascii="Myriad Pro" w:eastAsiaTheme="minorHAnsi" w:hAnsi="Myriad Pro" w:cstheme="minorBidi"/>
      <w:color w:val="0000FF"/>
      <w:szCs w:val="22"/>
      <w:u w:val="single"/>
      <w:lang w:eastAsia="en-US"/>
    </w:rPr>
  </w:style>
  <w:style w:type="character" w:styleId="Emphasis">
    <w:name w:val="Emphasis"/>
    <w:aliases w:val="Italic poudarek_UMAR"/>
    <w:basedOn w:val="BesediloUMARChar"/>
    <w:uiPriority w:val="20"/>
    <w:qFormat/>
    <w:rsid w:val="00AD49FB"/>
    <w:rPr>
      <w:rFonts w:ascii="Myriad Pro" w:eastAsiaTheme="minorHAnsi" w:hAnsi="Myriad Pro" w:cstheme="minorBidi"/>
      <w:i/>
      <w:iCs/>
      <w:szCs w:val="22"/>
      <w:lang w:eastAsia="en-US"/>
    </w:rPr>
  </w:style>
  <w:style w:type="character" w:customStyle="1" w:styleId="Heading3Char">
    <w:name w:val="Heading 3 Char"/>
    <w:aliases w:val="Heading 3_UMAR Char"/>
    <w:basedOn w:val="DefaultParagraphFont"/>
    <w:link w:val="Heading3"/>
    <w:uiPriority w:val="3"/>
    <w:rsid w:val="00AD49FB"/>
    <w:rPr>
      <w:rFonts w:ascii="Myriad Pro" w:eastAsiaTheme="minorHAnsi" w:hAnsi="Myriad Pro" w:cs="Arial"/>
      <w:b/>
      <w:bCs/>
      <w:color w:val="A10305" w:themeColor="accent1"/>
      <w:sz w:val="24"/>
      <w:szCs w:val="26"/>
      <w:lang w:eastAsia="en-US"/>
    </w:rPr>
  </w:style>
  <w:style w:type="character" w:customStyle="1" w:styleId="Heading2Char">
    <w:name w:val="Heading 2 Char"/>
    <w:aliases w:val="Heading 2_UMAR Char"/>
    <w:basedOn w:val="DefaultParagraphFont"/>
    <w:link w:val="Heading2"/>
    <w:uiPriority w:val="2"/>
    <w:rsid w:val="00AD49FB"/>
    <w:rPr>
      <w:rFonts w:ascii="Myriad Pro" w:eastAsiaTheme="minorHAnsi" w:hAnsi="Myriad Pro" w:cstheme="minorBidi"/>
      <w:b/>
      <w:color w:val="A10305" w:themeColor="accent1"/>
      <w:sz w:val="24"/>
      <w:szCs w:val="22"/>
      <w:lang w:eastAsia="en-US"/>
    </w:rPr>
  </w:style>
  <w:style w:type="character" w:customStyle="1" w:styleId="Heading1Char">
    <w:name w:val="Heading 1 Char"/>
    <w:aliases w:val="Heading 1_UMAR Char"/>
    <w:basedOn w:val="DefaultParagraphFont"/>
    <w:link w:val="Heading1"/>
    <w:uiPriority w:val="1"/>
    <w:rsid w:val="00AD49FB"/>
    <w:rPr>
      <w:rFonts w:ascii="Myriad Pro" w:eastAsiaTheme="minorHAnsi" w:hAnsi="Myriad Pro" w:cs="Arial"/>
      <w:b/>
      <w:bCs/>
      <w:color w:val="A10305" w:themeColor="accent1"/>
      <w:kern w:val="32"/>
      <w:sz w:val="28"/>
      <w:szCs w:val="22"/>
      <w:lang w:eastAsia="en-US"/>
    </w:rPr>
  </w:style>
  <w:style w:type="character" w:styleId="PlaceholderText">
    <w:name w:val="Placeholder Text"/>
    <w:basedOn w:val="DefaultParagraphFont"/>
    <w:uiPriority w:val="99"/>
    <w:semiHidden/>
    <w:rsid w:val="00AD49FB"/>
    <w:rPr>
      <w:color w:val="808080"/>
    </w:rPr>
  </w:style>
  <w:style w:type="character" w:customStyle="1" w:styleId="FooterChar">
    <w:name w:val="Footer Char"/>
    <w:basedOn w:val="DefaultParagraphFont"/>
    <w:link w:val="Footer"/>
    <w:uiPriority w:val="99"/>
    <w:rsid w:val="00AD49FB"/>
    <w:rPr>
      <w:rFonts w:ascii="Myriad Pro" w:eastAsiaTheme="minorHAnsi" w:hAnsi="Myriad Pro" w:cstheme="minorBidi"/>
      <w:noProof/>
      <w:sz w:val="16"/>
      <w:szCs w:val="16"/>
      <w:lang w:eastAsia="en-US"/>
    </w:rPr>
  </w:style>
  <w:style w:type="paragraph" w:customStyle="1" w:styleId="BesediloUMAR">
    <w:name w:val="Besedilo_UMAR"/>
    <w:link w:val="BesediloUMARChar"/>
    <w:qFormat/>
    <w:rsid w:val="00AD49FB"/>
    <w:pPr>
      <w:spacing w:line="288" w:lineRule="auto"/>
      <w:jc w:val="both"/>
    </w:pPr>
    <w:rPr>
      <w:rFonts w:ascii="Myriad Pro" w:eastAsiaTheme="minorHAnsi" w:hAnsi="Myriad Pro" w:cstheme="minorBidi"/>
      <w:szCs w:val="22"/>
      <w:lang w:eastAsia="en-US"/>
    </w:rPr>
  </w:style>
  <w:style w:type="character" w:customStyle="1" w:styleId="BesediloUMARChar">
    <w:name w:val="Besedilo_UMAR Char"/>
    <w:basedOn w:val="DefaultParagraphFont"/>
    <w:link w:val="BesediloUMAR"/>
    <w:rsid w:val="00AD49FB"/>
    <w:rPr>
      <w:rFonts w:ascii="Myriad Pro" w:eastAsiaTheme="minorHAnsi" w:hAnsi="Myriad Pro" w:cstheme="minorBidi"/>
      <w:szCs w:val="22"/>
      <w:lang w:eastAsia="en-US"/>
    </w:rPr>
  </w:style>
  <w:style w:type="paragraph" w:customStyle="1" w:styleId="VirUMAR">
    <w:name w:val="Vir_UMAR"/>
    <w:basedOn w:val="BesediloUMAR"/>
    <w:link w:val="VirUMARChar"/>
    <w:uiPriority w:val="6"/>
    <w:qFormat/>
    <w:rsid w:val="00AD49FB"/>
    <w:pPr>
      <w:spacing w:before="40" w:line="240" w:lineRule="auto"/>
    </w:pPr>
    <w:rPr>
      <w:sz w:val="16"/>
    </w:rPr>
  </w:style>
  <w:style w:type="character" w:customStyle="1" w:styleId="VirUMARChar">
    <w:name w:val="Vir_UMAR Char"/>
    <w:basedOn w:val="DefaultParagraphFont"/>
    <w:link w:val="VirUMAR"/>
    <w:uiPriority w:val="6"/>
    <w:rsid w:val="00AD49FB"/>
    <w:rPr>
      <w:rFonts w:ascii="Myriad Pro" w:eastAsiaTheme="minorHAnsi" w:hAnsi="Myriad Pro" w:cstheme="minorBidi"/>
      <w:sz w:val="16"/>
      <w:szCs w:val="22"/>
      <w:lang w:eastAsia="en-US"/>
    </w:rPr>
  </w:style>
  <w:style w:type="character" w:customStyle="1" w:styleId="CaptionChar">
    <w:name w:val="Caption Char"/>
    <w:aliases w:val="Okvir/Slika/Tabela_UMAR Char"/>
    <w:basedOn w:val="DefaultParagraphFont"/>
    <w:link w:val="Caption"/>
    <w:uiPriority w:val="4"/>
    <w:rsid w:val="00AF0AAE"/>
    <w:rPr>
      <w:rFonts w:ascii="Myriad Pro" w:eastAsiaTheme="minorHAnsi" w:hAnsi="Myriad Pro" w:cstheme="minorBidi"/>
      <w:b/>
      <w:bCs/>
      <w:noProof/>
      <w:lang w:eastAsia="en-US"/>
    </w:rPr>
  </w:style>
  <w:style w:type="paragraph" w:customStyle="1" w:styleId="TabelaglavadesnoUMAR">
    <w:name w:val="Tabela glava desno_UMAR"/>
    <w:link w:val="TabelaglavadesnoUMARChar"/>
    <w:uiPriority w:val="5"/>
    <w:qFormat/>
    <w:rsid w:val="00AD49FB"/>
    <w:pPr>
      <w:spacing w:before="10" w:after="10" w:line="220" w:lineRule="atLeast"/>
      <w:jc w:val="right"/>
    </w:pPr>
    <w:rPr>
      <w:rFonts w:ascii="Myriad Pro" w:eastAsiaTheme="minorHAnsi" w:hAnsi="Myriad Pro" w:cs="Calibri"/>
      <w:b/>
      <w:bCs/>
      <w:sz w:val="18"/>
      <w:szCs w:val="18"/>
      <w:lang w:eastAsia="en-US"/>
    </w:rPr>
  </w:style>
  <w:style w:type="character" w:customStyle="1" w:styleId="TabelaglavadesnoUMARChar">
    <w:name w:val="Tabela glava desno_UMAR Char"/>
    <w:basedOn w:val="DefaultParagraphFont"/>
    <w:link w:val="TabelaglavadesnoUMAR"/>
    <w:uiPriority w:val="5"/>
    <w:rsid w:val="00AD49FB"/>
    <w:rPr>
      <w:rFonts w:ascii="Myriad Pro" w:eastAsiaTheme="minorHAnsi" w:hAnsi="Myriad Pro" w:cs="Calibri"/>
      <w:b/>
      <w:bCs/>
      <w:sz w:val="18"/>
      <w:szCs w:val="18"/>
      <w:lang w:eastAsia="en-US"/>
    </w:rPr>
  </w:style>
  <w:style w:type="paragraph" w:customStyle="1" w:styleId="TabelaglavalevoUMAR">
    <w:name w:val="Tabela glava levo_UMAR"/>
    <w:basedOn w:val="TabelaglavadesnoUMAR"/>
    <w:link w:val="TabelaglavalevoUMARChar"/>
    <w:uiPriority w:val="5"/>
    <w:qFormat/>
    <w:rsid w:val="00AD49FB"/>
    <w:pPr>
      <w:jc w:val="left"/>
    </w:pPr>
  </w:style>
  <w:style w:type="paragraph" w:customStyle="1" w:styleId="TabelalevoUMAR">
    <w:name w:val="Tabela levo_UMAR"/>
    <w:basedOn w:val="TabelaglavalevoUMAR"/>
    <w:link w:val="TabelalevoUMARChar"/>
    <w:uiPriority w:val="5"/>
    <w:qFormat/>
    <w:rsid w:val="00AD49FB"/>
    <w:rPr>
      <w:b w:val="0"/>
    </w:rPr>
  </w:style>
  <w:style w:type="character" w:customStyle="1" w:styleId="TabelaglavalevoUMARChar">
    <w:name w:val="Tabela glava levo_UMAR Char"/>
    <w:basedOn w:val="TabelaglavadesnoUMARChar"/>
    <w:link w:val="TabelaglavalevoUMAR"/>
    <w:uiPriority w:val="5"/>
    <w:rsid w:val="00AD49FB"/>
    <w:rPr>
      <w:rFonts w:ascii="Myriad Pro" w:eastAsiaTheme="minorHAnsi" w:hAnsi="Myriad Pro" w:cs="Calibri"/>
      <w:b/>
      <w:bCs/>
      <w:sz w:val="18"/>
      <w:szCs w:val="18"/>
      <w:lang w:eastAsia="en-US"/>
    </w:rPr>
  </w:style>
  <w:style w:type="paragraph" w:customStyle="1" w:styleId="TabeladesnoUMAR">
    <w:name w:val="Tabela desno_UMAR"/>
    <w:basedOn w:val="TabelaglavadesnoUMAR"/>
    <w:link w:val="TabeladesnoUMARChar"/>
    <w:uiPriority w:val="5"/>
    <w:qFormat/>
    <w:rsid w:val="00AD49FB"/>
    <w:rPr>
      <w:b w:val="0"/>
    </w:rPr>
  </w:style>
  <w:style w:type="character" w:customStyle="1" w:styleId="TabelalevoUMARChar">
    <w:name w:val="Tabela levo_UMAR Char"/>
    <w:basedOn w:val="TabelaglavalevoUMARChar"/>
    <w:link w:val="TabelalevoUMAR"/>
    <w:uiPriority w:val="5"/>
    <w:rsid w:val="00AD49FB"/>
    <w:rPr>
      <w:rFonts w:ascii="Myriad Pro" w:eastAsiaTheme="minorHAnsi" w:hAnsi="Myriad Pro" w:cs="Calibri"/>
      <w:b w:val="0"/>
      <w:bCs/>
      <w:sz w:val="18"/>
      <w:szCs w:val="18"/>
      <w:lang w:eastAsia="en-US"/>
    </w:rPr>
  </w:style>
  <w:style w:type="character" w:customStyle="1" w:styleId="TabeladesnoUMARChar">
    <w:name w:val="Tabela desno_UMAR Char"/>
    <w:basedOn w:val="TabelaglavadesnoUMARChar"/>
    <w:link w:val="TabeladesnoUMAR"/>
    <w:uiPriority w:val="5"/>
    <w:rsid w:val="00AD49FB"/>
    <w:rPr>
      <w:rFonts w:ascii="Myriad Pro" w:eastAsiaTheme="minorHAnsi" w:hAnsi="Myriad Pro" w:cs="Calibri"/>
      <w:b w:val="0"/>
      <w:bCs/>
      <w:sz w:val="18"/>
      <w:szCs w:val="18"/>
      <w:lang w:eastAsia="en-US"/>
    </w:rPr>
  </w:style>
  <w:style w:type="character" w:customStyle="1" w:styleId="BoldpoudarekUMAR">
    <w:name w:val="Bold poudarek_UMAR"/>
    <w:basedOn w:val="BesediloUMARChar"/>
    <w:qFormat/>
    <w:rsid w:val="00AD49FB"/>
    <w:rPr>
      <w:rFonts w:ascii="Myriad Pro" w:eastAsiaTheme="minorHAnsi" w:hAnsi="Myriad Pro" w:cstheme="minorBidi"/>
      <w:b/>
      <w:szCs w:val="22"/>
      <w:lang w:eastAsia="en-US"/>
    </w:rPr>
  </w:style>
  <w:style w:type="paragraph" w:customStyle="1" w:styleId="NaslovnicanaslovUMAR">
    <w:name w:val="Naslovnica_naslov_UMAR"/>
    <w:basedOn w:val="Heading2"/>
    <w:link w:val="NaslovnicanaslovUMARChar"/>
    <w:uiPriority w:val="99"/>
    <w:qFormat/>
    <w:rsid w:val="00AD49FB"/>
  </w:style>
  <w:style w:type="character" w:customStyle="1" w:styleId="NaslovnicanaslovUMARChar">
    <w:name w:val="Naslovnica_naslov_UMAR Char"/>
    <w:basedOn w:val="DefaultParagraphFont"/>
    <w:link w:val="NaslovnicanaslovUMAR"/>
    <w:uiPriority w:val="99"/>
    <w:rsid w:val="00AD49FB"/>
    <w:rPr>
      <w:rFonts w:ascii="Myriad Pro" w:eastAsiaTheme="minorHAnsi" w:hAnsi="Myriad Pro" w:cstheme="minorBidi"/>
      <w:b/>
      <w:color w:val="A10305" w:themeColor="accent1"/>
      <w:sz w:val="24"/>
      <w:szCs w:val="22"/>
      <w:lang w:eastAsia="en-US"/>
    </w:rPr>
  </w:style>
  <w:style w:type="table" w:styleId="TableGridLight">
    <w:name w:val="Grid Table Light"/>
    <w:aliases w:val="UMAR tabela"/>
    <w:basedOn w:val="TableNormal"/>
    <w:uiPriority w:val="40"/>
    <w:rsid w:val="00AD49FB"/>
    <w:rPr>
      <w:rFonts w:ascii="Myriad Pro" w:hAnsi="Myriad Pro"/>
      <w:sz w:val="18"/>
    </w:rPr>
    <w:tblPr>
      <w:tblStyleRowBandSize w:val="1"/>
      <w:tblStyleColBandSize w:val="1"/>
      <w:tblBorders>
        <w:top w:val="single" w:sz="4" w:space="0" w:color="auto"/>
        <w:bottom w:val="single" w:sz="4" w:space="0" w:color="auto"/>
        <w:insideH w:val="single" w:sz="4" w:space="0" w:color="auto"/>
        <w:insideV w:val="single" w:sz="4" w:space="0" w:color="auto"/>
      </w:tblBorders>
      <w:tblCellMar>
        <w:left w:w="57" w:type="dxa"/>
        <w:right w:w="57" w:type="dxa"/>
      </w:tblCellMar>
    </w:tblPr>
    <w:tcPr>
      <w:vAlign w:val="center"/>
    </w:tcPr>
    <w:tblStylePr w:type="firstRow">
      <w:pPr>
        <w:jc w:val="right"/>
      </w:pPr>
      <w:rPr>
        <w:b w:val="0"/>
      </w:rPr>
      <w:tblPr/>
      <w:tcPr>
        <w:shd w:val="clear" w:color="auto" w:fill="DBDBDB" w:themeFill="background2"/>
      </w:tcPr>
    </w:tblStylePr>
    <w:tblStylePr w:type="firstCol">
      <w:pPr>
        <w:jc w:val="left"/>
      </w:pPr>
    </w:tblStylePr>
    <w:tblStylePr w:type="lastCol">
      <w:pPr>
        <w:jc w:val="right"/>
      </w:pPr>
    </w:tblStylePr>
    <w:tblStylePr w:type="band1Vert">
      <w:pPr>
        <w:jc w:val="right"/>
      </w:pPr>
    </w:tblStylePr>
    <w:tblStylePr w:type="band2Vert">
      <w:pPr>
        <w:jc w:val="right"/>
      </w:pPr>
    </w:tblStylePr>
  </w:style>
  <w:style w:type="table" w:styleId="PlainTable1">
    <w:name w:val="Plain Table 1"/>
    <w:basedOn w:val="TableNormal"/>
    <w:uiPriority w:val="41"/>
    <w:rsid w:val="00AD49F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D49F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D49F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D49F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D49F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AD49F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AD49FB"/>
    <w:rPr>
      <w:rFonts w:asciiTheme="minorHAnsi" w:eastAsiaTheme="minorHAnsi" w:hAnsiTheme="minorHAnsi" w:cstheme="minorBidi"/>
      <w:sz w:val="22"/>
      <w:szCs w:val="22"/>
      <w:lang w:eastAsia="en-US"/>
    </w:rPr>
  </w:style>
  <w:style w:type="paragraph" w:styleId="CommentSubject">
    <w:name w:val="annotation subject"/>
    <w:basedOn w:val="CommentText"/>
    <w:next w:val="CommentText"/>
    <w:link w:val="CommentSubjectChar"/>
    <w:semiHidden/>
    <w:unhideWhenUsed/>
    <w:rsid w:val="00AD49FB"/>
    <w:pPr>
      <w:spacing w:line="240" w:lineRule="auto"/>
    </w:pPr>
    <w:rPr>
      <w:b/>
      <w:bCs/>
    </w:rPr>
  </w:style>
  <w:style w:type="character" w:customStyle="1" w:styleId="CommentTextChar">
    <w:name w:val="Comment Text Char"/>
    <w:basedOn w:val="DefaultParagraphFont"/>
    <w:link w:val="CommentText"/>
    <w:semiHidden/>
    <w:rsid w:val="00AD49FB"/>
    <w:rPr>
      <w:rFonts w:asciiTheme="minorHAnsi" w:eastAsiaTheme="minorHAnsi" w:hAnsiTheme="minorHAnsi" w:cstheme="minorBidi"/>
      <w:sz w:val="22"/>
      <w:lang w:eastAsia="en-US"/>
    </w:rPr>
  </w:style>
  <w:style w:type="character" w:customStyle="1" w:styleId="CommentSubjectChar">
    <w:name w:val="Comment Subject Char"/>
    <w:basedOn w:val="CommentTextChar"/>
    <w:link w:val="CommentSubject"/>
    <w:semiHidden/>
    <w:rsid w:val="00AD49FB"/>
    <w:rPr>
      <w:rFonts w:asciiTheme="minorHAnsi" w:eastAsiaTheme="minorHAnsi" w:hAnsiTheme="minorHAnsi" w:cstheme="minorBidi"/>
      <w:b/>
      <w:bCs/>
      <w:sz w:val="22"/>
      <w:lang w:eastAsia="en-US"/>
    </w:rPr>
  </w:style>
  <w:style w:type="table" w:customStyle="1" w:styleId="UMARokvir">
    <w:name w:val="UMAR okvir"/>
    <w:basedOn w:val="TableNormal"/>
    <w:uiPriority w:val="99"/>
    <w:rsid w:val="00AD49FB"/>
    <w:rPr>
      <w:rFonts w:ascii="Myriad Pro" w:hAnsi="Myriad Pro"/>
    </w:rPr>
    <w:tblPr>
      <w:tblBorders>
        <w:top w:val="single" w:sz="4" w:space="0" w:color="auto"/>
        <w:left w:val="single" w:sz="4" w:space="0" w:color="auto"/>
        <w:bottom w:val="single" w:sz="4" w:space="0" w:color="auto"/>
        <w:right w:val="single" w:sz="4" w:space="0" w:color="auto"/>
      </w:tblBorders>
      <w:tblCellMar>
        <w:left w:w="227" w:type="dxa"/>
        <w:right w:w="227" w:type="dxa"/>
      </w:tblCellMar>
    </w:tblPr>
    <w:tcPr>
      <w:shd w:val="clear" w:color="auto" w:fill="DBDBDB" w:themeFill="background2"/>
    </w:tcPr>
  </w:style>
  <w:style w:type="table" w:customStyle="1" w:styleId="UMARenaba">
    <w:name w:val="UMAR enačba"/>
    <w:basedOn w:val="TableNormal"/>
    <w:uiPriority w:val="99"/>
    <w:rsid w:val="00AD49FB"/>
    <w:pPr>
      <w:jc w:val="center"/>
    </w:pPr>
    <w:rPr>
      <w:rFonts w:ascii="Myriad Pro" w:hAnsi="Myriad Pro"/>
    </w:rPr>
    <w:tblPr/>
    <w:tcPr>
      <w:vAlign w:val="center"/>
    </w:tcPr>
    <w:tblStylePr w:type="lastCol">
      <w:pPr>
        <w:jc w:val="right"/>
      </w:pPr>
    </w:tblStylePr>
  </w:style>
  <w:style w:type="paragraph" w:styleId="TOCHeading">
    <w:name w:val="TOC Heading"/>
    <w:basedOn w:val="Heading1"/>
    <w:next w:val="Normal"/>
    <w:uiPriority w:val="39"/>
    <w:unhideWhenUsed/>
    <w:rsid w:val="00AD49FB"/>
    <w:pPr>
      <w:numPr>
        <w:numId w:val="0"/>
      </w:numPr>
      <w:spacing w:before="240" w:after="0" w:line="259" w:lineRule="auto"/>
      <w:outlineLvl w:val="9"/>
    </w:pPr>
    <w:rPr>
      <w:rFonts w:eastAsiaTheme="majorEastAsia" w:cstheme="majorBidi"/>
      <w:b w:val="0"/>
      <w:bCs w:val="0"/>
      <w:color w:val="780203" w:themeColor="accent1" w:themeShade="BF"/>
      <w:kern w:val="0"/>
      <w:sz w:val="32"/>
      <w:szCs w:val="32"/>
      <w:lang w:val="en-US"/>
    </w:rPr>
  </w:style>
  <w:style w:type="paragraph" w:styleId="ListParagraph">
    <w:name w:val="List Paragraph"/>
    <w:basedOn w:val="Normal"/>
    <w:uiPriority w:val="34"/>
    <w:qFormat/>
    <w:rsid w:val="00AD49FB"/>
    <w:pPr>
      <w:ind w:left="720"/>
      <w:contextualSpacing/>
    </w:pPr>
  </w:style>
  <w:style w:type="paragraph" w:customStyle="1" w:styleId="LiteraturaUMAR">
    <w:name w:val="Literatura_UMAR"/>
    <w:basedOn w:val="BesediloUMAR"/>
    <w:link w:val="LiteraturaUMARChar"/>
    <w:uiPriority w:val="7"/>
    <w:qFormat/>
    <w:rsid w:val="00AD49FB"/>
    <w:pPr>
      <w:numPr>
        <w:numId w:val="1"/>
      </w:numPr>
      <w:jc w:val="left"/>
    </w:pPr>
  </w:style>
  <w:style w:type="character" w:customStyle="1" w:styleId="LiteraturaUMARChar">
    <w:name w:val="Literatura_UMAR Char"/>
    <w:basedOn w:val="BesediloUMARChar"/>
    <w:link w:val="LiteraturaUMAR"/>
    <w:uiPriority w:val="7"/>
    <w:rsid w:val="00AD49FB"/>
    <w:rPr>
      <w:rFonts w:ascii="Myriad Pro" w:eastAsiaTheme="minorHAnsi" w:hAnsi="Myriad Pro" w:cstheme="minorBidi"/>
      <w:szCs w:val="22"/>
      <w:lang w:eastAsia="en-US"/>
    </w:rPr>
  </w:style>
  <w:style w:type="character" w:styleId="UnresolvedMention">
    <w:name w:val="Unresolved Mention"/>
    <w:basedOn w:val="DefaultParagraphFont"/>
    <w:uiPriority w:val="99"/>
    <w:semiHidden/>
    <w:unhideWhenUsed/>
    <w:rsid w:val="00F252B9"/>
    <w:rPr>
      <w:color w:val="605E5C"/>
      <w:shd w:val="clear" w:color="auto" w:fill="E1DFDD"/>
    </w:rPr>
  </w:style>
  <w:style w:type="paragraph" w:styleId="BodyText">
    <w:name w:val="Body Text"/>
    <w:basedOn w:val="Normal"/>
    <w:link w:val="BodyTextChar"/>
    <w:semiHidden/>
    <w:rsid w:val="00386F59"/>
    <w:pPr>
      <w:spacing w:line="240" w:lineRule="auto"/>
    </w:pPr>
    <w:rPr>
      <w:rFonts w:ascii="Times New Roman" w:hAnsi="Times New Roman" w:cs="Times New Roman"/>
      <w:sz w:val="24"/>
      <w:lang w:val="en-US"/>
    </w:rPr>
  </w:style>
  <w:style w:type="character" w:customStyle="1" w:styleId="BodyTextChar">
    <w:name w:val="Body Text Char"/>
    <w:basedOn w:val="DefaultParagraphFont"/>
    <w:link w:val="BodyText"/>
    <w:semiHidden/>
    <w:rsid w:val="00386F59"/>
    <w:rPr>
      <w:noProof/>
      <w:sz w:val="24"/>
      <w:lang w:val="en-US"/>
    </w:rPr>
  </w:style>
  <w:style w:type="paragraph" w:customStyle="1" w:styleId="TekstPOR">
    <w:name w:val="Tekst_POR"/>
    <w:basedOn w:val="Normal"/>
    <w:link w:val="TekstPORChar"/>
    <w:qFormat/>
    <w:rsid w:val="002A5A95"/>
    <w:pPr>
      <w:spacing w:before="20" w:after="20" w:line="240" w:lineRule="auto"/>
    </w:pPr>
    <w:rPr>
      <w:rFonts w:ascii="Arial" w:eastAsia="Calibri" w:hAnsi="Arial" w:cs="Times New Roman"/>
      <w:sz w:val="19"/>
    </w:rPr>
  </w:style>
  <w:style w:type="character" w:customStyle="1" w:styleId="TekstPORChar">
    <w:name w:val="Tekst_POR Char"/>
    <w:basedOn w:val="DefaultParagraphFont"/>
    <w:link w:val="TekstPOR"/>
    <w:rsid w:val="002A5A95"/>
    <w:rPr>
      <w:rFonts w:ascii="Arial" w:eastAsia="Calibri" w:hAnsi="Arial"/>
      <w:noProof/>
      <w:sz w:val="19"/>
      <w:szCs w:val="22"/>
      <w:lang w:eastAsia="en-US"/>
    </w:rPr>
  </w:style>
  <w:style w:type="character" w:styleId="Strong">
    <w:name w:val="Strong"/>
    <w:basedOn w:val="DefaultParagraphFont"/>
    <w:uiPriority w:val="22"/>
    <w:qFormat/>
    <w:rsid w:val="002A5B83"/>
    <w:rPr>
      <w:b/>
      <w:bCs/>
    </w:rPr>
  </w:style>
  <w:style w:type="paragraph" w:customStyle="1" w:styleId="vstavek">
    <w:name w:val="vstavek"/>
    <w:basedOn w:val="Normal"/>
    <w:link w:val="vstavekChar"/>
    <w:qFormat/>
    <w:rsid w:val="00A95813"/>
    <w:pPr>
      <w:spacing w:before="20" w:after="20" w:line="240" w:lineRule="auto"/>
    </w:pPr>
    <w:rPr>
      <w:rFonts w:ascii="Arial" w:eastAsia="Calibri" w:hAnsi="Arial" w:cs="Times New Roman"/>
      <w:b/>
      <w:i/>
      <w:sz w:val="19"/>
    </w:rPr>
  </w:style>
  <w:style w:type="character" w:customStyle="1" w:styleId="vstavekChar">
    <w:name w:val="vstavek Char"/>
    <w:link w:val="vstavek"/>
    <w:rsid w:val="00A95813"/>
    <w:rPr>
      <w:rFonts w:ascii="Arial" w:eastAsia="Calibri" w:hAnsi="Arial"/>
      <w:b/>
      <w:i/>
      <w:noProof/>
      <w:sz w:val="19"/>
      <w:szCs w:val="22"/>
      <w:lang w:eastAsia="en-US"/>
    </w:rPr>
  </w:style>
  <w:style w:type="paragraph" w:customStyle="1" w:styleId="Vodilnistavki">
    <w:name w:val="Vodilni stavki"/>
    <w:basedOn w:val="Normal"/>
    <w:next w:val="Normal"/>
    <w:link w:val="VodilnistavkiChar"/>
    <w:autoRedefine/>
    <w:rsid w:val="004462CC"/>
    <w:rPr>
      <w:rFonts w:ascii="Arial Narrow" w:eastAsia="Calibri" w:hAnsi="Arial Narrow" w:cs="Times New Roman"/>
      <w:b/>
      <w:i/>
      <w:szCs w:val="24"/>
    </w:rPr>
  </w:style>
  <w:style w:type="character" w:customStyle="1" w:styleId="VodilnistavkiChar">
    <w:name w:val="Vodilni stavki Char"/>
    <w:link w:val="Vodilnistavki"/>
    <w:rsid w:val="004462CC"/>
    <w:rPr>
      <w:rFonts w:ascii="Arial Narrow" w:eastAsia="Calibri" w:hAnsi="Arial Narrow"/>
      <w:b/>
      <w:i/>
      <w:noProof/>
      <w:sz w:val="22"/>
      <w:szCs w:val="24"/>
    </w:rPr>
  </w:style>
  <w:style w:type="paragraph" w:customStyle="1" w:styleId="Napispodslikotabelo">
    <w:name w:val="Napis pod sliko/tabelo"/>
    <w:basedOn w:val="Normal"/>
    <w:next w:val="Normal"/>
    <w:link w:val="NapispodslikotabeloChar"/>
    <w:autoRedefine/>
    <w:rsid w:val="00F94399"/>
    <w:pPr>
      <w:spacing w:line="240" w:lineRule="auto"/>
      <w:contextualSpacing/>
    </w:pPr>
    <w:rPr>
      <w:rFonts w:ascii="Myriad Pro" w:hAnsi="Myriad Pro" w:cs="Times New Roman"/>
      <w:sz w:val="16"/>
      <w:szCs w:val="16"/>
    </w:rPr>
  </w:style>
  <w:style w:type="character" w:customStyle="1" w:styleId="NapispodslikotabeloChar">
    <w:name w:val="Napis pod sliko/tabelo Char"/>
    <w:link w:val="Napispodslikotabelo"/>
    <w:rsid w:val="00F94399"/>
    <w:rPr>
      <w:rFonts w:ascii="Myriad Pro" w:eastAsiaTheme="minorHAnsi" w:hAnsi="Myriad Pro"/>
      <w:noProof/>
      <w:sz w:val="16"/>
      <w:szCs w:val="16"/>
      <w:lang w:eastAsia="en-US"/>
    </w:rPr>
  </w:style>
  <w:style w:type="paragraph" w:customStyle="1" w:styleId="StyleHeading1NotBold">
    <w:name w:val="Style Heading 1 + Not Bold"/>
    <w:basedOn w:val="Heading1"/>
    <w:link w:val="StyleHeading1NotBoldChar"/>
    <w:rsid w:val="004462CC"/>
    <w:pPr>
      <w:keepLines w:val="0"/>
      <w:pageBreakBefore w:val="0"/>
      <w:widowControl w:val="0"/>
      <w:numPr>
        <w:numId w:val="0"/>
      </w:numPr>
      <w:tabs>
        <w:tab w:val="left" w:pos="1134"/>
      </w:tabs>
      <w:spacing w:before="0" w:after="0" w:line="240" w:lineRule="auto"/>
      <w:jc w:val="both"/>
    </w:pPr>
    <w:rPr>
      <w:rFonts w:ascii="Times New Roman" w:eastAsia="Times New Roman" w:hAnsi="Times New Roman" w:cs="Times New Roman"/>
      <w:b w:val="0"/>
      <w:bCs w:val="0"/>
      <w:color w:val="auto"/>
      <w:kern w:val="0"/>
      <w:sz w:val="18"/>
      <w:szCs w:val="20"/>
      <w:lang w:val="en-GB" w:eastAsia="sl-SI"/>
    </w:rPr>
  </w:style>
  <w:style w:type="character" w:customStyle="1" w:styleId="StyleHeading1NotBoldChar">
    <w:name w:val="Style Heading 1 + Not Bold Char"/>
    <w:link w:val="StyleHeading1NotBold"/>
    <w:rsid w:val="004462CC"/>
    <w:rPr>
      <w:sz w:val="18"/>
      <w:lang w:val="en-GB"/>
    </w:rPr>
  </w:style>
  <w:style w:type="paragraph" w:styleId="NormalWeb">
    <w:name w:val="Normal (Web)"/>
    <w:basedOn w:val="Normal"/>
    <w:uiPriority w:val="99"/>
    <w:unhideWhenUsed/>
    <w:rsid w:val="00327B9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avaden9-tabela">
    <w:name w:val="Navaden 9 - tabela"/>
    <w:basedOn w:val="Normal"/>
    <w:next w:val="Normal"/>
    <w:link w:val="Navaden9-tabelaCharChar"/>
    <w:autoRedefine/>
    <w:rsid w:val="0033734A"/>
    <w:pPr>
      <w:spacing w:after="0" w:line="288" w:lineRule="auto"/>
    </w:pPr>
    <w:rPr>
      <w:rFonts w:ascii="Myriad Pro" w:eastAsia="Times New Roman" w:hAnsi="Myriad Pro" w:cs="Times New Roman"/>
      <w:sz w:val="18"/>
      <w:szCs w:val="18"/>
      <w:lang w:eastAsia="sl-SI"/>
    </w:rPr>
  </w:style>
  <w:style w:type="character" w:customStyle="1" w:styleId="Navaden9-tabelaCharChar">
    <w:name w:val="Navaden 9 - tabela Char Char"/>
    <w:link w:val="Navaden9-tabela"/>
    <w:rsid w:val="0033734A"/>
    <w:rPr>
      <w:rFonts w:ascii="Myriad Pro" w:hAnsi="Myriad Pro"/>
      <w:sz w:val="18"/>
      <w:szCs w:val="18"/>
    </w:rPr>
  </w:style>
  <w:style w:type="paragraph" w:customStyle="1" w:styleId="Navaden9krepkocenter">
    <w:name w:val="Navaden 9 krepko center"/>
    <w:basedOn w:val="Normal"/>
    <w:next w:val="Normal"/>
    <w:autoRedefine/>
    <w:rsid w:val="0033734A"/>
    <w:pPr>
      <w:spacing w:after="0" w:line="288" w:lineRule="auto"/>
      <w:jc w:val="center"/>
    </w:pPr>
    <w:rPr>
      <w:rFonts w:ascii="Arial Narrow" w:eastAsia="Times New Roman" w:hAnsi="Arial Narrow" w:cs="Times New Roman"/>
      <w:b/>
      <w:bCs/>
      <w:sz w:val="18"/>
      <w:szCs w:val="20"/>
      <w:lang w:eastAsia="sl-SI"/>
    </w:rPr>
  </w:style>
  <w:style w:type="numbering" w:customStyle="1" w:styleId="Brezseznama1">
    <w:name w:val="Brez seznama1"/>
    <w:next w:val="NoList"/>
    <w:uiPriority w:val="99"/>
    <w:semiHidden/>
    <w:unhideWhenUsed/>
    <w:rsid w:val="00E577BC"/>
  </w:style>
  <w:style w:type="character" w:customStyle="1" w:styleId="Heading4Char">
    <w:name w:val="Heading 4 Char"/>
    <w:basedOn w:val="DefaultParagraphFont"/>
    <w:link w:val="Heading4"/>
    <w:uiPriority w:val="8"/>
    <w:rsid w:val="00E577BC"/>
    <w:rPr>
      <w:rFonts w:asciiTheme="minorHAnsi" w:eastAsiaTheme="minorHAnsi" w:hAnsiTheme="minorHAnsi" w:cstheme="minorBidi"/>
      <w:b/>
      <w:bCs/>
      <w:noProof/>
      <w:kern w:val="2"/>
      <w:sz w:val="22"/>
      <w:szCs w:val="22"/>
      <w:lang w:eastAsia="en-US"/>
      <w14:ligatures w14:val="standardContextual"/>
    </w:rPr>
  </w:style>
  <w:style w:type="character" w:customStyle="1" w:styleId="Heading5Char">
    <w:name w:val="Heading 5 Char"/>
    <w:basedOn w:val="DefaultParagraphFont"/>
    <w:link w:val="Heading5"/>
    <w:uiPriority w:val="8"/>
    <w:rsid w:val="00E577BC"/>
    <w:rPr>
      <w:rFonts w:asciiTheme="minorHAnsi" w:eastAsiaTheme="minorHAnsi" w:hAnsiTheme="minorHAnsi" w:cstheme="minorBidi"/>
      <w:b/>
      <w:bCs/>
      <w:iCs/>
      <w:noProof/>
      <w:kern w:val="2"/>
      <w:sz w:val="22"/>
      <w:szCs w:val="26"/>
      <w:lang w:eastAsia="en-US"/>
      <w14:ligatures w14:val="standardContextual"/>
    </w:rPr>
  </w:style>
  <w:style w:type="character" w:customStyle="1" w:styleId="Heading6Char">
    <w:name w:val="Heading 6 Char"/>
    <w:basedOn w:val="DefaultParagraphFont"/>
    <w:link w:val="Heading6"/>
    <w:uiPriority w:val="8"/>
    <w:rsid w:val="00E577BC"/>
    <w:rPr>
      <w:rFonts w:asciiTheme="minorHAnsi" w:eastAsiaTheme="minorHAnsi" w:hAnsiTheme="minorHAnsi" w:cstheme="minorBidi"/>
      <w:b/>
      <w:bCs/>
      <w:noProof/>
      <w:kern w:val="2"/>
      <w:sz w:val="22"/>
      <w:szCs w:val="22"/>
      <w:lang w:eastAsia="en-US"/>
      <w14:ligatures w14:val="standardContextual"/>
    </w:rPr>
  </w:style>
  <w:style w:type="character" w:customStyle="1" w:styleId="Heading7Char">
    <w:name w:val="Heading 7 Char"/>
    <w:basedOn w:val="DefaultParagraphFont"/>
    <w:link w:val="Heading7"/>
    <w:uiPriority w:val="8"/>
    <w:rsid w:val="00E577BC"/>
    <w:rPr>
      <w:rFonts w:asciiTheme="minorHAnsi" w:eastAsiaTheme="minorHAnsi" w:hAnsiTheme="minorHAnsi" w:cstheme="minorBidi"/>
      <w:noProof/>
      <w:kern w:val="2"/>
      <w:sz w:val="22"/>
      <w:szCs w:val="22"/>
      <w:lang w:eastAsia="en-US"/>
      <w14:ligatures w14:val="standardContextual"/>
    </w:rPr>
  </w:style>
  <w:style w:type="character" w:customStyle="1" w:styleId="Heading8Char">
    <w:name w:val="Heading 8 Char"/>
    <w:basedOn w:val="DefaultParagraphFont"/>
    <w:link w:val="Heading8"/>
    <w:uiPriority w:val="8"/>
    <w:rsid w:val="00E577BC"/>
    <w:rPr>
      <w:rFonts w:asciiTheme="minorHAnsi" w:eastAsiaTheme="minorHAnsi" w:hAnsiTheme="minorHAnsi" w:cstheme="minorBidi"/>
      <w:i/>
      <w:iCs/>
      <w:noProof/>
      <w:kern w:val="2"/>
      <w:sz w:val="22"/>
      <w:szCs w:val="22"/>
      <w:lang w:eastAsia="en-US"/>
      <w14:ligatures w14:val="standardContextual"/>
    </w:rPr>
  </w:style>
  <w:style w:type="character" w:customStyle="1" w:styleId="Heading9Char">
    <w:name w:val="Heading 9 Char"/>
    <w:basedOn w:val="DefaultParagraphFont"/>
    <w:link w:val="Heading9"/>
    <w:uiPriority w:val="8"/>
    <w:rsid w:val="00E577BC"/>
    <w:rPr>
      <w:rFonts w:asciiTheme="minorHAnsi" w:eastAsiaTheme="minorHAnsi" w:hAnsiTheme="minorHAnsi" w:cstheme="minorBidi"/>
      <w:noProof/>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81523">
      <w:bodyDiv w:val="1"/>
      <w:marLeft w:val="0"/>
      <w:marRight w:val="0"/>
      <w:marTop w:val="0"/>
      <w:marBottom w:val="0"/>
      <w:divBdr>
        <w:top w:val="none" w:sz="0" w:space="0" w:color="auto"/>
        <w:left w:val="none" w:sz="0" w:space="0" w:color="auto"/>
        <w:bottom w:val="none" w:sz="0" w:space="0" w:color="auto"/>
        <w:right w:val="none" w:sz="0" w:space="0" w:color="auto"/>
      </w:divBdr>
    </w:div>
    <w:div w:id="203097806">
      <w:bodyDiv w:val="1"/>
      <w:marLeft w:val="0"/>
      <w:marRight w:val="0"/>
      <w:marTop w:val="0"/>
      <w:marBottom w:val="0"/>
      <w:divBdr>
        <w:top w:val="none" w:sz="0" w:space="0" w:color="auto"/>
        <w:left w:val="none" w:sz="0" w:space="0" w:color="auto"/>
        <w:bottom w:val="none" w:sz="0" w:space="0" w:color="auto"/>
        <w:right w:val="none" w:sz="0" w:space="0" w:color="auto"/>
      </w:divBdr>
    </w:div>
    <w:div w:id="322244856">
      <w:bodyDiv w:val="1"/>
      <w:marLeft w:val="0"/>
      <w:marRight w:val="0"/>
      <w:marTop w:val="0"/>
      <w:marBottom w:val="0"/>
      <w:divBdr>
        <w:top w:val="none" w:sz="0" w:space="0" w:color="auto"/>
        <w:left w:val="none" w:sz="0" w:space="0" w:color="auto"/>
        <w:bottom w:val="none" w:sz="0" w:space="0" w:color="auto"/>
        <w:right w:val="none" w:sz="0" w:space="0" w:color="auto"/>
      </w:divBdr>
    </w:div>
    <w:div w:id="335618318">
      <w:bodyDiv w:val="1"/>
      <w:marLeft w:val="0"/>
      <w:marRight w:val="0"/>
      <w:marTop w:val="0"/>
      <w:marBottom w:val="0"/>
      <w:divBdr>
        <w:top w:val="none" w:sz="0" w:space="0" w:color="auto"/>
        <w:left w:val="none" w:sz="0" w:space="0" w:color="auto"/>
        <w:bottom w:val="none" w:sz="0" w:space="0" w:color="auto"/>
        <w:right w:val="none" w:sz="0" w:space="0" w:color="auto"/>
      </w:divBdr>
    </w:div>
    <w:div w:id="513955789">
      <w:bodyDiv w:val="1"/>
      <w:marLeft w:val="0"/>
      <w:marRight w:val="0"/>
      <w:marTop w:val="0"/>
      <w:marBottom w:val="0"/>
      <w:divBdr>
        <w:top w:val="none" w:sz="0" w:space="0" w:color="auto"/>
        <w:left w:val="none" w:sz="0" w:space="0" w:color="auto"/>
        <w:bottom w:val="none" w:sz="0" w:space="0" w:color="auto"/>
        <w:right w:val="none" w:sz="0" w:space="0" w:color="auto"/>
      </w:divBdr>
    </w:div>
    <w:div w:id="620844841">
      <w:bodyDiv w:val="1"/>
      <w:marLeft w:val="0"/>
      <w:marRight w:val="0"/>
      <w:marTop w:val="0"/>
      <w:marBottom w:val="0"/>
      <w:divBdr>
        <w:top w:val="none" w:sz="0" w:space="0" w:color="auto"/>
        <w:left w:val="none" w:sz="0" w:space="0" w:color="auto"/>
        <w:bottom w:val="none" w:sz="0" w:space="0" w:color="auto"/>
        <w:right w:val="none" w:sz="0" w:space="0" w:color="auto"/>
      </w:divBdr>
    </w:div>
    <w:div w:id="883758017">
      <w:bodyDiv w:val="1"/>
      <w:marLeft w:val="0"/>
      <w:marRight w:val="0"/>
      <w:marTop w:val="0"/>
      <w:marBottom w:val="0"/>
      <w:divBdr>
        <w:top w:val="none" w:sz="0" w:space="0" w:color="auto"/>
        <w:left w:val="none" w:sz="0" w:space="0" w:color="auto"/>
        <w:bottom w:val="none" w:sz="0" w:space="0" w:color="auto"/>
        <w:right w:val="none" w:sz="0" w:space="0" w:color="auto"/>
      </w:divBdr>
    </w:div>
    <w:div w:id="971401465">
      <w:bodyDiv w:val="1"/>
      <w:marLeft w:val="0"/>
      <w:marRight w:val="0"/>
      <w:marTop w:val="0"/>
      <w:marBottom w:val="0"/>
      <w:divBdr>
        <w:top w:val="none" w:sz="0" w:space="0" w:color="auto"/>
        <w:left w:val="none" w:sz="0" w:space="0" w:color="auto"/>
        <w:bottom w:val="none" w:sz="0" w:space="0" w:color="auto"/>
        <w:right w:val="none" w:sz="0" w:space="0" w:color="auto"/>
      </w:divBdr>
    </w:div>
    <w:div w:id="986321285">
      <w:bodyDiv w:val="1"/>
      <w:marLeft w:val="0"/>
      <w:marRight w:val="0"/>
      <w:marTop w:val="0"/>
      <w:marBottom w:val="0"/>
      <w:divBdr>
        <w:top w:val="none" w:sz="0" w:space="0" w:color="auto"/>
        <w:left w:val="none" w:sz="0" w:space="0" w:color="auto"/>
        <w:bottom w:val="none" w:sz="0" w:space="0" w:color="auto"/>
        <w:right w:val="none" w:sz="0" w:space="0" w:color="auto"/>
      </w:divBdr>
    </w:div>
    <w:div w:id="1031109431">
      <w:bodyDiv w:val="1"/>
      <w:marLeft w:val="0"/>
      <w:marRight w:val="0"/>
      <w:marTop w:val="0"/>
      <w:marBottom w:val="0"/>
      <w:divBdr>
        <w:top w:val="none" w:sz="0" w:space="0" w:color="auto"/>
        <w:left w:val="none" w:sz="0" w:space="0" w:color="auto"/>
        <w:bottom w:val="none" w:sz="0" w:space="0" w:color="auto"/>
        <w:right w:val="none" w:sz="0" w:space="0" w:color="auto"/>
      </w:divBdr>
      <w:divsChild>
        <w:div w:id="1237864819">
          <w:marLeft w:val="0"/>
          <w:marRight w:val="0"/>
          <w:marTop w:val="0"/>
          <w:marBottom w:val="0"/>
          <w:divBdr>
            <w:top w:val="none" w:sz="0" w:space="0" w:color="auto"/>
            <w:left w:val="none" w:sz="0" w:space="0" w:color="auto"/>
            <w:bottom w:val="none" w:sz="0" w:space="0" w:color="auto"/>
            <w:right w:val="none" w:sz="0" w:space="0" w:color="auto"/>
          </w:divBdr>
        </w:div>
      </w:divsChild>
    </w:div>
    <w:div w:id="1121262158">
      <w:bodyDiv w:val="1"/>
      <w:marLeft w:val="0"/>
      <w:marRight w:val="0"/>
      <w:marTop w:val="0"/>
      <w:marBottom w:val="0"/>
      <w:divBdr>
        <w:top w:val="none" w:sz="0" w:space="0" w:color="auto"/>
        <w:left w:val="none" w:sz="0" w:space="0" w:color="auto"/>
        <w:bottom w:val="none" w:sz="0" w:space="0" w:color="auto"/>
        <w:right w:val="none" w:sz="0" w:space="0" w:color="auto"/>
      </w:divBdr>
    </w:div>
    <w:div w:id="1330863317">
      <w:bodyDiv w:val="1"/>
      <w:marLeft w:val="0"/>
      <w:marRight w:val="0"/>
      <w:marTop w:val="0"/>
      <w:marBottom w:val="0"/>
      <w:divBdr>
        <w:top w:val="none" w:sz="0" w:space="0" w:color="auto"/>
        <w:left w:val="none" w:sz="0" w:space="0" w:color="auto"/>
        <w:bottom w:val="none" w:sz="0" w:space="0" w:color="auto"/>
        <w:right w:val="none" w:sz="0" w:space="0" w:color="auto"/>
      </w:divBdr>
    </w:div>
    <w:div w:id="1406731354">
      <w:bodyDiv w:val="1"/>
      <w:marLeft w:val="0"/>
      <w:marRight w:val="0"/>
      <w:marTop w:val="0"/>
      <w:marBottom w:val="0"/>
      <w:divBdr>
        <w:top w:val="none" w:sz="0" w:space="0" w:color="auto"/>
        <w:left w:val="none" w:sz="0" w:space="0" w:color="auto"/>
        <w:bottom w:val="none" w:sz="0" w:space="0" w:color="auto"/>
        <w:right w:val="none" w:sz="0" w:space="0" w:color="auto"/>
      </w:divBdr>
    </w:div>
    <w:div w:id="150038754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99">
          <w:marLeft w:val="0"/>
          <w:marRight w:val="0"/>
          <w:marTop w:val="0"/>
          <w:marBottom w:val="0"/>
          <w:divBdr>
            <w:top w:val="none" w:sz="0" w:space="0" w:color="auto"/>
            <w:left w:val="none" w:sz="0" w:space="0" w:color="auto"/>
            <w:bottom w:val="none" w:sz="0" w:space="0" w:color="auto"/>
            <w:right w:val="none" w:sz="0" w:space="0" w:color="auto"/>
          </w:divBdr>
        </w:div>
      </w:divsChild>
    </w:div>
    <w:div w:id="1595475221">
      <w:bodyDiv w:val="1"/>
      <w:marLeft w:val="0"/>
      <w:marRight w:val="0"/>
      <w:marTop w:val="0"/>
      <w:marBottom w:val="0"/>
      <w:divBdr>
        <w:top w:val="none" w:sz="0" w:space="0" w:color="auto"/>
        <w:left w:val="none" w:sz="0" w:space="0" w:color="auto"/>
        <w:bottom w:val="none" w:sz="0" w:space="0" w:color="auto"/>
        <w:right w:val="none" w:sz="0" w:space="0" w:color="auto"/>
      </w:divBdr>
    </w:div>
    <w:div w:id="17546176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4.wmf"/><Relationship Id="rId26" Type="http://schemas.openxmlformats.org/officeDocument/2006/relationships/image" Target="media/image11.png"/><Relationship Id="rId39" Type="http://schemas.openxmlformats.org/officeDocument/2006/relationships/image" Target="media/image23.png"/><Relationship Id="rId21" Type="http://schemas.openxmlformats.org/officeDocument/2006/relationships/image" Target="media/image6.png"/><Relationship Id="rId34" Type="http://schemas.openxmlformats.org/officeDocument/2006/relationships/image" Target="media/image18.png"/><Relationship Id="rId42" Type="http://schemas.openxmlformats.org/officeDocument/2006/relationships/hyperlink" Target="https://pxweb.stat.si/pxweb/Database/Ekonomsko/Ekonomsko.asp" TargetMode="External"/><Relationship Id="rId47" Type="http://schemas.openxmlformats.org/officeDocument/2006/relationships/header" Target="head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wmf"/><Relationship Id="rId29" Type="http://schemas.openxmlformats.org/officeDocument/2006/relationships/image" Target="media/image14.png"/><Relationship Id="rId11" Type="http://schemas.openxmlformats.org/officeDocument/2006/relationships/header" Target="header2.xml"/><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image" Target="media/image21.png"/><Relationship Id="rId40" Type="http://schemas.openxmlformats.org/officeDocument/2006/relationships/hyperlink" Target="https://www.bsi.si/statistika/podatkovne-serije/podatkovne-serije" TargetMode="External"/><Relationship Id="rId45" Type="http://schemas.openxmlformats.org/officeDocument/2006/relationships/hyperlink" Target="https://www.umar.gov.si/"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20.png"/><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oleObject" Target="embeddings/oleObject2.bin"/><Relationship Id="rId31" Type="http://schemas.openxmlformats.org/officeDocument/2006/relationships/image" Target="media/image16.png"/><Relationship Id="rId44" Type="http://schemas.openxmlformats.org/officeDocument/2006/relationships/hyperlink" Target="https://www.umar.gov.si/"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19.png"/><Relationship Id="rId43" Type="http://schemas.openxmlformats.org/officeDocument/2006/relationships/hyperlink" Target="https://www.umar.gov.si/" TargetMode="Externa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oleObject" Target="embeddings/oleObject1.bin"/><Relationship Id="rId25" Type="http://schemas.openxmlformats.org/officeDocument/2006/relationships/image" Target="media/image10.png"/><Relationship Id="rId33" Type="http://schemas.openxmlformats.org/officeDocument/2006/relationships/hyperlink" Target="file:///C:\Documents%20and%20Settings\mf32026\Desktop\poro&#269;ilo%20o%20upravljanju%20z%20dolgom%20dr&#382;avnega%20prora&#269;una.xls" TargetMode="External"/><Relationship Id="rId38" Type="http://schemas.openxmlformats.org/officeDocument/2006/relationships/image" Target="media/image22.png"/><Relationship Id="rId46" Type="http://schemas.openxmlformats.org/officeDocument/2006/relationships/hyperlink" Target="https://www.wto.org/english/res_e/statis_e/merch_trade_stat_e.htm" TargetMode="External"/><Relationship Id="rId20" Type="http://schemas.openxmlformats.org/officeDocument/2006/relationships/image" Target="media/image5.png"/><Relationship Id="rId41" Type="http://schemas.openxmlformats.org/officeDocument/2006/relationships/hyperlink" Target="http://ec.europa.eu/eurostat/data/database"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4.xml.rels><?xml version="1.0" encoding="UTF-8" standalone="yes"?>
<Relationships xmlns="http://schemas.openxmlformats.org/package/2006/relationships"><Relationship Id="rId1" Type="http://schemas.openxmlformats.org/officeDocument/2006/relationships/image" Target="media/image24.png"/></Relationships>
</file>

<file path=word/theme/theme1.xml><?xml version="1.0" encoding="utf-8"?>
<a:theme xmlns:a="http://schemas.openxmlformats.org/drawingml/2006/main" name="UMAR tema">
  <a:themeElements>
    <a:clrScheme name="umar-tema1">
      <a:dk1>
        <a:sysClr val="windowText" lastClr="000000"/>
      </a:dk1>
      <a:lt1>
        <a:sysClr val="window" lastClr="FFFFFF"/>
      </a:lt1>
      <a:dk2>
        <a:srgbClr val="44546A"/>
      </a:dk2>
      <a:lt2>
        <a:srgbClr val="DBDBDB"/>
      </a:lt2>
      <a:accent1>
        <a:srgbClr val="A10305"/>
      </a:accent1>
      <a:accent2>
        <a:srgbClr val="D46565"/>
      </a:accent2>
      <a:accent3>
        <a:srgbClr val="A7AEB4"/>
      </a:accent3>
      <a:accent4>
        <a:srgbClr val="343D58"/>
      </a:accent4>
      <a:accent5>
        <a:srgbClr val="176F8B"/>
      </a:accent5>
      <a:accent6>
        <a:srgbClr val="98C576"/>
      </a:accent6>
      <a:hlink>
        <a:srgbClr val="668AB6"/>
      </a:hlink>
      <a:folHlink>
        <a:srgbClr val="321443"/>
      </a:folHlink>
    </a:clrScheme>
    <a:fontScheme name="UMAR pisav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UMAR tema" id="{6858A847-9EE0-427F-93E2-97AFCA21391D}" vid="{84F208F5-1E2B-4021-B341-6627EA6ABD5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F75DB-1EEA-402E-9EC0-E0EC16A08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5522</Words>
  <Characters>31477</Characters>
  <Application>Microsoft Office Word</Application>
  <DocSecurity>0</DocSecurity>
  <Lines>262</Lines>
  <Paragraphs>73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36926</CharactersWithSpaces>
  <SharedDoc>false</SharedDoc>
  <HLinks>
    <vt:vector size="18" baseType="variant">
      <vt:variant>
        <vt:i4>2031671</vt:i4>
      </vt:variant>
      <vt:variant>
        <vt:i4>47</vt:i4>
      </vt:variant>
      <vt:variant>
        <vt:i4>0</vt:i4>
      </vt:variant>
      <vt:variant>
        <vt:i4>5</vt:i4>
      </vt:variant>
      <vt:variant>
        <vt:lpwstr/>
      </vt:variant>
      <vt:variant>
        <vt:lpwstr>_Toc164759707</vt:lpwstr>
      </vt:variant>
      <vt:variant>
        <vt:i4>2031671</vt:i4>
      </vt:variant>
      <vt:variant>
        <vt:i4>38</vt:i4>
      </vt:variant>
      <vt:variant>
        <vt:i4>0</vt:i4>
      </vt:variant>
      <vt:variant>
        <vt:i4>5</vt:i4>
      </vt:variant>
      <vt:variant>
        <vt:lpwstr/>
      </vt:variant>
      <vt:variant>
        <vt:lpwstr>_Toc164759700</vt:lpwstr>
      </vt:variant>
      <vt:variant>
        <vt:i4>1441846</vt:i4>
      </vt:variant>
      <vt:variant>
        <vt:i4>29</vt:i4>
      </vt:variant>
      <vt:variant>
        <vt:i4>0</vt:i4>
      </vt:variant>
      <vt:variant>
        <vt:i4>5</vt:i4>
      </vt:variant>
      <vt:variant>
        <vt:lpwstr/>
      </vt:variant>
      <vt:variant>
        <vt:lpwstr>_Toc164759693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2023-09-19T11:29:00Z</dcterms:created>
  <dcterms:modified xsi:type="dcterms:W3CDTF">2023-09-19T12:03:00Z</dcterms:modified>
</cp:coreProperties>
</file>