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5AB9" w14:textId="77777777" w:rsidR="0050616E" w:rsidRPr="000E64EC" w:rsidRDefault="00471713" w:rsidP="0050616E">
      <w:pPr>
        <w:pStyle w:val="Heading2"/>
        <w:numPr>
          <w:ilvl w:val="0"/>
          <w:numId w:val="0"/>
        </w:numPr>
      </w:pPr>
      <w:r w:rsidRPr="000E64EC">
        <w:rPr>
          <w:noProof/>
          <w:lang w:eastAsia="sl-SI"/>
        </w:rPr>
        <w:drawing>
          <wp:anchor distT="0" distB="0" distL="114300" distR="114300" simplePos="0" relativeHeight="251661312" behindDoc="0" locked="0" layoutInCell="1" allowOverlap="1" wp14:anchorId="57A67943" wp14:editId="2886E7CB">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sidRPr="000E64EC">
        <w:rPr>
          <w:noProof/>
          <w:lang w:eastAsia="sl-SI"/>
        </w:rPr>
        <w:drawing>
          <wp:anchor distT="0" distB="0" distL="114300" distR="114300" simplePos="0" relativeHeight="251663360" behindDoc="0" locked="0" layoutInCell="1" allowOverlap="1" wp14:anchorId="5A771DA1" wp14:editId="26B87CE3">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5116317D" w14:textId="77777777" w:rsidR="0050616E" w:rsidRPr="000E64EC" w:rsidRDefault="00D66667" w:rsidP="0050616E">
      <w:pPr>
        <w:tabs>
          <w:tab w:val="left" w:pos="7227"/>
        </w:tabs>
        <w:sectPr w:rsidR="0050616E" w:rsidRPr="000E64EC" w:rsidSect="007C3A38">
          <w:footerReference w:type="default" r:id="rId10"/>
          <w:pgSz w:w="11906" w:h="16838"/>
          <w:pgMar w:top="1701" w:right="1418" w:bottom="1418" w:left="1418" w:header="709" w:footer="709" w:gutter="0"/>
          <w:pgNumType w:fmt="lowerRoman" w:start="1"/>
          <w:cols w:space="708"/>
        </w:sectPr>
      </w:pPr>
      <w:r w:rsidRPr="000E64EC">
        <w:rPr>
          <w:noProof/>
        </w:rPr>
        <mc:AlternateContent>
          <mc:Choice Requires="wps">
            <w:drawing>
              <wp:anchor distT="0" distB="0" distL="114300" distR="114300" simplePos="0" relativeHeight="251659262" behindDoc="0" locked="0" layoutInCell="1" allowOverlap="1" wp14:anchorId="0E9BCA50" wp14:editId="6FADC51E">
                <wp:simplePos x="0" y="0"/>
                <wp:positionH relativeFrom="column">
                  <wp:posOffset>2690495</wp:posOffset>
                </wp:positionH>
                <wp:positionV relativeFrom="paragraph">
                  <wp:posOffset>558165</wp:posOffset>
                </wp:positionV>
                <wp:extent cx="384810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848100" cy="8066405"/>
                        </a:xfrm>
                        <a:prstGeom prst="rect">
                          <a:avLst/>
                        </a:prstGeom>
                        <a:noFill/>
                        <a:ln w="6350">
                          <a:noFill/>
                        </a:ln>
                        <a:effectLst/>
                      </wps:spPr>
                      <wps:txbx>
                        <w:txbxContent>
                          <w:p w14:paraId="2B89DB8C" w14:textId="77777777" w:rsidR="00BF5199" w:rsidRPr="0050616E" w:rsidRDefault="00BF5199" w:rsidP="0050616E">
                            <w:pPr>
                              <w:pStyle w:val="NaslovnicanaslovUMAR"/>
                              <w:numPr>
                                <w:ilvl w:val="0"/>
                                <w:numId w:val="0"/>
                              </w:numPr>
                              <w:spacing w:line="760" w:lineRule="exact"/>
                              <w:rPr>
                                <w:color w:val="auto"/>
                                <w:sz w:val="76"/>
                                <w:szCs w:val="76"/>
                              </w:rPr>
                            </w:pPr>
                          </w:p>
                          <w:p w14:paraId="62B85D1A" w14:textId="77777777" w:rsidR="00BF5199" w:rsidRPr="0050616E" w:rsidRDefault="00BF5199" w:rsidP="0050616E">
                            <w:pPr>
                              <w:pStyle w:val="NaslovnicanaslovUMAR"/>
                              <w:numPr>
                                <w:ilvl w:val="0"/>
                                <w:numId w:val="0"/>
                              </w:numPr>
                              <w:spacing w:line="760" w:lineRule="exact"/>
                              <w:rPr>
                                <w:color w:val="auto"/>
                                <w:sz w:val="76"/>
                                <w:szCs w:val="76"/>
                              </w:rPr>
                            </w:pPr>
                          </w:p>
                          <w:p w14:paraId="55D8A714" w14:textId="77777777" w:rsidR="00BF5199" w:rsidRPr="0050616E" w:rsidRDefault="00BF519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38E9509" w14:textId="10BC3599" w:rsidR="00BF5199" w:rsidRPr="0050616E" w:rsidRDefault="00BF5199" w:rsidP="0050616E">
                            <w:pPr>
                              <w:pStyle w:val="NaslovnicanaslovUMAR"/>
                              <w:numPr>
                                <w:ilvl w:val="0"/>
                                <w:numId w:val="0"/>
                              </w:numPr>
                              <w:spacing w:line="240" w:lineRule="auto"/>
                              <w:rPr>
                                <w:b w:val="0"/>
                                <w:bCs/>
                                <w:color w:val="auto"/>
                                <w:sz w:val="26"/>
                                <w:szCs w:val="26"/>
                              </w:rPr>
                            </w:pPr>
                            <w:r>
                              <w:rPr>
                                <w:b w:val="0"/>
                                <w:bCs/>
                                <w:color w:val="auto"/>
                                <w:sz w:val="26"/>
                                <w:szCs w:val="26"/>
                              </w:rPr>
                              <w:t>September, 2023</w:t>
                            </w:r>
                          </w:p>
                          <w:p w14:paraId="3FF87441" w14:textId="77777777" w:rsidR="00BF5199" w:rsidRPr="0050616E" w:rsidRDefault="00BF5199" w:rsidP="0050616E">
                            <w:pPr>
                              <w:pStyle w:val="NaslovnicanaslovUMAR"/>
                              <w:numPr>
                                <w:ilvl w:val="0"/>
                                <w:numId w:val="0"/>
                              </w:numPr>
                              <w:spacing w:line="760" w:lineRule="exact"/>
                              <w:rPr>
                                <w:color w:val="auto"/>
                                <w:sz w:val="52"/>
                                <w:szCs w:val="52"/>
                              </w:rPr>
                            </w:pPr>
                          </w:p>
                          <w:p w14:paraId="3990B05D" w14:textId="1579D212" w:rsidR="00BF5199" w:rsidRPr="0050616E" w:rsidRDefault="00BF5199" w:rsidP="0050616E">
                            <w:pPr>
                              <w:pStyle w:val="NaslovnicanaslovUMAR"/>
                              <w:numPr>
                                <w:ilvl w:val="0"/>
                                <w:numId w:val="0"/>
                              </w:numPr>
                              <w:spacing w:after="240" w:line="760" w:lineRule="exact"/>
                              <w:rPr>
                                <w:b w:val="0"/>
                                <w:bCs/>
                                <w:color w:val="auto"/>
                                <w:sz w:val="52"/>
                                <w:szCs w:val="52"/>
                              </w:rPr>
                            </w:pPr>
                            <w:r>
                              <w:rPr>
                                <w:b w:val="0"/>
                                <w:bCs/>
                                <w:color w:val="auto"/>
                                <w:sz w:val="52"/>
                                <w:szCs w:val="52"/>
                              </w:rPr>
                              <w:t>Matevž Hribernik</w:t>
                            </w:r>
                          </w:p>
                          <w:p w14:paraId="41B32722" w14:textId="5793A81C" w:rsidR="00BF5199" w:rsidRPr="0050616E" w:rsidRDefault="00BF5199" w:rsidP="00451E94">
                            <w:pPr>
                              <w:pStyle w:val="NaslovnicanaslovUMAR"/>
                              <w:numPr>
                                <w:ilvl w:val="0"/>
                                <w:numId w:val="0"/>
                              </w:numPr>
                              <w:spacing w:line="760" w:lineRule="exact"/>
                              <w:rPr>
                                <w:color w:val="auto"/>
                                <w:sz w:val="76"/>
                                <w:szCs w:val="76"/>
                              </w:rPr>
                            </w:pPr>
                            <w:r>
                              <w:rPr>
                                <w:color w:val="auto"/>
                                <w:sz w:val="76"/>
                                <w:szCs w:val="76"/>
                              </w:rPr>
                              <w:t xml:space="preserve">Analiza zunanjetrgovinske menjave </w:t>
                            </w:r>
                            <w:r>
                              <w:rPr>
                                <w:color w:val="auto"/>
                                <w:sz w:val="76"/>
                                <w:szCs w:val="76"/>
                              </w:rPr>
                              <w:br/>
                              <w:t>z Rusijo od začetka vojne v Ukrajini</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BCA50" id="_x0000_t202" coordsize="21600,21600" o:spt="202" path="m,l,21600r21600,l21600,xe">
                <v:stroke joinstyle="miter"/>
                <v:path gradientshapeok="t" o:connecttype="rect"/>
              </v:shapetype>
              <v:shape id="Text Box 2" o:spid="_x0000_s1026" type="#_x0000_t202" style="position:absolute;margin-left:211.85pt;margin-top:43.95pt;width:303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" filled="f" stroked="f" strokeweight=".5pt">
                <v:textbox style="layout-flow:vertical;mso-layout-flow-alt:bottom-to-top" inset="0,0,.5mm,0">
                  <w:txbxContent>
                    <w:p w14:paraId="2B89DB8C" w14:textId="77777777" w:rsidR="00BF5199" w:rsidRPr="0050616E" w:rsidRDefault="00BF5199" w:rsidP="0050616E">
                      <w:pPr>
                        <w:pStyle w:val="NaslovnicanaslovUMAR"/>
                        <w:numPr>
                          <w:ilvl w:val="0"/>
                          <w:numId w:val="0"/>
                        </w:numPr>
                        <w:spacing w:line="760" w:lineRule="exact"/>
                        <w:rPr>
                          <w:color w:val="auto"/>
                          <w:sz w:val="76"/>
                          <w:szCs w:val="76"/>
                        </w:rPr>
                      </w:pPr>
                    </w:p>
                    <w:p w14:paraId="62B85D1A" w14:textId="77777777" w:rsidR="00BF5199" w:rsidRPr="0050616E" w:rsidRDefault="00BF5199" w:rsidP="0050616E">
                      <w:pPr>
                        <w:pStyle w:val="NaslovnicanaslovUMAR"/>
                        <w:numPr>
                          <w:ilvl w:val="0"/>
                          <w:numId w:val="0"/>
                        </w:numPr>
                        <w:spacing w:line="760" w:lineRule="exact"/>
                        <w:rPr>
                          <w:color w:val="auto"/>
                          <w:sz w:val="76"/>
                          <w:szCs w:val="76"/>
                        </w:rPr>
                      </w:pPr>
                    </w:p>
                    <w:p w14:paraId="55D8A714" w14:textId="77777777" w:rsidR="00BF5199" w:rsidRPr="0050616E" w:rsidRDefault="00BF519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38E9509" w14:textId="10BC3599" w:rsidR="00BF5199" w:rsidRPr="0050616E" w:rsidRDefault="00BF5199" w:rsidP="0050616E">
                      <w:pPr>
                        <w:pStyle w:val="NaslovnicanaslovUMAR"/>
                        <w:numPr>
                          <w:ilvl w:val="0"/>
                          <w:numId w:val="0"/>
                        </w:numPr>
                        <w:spacing w:line="240" w:lineRule="auto"/>
                        <w:rPr>
                          <w:b w:val="0"/>
                          <w:bCs/>
                          <w:color w:val="auto"/>
                          <w:sz w:val="26"/>
                          <w:szCs w:val="26"/>
                        </w:rPr>
                      </w:pPr>
                      <w:r>
                        <w:rPr>
                          <w:b w:val="0"/>
                          <w:bCs/>
                          <w:color w:val="auto"/>
                          <w:sz w:val="26"/>
                          <w:szCs w:val="26"/>
                        </w:rPr>
                        <w:t>September, 2023</w:t>
                      </w:r>
                    </w:p>
                    <w:p w14:paraId="3FF87441" w14:textId="77777777" w:rsidR="00BF5199" w:rsidRPr="0050616E" w:rsidRDefault="00BF5199" w:rsidP="0050616E">
                      <w:pPr>
                        <w:pStyle w:val="NaslovnicanaslovUMAR"/>
                        <w:numPr>
                          <w:ilvl w:val="0"/>
                          <w:numId w:val="0"/>
                        </w:numPr>
                        <w:spacing w:line="760" w:lineRule="exact"/>
                        <w:rPr>
                          <w:color w:val="auto"/>
                          <w:sz w:val="52"/>
                          <w:szCs w:val="52"/>
                        </w:rPr>
                      </w:pPr>
                    </w:p>
                    <w:p w14:paraId="3990B05D" w14:textId="1579D212" w:rsidR="00BF5199" w:rsidRPr="0050616E" w:rsidRDefault="00BF5199" w:rsidP="0050616E">
                      <w:pPr>
                        <w:pStyle w:val="NaslovnicanaslovUMAR"/>
                        <w:numPr>
                          <w:ilvl w:val="0"/>
                          <w:numId w:val="0"/>
                        </w:numPr>
                        <w:spacing w:after="240" w:line="760" w:lineRule="exact"/>
                        <w:rPr>
                          <w:b w:val="0"/>
                          <w:bCs/>
                          <w:color w:val="auto"/>
                          <w:sz w:val="52"/>
                          <w:szCs w:val="52"/>
                        </w:rPr>
                      </w:pPr>
                      <w:r>
                        <w:rPr>
                          <w:b w:val="0"/>
                          <w:bCs/>
                          <w:color w:val="auto"/>
                          <w:sz w:val="52"/>
                          <w:szCs w:val="52"/>
                        </w:rPr>
                        <w:t>Matevž Hribernik</w:t>
                      </w:r>
                    </w:p>
                    <w:p w14:paraId="41B32722" w14:textId="5793A81C" w:rsidR="00BF5199" w:rsidRPr="0050616E" w:rsidRDefault="00BF5199" w:rsidP="00451E94">
                      <w:pPr>
                        <w:pStyle w:val="NaslovnicanaslovUMAR"/>
                        <w:numPr>
                          <w:ilvl w:val="0"/>
                          <w:numId w:val="0"/>
                        </w:numPr>
                        <w:spacing w:line="760" w:lineRule="exact"/>
                        <w:rPr>
                          <w:color w:val="auto"/>
                          <w:sz w:val="76"/>
                          <w:szCs w:val="76"/>
                        </w:rPr>
                      </w:pPr>
                      <w:r>
                        <w:rPr>
                          <w:color w:val="auto"/>
                          <w:sz w:val="76"/>
                          <w:szCs w:val="76"/>
                        </w:rPr>
                        <w:t xml:space="preserve">Analiza zunanjetrgovinske menjave </w:t>
                      </w:r>
                      <w:r>
                        <w:rPr>
                          <w:color w:val="auto"/>
                          <w:sz w:val="76"/>
                          <w:szCs w:val="76"/>
                        </w:rPr>
                        <w:br/>
                        <w:t>z Rusijo od začetka vojne v Ukrajini</w:t>
                      </w:r>
                    </w:p>
                  </w:txbxContent>
                </v:textbox>
              </v:shape>
            </w:pict>
          </mc:Fallback>
        </mc:AlternateContent>
      </w:r>
      <w:r w:rsidR="0050616E" w:rsidRPr="000E64EC">
        <w:tab/>
      </w:r>
    </w:p>
    <w:p w14:paraId="5B7570C9" w14:textId="77777777" w:rsidR="00471713" w:rsidRPr="000E64EC" w:rsidRDefault="00471713" w:rsidP="00471713">
      <w:pPr>
        <w:pStyle w:val="Heading1"/>
        <w:numPr>
          <w:ilvl w:val="0"/>
          <w:numId w:val="0"/>
        </w:numPr>
        <w:rPr>
          <w:rStyle w:val="VodilnistavekUMAR"/>
        </w:rPr>
      </w:pPr>
      <w:bookmarkStart w:id="0" w:name="_Toc525304171"/>
      <w:bookmarkStart w:id="1" w:name="_Toc527616894"/>
      <w:bookmarkStart w:id="2" w:name="_Toc528328881"/>
      <w:r w:rsidRPr="000E64EC">
        <w:lastRenderedPageBreak/>
        <w:t>Povzetek</w:t>
      </w:r>
    </w:p>
    <w:p w14:paraId="4374A9D5" w14:textId="77777777" w:rsidR="00471713" w:rsidRPr="000E64EC" w:rsidRDefault="00471713" w:rsidP="00E60966">
      <w:pPr>
        <w:pStyle w:val="BesediloUMAR"/>
        <w:rPr>
          <w:rStyle w:val="VodilnistavekUMAR"/>
        </w:rPr>
      </w:pPr>
    </w:p>
    <w:p w14:paraId="7561A687" w14:textId="1C0DB566" w:rsidR="00E35403" w:rsidRPr="008A76F3" w:rsidRDefault="00E35403" w:rsidP="00E35403">
      <w:pPr>
        <w:pStyle w:val="BesediloUMAR"/>
        <w:rPr>
          <w:rStyle w:val="rynqvb"/>
          <w:b/>
          <w:bCs/>
        </w:rPr>
      </w:pPr>
      <w:r w:rsidRPr="008A76F3">
        <w:rPr>
          <w:b/>
          <w:bCs/>
        </w:rPr>
        <w:t>Ruska agresija v Ukrajini je sprožila močan mednarodni odziv</w:t>
      </w:r>
      <w:r w:rsidR="00297385">
        <w:rPr>
          <w:b/>
          <w:bCs/>
        </w:rPr>
        <w:t xml:space="preserve"> s posledicami na</w:t>
      </w:r>
      <w:r w:rsidRPr="008A76F3">
        <w:rPr>
          <w:b/>
          <w:bCs/>
        </w:rPr>
        <w:t xml:space="preserve"> mednarodno trgovino in gospodarsko aktivnost. EU, ZDA in nekatera druga pomembnejša svetovna gospodarstva so se že konec februarja</w:t>
      </w:r>
      <w:r w:rsidR="00AF60C8">
        <w:rPr>
          <w:b/>
          <w:bCs/>
        </w:rPr>
        <w:t xml:space="preserve"> 2022</w:t>
      </w:r>
      <w:r w:rsidRPr="008A76F3">
        <w:rPr>
          <w:b/>
          <w:bCs/>
        </w:rPr>
        <w:t xml:space="preserve"> odzvali z uvedbo obsežnih sankcij, ki naj bi Rusijo finančno in gospodarsko osamile. </w:t>
      </w:r>
      <w:r w:rsidRPr="008A76F3">
        <w:rPr>
          <w:rStyle w:val="rynqvb"/>
          <w:b/>
          <w:bCs/>
        </w:rPr>
        <w:t xml:space="preserve">Gospodarske sankcije pa niso imele negativnih učinkov le na Rusijo, temveč tudi na </w:t>
      </w:r>
      <w:r w:rsidR="006D5B32">
        <w:rPr>
          <w:rStyle w:val="rynqvb"/>
          <w:b/>
          <w:bCs/>
        </w:rPr>
        <w:t>svetovno gospodarstvo</w:t>
      </w:r>
      <w:r w:rsidRPr="008A76F3">
        <w:rPr>
          <w:rStyle w:val="rynqvb"/>
          <w:b/>
          <w:bCs/>
        </w:rPr>
        <w:t xml:space="preserve">, </w:t>
      </w:r>
      <w:r w:rsidR="006D5B32">
        <w:rPr>
          <w:rStyle w:val="rynqvb"/>
          <w:b/>
          <w:bCs/>
        </w:rPr>
        <w:t xml:space="preserve">predvsem </w:t>
      </w:r>
      <w:r w:rsidRPr="008A76F3">
        <w:rPr>
          <w:rStyle w:val="rynqvb"/>
          <w:b/>
          <w:bCs/>
        </w:rPr>
        <w:t xml:space="preserve">zaradi višjih cen energije in surovin </w:t>
      </w:r>
      <w:r w:rsidR="006D5B32">
        <w:rPr>
          <w:rStyle w:val="rynqvb"/>
          <w:b/>
          <w:bCs/>
        </w:rPr>
        <w:t>ter</w:t>
      </w:r>
      <w:r w:rsidRPr="008A76F3">
        <w:rPr>
          <w:rStyle w:val="rynqvb"/>
          <w:b/>
          <w:bCs/>
        </w:rPr>
        <w:t xml:space="preserve"> motenj v globalnih verigah vrednosti. Vojna je vplivala tudi na povečanje negotovosti v mednarodnem okolj</w:t>
      </w:r>
      <w:r w:rsidR="006D5B32">
        <w:rPr>
          <w:rStyle w:val="rynqvb"/>
          <w:b/>
          <w:bCs/>
        </w:rPr>
        <w:t>u</w:t>
      </w:r>
      <w:r w:rsidRPr="008A76F3">
        <w:rPr>
          <w:rStyle w:val="rynqvb"/>
          <w:b/>
          <w:bCs/>
        </w:rPr>
        <w:t xml:space="preserve">, zaradi geografske bližine </w:t>
      </w:r>
      <w:r w:rsidR="006D5B32">
        <w:rPr>
          <w:rStyle w:val="rynqvb"/>
          <w:b/>
          <w:bCs/>
        </w:rPr>
        <w:t xml:space="preserve">zlasti v </w:t>
      </w:r>
      <w:r w:rsidRPr="008A76F3">
        <w:rPr>
          <w:rStyle w:val="rynqvb"/>
          <w:b/>
          <w:bCs/>
        </w:rPr>
        <w:t xml:space="preserve">državah EU. </w:t>
      </w:r>
    </w:p>
    <w:p w14:paraId="3E3E80DB" w14:textId="77777777" w:rsidR="00E35403" w:rsidRPr="008A76F3" w:rsidRDefault="00E35403" w:rsidP="00E35403">
      <w:pPr>
        <w:pStyle w:val="BesediloUMAR"/>
        <w:rPr>
          <w:rStyle w:val="rynqvb"/>
          <w:b/>
          <w:bCs/>
        </w:rPr>
      </w:pPr>
    </w:p>
    <w:p w14:paraId="7EE2161D" w14:textId="2D934952" w:rsidR="00E35403" w:rsidRPr="008A76F3" w:rsidRDefault="00E35403" w:rsidP="00E35403">
      <w:pPr>
        <w:pStyle w:val="BesediloUMAR"/>
        <w:rPr>
          <w:b/>
          <w:bCs/>
        </w:rPr>
      </w:pPr>
      <w:r w:rsidRPr="008A76F3">
        <w:rPr>
          <w:b/>
          <w:bCs/>
        </w:rPr>
        <w:t xml:space="preserve">Neposredna izpostavljenost slovenskega gospodarstva do Rusije in Ukrajine je </w:t>
      </w:r>
      <w:r w:rsidR="006A3298">
        <w:rPr>
          <w:b/>
          <w:bCs/>
        </w:rPr>
        <w:t xml:space="preserve">bila pred vojno </w:t>
      </w:r>
      <w:r w:rsidRPr="008A76F3">
        <w:rPr>
          <w:b/>
          <w:bCs/>
        </w:rPr>
        <w:t>razmeroma majhna; v tem delu sta pomembna zlasti visoka odvisnost od uvoza fosilnih goriv ter izpostavljenost slovenske farmacevtske in kemične dejavnosti. Izvozni del gospodarstva je bolj izpostavljen do ruskega trga kot v večini držav EU</w:t>
      </w:r>
      <w:r w:rsidR="00297385">
        <w:rPr>
          <w:b/>
          <w:bCs/>
        </w:rPr>
        <w:t xml:space="preserve">, </w:t>
      </w:r>
      <w:r w:rsidRPr="008A76F3">
        <w:rPr>
          <w:b/>
          <w:bCs/>
        </w:rPr>
        <w:t xml:space="preserve">z izjemo baltskih držav in Finske, a je delež izvoza na ta trg še vedno </w:t>
      </w:r>
      <w:r w:rsidR="00297385">
        <w:rPr>
          <w:b/>
          <w:bCs/>
        </w:rPr>
        <w:t>dokaj</w:t>
      </w:r>
      <w:r w:rsidR="00B0100B">
        <w:rPr>
          <w:b/>
          <w:bCs/>
        </w:rPr>
        <w:t xml:space="preserve"> </w:t>
      </w:r>
      <w:r w:rsidRPr="008A76F3">
        <w:rPr>
          <w:b/>
          <w:bCs/>
        </w:rPr>
        <w:t xml:space="preserve">majhen </w:t>
      </w:r>
      <w:r w:rsidR="00B0100B">
        <w:rPr>
          <w:b/>
          <w:bCs/>
        </w:rPr>
        <w:t>in je pred vojno znašal okoli 2 %</w:t>
      </w:r>
      <w:r w:rsidRPr="008A76F3">
        <w:rPr>
          <w:b/>
          <w:bCs/>
        </w:rPr>
        <w:t xml:space="preserve">. Na uvozni strani so med ključnimi proizvodi energenti, zlasti zemeljski plin </w:t>
      </w:r>
      <w:r w:rsidR="006523A6">
        <w:rPr>
          <w:b/>
          <w:bCs/>
        </w:rPr>
        <w:t xml:space="preserve">in </w:t>
      </w:r>
      <w:r w:rsidRPr="008A76F3">
        <w:rPr>
          <w:b/>
          <w:bCs/>
        </w:rPr>
        <w:t>naftni derivat</w:t>
      </w:r>
      <w:r w:rsidR="006523A6">
        <w:rPr>
          <w:b/>
          <w:bCs/>
        </w:rPr>
        <w:t>i</w:t>
      </w:r>
      <w:r w:rsidRPr="008A76F3">
        <w:rPr>
          <w:b/>
          <w:bCs/>
        </w:rPr>
        <w:t xml:space="preserve">. Do obeh držav, Rusije in Ukrajine, ima gospodarstvo sicer več finančnih terjatev kot obveznosti. Rusija je na </w:t>
      </w:r>
      <w:r w:rsidR="00297385">
        <w:rPr>
          <w:b/>
          <w:bCs/>
        </w:rPr>
        <w:t>petem</w:t>
      </w:r>
      <w:r w:rsidRPr="008A76F3">
        <w:rPr>
          <w:b/>
          <w:bCs/>
        </w:rPr>
        <w:t xml:space="preserve"> mestu med največjimi državami prejemnicami slovenskih neposrednih naložb, s 6,1-odstotnim deležem vseh naložb v tujini, medtem ko je bilo v Ukrajini naložb precej manj (delež manjši kot 1 %).</w:t>
      </w:r>
    </w:p>
    <w:p w14:paraId="3EBCAFFD" w14:textId="77777777" w:rsidR="00E35403" w:rsidRPr="008A76F3" w:rsidRDefault="00E35403" w:rsidP="00E35403">
      <w:pPr>
        <w:pStyle w:val="BesediloUMAR"/>
        <w:rPr>
          <w:b/>
          <w:bCs/>
        </w:rPr>
      </w:pPr>
    </w:p>
    <w:p w14:paraId="5CA62043" w14:textId="2113E2F7" w:rsidR="00E35403" w:rsidRPr="008A76F3" w:rsidRDefault="00E35403" w:rsidP="00E35403">
      <w:pPr>
        <w:pStyle w:val="BesediloUMAR"/>
        <w:rPr>
          <w:b/>
          <w:bCs/>
        </w:rPr>
      </w:pPr>
      <w:r w:rsidRPr="008A76F3">
        <w:rPr>
          <w:b/>
          <w:bCs/>
        </w:rPr>
        <w:t xml:space="preserve">Od začetka vojne se je </w:t>
      </w:r>
      <w:r w:rsidR="00B0100B">
        <w:rPr>
          <w:b/>
          <w:bCs/>
        </w:rPr>
        <w:t xml:space="preserve">vrednost </w:t>
      </w:r>
      <w:r w:rsidRPr="008A76F3">
        <w:rPr>
          <w:b/>
          <w:bCs/>
        </w:rPr>
        <w:t>blagovn</w:t>
      </w:r>
      <w:r w:rsidR="00B0100B">
        <w:rPr>
          <w:b/>
          <w:bCs/>
        </w:rPr>
        <w:t>e</w:t>
      </w:r>
      <w:r w:rsidRPr="008A76F3">
        <w:rPr>
          <w:b/>
          <w:bCs/>
        </w:rPr>
        <w:t xml:space="preserve"> menjav</w:t>
      </w:r>
      <w:r w:rsidR="00B0100B">
        <w:rPr>
          <w:b/>
          <w:bCs/>
        </w:rPr>
        <w:t>e</w:t>
      </w:r>
      <w:r w:rsidRPr="008A76F3">
        <w:rPr>
          <w:b/>
          <w:bCs/>
        </w:rPr>
        <w:t xml:space="preserve"> Slovenije z Rusijo povečala. </w:t>
      </w:r>
      <w:r w:rsidR="00DC757D">
        <w:rPr>
          <w:b/>
          <w:bCs/>
        </w:rPr>
        <w:t xml:space="preserve">Povečanje blagovnega izvoza </w:t>
      </w:r>
      <w:r w:rsidRPr="008A76F3">
        <w:rPr>
          <w:b/>
          <w:bCs/>
        </w:rPr>
        <w:t xml:space="preserve">v Rusijo v letu 2022 je bilo predvsem posledica </w:t>
      </w:r>
      <w:r w:rsidR="00DC757D">
        <w:rPr>
          <w:b/>
          <w:bCs/>
        </w:rPr>
        <w:t xml:space="preserve">močno </w:t>
      </w:r>
      <w:r w:rsidRPr="008A76F3">
        <w:rPr>
          <w:b/>
          <w:bCs/>
        </w:rPr>
        <w:t xml:space="preserve">povečanega izvoza farmacevtskih, zlasti imunoloških proizvodov. Konec </w:t>
      </w:r>
      <w:r w:rsidR="00297385">
        <w:rPr>
          <w:b/>
          <w:bCs/>
        </w:rPr>
        <w:t>lanskega</w:t>
      </w:r>
      <w:r w:rsidR="00297385" w:rsidRPr="008A76F3">
        <w:rPr>
          <w:b/>
          <w:bCs/>
        </w:rPr>
        <w:t xml:space="preserve"> </w:t>
      </w:r>
      <w:r w:rsidRPr="008A76F3">
        <w:rPr>
          <w:b/>
          <w:bCs/>
        </w:rPr>
        <w:t xml:space="preserve">in v začetku letošnjega leta se je rast izvoza prekinila, a je vrednostno ostala na zelo visoki ravni in je bila </w:t>
      </w:r>
      <w:r w:rsidR="00DC757D">
        <w:rPr>
          <w:b/>
          <w:bCs/>
        </w:rPr>
        <w:t>maja</w:t>
      </w:r>
      <w:r w:rsidRPr="008A76F3">
        <w:rPr>
          <w:b/>
          <w:bCs/>
        </w:rPr>
        <w:t xml:space="preserve"> 2023 precej višja kot pred začetkom vojne. V </w:t>
      </w:r>
      <w:r w:rsidR="00DC757D">
        <w:rPr>
          <w:b/>
          <w:bCs/>
        </w:rPr>
        <w:t xml:space="preserve">letu 2022 </w:t>
      </w:r>
      <w:r w:rsidRPr="008A76F3">
        <w:rPr>
          <w:b/>
          <w:bCs/>
        </w:rPr>
        <w:t>se je vrednostno močno povečal tudi uvoz iz Rusije, predvsem naftnih derivat</w:t>
      </w:r>
      <w:r w:rsidR="00DC757D">
        <w:rPr>
          <w:b/>
          <w:bCs/>
        </w:rPr>
        <w:t xml:space="preserve">ov, ki pa se je </w:t>
      </w:r>
      <w:r w:rsidRPr="008A76F3">
        <w:rPr>
          <w:b/>
          <w:bCs/>
        </w:rPr>
        <w:t xml:space="preserve">zaradi uvedenih sankcij do </w:t>
      </w:r>
      <w:r w:rsidR="00DC757D">
        <w:rPr>
          <w:b/>
          <w:bCs/>
        </w:rPr>
        <w:t>maja</w:t>
      </w:r>
      <w:r w:rsidRPr="008A76F3">
        <w:rPr>
          <w:b/>
          <w:bCs/>
        </w:rPr>
        <w:t xml:space="preserve"> 2023 skoraj ustavil.</w:t>
      </w:r>
      <w:r w:rsidR="008A76F3" w:rsidRPr="008A76F3">
        <w:rPr>
          <w:b/>
          <w:bCs/>
        </w:rPr>
        <w:t xml:space="preserve"> Medletne rasti izvoza in uvoza so med najvišjimi v EU, kar gre pripisati tudi strukturi menjave (kjer pri izvozu večino predstavljajo farmacevtski proizvodi, pri uvozu pa energenti), enkratnim poslom in </w:t>
      </w:r>
      <w:r w:rsidR="00297385">
        <w:rPr>
          <w:b/>
          <w:bCs/>
        </w:rPr>
        <w:t>razmeroma</w:t>
      </w:r>
      <w:r w:rsidR="008A76F3" w:rsidRPr="008A76F3">
        <w:rPr>
          <w:b/>
          <w:bCs/>
        </w:rPr>
        <w:t xml:space="preserve"> nizki osnovi v letu 2021.</w:t>
      </w:r>
      <w:r w:rsidR="00393E26" w:rsidRPr="008A76F3">
        <w:rPr>
          <w:b/>
          <w:bCs/>
        </w:rPr>
        <w:t xml:space="preserve"> </w:t>
      </w:r>
      <w:r w:rsidR="00B0100B">
        <w:rPr>
          <w:b/>
          <w:bCs/>
        </w:rPr>
        <w:t>Kljub relativno ugodnim statističnim kazalcem pa je bil učinek na izvozno usmerjene predelovalne dejavnosti večino</w:t>
      </w:r>
      <w:r w:rsidR="006A3298">
        <w:rPr>
          <w:b/>
          <w:bCs/>
        </w:rPr>
        <w:t>ma</w:t>
      </w:r>
      <w:r w:rsidR="00B0100B">
        <w:rPr>
          <w:b/>
          <w:bCs/>
        </w:rPr>
        <w:t xml:space="preserve"> negativen, saj je bilo povečanje izvoza in uvoza predvsem posledica povečane trgovin</w:t>
      </w:r>
      <w:r w:rsidR="006A3298">
        <w:rPr>
          <w:b/>
          <w:bCs/>
        </w:rPr>
        <w:t>ske dejavnosti in ne proizvodnje</w:t>
      </w:r>
      <w:r w:rsidR="00B0100B">
        <w:rPr>
          <w:b/>
          <w:bCs/>
        </w:rPr>
        <w:t xml:space="preserve">. </w:t>
      </w:r>
      <w:r w:rsidR="008A76F3" w:rsidRPr="008A76F3">
        <w:rPr>
          <w:b/>
          <w:bCs/>
        </w:rPr>
        <w:t>Izvoz Slovenije v Ukrajino se je od začetka vojne nekoliko zmanjšal, opazno pa se je povečal uvoz, kar gre pripisati predvsem večjemu uvozu kmetijskih proizvodov (koruza, pšenica)</w:t>
      </w:r>
      <w:r w:rsidR="006523A6">
        <w:rPr>
          <w:b/>
          <w:bCs/>
        </w:rPr>
        <w:t>.</w:t>
      </w:r>
    </w:p>
    <w:p w14:paraId="5690A84C" w14:textId="77777777" w:rsidR="00E35403" w:rsidRPr="00E35403" w:rsidRDefault="00E35403" w:rsidP="00E35403">
      <w:pPr>
        <w:pStyle w:val="BesediloUMAR"/>
        <w:rPr>
          <w:b/>
          <w:bCs/>
        </w:rPr>
      </w:pPr>
    </w:p>
    <w:p w14:paraId="164A7B71" w14:textId="77777777" w:rsidR="00390027" w:rsidRDefault="00390027" w:rsidP="00407C0D">
      <w:pPr>
        <w:pStyle w:val="BesediloUMAR"/>
      </w:pPr>
    </w:p>
    <w:p w14:paraId="369761BA" w14:textId="77777777" w:rsidR="008A76F3" w:rsidRDefault="008A76F3" w:rsidP="00407C0D">
      <w:pPr>
        <w:pStyle w:val="BesediloUMAR"/>
      </w:pPr>
    </w:p>
    <w:p w14:paraId="01F2D60A" w14:textId="77777777" w:rsidR="008A76F3" w:rsidRDefault="008A76F3" w:rsidP="00407C0D">
      <w:pPr>
        <w:pStyle w:val="BesediloUMAR"/>
      </w:pPr>
    </w:p>
    <w:p w14:paraId="016E53A4" w14:textId="77777777" w:rsidR="008A76F3" w:rsidRDefault="008A76F3" w:rsidP="00407C0D">
      <w:pPr>
        <w:pStyle w:val="BesediloUMAR"/>
      </w:pPr>
    </w:p>
    <w:p w14:paraId="7D1302E6" w14:textId="77777777" w:rsidR="008A76F3" w:rsidRDefault="008A76F3" w:rsidP="00407C0D">
      <w:pPr>
        <w:pStyle w:val="BesediloUMAR"/>
      </w:pPr>
    </w:p>
    <w:p w14:paraId="3F71C187" w14:textId="77777777" w:rsidR="008A76F3" w:rsidRDefault="008A76F3" w:rsidP="00407C0D">
      <w:pPr>
        <w:pStyle w:val="BesediloUMAR"/>
      </w:pPr>
    </w:p>
    <w:p w14:paraId="2846704E" w14:textId="77777777" w:rsidR="008A76F3" w:rsidRDefault="008A76F3" w:rsidP="00407C0D">
      <w:pPr>
        <w:pStyle w:val="BesediloUMAR"/>
      </w:pPr>
    </w:p>
    <w:p w14:paraId="42EB7666" w14:textId="77777777" w:rsidR="008A76F3" w:rsidRDefault="008A76F3" w:rsidP="00407C0D">
      <w:pPr>
        <w:pStyle w:val="BesediloUMAR"/>
      </w:pPr>
    </w:p>
    <w:p w14:paraId="5B0DC7DF" w14:textId="77777777" w:rsidR="006523A6" w:rsidRDefault="006523A6" w:rsidP="00407C0D">
      <w:pPr>
        <w:pStyle w:val="BesediloUMAR"/>
      </w:pPr>
    </w:p>
    <w:p w14:paraId="203C038F" w14:textId="56A51D00" w:rsidR="008A76F3" w:rsidRDefault="008A76F3" w:rsidP="00407C0D">
      <w:pPr>
        <w:pStyle w:val="BesediloUMAR"/>
      </w:pPr>
    </w:p>
    <w:p w14:paraId="1756793F" w14:textId="6B761D1B" w:rsidR="00BF5199" w:rsidRDefault="00BF5199" w:rsidP="00407C0D">
      <w:pPr>
        <w:pStyle w:val="BesediloUMAR"/>
      </w:pPr>
    </w:p>
    <w:p w14:paraId="2D478FFE" w14:textId="77777777" w:rsidR="00BF5199" w:rsidRDefault="00BF5199" w:rsidP="00407C0D">
      <w:pPr>
        <w:pStyle w:val="BesediloUMAR"/>
      </w:pPr>
    </w:p>
    <w:p w14:paraId="6417443D" w14:textId="77777777" w:rsidR="008A76F3" w:rsidRDefault="008A76F3" w:rsidP="00407C0D">
      <w:pPr>
        <w:pStyle w:val="BesediloUMAR"/>
      </w:pPr>
    </w:p>
    <w:p w14:paraId="4C2F4194" w14:textId="2D6BCE6E" w:rsidR="00390027" w:rsidRPr="000E64EC" w:rsidRDefault="00390027" w:rsidP="00407C0D">
      <w:pPr>
        <w:pStyle w:val="BesediloUMAR"/>
      </w:pPr>
      <w:r>
        <w:t>Kratka analiza je nastala s pomočjo Nejca Pavlihe, študenta Ekonomske fakultete v Ljubljani. Zahvaljujem se tudi Katarini Ivas</w:t>
      </w:r>
      <w:r w:rsidR="006523A6">
        <w:t>, mag.</w:t>
      </w:r>
      <w:r>
        <w:t xml:space="preserve"> in </w:t>
      </w:r>
      <w:r w:rsidR="006523A6">
        <w:t xml:space="preserve">dr. </w:t>
      </w:r>
      <w:r>
        <w:t>Maji Založnik (</w:t>
      </w:r>
      <w:r w:rsidR="00BF086D">
        <w:t xml:space="preserve">obe </w:t>
      </w:r>
      <w:r>
        <w:t xml:space="preserve">UMAR) za </w:t>
      </w:r>
      <w:r w:rsidR="008A76F3">
        <w:t xml:space="preserve">vse </w:t>
      </w:r>
      <w:r>
        <w:t xml:space="preserve">komentarje, predloge in dodatne analize. </w:t>
      </w:r>
    </w:p>
    <w:bookmarkEnd w:id="0"/>
    <w:bookmarkEnd w:id="1"/>
    <w:bookmarkEnd w:id="2"/>
    <w:p w14:paraId="73947AAE" w14:textId="03865002" w:rsidR="00481B30" w:rsidRPr="000E64EC" w:rsidRDefault="00E1501E" w:rsidP="00471713">
      <w:pPr>
        <w:pStyle w:val="Heading1"/>
      </w:pPr>
      <w:r w:rsidRPr="000E64EC">
        <w:lastRenderedPageBreak/>
        <w:t>Uvod</w:t>
      </w:r>
    </w:p>
    <w:p w14:paraId="422BC0EF" w14:textId="77777777" w:rsidR="00A1771E" w:rsidRPr="000E64EC" w:rsidRDefault="00A1771E" w:rsidP="008E2D24">
      <w:pPr>
        <w:pStyle w:val="BesediloUMAR"/>
        <w:rPr>
          <w:b/>
          <w:bCs/>
        </w:rPr>
      </w:pPr>
    </w:p>
    <w:p w14:paraId="3ED922FE" w14:textId="78E69ADA" w:rsidR="008F119D" w:rsidRPr="00297385" w:rsidRDefault="00A1771E" w:rsidP="00A1771E">
      <w:pPr>
        <w:pStyle w:val="BesediloUMAR"/>
        <w:rPr>
          <w:b/>
          <w:bCs/>
          <w:szCs w:val="24"/>
        </w:rPr>
      </w:pPr>
      <w:r w:rsidRPr="000E64EC">
        <w:rPr>
          <w:b/>
          <w:bCs/>
          <w:szCs w:val="24"/>
        </w:rPr>
        <w:t xml:space="preserve">Napad Rusije na Ukrajino februarja 2022 </w:t>
      </w:r>
      <w:bookmarkStart w:id="3" w:name="_Hlk99546105"/>
      <w:r w:rsidR="00670FF3">
        <w:rPr>
          <w:b/>
          <w:bCs/>
          <w:szCs w:val="24"/>
        </w:rPr>
        <w:t xml:space="preserve">je </w:t>
      </w:r>
      <w:r w:rsidR="008F57CB" w:rsidRPr="000E64EC">
        <w:rPr>
          <w:b/>
          <w:bCs/>
          <w:szCs w:val="24"/>
        </w:rPr>
        <w:t>im</w:t>
      </w:r>
      <w:r w:rsidR="00670FF3">
        <w:rPr>
          <w:b/>
          <w:bCs/>
          <w:szCs w:val="24"/>
        </w:rPr>
        <w:t>el</w:t>
      </w:r>
      <w:r w:rsidR="008F57CB" w:rsidRPr="000E64EC">
        <w:rPr>
          <w:b/>
          <w:bCs/>
          <w:szCs w:val="24"/>
        </w:rPr>
        <w:t xml:space="preserve"> </w:t>
      </w:r>
      <w:r w:rsidR="00297385">
        <w:rPr>
          <w:b/>
          <w:bCs/>
          <w:szCs w:val="24"/>
        </w:rPr>
        <w:t>obsežne</w:t>
      </w:r>
      <w:r w:rsidRPr="000E64EC">
        <w:rPr>
          <w:b/>
          <w:bCs/>
          <w:szCs w:val="24"/>
        </w:rPr>
        <w:t xml:space="preserve"> </w:t>
      </w:r>
      <w:r w:rsidR="0034448F">
        <w:rPr>
          <w:b/>
          <w:bCs/>
          <w:szCs w:val="24"/>
        </w:rPr>
        <w:t>humanitarne, gospodarske in varnostne</w:t>
      </w:r>
      <w:r w:rsidR="00091231" w:rsidRPr="000E64EC">
        <w:rPr>
          <w:b/>
          <w:bCs/>
          <w:szCs w:val="24"/>
        </w:rPr>
        <w:t xml:space="preserve"> </w:t>
      </w:r>
      <w:r w:rsidRPr="000E64EC">
        <w:rPr>
          <w:b/>
          <w:bCs/>
          <w:szCs w:val="24"/>
        </w:rPr>
        <w:t>posledice.</w:t>
      </w:r>
      <w:bookmarkEnd w:id="3"/>
      <w:r w:rsidRPr="000E64EC">
        <w:rPr>
          <w:b/>
          <w:bCs/>
          <w:szCs w:val="24"/>
        </w:rPr>
        <w:t xml:space="preserve"> </w:t>
      </w:r>
      <w:r w:rsidRPr="000E64EC">
        <w:rPr>
          <w:szCs w:val="24"/>
        </w:rPr>
        <w:t>Odziv mednarodne skupnosti je bil hiter, saj je OZN že v začetku marca z veliko večino</w:t>
      </w:r>
      <w:r w:rsidRPr="000E64EC">
        <w:rPr>
          <w:rStyle w:val="FootnoteReference"/>
        </w:rPr>
        <w:t xml:space="preserve"> </w:t>
      </w:r>
      <w:r w:rsidRPr="000E64EC">
        <w:t xml:space="preserve">sprejela </w:t>
      </w:r>
      <w:r w:rsidRPr="000E64EC">
        <w:rPr>
          <w:szCs w:val="24"/>
        </w:rPr>
        <w:t xml:space="preserve">resolucijo, ki </w:t>
      </w:r>
      <w:r w:rsidR="00670FF3">
        <w:rPr>
          <w:szCs w:val="24"/>
        </w:rPr>
        <w:t xml:space="preserve">je </w:t>
      </w:r>
      <w:r w:rsidRPr="000E64EC">
        <w:rPr>
          <w:szCs w:val="24"/>
        </w:rPr>
        <w:t>obso</w:t>
      </w:r>
      <w:r w:rsidR="00670FF3">
        <w:rPr>
          <w:szCs w:val="24"/>
        </w:rPr>
        <w:t>dila</w:t>
      </w:r>
      <w:r w:rsidRPr="000E64EC">
        <w:rPr>
          <w:szCs w:val="24"/>
        </w:rPr>
        <w:t xml:space="preserve"> rusko agresijo ter zahteva</w:t>
      </w:r>
      <w:r w:rsidR="00670FF3">
        <w:rPr>
          <w:szCs w:val="24"/>
        </w:rPr>
        <w:t>la</w:t>
      </w:r>
      <w:r w:rsidRPr="000E64EC">
        <w:rPr>
          <w:szCs w:val="24"/>
        </w:rPr>
        <w:t xml:space="preserve"> takojšen konec spopadov in umik ruskih enot iz Ukrajine, vojno pa </w:t>
      </w:r>
      <w:r w:rsidR="00670FF3">
        <w:rPr>
          <w:szCs w:val="24"/>
        </w:rPr>
        <w:t>so</w:t>
      </w:r>
      <w:r w:rsidRPr="000E64EC">
        <w:rPr>
          <w:szCs w:val="24"/>
        </w:rPr>
        <w:t xml:space="preserve"> soglasno obsodile tudi druge mednarodne organizacije. Agresija </w:t>
      </w:r>
      <w:r w:rsidRPr="000E64EC">
        <w:t>je</w:t>
      </w:r>
      <w:r w:rsidR="008F57CB" w:rsidRPr="000E64EC">
        <w:t xml:space="preserve"> sprožila humanitarno krizo</w:t>
      </w:r>
      <w:r w:rsidR="003E0AF0" w:rsidRPr="000E64EC">
        <w:t xml:space="preserve"> in begunski val</w:t>
      </w:r>
      <w:r w:rsidR="00900603" w:rsidRPr="000E64EC">
        <w:rPr>
          <w:szCs w:val="24"/>
        </w:rPr>
        <w:t xml:space="preserve"> </w:t>
      </w:r>
      <w:r w:rsidR="00900603" w:rsidRPr="000E64EC">
        <w:rPr>
          <w:szCs w:val="24"/>
        </w:rPr>
        <w:fldChar w:fldCharType="begin"/>
      </w:r>
      <w:r w:rsidR="00A44ECD">
        <w:rPr>
          <w:szCs w:val="24"/>
        </w:rPr>
        <w:instrText xml:space="preserve"> ADDIN ZOTERO_ITEM CSL_CITATION {"citationID":"QTlmANDu","properties":{"formattedCitation":"(UNOCHA, 2023)","plainCitation":"(UNOCHA, 2023)","noteIndex":0},"citationItems":[{"id":2910,"uris":["http://zotero.org/groups/4141114/items/FQV8G65J"],"itemData":{"id":2910,"type":"webpage","abstract":"The OCHA HDX Ukraine data explorer brings together data from multiple partners on the humanitarian impact following the Russian Federation military offensive on 24 February 2022.","language":"en","title":"UNOCHA Ukraine Data Explorer","URL":"https://data.humdata.org/visualization/ukraine-humanitarian-operations/","author":[{"family":"UNOCHA","given":""}],"issued":{"date-parts":[["2023"]]}}}],"schema":"https://github.com/citation-style-language/schema/raw/master/csl-citation.json"} </w:instrText>
      </w:r>
      <w:r w:rsidR="00900603" w:rsidRPr="000E64EC">
        <w:rPr>
          <w:szCs w:val="24"/>
        </w:rPr>
        <w:fldChar w:fldCharType="separate"/>
      </w:r>
      <w:r w:rsidR="00900603" w:rsidRPr="000E64EC">
        <w:t>(UNOCHA, 2023)</w:t>
      </w:r>
      <w:r w:rsidR="00900603" w:rsidRPr="000E64EC">
        <w:rPr>
          <w:szCs w:val="24"/>
        </w:rPr>
        <w:fldChar w:fldCharType="end"/>
      </w:r>
      <w:r w:rsidR="001F2115">
        <w:t>, p</w:t>
      </w:r>
      <w:r w:rsidR="00CE6F10" w:rsidRPr="000E64EC">
        <w:t>o podatkih visokega komisarja ZN za človekove pravice</w:t>
      </w:r>
      <w:r w:rsidR="001F2115">
        <w:t xml:space="preserve"> </w:t>
      </w:r>
      <w:r w:rsidR="00CE6F10" w:rsidRPr="000E64EC">
        <w:t>je bilo v tem obdobju</w:t>
      </w:r>
      <w:r w:rsidR="00900603" w:rsidRPr="000E64EC">
        <w:t xml:space="preserve"> </w:t>
      </w:r>
      <w:r w:rsidR="00297385">
        <w:t>več kot</w:t>
      </w:r>
      <w:r w:rsidR="00900603" w:rsidRPr="000E64EC">
        <w:t xml:space="preserve"> </w:t>
      </w:r>
      <w:r w:rsidR="00B52BA2">
        <w:t>2</w:t>
      </w:r>
      <w:r w:rsidR="001F2115">
        <w:t>5</w:t>
      </w:r>
      <w:r w:rsidR="00B52BA2">
        <w:t>.000</w:t>
      </w:r>
      <w:r w:rsidR="00900603" w:rsidRPr="000E64EC">
        <w:t xml:space="preserve"> </w:t>
      </w:r>
      <w:r w:rsidR="00CE6F10" w:rsidRPr="000E64EC">
        <w:t>civilnih žrtev</w:t>
      </w:r>
      <w:r w:rsidR="001F2115">
        <w:t xml:space="preserve"> </w:t>
      </w:r>
      <w:r w:rsidR="001F2115">
        <w:fldChar w:fldCharType="begin"/>
      </w:r>
      <w:r w:rsidR="001F2115">
        <w:instrText xml:space="preserve"> ADDIN ZOTERO_ITEM CSL_CITATION {"citationID":"OOboh3rn","properties":{"formattedCitation":"(OHCHR, 2023)","plainCitation":"(OHCHR, 2023)","noteIndex":0},"citationItems":[{"id":3909,"uris":["http://zotero.org/groups/4141114/items/TWTZ34QZ"],"itemData":{"id":3909,"type":"webpage","container-title":"OHCHR","language":"en","title":"Ukraine: Civilian casualties from 1 to 16 July 2023","title-short":"Ukraine","URL":"https://www.ohchr.org/en/news/2023/07/ukraine-civilian-casualties-1-16-july-2023","author":[{"family":"OHCHR","given":""}],"accessed":{"date-parts":[["2023",7,25]]},"issued":{"date-parts":[["2023"]]}}}],"schema":"https://github.com/citation-style-language/schema/raw/master/csl-citation.json"} </w:instrText>
      </w:r>
      <w:r w:rsidR="001F2115">
        <w:fldChar w:fldCharType="separate"/>
      </w:r>
      <w:r w:rsidR="001F2115" w:rsidRPr="001F2115">
        <w:t>(OHCHR, 2023)</w:t>
      </w:r>
      <w:r w:rsidR="001F2115">
        <w:fldChar w:fldCharType="end"/>
      </w:r>
      <w:r w:rsidR="00CE6F10" w:rsidRPr="000E64EC">
        <w:t xml:space="preserve">. </w:t>
      </w:r>
      <w:r w:rsidR="003E0AF0" w:rsidRPr="000E64EC">
        <w:t xml:space="preserve">Vojna je v Ukrajini </w:t>
      </w:r>
      <w:r w:rsidR="00297385">
        <w:t xml:space="preserve">povzročila </w:t>
      </w:r>
      <w:r w:rsidR="003E0AF0" w:rsidRPr="000E64EC">
        <w:t>tudi veliko gospodarsko škodo</w:t>
      </w:r>
      <w:r w:rsidR="008F119D" w:rsidRPr="000E64EC">
        <w:t xml:space="preserve">, ki </w:t>
      </w:r>
      <w:r w:rsidR="008F57CB" w:rsidRPr="000E64EC">
        <w:t xml:space="preserve">izhaja iz </w:t>
      </w:r>
      <w:r w:rsidR="003E0AF0" w:rsidRPr="000E64EC">
        <w:t xml:space="preserve">škode na kritični civilni infrastrukturi, </w:t>
      </w:r>
      <w:r w:rsidR="008F57CB" w:rsidRPr="000E64EC">
        <w:t>motenj javnih storitev, prekinitve proizvodnih verig in razpada prostega trga</w:t>
      </w:r>
      <w:r w:rsidR="00504443" w:rsidRPr="000E64EC">
        <w:t xml:space="preserve"> </w:t>
      </w:r>
      <w:r w:rsidR="00504443" w:rsidRPr="000E64EC">
        <w:fldChar w:fldCharType="begin"/>
      </w:r>
      <w:r w:rsidR="00504443" w:rsidRPr="000E64EC">
        <w:instrText xml:space="preserve"> ADDIN ZOTERO_ITEM CSL_CITATION {"citationID":"US6ZJAo4","properties":{"formattedCitation":"(Astrov idr., 2022)","plainCitation":"(Astrov idr., 2022)","noteIndex":0},"citationItems":[{"id":2916,"uris":["http://zotero.org/groups/4141114/items/FYRXQ7HA"],"itemData":{"id":2916,"type":"report","collection-title":"Policy Notes and Reports","event-place":"Dunaj","number":"59","publisher":"WIIW","publisher-place":"Dunaj","title":"Russia’s Invasion of Ukraine: Assessment of the Humanitarian, Economic and Financial Impact in the Short and Medium Term","URL":"https://wiiw.ac.at/russia-s-invasion-of-ukraine-assessment-of-the-humanitarian-economic-and-financial-impact-in-the-short-and-medium-term-dlp-6132.pdf","author":[{"family":"Astrov","given":"Vasily"},{"family":"Ghodsi","given":"Mahdi"},{"family":"Grieveson","given":"Richard"},{"family":"Holzner","given":"Mario"},{"family":"Landesmann","given":"Michael"},{"family":"Kochnev","given":"Artem"},{"family":"Pindyuk","given":"Olga"},{"family":"Stehrer","given":"Robert"},{"family":"Tverdostup","given":"Maryna"}],"issued":{"date-parts":[["2022"]]}}}],"schema":"https://github.com/citation-style-language/schema/raw/master/csl-citation.json"} </w:instrText>
      </w:r>
      <w:r w:rsidR="00504443" w:rsidRPr="000E64EC">
        <w:fldChar w:fldCharType="separate"/>
      </w:r>
      <w:r w:rsidR="00504443" w:rsidRPr="000E64EC">
        <w:t>(Astrov idr., 2022)</w:t>
      </w:r>
      <w:r w:rsidR="00504443" w:rsidRPr="000E64EC">
        <w:fldChar w:fldCharType="end"/>
      </w:r>
      <w:r w:rsidR="008F119D" w:rsidRPr="000E64EC">
        <w:t xml:space="preserve">. </w:t>
      </w:r>
      <w:r w:rsidR="003D710C" w:rsidRPr="008A76F3">
        <w:t xml:space="preserve">EU, ZDA in nekatera druga pomembnejša svetovna gospodarstva so se na agresijo odzvali z obsežno finančno in vojaško pomočjo Ukrajini </w:t>
      </w:r>
      <w:r w:rsidR="003D710C">
        <w:t>ter</w:t>
      </w:r>
      <w:r w:rsidR="003D710C" w:rsidRPr="008A76F3">
        <w:t xml:space="preserve"> uvedbo obsežnih sankcij</w:t>
      </w:r>
      <w:r w:rsidR="003D710C" w:rsidRPr="008A76F3">
        <w:rPr>
          <w:bCs/>
        </w:rPr>
        <w:t>, ki naj bi Rusijo finančno in gospodarsko osamile.</w:t>
      </w:r>
      <w:r w:rsidR="003D710C" w:rsidRPr="008A76F3">
        <w:t xml:space="preserve"> </w:t>
      </w:r>
      <w:r w:rsidR="00CE6F10" w:rsidRPr="000E64EC">
        <w:rPr>
          <w:szCs w:val="24"/>
        </w:rPr>
        <w:t>Napad je vplival</w:t>
      </w:r>
      <w:r w:rsidR="008F119D" w:rsidRPr="000E64EC">
        <w:rPr>
          <w:szCs w:val="24"/>
        </w:rPr>
        <w:t xml:space="preserve"> tudi </w:t>
      </w:r>
      <w:r w:rsidR="00297385">
        <w:rPr>
          <w:szCs w:val="24"/>
        </w:rPr>
        <w:t xml:space="preserve">na </w:t>
      </w:r>
      <w:r w:rsidR="008F119D" w:rsidRPr="000E64EC">
        <w:rPr>
          <w:szCs w:val="24"/>
        </w:rPr>
        <w:t xml:space="preserve">geopolitična razmerja </w:t>
      </w:r>
      <w:r w:rsidR="00297385">
        <w:rPr>
          <w:szCs w:val="24"/>
        </w:rPr>
        <w:t>v</w:t>
      </w:r>
      <w:r w:rsidR="008F119D" w:rsidRPr="000E64EC">
        <w:rPr>
          <w:szCs w:val="24"/>
        </w:rPr>
        <w:t xml:space="preserve"> svetu in povzročil globok razkol med zlasti med EU in ZDA ter Rusijo</w:t>
      </w:r>
      <w:r w:rsidR="00504443" w:rsidRPr="000E64EC">
        <w:rPr>
          <w:szCs w:val="24"/>
        </w:rPr>
        <w:t xml:space="preserve"> </w:t>
      </w:r>
      <w:r w:rsidR="00504443" w:rsidRPr="000E64EC">
        <w:rPr>
          <w:szCs w:val="24"/>
        </w:rPr>
        <w:fldChar w:fldCharType="begin"/>
      </w:r>
      <w:r w:rsidR="00504443" w:rsidRPr="000E64EC">
        <w:rPr>
          <w:szCs w:val="24"/>
        </w:rPr>
        <w:instrText xml:space="preserve"> ADDIN ZOTERO_ITEM CSL_CITATION {"citationID":"iFt5ZS7s","properties":{"formattedCitation":"(Moritsch, 2022)","plainCitation":"(Moritsch, 2022)","noteIndex":0},"citationItems":[{"id":2919,"uris":["http://zotero.org/groups/4141114/items/7KSLCUNA"],"itemData":{"id":2919,"type":"report","collection-title":"Policy Insights","event-place":"Dunaj","publisher":"KPMG","publisher-place":"Dunaj","title":"The geopolitical impact of the conflict in Ukraine","URL":"https://assets.kpmg/content/dam/kpmg/xx/pdf/2022/03/russia-ukraine-geopolitical-impact.pdf","author":[{"family":"Moritsch","given":"Stefano"}],"issued":{"date-parts":[["2022"]]}}}],"schema":"https://github.com/citation-style-language/schema/raw/master/csl-citation.json"} </w:instrText>
      </w:r>
      <w:r w:rsidR="00504443" w:rsidRPr="000E64EC">
        <w:rPr>
          <w:szCs w:val="24"/>
        </w:rPr>
        <w:fldChar w:fldCharType="separate"/>
      </w:r>
      <w:r w:rsidR="00504443" w:rsidRPr="000E64EC">
        <w:t>(Moritsch, 2022)</w:t>
      </w:r>
      <w:r w:rsidR="00504443" w:rsidRPr="000E64EC">
        <w:rPr>
          <w:szCs w:val="24"/>
        </w:rPr>
        <w:fldChar w:fldCharType="end"/>
      </w:r>
      <w:r w:rsidR="00382A9B" w:rsidRPr="000E64EC">
        <w:rPr>
          <w:szCs w:val="24"/>
        </w:rPr>
        <w:t xml:space="preserve"> ter vplival na približevanje Finske in Švedske članstvu v NATO </w:t>
      </w:r>
      <w:r w:rsidR="00211926" w:rsidRPr="000E64EC">
        <w:rPr>
          <w:szCs w:val="24"/>
        </w:rPr>
        <w:fldChar w:fldCharType="begin"/>
      </w:r>
      <w:r w:rsidR="00211926" w:rsidRPr="000E64EC">
        <w:rPr>
          <w:szCs w:val="24"/>
        </w:rPr>
        <w:instrText xml:space="preserve"> ADDIN ZOTERO_ITEM CSL_CITATION {"citationID":"qxsPHxyf","properties":{"formattedCitation":"(NATO, 2022)","plainCitation":"(NATO, 2022)","noteIndex":0},"citationItems":[{"id":2920,"uris":["http://zotero.org/groups/4141114/items/UWIUDAL2"],"itemData":{"id":2920,"type":"webpage","abstract":"NATO Parliamentary Assembly","container-title":"NATO PA","language":"en","title":"NATO Parliamentary Assembly - Finland&amp;Sweden Accession","URL":"https://www.nato-pa.int/content/finland-sweden-accession","author":[{"family":"NATO","given":""}],"accessed":{"date-parts":[["2023",1,10]]},"issued":{"date-parts":[["2022"]]}}}],"schema":"https://github.com/citation-style-language/schema/raw/master/csl-citation.json"} </w:instrText>
      </w:r>
      <w:r w:rsidR="00211926" w:rsidRPr="000E64EC">
        <w:rPr>
          <w:szCs w:val="24"/>
        </w:rPr>
        <w:fldChar w:fldCharType="separate"/>
      </w:r>
      <w:r w:rsidR="00211926" w:rsidRPr="000E64EC">
        <w:t>(NATO, 2022)</w:t>
      </w:r>
      <w:r w:rsidR="00211926" w:rsidRPr="000E64EC">
        <w:rPr>
          <w:szCs w:val="24"/>
        </w:rPr>
        <w:fldChar w:fldCharType="end"/>
      </w:r>
      <w:r w:rsidR="00382A9B" w:rsidRPr="000E64EC">
        <w:rPr>
          <w:szCs w:val="24"/>
        </w:rPr>
        <w:t xml:space="preserve">. </w:t>
      </w:r>
    </w:p>
    <w:p w14:paraId="7A6903CB" w14:textId="77777777" w:rsidR="008A76F3" w:rsidRDefault="008A76F3" w:rsidP="00A1771E">
      <w:pPr>
        <w:pStyle w:val="BesediloUMAR"/>
        <w:rPr>
          <w:szCs w:val="24"/>
        </w:rPr>
      </w:pPr>
    </w:p>
    <w:p w14:paraId="22F61FD3" w14:textId="5204EAB1" w:rsidR="008A76F3" w:rsidRPr="008A76F3" w:rsidRDefault="008A76F3" w:rsidP="008A76F3">
      <w:pPr>
        <w:pStyle w:val="BesediloUMAR"/>
      </w:pPr>
      <w:bookmarkStart w:id="4" w:name="_Hlk128480653"/>
      <w:r w:rsidRPr="008A76F3">
        <w:rPr>
          <w:b/>
        </w:rPr>
        <w:t>Gospodarske sankcije so se osredotočile na finančni, prometni, energetski, trgovinski, tehnološki in obrambni sektor.</w:t>
      </w:r>
      <w:r w:rsidRPr="008A76F3">
        <w:rPr>
          <w:bCs/>
        </w:rPr>
        <w:t xml:space="preserve"> </w:t>
      </w:r>
      <w:r w:rsidRPr="008A76F3">
        <w:t xml:space="preserve">Vojna in sprejete sankcije so vplivale predvsem na negotovost v mednarodnem okolju, posledice za mednarodno trgovino in slovensko gospodarsko aktivnost pa so bile predvsem visoke cene energentov in nekaterih drugih surovin ter motnje v dobavnih verigah. </w:t>
      </w:r>
      <w:r w:rsidR="00116E10">
        <w:t xml:space="preserve">V kratki analizi pregledamo sankcije, ki jih je </w:t>
      </w:r>
      <w:r w:rsidR="00B0100B">
        <w:t>sprejela</w:t>
      </w:r>
      <w:r w:rsidR="00116E10">
        <w:t xml:space="preserve"> EU</w:t>
      </w:r>
      <w:r w:rsidR="00297385">
        <w:t xml:space="preserve">, in </w:t>
      </w:r>
      <w:r w:rsidR="00116E10">
        <w:t xml:space="preserve">na podlagi pregleda literature ter zunanjetrgovinskih podatkov poskušamo </w:t>
      </w:r>
      <w:r w:rsidR="00297385">
        <w:t>opredeliti</w:t>
      </w:r>
      <w:r w:rsidR="00670FF3">
        <w:t xml:space="preserve"> </w:t>
      </w:r>
      <w:r w:rsidR="00116E10">
        <w:t xml:space="preserve">izpostavljenost in posledice sankcij </w:t>
      </w:r>
      <w:r w:rsidR="00297385">
        <w:t>za</w:t>
      </w:r>
      <w:r w:rsidR="00116E10">
        <w:t xml:space="preserve"> Slovenijo. </w:t>
      </w:r>
    </w:p>
    <w:bookmarkEnd w:id="4"/>
    <w:p w14:paraId="496739EC" w14:textId="77777777" w:rsidR="008A76F3" w:rsidRPr="000E64EC" w:rsidRDefault="008A76F3" w:rsidP="00A1771E">
      <w:pPr>
        <w:pStyle w:val="BesediloUMAR"/>
      </w:pPr>
    </w:p>
    <w:p w14:paraId="7E085407" w14:textId="6A590031" w:rsidR="00673D56" w:rsidRPr="000E64EC" w:rsidRDefault="00116E10" w:rsidP="00673D56">
      <w:pPr>
        <w:pStyle w:val="BesediloUMAR"/>
      </w:pPr>
      <w:r>
        <w:rPr>
          <w:b/>
          <w:bCs/>
        </w:rPr>
        <w:t>Podrobneje nas v</w:t>
      </w:r>
      <w:r w:rsidR="00673D56" w:rsidRPr="000E64EC">
        <w:rPr>
          <w:b/>
          <w:bCs/>
        </w:rPr>
        <w:t xml:space="preserve"> analizi zanimajo gibanja zunanjetrgovinske menjave Slovenije z Rusijo po začetku vojne in vpliv sankcij na menjavo</w:t>
      </w:r>
      <w:r w:rsidR="001F6DFF">
        <w:rPr>
          <w:b/>
          <w:bCs/>
        </w:rPr>
        <w:t xml:space="preserve"> z Rusijo</w:t>
      </w:r>
      <w:r w:rsidR="00673D56" w:rsidRPr="000E64EC">
        <w:rPr>
          <w:b/>
          <w:bCs/>
        </w:rPr>
        <w:t>.</w:t>
      </w:r>
      <w:r w:rsidR="00673D56" w:rsidRPr="000E64EC">
        <w:t xml:space="preserve"> Poskušamo identificirati in analizirati kanale</w:t>
      </w:r>
      <w:r w:rsidR="00C70E27">
        <w:t>,</w:t>
      </w:r>
      <w:r w:rsidR="00673D56" w:rsidRPr="000E64EC">
        <w:t xml:space="preserve"> </w:t>
      </w:r>
      <w:r w:rsidR="00297385">
        <w:t>po</w:t>
      </w:r>
      <w:r w:rsidR="00673D56" w:rsidRPr="000E64EC">
        <w:t xml:space="preserve"> katerih je vojna</w:t>
      </w:r>
      <w:r w:rsidR="00297385">
        <w:t xml:space="preserve"> vplivala</w:t>
      </w:r>
      <w:r w:rsidR="00673D56" w:rsidRPr="000E64EC">
        <w:t xml:space="preserve"> na menjavo. Osredotočeni smo na obdobje </w:t>
      </w:r>
      <w:r w:rsidR="00FB697C">
        <w:t xml:space="preserve">do </w:t>
      </w:r>
      <w:r w:rsidR="0013465F">
        <w:t>maja</w:t>
      </w:r>
      <w:r w:rsidR="00FB697C">
        <w:t xml:space="preserve"> 202</w:t>
      </w:r>
      <w:r w:rsidR="002979A1">
        <w:t>3</w:t>
      </w:r>
      <w:r w:rsidR="00673D56" w:rsidRPr="000E64EC">
        <w:t xml:space="preserve">, </w:t>
      </w:r>
      <w:r w:rsidR="002979A1">
        <w:t xml:space="preserve">ko so </w:t>
      </w:r>
      <w:r w:rsidR="00297385">
        <w:t xml:space="preserve">bili ob zaključku redakcije </w:t>
      </w:r>
      <w:r w:rsidR="002979A1">
        <w:t xml:space="preserve">tudi na voljo </w:t>
      </w:r>
      <w:r w:rsidR="00673D56" w:rsidRPr="000E64EC">
        <w:t xml:space="preserve">podrobni zunanjetrgovinski podatki. Zaradi velikih sprememb cen v zadnjem letu podatke primerjamo tako vrednostno kot </w:t>
      </w:r>
      <w:r w:rsidR="0013465F">
        <w:t xml:space="preserve">količinsko – izraženo v </w:t>
      </w:r>
      <w:r w:rsidR="0043572E" w:rsidRPr="000E64EC">
        <w:t>masi (kg)</w:t>
      </w:r>
      <w:r w:rsidR="00673D56" w:rsidRPr="000E64EC">
        <w:t xml:space="preserve">. </w:t>
      </w:r>
    </w:p>
    <w:p w14:paraId="038D4E33" w14:textId="48E7E02C" w:rsidR="00673D56" w:rsidRPr="000E64EC" w:rsidRDefault="00673D56" w:rsidP="008F119D">
      <w:pPr>
        <w:pStyle w:val="BesediloUMAR"/>
      </w:pPr>
    </w:p>
    <w:p w14:paraId="028FCFF4" w14:textId="6229808E" w:rsidR="00673D56" w:rsidRPr="000E64EC" w:rsidRDefault="00673D56" w:rsidP="008F119D">
      <w:pPr>
        <w:pStyle w:val="BesediloUMAR"/>
      </w:pPr>
    </w:p>
    <w:p w14:paraId="650ACE48" w14:textId="77777777" w:rsidR="005270BA" w:rsidRPr="000E64EC" w:rsidRDefault="005270BA" w:rsidP="005270BA">
      <w:pPr>
        <w:pStyle w:val="BesediloUMAR"/>
        <w:rPr>
          <w:b/>
          <w:bCs/>
        </w:rPr>
      </w:pPr>
    </w:p>
    <w:p w14:paraId="6A9890D9" w14:textId="03426593" w:rsidR="005270BA" w:rsidRDefault="001E2681" w:rsidP="005270BA">
      <w:pPr>
        <w:pStyle w:val="Heading1"/>
      </w:pPr>
      <w:r w:rsidRPr="000E64EC">
        <w:lastRenderedPageBreak/>
        <w:t xml:space="preserve">Vpliv vojne v Ukrajini </w:t>
      </w:r>
      <w:r w:rsidR="00700B88">
        <w:t xml:space="preserve">na </w:t>
      </w:r>
      <w:r w:rsidR="005270BA" w:rsidRPr="000E64EC">
        <w:t>svetovno gospodarstvo</w:t>
      </w:r>
    </w:p>
    <w:p w14:paraId="3891594D" w14:textId="77777777" w:rsidR="00700B88" w:rsidRDefault="00700B88" w:rsidP="00700B88">
      <w:pPr>
        <w:pStyle w:val="BesediloUMAR"/>
        <w:rPr>
          <w:b/>
          <w:bCs/>
        </w:rPr>
      </w:pPr>
    </w:p>
    <w:p w14:paraId="56B51164" w14:textId="26917600" w:rsidR="00486D9F" w:rsidRPr="00A44ECD" w:rsidRDefault="00700B88" w:rsidP="00700B88">
      <w:pPr>
        <w:pStyle w:val="BesediloUMAR"/>
      </w:pPr>
      <w:r w:rsidRPr="00700B88">
        <w:rPr>
          <w:b/>
          <w:bCs/>
        </w:rPr>
        <w:t>Vpliv vojne v Ukrajini na sveto</w:t>
      </w:r>
      <w:r>
        <w:rPr>
          <w:b/>
          <w:bCs/>
        </w:rPr>
        <w:t>v</w:t>
      </w:r>
      <w:r w:rsidRPr="00700B88">
        <w:rPr>
          <w:b/>
          <w:bCs/>
        </w:rPr>
        <w:t>no gospodarstvo bo odvi</w:t>
      </w:r>
      <w:r w:rsidR="00486D9F">
        <w:rPr>
          <w:b/>
          <w:bCs/>
        </w:rPr>
        <w:t>s</w:t>
      </w:r>
      <w:r w:rsidRPr="00700B88">
        <w:rPr>
          <w:b/>
          <w:bCs/>
        </w:rPr>
        <w:t>en predvsem od trajanja in intenzivnosti ruske agresije in ukrepov ter sankcij, ki jih bodo sprejele posamezne države.</w:t>
      </w:r>
      <w:r w:rsidRPr="00A44ECD">
        <w:t xml:space="preserve"> </w:t>
      </w:r>
      <w:r w:rsidR="001A74C4" w:rsidRPr="00A44ECD">
        <w:t xml:space="preserve">Zaradi geografske bližine se pričakuje, da naj bi vojna vplivala na </w:t>
      </w:r>
      <w:r w:rsidR="00A44ECD">
        <w:t xml:space="preserve">gospodarsko in investicijsko aktivnost </w:t>
      </w:r>
      <w:r w:rsidR="001A74C4" w:rsidRPr="00A44ECD">
        <w:t>predvsem v evropskih državah</w:t>
      </w:r>
      <w:r w:rsidR="00A44ECD">
        <w:t>.</w:t>
      </w:r>
      <w:r w:rsidR="00200F04">
        <w:t xml:space="preserve"> </w:t>
      </w:r>
      <w:r w:rsidR="00271430" w:rsidRPr="00271430">
        <w:t>Ukrajina je</w:t>
      </w:r>
      <w:r w:rsidR="00271430">
        <w:t xml:space="preserve"> tudi</w:t>
      </w:r>
      <w:r w:rsidR="00271430" w:rsidRPr="00271430">
        <w:t xml:space="preserve"> glavna tranzitna država za </w:t>
      </w:r>
      <w:r w:rsidR="00271430">
        <w:t>izvoz ruskega plina v EU, kar naj bi</w:t>
      </w:r>
      <w:r w:rsidR="00DD4C39">
        <w:t>, ob spreje</w:t>
      </w:r>
      <w:r w:rsidR="003460D7">
        <w:t>t</w:t>
      </w:r>
      <w:r w:rsidR="00DD4C39">
        <w:t>ih sankcijah,</w:t>
      </w:r>
      <w:r w:rsidR="00271430">
        <w:t xml:space="preserve"> vplivalo na motnje dobave</w:t>
      </w:r>
      <w:r w:rsidR="00271430" w:rsidRPr="00271430">
        <w:t>.</w:t>
      </w:r>
      <w:r w:rsidR="00271430">
        <w:t xml:space="preserve"> </w:t>
      </w:r>
      <w:r w:rsidR="00200F04">
        <w:t xml:space="preserve">Kljub temu pa </w:t>
      </w:r>
      <w:r w:rsidR="00670FF3">
        <w:t>vpliv naj ne bi bil</w:t>
      </w:r>
      <w:r w:rsidR="00200F04">
        <w:t xml:space="preserve"> izoliran samo na sosednje države, ampak bo vojna vpliv</w:t>
      </w:r>
      <w:r w:rsidR="00297385">
        <w:t>ala</w:t>
      </w:r>
      <w:r w:rsidR="00200F04">
        <w:t xml:space="preserve"> na evropsko in svetovno gospodarstvo </w:t>
      </w:r>
      <w:r w:rsidR="00297385">
        <w:t xml:space="preserve">po </w:t>
      </w:r>
      <w:r w:rsidR="00200F04">
        <w:t>različnih kanal</w:t>
      </w:r>
      <w:r w:rsidR="00297385">
        <w:t>ih</w:t>
      </w:r>
      <w:r w:rsidR="00A44ECD">
        <w:t xml:space="preserve"> </w:t>
      </w:r>
      <w:r w:rsidR="00A44ECD">
        <w:fldChar w:fldCharType="begin"/>
      </w:r>
      <w:r w:rsidR="00A44ECD">
        <w:instrText xml:space="preserve"> ADDIN ZOTERO_ITEM CSL_CITATION {"citationID":"iUhsLz6l","properties":{"formattedCitation":"(Arce idr., 2023; Caldara idr., 2022; Jenkins, 2023)","plainCitation":"(Arce idr., 2023; Caldara idr., 2022; Jenkins, 2023)","noteIndex":0},"citationItems":[{"id":3677,"uris":["http://zotero.org/groups/4141114/items/6QBTRUJT"],"itemData":{"id":3677,"type":"article-journal","abstract":"The European Central Bank (ECB) is the central bank of the 19 European Union countries which have adopted the euro. Our main task is to maintain price stability in the euro area and so preserve the purchasing power of the single currency.","language":"en","source":"www.ecb.europa.eu","title":"One year since Russia’s invasion of Ukraine – the effects on euro area inflation","URL":"https://www.ecb.europa.eu/press/blog/date/2023/html/ecb.blog20230224~3b75362af3.en.html","author":[{"family":"Arce","given":"Óscar"},{"family":"Koester","given":"Gerrit"},{"family":"Nickel","given":"Christiane"}],"accessed":{"date-parts":[["2023",3,31]]},"issued":{"date-parts":[["2023"]]}}},{"id":3673,"uris":["http://zotero.org/groups/4141114/items/9FTZQ9L3"],"itemData":{"id":3673,"type":"report","abstract":"The Federal Reserve Board of Governors in Washington DC.","collection-title":"FEDS Notes","event-place":"Washington","language":"en","publisher":"Federal Reserve","publisher-place":"Washington","source":"www.federalreserve.gov","title":"The Effect of the War in Ukraine on Global Activity and Inflation","URL":"https://www.federalreserve.gov/econres/notes/feds-notes/the-effect-of-the-war-in-ukraine-on-global-activity-and-inflation-20220527.html","author":[{"family":"Caldara","given":"Dario"},{"family":"Conlisk","given":"Sarah"},{"family":"Iacoviello","given":"Matteo"},{"family":"Penn","given":"Maddie"}],"accessed":{"date-parts":[["2023",3,31]]},"issued":{"date-parts":[["2022"]]}}},{"id":3671,"uris":["http://zotero.org/groups/4141114/items/D5L4HLGJ"],"itemData":{"id":3671,"type":"webpage","language":"en","title":"Consequences of the War in Ukraine: The Economic Fallout","title-short":"Consequences of the War in Ukraine","URL":"https://www.rand.org/blog/2023/03/consequences-of-the-war-in-ukraine-the-economic-fallout.html","author":[{"family":"Jenkins","given":"Brian Michael"}],"accessed":{"date-parts":[["2023",3,31]]},"issued":{"date-parts":[["2023"]]}}}],"schema":"https://github.com/citation-style-language/schema/raw/master/csl-citation.json"} </w:instrText>
      </w:r>
      <w:r w:rsidR="00A44ECD">
        <w:fldChar w:fldCharType="separate"/>
      </w:r>
      <w:r w:rsidR="00A44ECD" w:rsidRPr="00A44ECD">
        <w:t>(Arce idr., 2023; Caldara idr., 2022; Jenkins, 20</w:t>
      </w:r>
      <w:r w:rsidR="00A44ECD" w:rsidRPr="002D680E">
        <w:t>23</w:t>
      </w:r>
      <w:r w:rsidR="00A44ECD" w:rsidRPr="00A44ECD">
        <w:t>)</w:t>
      </w:r>
      <w:r w:rsidR="00A44ECD">
        <w:fldChar w:fldCharType="end"/>
      </w:r>
      <w:r w:rsidR="00A44ECD">
        <w:t>:</w:t>
      </w:r>
    </w:p>
    <w:p w14:paraId="5315080B" w14:textId="2A9F259F" w:rsidR="00486D9F" w:rsidRPr="00A44ECD" w:rsidRDefault="00073D6E" w:rsidP="00486D9F">
      <w:pPr>
        <w:pStyle w:val="BesediloUMAR"/>
        <w:numPr>
          <w:ilvl w:val="0"/>
          <w:numId w:val="11"/>
        </w:numPr>
      </w:pPr>
      <w:r>
        <w:t>e</w:t>
      </w:r>
      <w:r w:rsidR="00486D9F" w:rsidRPr="00A44ECD">
        <w:t>nergetska negotovost</w:t>
      </w:r>
      <w:r w:rsidR="00271430">
        <w:t xml:space="preserve"> (tveganja</w:t>
      </w:r>
      <w:r w:rsidR="001413DE">
        <w:t>,</w:t>
      </w:r>
      <w:r w:rsidR="00271430">
        <w:t xml:space="preserve"> povezan</w:t>
      </w:r>
      <w:r w:rsidR="001413DE">
        <w:t>a</w:t>
      </w:r>
      <w:r w:rsidR="00271430">
        <w:t xml:space="preserve"> z oskrbo, dostopnostjo in stabilnostjo energetskih virov)</w:t>
      </w:r>
      <w:r>
        <w:t>,</w:t>
      </w:r>
      <w:r w:rsidR="00486D9F" w:rsidRPr="00A44ECD">
        <w:t xml:space="preserve"> </w:t>
      </w:r>
    </w:p>
    <w:p w14:paraId="0520DA5C" w14:textId="7ADC611B" w:rsidR="00486D9F" w:rsidRPr="00A44ECD" w:rsidRDefault="00073D6E" w:rsidP="00486D9F">
      <w:pPr>
        <w:pStyle w:val="BesediloUMAR"/>
        <w:numPr>
          <w:ilvl w:val="0"/>
          <w:numId w:val="11"/>
        </w:numPr>
      </w:pPr>
      <w:r>
        <w:t>t</w:t>
      </w:r>
      <w:r w:rsidR="00486D9F" w:rsidRPr="00A44ECD">
        <w:t>rgovinska menjava</w:t>
      </w:r>
      <w:r>
        <w:t>,</w:t>
      </w:r>
    </w:p>
    <w:p w14:paraId="65F32A83" w14:textId="52D0DD45" w:rsidR="001A74C4" w:rsidRDefault="00073D6E" w:rsidP="00486D9F">
      <w:pPr>
        <w:pStyle w:val="BesediloUMAR"/>
        <w:numPr>
          <w:ilvl w:val="0"/>
          <w:numId w:val="11"/>
        </w:numPr>
      </w:pPr>
      <w:r>
        <w:t>c</w:t>
      </w:r>
      <w:r w:rsidR="001A74C4" w:rsidRPr="00A44ECD">
        <w:t>ene surovin in vpliv na inflacijo</w:t>
      </w:r>
      <w:r>
        <w:t>,</w:t>
      </w:r>
    </w:p>
    <w:p w14:paraId="02A415E8" w14:textId="31C585D2" w:rsidR="00271430" w:rsidRPr="00A44ECD" w:rsidRDefault="00073D6E" w:rsidP="00486D9F">
      <w:pPr>
        <w:pStyle w:val="BesediloUMAR"/>
        <w:numPr>
          <w:ilvl w:val="0"/>
          <w:numId w:val="11"/>
        </w:numPr>
      </w:pPr>
      <w:r>
        <w:t>p</w:t>
      </w:r>
      <w:r w:rsidR="00271430">
        <w:t xml:space="preserve">rehranska varnost v regiji in nekaterih razvijajočih se državah (motnje </w:t>
      </w:r>
      <w:r w:rsidR="00DD4C39">
        <w:t xml:space="preserve">v </w:t>
      </w:r>
      <w:r w:rsidR="00271430">
        <w:t>kmetijstvu, prekinjena oskrba s semeni, gnojili ter prekinjene oskrbovalne verige)</w:t>
      </w:r>
      <w:r>
        <w:t>,</w:t>
      </w:r>
    </w:p>
    <w:p w14:paraId="53AA74A5" w14:textId="01AB9665" w:rsidR="00700B88" w:rsidRPr="00A44ECD" w:rsidRDefault="00073D6E" w:rsidP="00486D9F">
      <w:pPr>
        <w:pStyle w:val="BesediloUMAR"/>
        <w:numPr>
          <w:ilvl w:val="0"/>
          <w:numId w:val="11"/>
        </w:numPr>
      </w:pPr>
      <w:r>
        <w:t>n</w:t>
      </w:r>
      <w:r w:rsidR="00486D9F" w:rsidRPr="00A44ECD">
        <w:t>egotovost in povečano tveganje na svetovnih finančnih trgih</w:t>
      </w:r>
      <w:r>
        <w:t>,</w:t>
      </w:r>
    </w:p>
    <w:p w14:paraId="4E7AF8A7" w14:textId="7A2DC58F" w:rsidR="00A44ECD" w:rsidRDefault="00073D6E" w:rsidP="00486D9F">
      <w:pPr>
        <w:pStyle w:val="BesediloUMAR"/>
        <w:numPr>
          <w:ilvl w:val="0"/>
          <w:numId w:val="11"/>
        </w:numPr>
      </w:pPr>
      <w:r>
        <w:t>b</w:t>
      </w:r>
      <w:r w:rsidR="00A44ECD">
        <w:t>egunski val in s tem povezane humanitarne in ekonomske posledice zlasti v sosedn</w:t>
      </w:r>
      <w:r w:rsidR="00DD4C39">
        <w:t>j</w:t>
      </w:r>
      <w:r w:rsidR="00A44ECD">
        <w:t>ih država</w:t>
      </w:r>
      <w:r w:rsidR="00DD4C39">
        <w:t>h</w:t>
      </w:r>
    </w:p>
    <w:p w14:paraId="00F87891" w14:textId="457F07C7" w:rsidR="001A74C4" w:rsidRPr="0062646C" w:rsidRDefault="00073D6E" w:rsidP="00486D9F">
      <w:pPr>
        <w:pStyle w:val="BesediloUMAR"/>
        <w:numPr>
          <w:ilvl w:val="0"/>
          <w:numId w:val="11"/>
        </w:numPr>
      </w:pPr>
      <w:r>
        <w:t>in p</w:t>
      </w:r>
      <w:r w:rsidR="001A74C4" w:rsidRPr="00A44ECD">
        <w:t>ovečanje izdatkov za obrambo v razvitih</w:t>
      </w:r>
      <w:r w:rsidR="00271430">
        <w:t xml:space="preserve"> </w:t>
      </w:r>
      <w:r w:rsidR="001A74C4" w:rsidRPr="00A44ECD">
        <w:t>državah</w:t>
      </w:r>
      <w:r w:rsidR="00271430">
        <w:t xml:space="preserve">, Ukrajini </w:t>
      </w:r>
      <w:r w:rsidR="00271430" w:rsidRPr="0062646C">
        <w:t xml:space="preserve">in Rusiji. </w:t>
      </w:r>
    </w:p>
    <w:p w14:paraId="06A8D992" w14:textId="77777777" w:rsidR="00271430" w:rsidRDefault="00271430" w:rsidP="00271430">
      <w:pPr>
        <w:pStyle w:val="BesediloUMAR"/>
      </w:pPr>
    </w:p>
    <w:p w14:paraId="62A09C6D" w14:textId="77777777" w:rsidR="00271430" w:rsidRDefault="00271430" w:rsidP="00271430">
      <w:pPr>
        <w:pStyle w:val="BesediloUMAR"/>
      </w:pPr>
    </w:p>
    <w:p w14:paraId="2F84AB09" w14:textId="6FD2275E" w:rsidR="00373240" w:rsidRPr="000E64EC" w:rsidRDefault="00373240" w:rsidP="00373240">
      <w:pPr>
        <w:pStyle w:val="Heading2"/>
      </w:pPr>
      <w:r w:rsidRPr="000E64EC">
        <w:t>Sankcije</w:t>
      </w:r>
    </w:p>
    <w:p w14:paraId="6EE228D0" w14:textId="58CA7D0F" w:rsidR="00373240" w:rsidRPr="000E64EC" w:rsidRDefault="00373240" w:rsidP="00373240">
      <w:pPr>
        <w:pStyle w:val="BesediloUMAR"/>
        <w:rPr>
          <w:bCs/>
        </w:rPr>
      </w:pPr>
      <w:r w:rsidRPr="000E64EC">
        <w:rPr>
          <w:b/>
        </w:rPr>
        <w:t>EU, ZDA in nekatera druga pomembnejša svetovna gospodarstva so se na agresijo odzvale z uvedbo obsežnih sankcij proti Rusiji in Belorusiji.</w:t>
      </w:r>
      <w:r w:rsidRPr="000E64EC">
        <w:rPr>
          <w:bCs/>
        </w:rPr>
        <w:t xml:space="preserve"> Sankcije, dogovorjene v okviru najbolj razvitih držav G7 </w:t>
      </w:r>
      <w:r w:rsidRPr="000E64EC">
        <w:rPr>
          <w:bCs/>
        </w:rPr>
        <w:fldChar w:fldCharType="begin"/>
      </w:r>
      <w:r w:rsidR="00B12CB5" w:rsidRPr="000E64EC">
        <w:rPr>
          <w:bCs/>
        </w:rPr>
        <w:instrText xml:space="preserve"> ADDIN ZOTERO_ITEM CSL_CITATION {"citationID":"lcxiawY7","properties":{"formattedCitation":"(G7 Germany, 2022a, str. 7, 2022b, str. 7)","plainCitation":"(G7 Germany, 2022a, str. 7, 2022b, str. 7)","dontUpdate":true,"noteIndex":0},"citationItems":[{"id":2923,"uris":["http://zotero.org/groups/4141114/items/HZKN5IHD"],"itemData":{"id":2923,"type":"report","event-place":"Berlin","publisher":"G7 Germany","publisher-place":"Berlin","title":"G7 Leaders’ Statement","URL":"https://www.bundesregierung.de/resource/blob/997532/2014234/39e142fa878dce9e420ef4d29c17969d/2022-03-11-g7-leader-eng-data.pdf?download=1","author":[{"family":"G7 Germany","given":""}],"issued":{"date-parts":[["2022"]]}},"locator":"7","label":"page"},{"id":2924,"uris":["http://zotero.org/groups/4141114/items/N9HVCCVR"],"itemData":{"id":2924,"type":"report","event-place":"Elmau","publisher":"G7 Germany","publisher-place":"Elmau","title":"G7 Statement on Support for Ukraine","URL":"https://www.g7germany.de/resource/blob/974430/2057196/4628490eda0863e429c30136ec180feb/2022-06-27-g7-erklaerung-ukraine-en-data.pdf?download=1","author":[{"family":"G7 Germany","given":""}],"issued":{"date-parts":[["2022"]]}},"locator":"7","label":"page"}],"schema":"https://github.com/citation-style-language/schema/raw/master/csl-citation.json"} </w:instrText>
      </w:r>
      <w:r w:rsidRPr="000E64EC">
        <w:rPr>
          <w:bCs/>
        </w:rPr>
        <w:fldChar w:fldCharType="separate"/>
      </w:r>
      <w:r w:rsidRPr="000E64EC">
        <w:t>(G7 Germany, 2022a, 2022b)</w:t>
      </w:r>
      <w:r w:rsidRPr="000E64EC">
        <w:rPr>
          <w:bCs/>
        </w:rPr>
        <w:fldChar w:fldCharType="end"/>
      </w:r>
      <w:r w:rsidRPr="00D03946">
        <w:rPr>
          <w:rStyle w:val="FootnoteReference"/>
        </w:rPr>
        <w:footnoteReference w:id="2"/>
      </w:r>
      <w:r w:rsidRPr="000E64EC">
        <w:rPr>
          <w:bCs/>
        </w:rPr>
        <w:t>, vključujejo omejevalne ukrepe proti posameznikom in z državo povezanim podjetj</w:t>
      </w:r>
      <w:r w:rsidR="00297385">
        <w:rPr>
          <w:bCs/>
        </w:rPr>
        <w:t>em</w:t>
      </w:r>
      <w:r w:rsidRPr="000E64EC">
        <w:rPr>
          <w:bCs/>
        </w:rPr>
        <w:t>, vizumske ukrepe, diplomatske ukrepe (prekinitev pogajanj za pristop Rusije v OECD, IEA, izključitev Rusije iz Sveta Evrope) ter gospodarske sankcije. V tem okviru je EU sprejela več svežnjev sankcij, ki jih stalno dopolnjuje in</w:t>
      </w:r>
      <w:r w:rsidR="00670FF3">
        <w:rPr>
          <w:bCs/>
        </w:rPr>
        <w:t xml:space="preserve"> tako omejitvenim ukrepom </w:t>
      </w:r>
      <w:r w:rsidRPr="000E64EC">
        <w:rPr>
          <w:bCs/>
        </w:rPr>
        <w:t xml:space="preserve">tudi prilagaja veljavnost </w:t>
      </w:r>
      <w:r w:rsidRPr="000E64EC">
        <w:rPr>
          <w:bCs/>
        </w:rPr>
        <w:fldChar w:fldCharType="begin"/>
      </w:r>
      <w:r w:rsidR="00E97C58">
        <w:rPr>
          <w:bCs/>
        </w:rPr>
        <w:instrText xml:space="preserve"> ADDIN ZOTERO_ITEM CSL_CITATION {"citationID":"sE5nx06U","properties":{"formattedCitation":"(Svet EU, 2023a)","plainCitation":"(Svet EU, 2023a)","noteIndex":0},"citationItems":[{"id":2925,"uris":["http://zotero.org/groups/4141114/items/WAQ32CVH"],"itemData":{"id":2925,"type":"webpage","language":"sl","title":"Omejevalni ukrepi EU proti Rusiji v zvezi z Ukrajino (od leta 2014)","URL":"https://www.consilium.europa.eu/sl/policies/sanctions/restrictive-measures-against-russia-over-ukraine/","author":[{"family":"Svet EU","given":""}],"accessed":{"date-parts":[["2023",7,11]]},"issued":{"date-parts":[["2023"]]}}}],"schema":"https://github.com/citation-style-language/schema/raw/master/csl-citation.json"} </w:instrText>
      </w:r>
      <w:r w:rsidRPr="000E64EC">
        <w:rPr>
          <w:bCs/>
        </w:rPr>
        <w:fldChar w:fldCharType="separate"/>
      </w:r>
      <w:r w:rsidR="00E97C58" w:rsidRPr="00E97C58">
        <w:t>(Svet EU, 2023a)</w:t>
      </w:r>
      <w:r w:rsidRPr="000E64EC">
        <w:rPr>
          <w:bCs/>
        </w:rPr>
        <w:fldChar w:fldCharType="end"/>
      </w:r>
      <w:r w:rsidRPr="000E64EC">
        <w:rPr>
          <w:bCs/>
        </w:rPr>
        <w:t xml:space="preserve">. ZDA je sprejela prepoved izvoza visoke </w:t>
      </w:r>
      <w:r w:rsidR="000E64EC" w:rsidRPr="000E64EC">
        <w:rPr>
          <w:bCs/>
        </w:rPr>
        <w:t>tehnologije</w:t>
      </w:r>
      <w:r w:rsidRPr="000E64EC">
        <w:rPr>
          <w:bCs/>
        </w:rPr>
        <w:t xml:space="preserve">, sprejete sankcije pa se ne nanašajo samo na blago, ki ga izvažajo podjetja iz ZDA, ampak tudi na blago, proizvedeno drugje z uporabo ameriških tehnologij. </w:t>
      </w:r>
      <w:r w:rsidRPr="000E64EC">
        <w:rPr>
          <w:rStyle w:val="rynqvb"/>
        </w:rPr>
        <w:t xml:space="preserve">Ekstrateritorialna narava ameriških sankcij naj bi vplivala na izvoz v Rusijo tudi iz držav, ki sankcij sicer niso sprejele </w:t>
      </w:r>
      <w:r w:rsidRPr="000E64EC">
        <w:rPr>
          <w:rStyle w:val="rynqvb"/>
        </w:rPr>
        <w:fldChar w:fldCharType="begin"/>
      </w:r>
      <w:r w:rsidR="0023649B">
        <w:rPr>
          <w:rStyle w:val="rynqvb"/>
        </w:rPr>
        <w:instrText xml:space="preserve"> ADDIN ZOTERO_ITEM CSL_CITATION {"citationID":"cDyiav40","properties":{"formattedCitation":"(USDT, 2023)","plainCitation":"(USDT, 2023)","noteIndex":0},"citationItems":[{"id":2927,"uris":["http://zotero.org/groups/4141114/items/TENZD3E4"],"itemData":{"id":2927,"type":"webpage","container-title":"U.S. Department of the Treasury","language":"en","title":"Ukraine-/Russia-related Sanctions","URL":"https://home.treasury.gov/policy-issues/financial-sanctions/sanctions-programs-and-country-information/ukraine-russia-related-sanctions","author":[{"family":"USDT","given":""}],"accessed":{"date-parts":[["2023",7,25]]},"issued":{"date-parts":[["2023"]]}}}],"schema":"https://github.com/citation-style-language/schema/raw/master/csl-citation.json"} </w:instrText>
      </w:r>
      <w:r w:rsidRPr="000E64EC">
        <w:rPr>
          <w:rStyle w:val="rynqvb"/>
        </w:rPr>
        <w:fldChar w:fldCharType="separate"/>
      </w:r>
      <w:r w:rsidRPr="000E64EC">
        <w:t>(USDT, 2023)</w:t>
      </w:r>
      <w:r w:rsidRPr="000E64EC">
        <w:rPr>
          <w:rStyle w:val="rynqvb"/>
        </w:rPr>
        <w:fldChar w:fldCharType="end"/>
      </w:r>
      <w:r w:rsidRPr="000E64EC">
        <w:rPr>
          <w:rStyle w:val="rynqvb"/>
        </w:rPr>
        <w:t>. S sankcijami so se odzvale tudi nekatere najpomembnejše svetovne izvoznice visokotehnološke opreme (Japonska, Južna Koreja, Tajvan, Singapur).</w:t>
      </w:r>
      <w:r w:rsidRPr="000E64EC">
        <w:t xml:space="preserve"> Ob tem velja omeniti, da je </w:t>
      </w:r>
      <w:r w:rsidR="00297385">
        <w:t>več kot</w:t>
      </w:r>
      <w:r w:rsidRPr="000E64EC">
        <w:t xml:space="preserve"> tisoč multinacionalnih podjetij prenehalo poslovati v in z Rusijo, največ na področju svetovanj, športa, IT in medijev</w:t>
      </w:r>
      <w:r w:rsidR="00221CC6">
        <w:t>.</w:t>
      </w:r>
      <w:r w:rsidR="00D24756">
        <w:t xml:space="preserve"> </w:t>
      </w:r>
      <w:r w:rsidR="00221CC6">
        <w:t>Ob tem</w:t>
      </w:r>
      <w:r w:rsidR="001C24DF">
        <w:t>,</w:t>
      </w:r>
      <w:r w:rsidR="00221CC6">
        <w:t xml:space="preserve"> da več kot polovica evropskih podjetij, ki so pred začetkom vojne delovala v Rusiji, s poslovanjem v Rusiji</w:t>
      </w:r>
      <w:r w:rsidRPr="000E64EC">
        <w:t xml:space="preserve"> </w:t>
      </w:r>
      <w:r w:rsidR="00297385">
        <w:t xml:space="preserve">nadaljuje </w:t>
      </w:r>
      <w:r w:rsidRPr="000E64EC">
        <w:fldChar w:fldCharType="begin"/>
      </w:r>
      <w:r w:rsidR="0023649B">
        <w:instrText xml:space="preserve"> ADDIN ZOTERO_ITEM CSL_CITATION {"citationID":"BuKWUJZ2","properties":{"formattedCitation":"(KSE institute, 2023; Yale SOM, 2023)","plainCitation":"(KSE institute, 2023; Yale SOM, 2023)","noteIndex":0},"citationItems":[{"id":2955,"uris":["http://zotero.org/groups/4141114/items/TEV2IYVR"],"itemData":{"id":2955,"type":"webpage","abstract":"#LeaveRussia: The List of Companies that Stopped or Still Working in Russia","language":"en","title":"#LeaveRussia","URL":"https://leave-russia.org/?1650483096","author":[{"family":"KSE institute","given":""}],"issued":{"date-parts":[["2023"]]}}},{"id":2957,"uris":["http://zotero.org/groups/4141114/items/XF8ZPG7T"],"itemData":{"id":2957,"type":"webpage","container-title":"Chief Executive Leadership Institute","language":"en","title":"Over 1,000 Companies Have Curtailed Operations in Russia—But Some Remain |","URL":"https://som.yale.edu/story/2022/over-1000-companies-have-curtailed-operations-russia-some-remain","author":[{"family":"Yale SOM","given":""}],"accessed":{"date-parts":[["2023",7,25]]},"issued":{"date-parts":[["2023"]]}}}],"schema":"https://github.com/citation-style-language/schema/raw/master/csl-citation.json"} </w:instrText>
      </w:r>
      <w:r w:rsidRPr="000E64EC">
        <w:fldChar w:fldCharType="separate"/>
      </w:r>
      <w:r w:rsidRPr="000E64EC">
        <w:t>(KSE institute, 2023; Yale SOM, 2023)</w:t>
      </w:r>
      <w:r w:rsidRPr="000E64EC">
        <w:fldChar w:fldCharType="end"/>
      </w:r>
      <w:r w:rsidRPr="000E64EC">
        <w:t>.</w:t>
      </w:r>
      <w:r w:rsidR="00CC674B">
        <w:t xml:space="preserve"> Podjetja, ki nadaljujejo poslovanj</w:t>
      </w:r>
      <w:r w:rsidR="00297385">
        <w:t>e</w:t>
      </w:r>
      <w:r w:rsidR="00AE3024">
        <w:t>,</w:t>
      </w:r>
      <w:r w:rsidR="00CC674B">
        <w:t xml:space="preserve"> so sicer soočena s povečanimi tveganji, povezan</w:t>
      </w:r>
      <w:r w:rsidR="00297385">
        <w:t>imi</w:t>
      </w:r>
      <w:r w:rsidR="00CC674B">
        <w:t xml:space="preserve"> z strožjimi pravili o izstopu, ki jih je sprejela Rusija, morebitnimi razlastitvami ter finančnimi tveganji</w:t>
      </w:r>
      <w:r w:rsidR="00297385">
        <w:t xml:space="preserve">, </w:t>
      </w:r>
      <w:r w:rsidR="00CC674B">
        <w:t xml:space="preserve">npr. izplačevanje dividend </w:t>
      </w:r>
      <w:r w:rsidR="00CC674B">
        <w:fldChar w:fldCharType="begin"/>
      </w:r>
      <w:r w:rsidR="00CC674B">
        <w:instrText xml:space="preserve"> ADDIN ZOTERO_ITEM CSL_CITATION {"citationID":"vWrQIfxR","properties":{"formattedCitation":"(SPIRIT, 2023)","plainCitation":"(SPIRIT, 2023)","noteIndex":0},"citationItems":[{"id":3988,"uris":["http://zotero.org/groups/4141114/items/H48SSAGF"],"itemData":{"id":3988,"type":"webpage","title":"Evropska podjetja so zaradi vojne v Ukrajini utrpela 100 mlrd EUR izgube","URL":"https://www.izvoznookno.si/aktualno/evropska-podjetja-so-zaradi-vojne-v-ukrajini-utrpe/","author":[{"family":"SPIRIT","given":""}],"accessed":{"date-parts":[["2023",8,25]]},"issued":{"date-parts":[["2023"]]}}}],"schema":"https://github.com/citation-style-language/schema/raw/master/csl-citation.json"} </w:instrText>
      </w:r>
      <w:r w:rsidR="00CC674B">
        <w:fldChar w:fldCharType="separate"/>
      </w:r>
      <w:r w:rsidR="00CC674B" w:rsidRPr="00CC674B">
        <w:t>(SPIRIT, 2023)</w:t>
      </w:r>
      <w:r w:rsidR="00CC674B">
        <w:fldChar w:fldCharType="end"/>
      </w:r>
      <w:r w:rsidR="00CC674B">
        <w:t xml:space="preserve">. </w:t>
      </w:r>
    </w:p>
    <w:p w14:paraId="7544B26A" w14:textId="77777777" w:rsidR="00373240" w:rsidRPr="000E64EC" w:rsidRDefault="00373240" w:rsidP="00373240">
      <w:pPr>
        <w:pStyle w:val="BesediloUMAR"/>
        <w:rPr>
          <w:bCs/>
        </w:rPr>
      </w:pPr>
    </w:p>
    <w:p w14:paraId="677D7A47" w14:textId="34C4347C" w:rsidR="00373240" w:rsidRPr="000E64EC" w:rsidRDefault="00373240" w:rsidP="00373240">
      <w:pPr>
        <w:pStyle w:val="BesediloUMAR"/>
      </w:pPr>
      <w:r w:rsidRPr="000E64EC">
        <w:rPr>
          <w:b/>
        </w:rPr>
        <w:t>Gospodarske sankcije EU so se osredotočile na finančni, prometni, energetski, trgovinski, tehnološki in obrambni sektor.</w:t>
      </w:r>
      <w:r w:rsidRPr="000E64EC">
        <w:rPr>
          <w:bCs/>
        </w:rPr>
        <w:t xml:space="preserve"> </w:t>
      </w:r>
      <w:r w:rsidRPr="000E64EC">
        <w:t xml:space="preserve">Finančne omejitve EU obsegajo okoli 70 % ruskega bančnega sistema, trgovinske sankcije pa, v primerjavi z obdobjem pred vojno, na izvozni strani okoli </w:t>
      </w:r>
      <w:r w:rsidR="00C5217C">
        <w:t>49</w:t>
      </w:r>
      <w:r w:rsidRPr="000E64EC">
        <w:t xml:space="preserve"> % izvoza blaga EU </w:t>
      </w:r>
      <w:r w:rsidR="003F21AE">
        <w:t xml:space="preserve">(43,9 mrd EUR) </w:t>
      </w:r>
      <w:r w:rsidRPr="000E64EC">
        <w:t>v Rusijo, na uvozni strani 5</w:t>
      </w:r>
      <w:r w:rsidR="00C5217C">
        <w:t>9</w:t>
      </w:r>
      <w:r w:rsidRPr="000E64EC">
        <w:t> % uvoza iz EU iz Rusije</w:t>
      </w:r>
      <w:r w:rsidR="003F21AE">
        <w:t xml:space="preserve"> (91,2 mrd EUR)</w:t>
      </w:r>
      <w:r w:rsidRPr="000E64EC">
        <w:t xml:space="preserve"> </w:t>
      </w:r>
      <w:r w:rsidRPr="000E64EC">
        <w:fldChar w:fldCharType="begin"/>
      </w:r>
      <w:r w:rsidR="0023649B">
        <w:instrText xml:space="preserve"> ADDIN ZOTERO_ITEM CSL_CITATION {"citationID":"apfN2aMr","properties":{"formattedCitation":"(EK, 2023; Svet EU, 2023c)","plainCitation":"(EK, 2023; Svet EU, 2023c)","noteIndex":0},"citationItems":[{"id":2953,"uris":["http://zotero.org/groups/4141114/items/YCC742J4"],"itemData":{"id":2953,"type":"webpage","abstract":"Read about wide-ranging sanctions imposed against Russia by the EU, following its invasion of Ukraine, targeting various sectors, entities and complicit actors","language":"en","title":"EU sanctions against Russia following the invasion of Ukraine","URL":"https://eu-solidarity-ukraine.ec.europa.eu/eu-sanctions-against-russia-following-invasion-ukraine_en","author":[{"family":"EK","given":""}],"accessed":{"date-parts":[["2023",7,25]]},"issued":{"date-parts":[["2023"]]}}},{"id":3860,"uris":["http://zotero.org/groups/4141114/items/VBB68REV"],"itemData":{"id":3860,"type":"webpage","abstract":"EU je v odziv na rusko invazijo v Ukrajini uvedla sankcije proti posameznikom in gospodarskim subjektom. Kaj te sankcije pomenijo v praksi?","language":"sl","title":"Obrazložitev sankcij EU proti Rusiji","URL":"https://www.consilium.europa.eu/sl/policies/sanctions/restrictive-measures-against-russia-over-ukraine/sanctions-against-russia-explained/","author":[{"family":"Svet EU","given":""}],"accessed":{"date-parts":[["2023",7,11]]},"issued":{"date-parts":[["2023",6,26]]}}}],"schema":"https://github.com/citation-style-language/schema/raw/master/csl-citation.json"} </w:instrText>
      </w:r>
      <w:r w:rsidRPr="000E64EC">
        <w:fldChar w:fldCharType="separate"/>
      </w:r>
      <w:r w:rsidR="00F45608" w:rsidRPr="00F45608">
        <w:t>(EK, 2023; Svet EU, 2023c)</w:t>
      </w:r>
      <w:r w:rsidRPr="000E64EC">
        <w:fldChar w:fldCharType="end"/>
      </w:r>
      <w:r w:rsidRPr="000E64EC">
        <w:t xml:space="preserve">. </w:t>
      </w:r>
      <w:r w:rsidRPr="000E64EC">
        <w:rPr>
          <w:bCs/>
        </w:rPr>
        <w:t xml:space="preserve">Vsi ti ukrepi so </w:t>
      </w:r>
      <w:r w:rsidR="00670FF3">
        <w:rPr>
          <w:bCs/>
        </w:rPr>
        <w:t xml:space="preserve">bili </w:t>
      </w:r>
      <w:r w:rsidRPr="000E64EC">
        <w:rPr>
          <w:bCs/>
        </w:rPr>
        <w:t xml:space="preserve">zasnovani tako, da bi oslabili položaj ruske industrije, </w:t>
      </w:r>
      <w:r w:rsidRPr="000E64EC">
        <w:t xml:space="preserve">ji onemogočili dostop do kritičnih tehnologij in trgov ter znatno zmanjšali zmožnost Rusije za vojskovanje. </w:t>
      </w:r>
      <w:r w:rsidR="005C145B" w:rsidRPr="000E64EC">
        <w:rPr>
          <w:rStyle w:val="rynqvb"/>
        </w:rPr>
        <w:t>EU je pri večini omejitvenih ukrepov določila tudi prehodna obdobja, kar naj bi državam in podjetjem omogočilo prilagoditev</w:t>
      </w:r>
      <w:r w:rsidR="005C145B" w:rsidRPr="00D03946">
        <w:rPr>
          <w:rStyle w:val="FootnoteReference"/>
        </w:rPr>
        <w:footnoteReference w:id="3"/>
      </w:r>
      <w:r w:rsidR="005C145B" w:rsidRPr="000E64EC">
        <w:rPr>
          <w:rStyle w:val="rynqvb"/>
        </w:rPr>
        <w:t xml:space="preserve">, kar pomeni, da se bo učinek sankcij pokazal šele z zamikom. </w:t>
      </w:r>
      <w:r w:rsidRPr="000E64EC">
        <w:t xml:space="preserve">Ob tem velja omeniti, da noben od ukrepov, ki jih je sprejela EU, ni bil usmerjen v trgovino s </w:t>
      </w:r>
      <w:r w:rsidRPr="000E64EC">
        <w:lastRenderedPageBreak/>
        <w:t xml:space="preserve">kmetijskimi in živilskimi proizvodi (vključno s pšenico in gnojili) med tretjimi državami in Rusijo. Gospodarske sankcije po področjih vključujejo </w:t>
      </w:r>
      <w:r w:rsidRPr="000E64EC">
        <w:fldChar w:fldCharType="begin"/>
      </w:r>
      <w:r w:rsidR="0023649B">
        <w:instrText xml:space="preserve"> ADDIN ZOTERO_ITEM CSL_CITATION {"citationID":"0WZYx4XM","properties":{"formattedCitation":"(BS, 2023; EUR-Lex, b. d.; MGRT, 2023; Svet EU, 2023a)","plainCitation":"(BS, 2023; EUR-Lex, b. d.; MGRT, 2023; Svet EU, 2023a)","noteIndex":0},"citationItems":[{"id":2929,"uris":["http://zotero.org/groups/4141114/items/CAGNCUM7"],"itemData":{"id":2929,"type":"webpage","container-title":"Banka Slovenije","language":"si","title":"Omejevalni ukrepi proti Rusiji","URL":"https://www.bsi.si/financna-stabilnost/nadzor-bancnega-sistema/financni-omejevalni-ukrepi/omejevalni-ukrepi-proti-rusiji","author":[{"family":"BS","given":""}],"accessed":{"date-parts":[["2023",1,10]]},"issued":{"date-parts":[["2023"]]}}},{"id":3743,"uris":["http://zotero.org/groups/4141114/items/2CNLIJR5"],"itemData":{"id":3743,"type":"webpage","language":"en","note":"Doc ID: 25_2\nDoc Sector: other\nDoc Title: EU restrictive measures in view of Russia’s invasion of Ukraine\nDoc Type: other\nUsr_lan: en","title":"EU restrictive measures in view of Russia’s invasion of Ukraine","URL":"https://eur-lex.europa.eu/EN/legal-content/summary/eu-restrictive-measures-in-view-of-russia-s-invasion-of-ukraine.html","author":[{"family":"EUR-Lex","given":""}],"accessed":{"date-parts":[["2023",7,11]]}}},{"id":2931,"uris":["http://zotero.org/groups/4141114/items/AF8762IL"],"itemData":{"id":2931,"type":"webpage","abstract":"Republika Slovenija izvaja omejevalne ukrepe (sankcije) v skladu s pravnimi akti in odločitvami, sprejetimi v okviru Organizacije združenih narodov, Evropske unije ali druge mednarodne organizacije, z namenom vzpostavitve ali ohranitve mednarodnega miru in varnosti, zagotavljanja spoštovanja človekovih pravic in temeljnih svoboščin, razvoja oziroma utrjevanja demokracije in pravne države ter drugih z mednarodnim pravom skladnih ciljev.","container-title":"Portal GOV.SI","language":"sl","title":"Ukrepi za omejevanje trgovine zaradi razmer v Ukrajini","URL":"https://www.gov.si/teme/ukrepi-za-omejevanje-trgovine-zaradi-razmer-v-ukrajini/","author":[{"family":"MGRT","given":""}],"accessed":{"date-parts":[["2023",7,25]]},"issued":{"date-parts":[["2023"]]}}},{"id":2925,"uris":["http://zotero.org/groups/4141114/items/WAQ32CVH"],"itemData":{"id":2925,"type":"webpage","language":"sl","title":"Omejevalni ukrepi EU proti Rusiji v zvezi z Ukrajino (od leta 2014)","URL":"https://www.consilium.europa.eu/sl/policies/sanctions/restrictive-measures-against-russia-over-ukraine/","author":[{"family":"Svet EU","given":""}],"accessed":{"date-parts":[["2023",7,11]]},"issued":{"date-parts":[["2023"]]}}}],"schema":"https://github.com/citation-style-language/schema/raw/master/csl-citation.json"} </w:instrText>
      </w:r>
      <w:r w:rsidRPr="000E64EC">
        <w:fldChar w:fldCharType="separate"/>
      </w:r>
      <w:r w:rsidR="00E97C58" w:rsidRPr="00E97C58">
        <w:t>(BS, 2023; EUR-Lex, b. d.; MGRT, 2023; Svet EU, 2023a)</w:t>
      </w:r>
      <w:r w:rsidRPr="000E64EC">
        <w:fldChar w:fldCharType="end"/>
      </w:r>
      <w:r w:rsidRPr="000E64EC">
        <w:t>:</w:t>
      </w:r>
    </w:p>
    <w:p w14:paraId="53C8D3AD" w14:textId="1F7CEDC6" w:rsidR="00373240" w:rsidRPr="000E64EC" w:rsidRDefault="00373240" w:rsidP="00373240">
      <w:pPr>
        <w:pStyle w:val="BesediloUMAR"/>
        <w:numPr>
          <w:ilvl w:val="0"/>
          <w:numId w:val="8"/>
        </w:numPr>
      </w:pPr>
      <w:r w:rsidRPr="000E64EC">
        <w:rPr>
          <w:b/>
        </w:rPr>
        <w:t>Finančni sveženj sankcij</w:t>
      </w:r>
      <w:r w:rsidRPr="000E64EC">
        <w:rPr>
          <w:bCs/>
        </w:rPr>
        <w:t xml:space="preserve"> je ruskim oblastem in centralni banki preprečil dostop do mednarodnih finančnih in kapitalskih trgov, s tem pa je bil močno otežen dostop države in centralne banke do denarnih rezerv, kar je vplivalo na zmožnost zadolževanja v tujini, padec vrednosti rublja in dvig ruskih obrestnih mer. Pomembnim ruskim bankam je bilo onemogočeno sodelovanje v mednarodnem plačilnem sistemu SWIFT, kar naj bi dodatno vplivalo na trgovinske tokove z Rusijo in omejilo poslovanje. </w:t>
      </w:r>
      <w:r w:rsidRPr="000E64EC">
        <w:t xml:space="preserve">Omejen je bil tudi dostop do primarnih in sekundarnih kapitalskih trgov EU za nekatere ruske banke in podjetja. </w:t>
      </w:r>
      <w:r w:rsidR="003F21AE" w:rsidRPr="00FE7067">
        <w:t>Po podatkih</w:t>
      </w:r>
      <w:r w:rsidR="00FE7067">
        <w:t xml:space="preserve"> Sveta EU</w:t>
      </w:r>
      <w:r w:rsidR="003F21AE">
        <w:t xml:space="preserve"> je bilo v EU zamrznjeno 21,5 mrd EUR sredstev ruskim posameznikom in podjetjem, skupno p</w:t>
      </w:r>
      <w:r w:rsidR="002B061B">
        <w:t>a</w:t>
      </w:r>
      <w:r w:rsidR="003F21AE">
        <w:t xml:space="preserve"> naj bi bilo v EU in državah G7 zamrznjenih še okoli 300 mrd EUR sredstev ruske centralne banke. </w:t>
      </w:r>
    </w:p>
    <w:p w14:paraId="5A6D848A" w14:textId="77777777" w:rsidR="00373240" w:rsidRPr="000E64EC" w:rsidRDefault="00373240" w:rsidP="00373240">
      <w:pPr>
        <w:pStyle w:val="BesediloUMAR"/>
        <w:numPr>
          <w:ilvl w:val="0"/>
          <w:numId w:val="8"/>
        </w:numPr>
      </w:pPr>
      <w:r w:rsidRPr="000E64EC">
        <w:rPr>
          <w:bCs/>
        </w:rPr>
        <w:t xml:space="preserve">Na področju </w:t>
      </w:r>
      <w:r w:rsidRPr="000E64EC">
        <w:rPr>
          <w:b/>
        </w:rPr>
        <w:t xml:space="preserve">prometa </w:t>
      </w:r>
      <w:r w:rsidRPr="000E64EC">
        <w:rPr>
          <w:bCs/>
        </w:rPr>
        <w:t>je bil zaprt zračni prostor za ruska letala, EU pristanišča zaprta za ruska plovila in ruskim ter beloruskim cestnim prevoznikom prepovedan vstop v EU.</w:t>
      </w:r>
      <w:r w:rsidRPr="00D03946">
        <w:rPr>
          <w:rStyle w:val="FootnoteReference"/>
        </w:rPr>
        <w:footnoteReference w:id="4"/>
      </w:r>
      <w:r w:rsidRPr="000E64EC">
        <w:rPr>
          <w:bCs/>
        </w:rPr>
        <w:t xml:space="preserve"> </w:t>
      </w:r>
    </w:p>
    <w:p w14:paraId="3682832A" w14:textId="2585FC7C" w:rsidR="00373240" w:rsidRPr="003607E7" w:rsidRDefault="00373240" w:rsidP="00373240">
      <w:pPr>
        <w:pStyle w:val="BesediloUMAR"/>
        <w:numPr>
          <w:ilvl w:val="0"/>
          <w:numId w:val="8"/>
        </w:numPr>
        <w:rPr>
          <w:rStyle w:val="Strong"/>
        </w:rPr>
      </w:pPr>
      <w:r w:rsidRPr="000E64EC">
        <w:rPr>
          <w:bCs/>
        </w:rPr>
        <w:t xml:space="preserve">Na področju </w:t>
      </w:r>
      <w:r w:rsidRPr="000E64EC">
        <w:rPr>
          <w:b/>
        </w:rPr>
        <w:t>energetike</w:t>
      </w:r>
      <w:r w:rsidRPr="000E64EC">
        <w:rPr>
          <w:bCs/>
        </w:rPr>
        <w:t xml:space="preserve"> je bil prepovedan izvoz blaga in tehnologij v rusk</w:t>
      </w:r>
      <w:r w:rsidR="00FE7067">
        <w:rPr>
          <w:bCs/>
        </w:rPr>
        <w:t>em</w:t>
      </w:r>
      <w:r w:rsidRPr="000E64EC">
        <w:rPr>
          <w:bCs/>
        </w:rPr>
        <w:t xml:space="preserve"> naftnem sektorju</w:t>
      </w:r>
      <w:r w:rsidRPr="00D03946">
        <w:rPr>
          <w:rStyle w:val="FootnoteReference"/>
        </w:rPr>
        <w:footnoteReference w:id="5"/>
      </w:r>
      <w:r w:rsidRPr="000E64EC">
        <w:rPr>
          <w:bCs/>
        </w:rPr>
        <w:t xml:space="preserve">, prepovedane so bile nove naložbe v energetski in rudarski sektor. </w:t>
      </w:r>
      <w:r w:rsidR="00C5217C">
        <w:t>Sankcije so bile tudi povezane z uvozom energetskih proizvodov (premog, nafta), zaenkrat pa ni bilo omejitvenih ukrepov</w:t>
      </w:r>
      <w:r w:rsidR="00FE7067">
        <w:t>,</w:t>
      </w:r>
      <w:r w:rsidR="00C5217C">
        <w:t xml:space="preserve"> povezanih </w:t>
      </w:r>
      <w:r w:rsidR="00C5217C" w:rsidRPr="003607E7">
        <w:t>z zemeljskim p</w:t>
      </w:r>
      <w:r w:rsidR="00B0100B" w:rsidRPr="003607E7">
        <w:t>l</w:t>
      </w:r>
      <w:r w:rsidR="00C5217C" w:rsidRPr="003607E7">
        <w:t>inom. Prepovedano pa je bilo zagotavljanje zmogljivosti za skladiščenje plina Rusom.</w:t>
      </w:r>
    </w:p>
    <w:p w14:paraId="47EEC4B7" w14:textId="11B83B08" w:rsidR="00373240" w:rsidRPr="003607E7" w:rsidRDefault="00373240" w:rsidP="00373240">
      <w:pPr>
        <w:pStyle w:val="BesediloUMAR"/>
        <w:numPr>
          <w:ilvl w:val="0"/>
          <w:numId w:val="8"/>
        </w:numPr>
        <w:rPr>
          <w:b/>
          <w:bCs/>
        </w:rPr>
      </w:pPr>
      <w:r w:rsidRPr="003607E7">
        <w:t xml:space="preserve">V okviru </w:t>
      </w:r>
      <w:r w:rsidRPr="003607E7">
        <w:rPr>
          <w:b/>
          <w:bCs/>
        </w:rPr>
        <w:t xml:space="preserve">trgovinskih sankcij </w:t>
      </w:r>
      <w:r w:rsidRPr="003607E7">
        <w:t xml:space="preserve">so bile sprejete številne omejitve in prepovedi (poleg omenjenih </w:t>
      </w:r>
      <w:r w:rsidR="00FE7067" w:rsidRPr="003607E7">
        <w:t>pri</w:t>
      </w:r>
      <w:r w:rsidRPr="003607E7">
        <w:t xml:space="preserve"> promet</w:t>
      </w:r>
      <w:r w:rsidR="00FE7067" w:rsidRPr="003607E7">
        <w:t>u</w:t>
      </w:r>
      <w:r w:rsidRPr="003607E7">
        <w:t xml:space="preserve"> in </w:t>
      </w:r>
      <w:r w:rsidRPr="0034094E">
        <w:t>energeti</w:t>
      </w:r>
      <w:r w:rsidR="00FE7067" w:rsidRPr="0034094E">
        <w:t>ki</w:t>
      </w:r>
      <w:r w:rsidRPr="0034094E">
        <w:t>)</w:t>
      </w:r>
      <w:r w:rsidR="0034094E">
        <w:t>:</w:t>
      </w:r>
    </w:p>
    <w:p w14:paraId="2DFD6DE2" w14:textId="077AFF2A" w:rsidR="00373240" w:rsidRPr="00A5006C" w:rsidRDefault="00352FD4" w:rsidP="00373240">
      <w:pPr>
        <w:pStyle w:val="BesediloUMAR"/>
        <w:numPr>
          <w:ilvl w:val="1"/>
          <w:numId w:val="8"/>
        </w:numPr>
        <w:rPr>
          <w:bCs/>
        </w:rPr>
      </w:pPr>
      <w:r>
        <w:t>I</w:t>
      </w:r>
      <w:r w:rsidR="00373240" w:rsidRPr="000E64EC">
        <w:t>zvoz blaga in tehnologij z dvojno rabo (oz. proizvodov</w:t>
      </w:r>
      <w:r w:rsidR="00373240" w:rsidRPr="000E64EC">
        <w:rPr>
          <w:bCs/>
        </w:rPr>
        <w:t>, ki se lahko uporabljajo tudi v vojaške namene</w:t>
      </w:r>
      <w:r w:rsidR="00373240" w:rsidRPr="00D03946">
        <w:rPr>
          <w:rStyle w:val="FootnoteReference"/>
        </w:rPr>
        <w:footnoteReference w:id="6"/>
      </w:r>
      <w:r w:rsidR="00373240" w:rsidRPr="000E64EC">
        <w:rPr>
          <w:bCs/>
        </w:rPr>
        <w:t>)</w:t>
      </w:r>
      <w:r w:rsidR="00373240" w:rsidRPr="000E64EC">
        <w:t xml:space="preserve"> ter zagotavljanje s tem povezanih storitev. Poleg prepovedi trgovine z orožjem </w:t>
      </w:r>
      <w:r w:rsidR="00FE7067">
        <w:t xml:space="preserve">je bil s </w:t>
      </w:r>
      <w:r w:rsidR="00373240" w:rsidRPr="000E64EC">
        <w:t xml:space="preserve">tem </w:t>
      </w:r>
      <w:r w:rsidR="00373240" w:rsidRPr="00A5006C">
        <w:t>omej</w:t>
      </w:r>
      <w:r w:rsidR="00FE7067">
        <w:t>en</w:t>
      </w:r>
      <w:r w:rsidR="00373240" w:rsidRPr="00A5006C">
        <w:t xml:space="preserve"> izvoz blaga in tehnologij, ki bi lahko prispevale k tehnološkim izboljšavam ruskega obrambnega in varnostnega sektorja. Seznam vključuje tudi kemikalije, ki bi se lahko uporabljale v procesu proizvodnje kemičnega orožja.</w:t>
      </w:r>
    </w:p>
    <w:p w14:paraId="6E6D42ED" w14:textId="2DD61C3B" w:rsidR="00373240" w:rsidRPr="00A5006C" w:rsidRDefault="00352FD4" w:rsidP="00373240">
      <w:pPr>
        <w:pStyle w:val="BesediloUMAR"/>
        <w:numPr>
          <w:ilvl w:val="1"/>
          <w:numId w:val="8"/>
        </w:numPr>
        <w:rPr>
          <w:bCs/>
        </w:rPr>
      </w:pPr>
      <w:r>
        <w:t>I</w:t>
      </w:r>
      <w:r w:rsidR="00373240" w:rsidRPr="00A5006C">
        <w:t>zvoz blaga in tehnologij za uporabo v letalskem, vesoljskem in pomorskem sektorju</w:t>
      </w:r>
      <w:r w:rsidR="00373240" w:rsidRPr="00A5006C">
        <w:rPr>
          <w:bCs/>
        </w:rPr>
        <w:t xml:space="preserve">. </w:t>
      </w:r>
    </w:p>
    <w:p w14:paraId="1152BE0E" w14:textId="1E42F563" w:rsidR="00EA2A87" w:rsidRPr="00A5006C" w:rsidRDefault="00352FD4" w:rsidP="00373240">
      <w:pPr>
        <w:pStyle w:val="BesediloUMAR"/>
        <w:numPr>
          <w:ilvl w:val="1"/>
          <w:numId w:val="8"/>
        </w:numPr>
        <w:rPr>
          <w:bCs/>
        </w:rPr>
      </w:pPr>
      <w:r>
        <w:rPr>
          <w:bCs/>
        </w:rPr>
        <w:t>i</w:t>
      </w:r>
      <w:r w:rsidR="00373240" w:rsidRPr="00A5006C">
        <w:rPr>
          <w:bCs/>
        </w:rPr>
        <w:t xml:space="preserve">zvoz blaga in tehnologij, ki bi lahko prispevali </w:t>
      </w:r>
      <w:r w:rsidR="00373240" w:rsidRPr="00A5006C">
        <w:rPr>
          <w:rStyle w:val="markedcontent"/>
          <w:rFonts w:cs="Arial"/>
        </w:rPr>
        <w:t xml:space="preserve">h krepitvi ruskih industrijskih zmogljivosti (visokotehnološko blago – npr. </w:t>
      </w:r>
      <w:r w:rsidR="00373240" w:rsidRPr="00A5006C">
        <w:t>kvantni računalniki in sestavni deli, polprevodniki, določena elektronska in programska oprema</w:t>
      </w:r>
      <w:r w:rsidR="00373240" w:rsidRPr="00D03946">
        <w:rPr>
          <w:rStyle w:val="FootnoteReference"/>
        </w:rPr>
        <w:footnoteReference w:id="7"/>
      </w:r>
      <w:r w:rsidR="00373240" w:rsidRPr="00A5006C">
        <w:t xml:space="preserve">). </w:t>
      </w:r>
      <w:r w:rsidR="00A5006C">
        <w:t>V začetku 2023 je bil p</w:t>
      </w:r>
      <w:r w:rsidR="00EA2A87" w:rsidRPr="00A5006C">
        <w:t xml:space="preserve">repovedan </w:t>
      </w:r>
      <w:r w:rsidR="00A5006C">
        <w:t xml:space="preserve">tudi </w:t>
      </w:r>
      <w:r w:rsidR="00EA2A87" w:rsidRPr="00A5006C">
        <w:t xml:space="preserve">izvoz </w:t>
      </w:r>
      <w:r w:rsidR="00A5006C">
        <w:t xml:space="preserve">vseh </w:t>
      </w:r>
      <w:r w:rsidR="00EA2A87" w:rsidRPr="00A5006C">
        <w:t>kritičn</w:t>
      </w:r>
      <w:r w:rsidR="00A5006C">
        <w:t>ih</w:t>
      </w:r>
      <w:r w:rsidR="00EA2A87" w:rsidRPr="00A5006C">
        <w:t xml:space="preserve"> tehnologij in industrijskega blaga</w:t>
      </w:r>
      <w:r w:rsidR="00A5006C">
        <w:t xml:space="preserve">. </w:t>
      </w:r>
    </w:p>
    <w:p w14:paraId="70AD7767" w14:textId="0B1DD23B" w:rsidR="00373240" w:rsidRPr="00A5006C" w:rsidRDefault="00352FD4" w:rsidP="00373240">
      <w:pPr>
        <w:pStyle w:val="BesediloUMAR"/>
        <w:numPr>
          <w:ilvl w:val="1"/>
          <w:numId w:val="8"/>
        </w:numPr>
        <w:rPr>
          <w:rStyle w:val="markedcontent"/>
          <w:bCs/>
        </w:rPr>
      </w:pPr>
      <w:r>
        <w:t>I</w:t>
      </w:r>
      <w:r w:rsidR="00373240" w:rsidRPr="00A5006C">
        <w:t>zvoz premoga in koksa</w:t>
      </w:r>
      <w:r>
        <w:t>.</w:t>
      </w:r>
    </w:p>
    <w:p w14:paraId="49CAAD9E" w14:textId="0F40B3D9" w:rsidR="00373240" w:rsidRPr="00C5217C" w:rsidRDefault="00352FD4" w:rsidP="00373240">
      <w:pPr>
        <w:pStyle w:val="BesediloUMAR"/>
        <w:numPr>
          <w:ilvl w:val="1"/>
          <w:numId w:val="8"/>
        </w:numPr>
        <w:rPr>
          <w:bCs/>
        </w:rPr>
      </w:pPr>
      <w:r>
        <w:rPr>
          <w:bCs/>
        </w:rPr>
        <w:t>I</w:t>
      </w:r>
      <w:r w:rsidR="00373240" w:rsidRPr="00A5006C">
        <w:rPr>
          <w:bCs/>
        </w:rPr>
        <w:t xml:space="preserve">zvoz luksuznih izdelkov nad določeno vrednostjo </w:t>
      </w:r>
      <w:r w:rsidR="00373240" w:rsidRPr="00A5006C">
        <w:t>(npr. proizvodov za končno porabo nad določeno vrednostjo, vključno z avtomobili</w:t>
      </w:r>
      <w:r w:rsidR="00373240" w:rsidRPr="00D03946">
        <w:rPr>
          <w:rStyle w:val="FootnoteReference"/>
        </w:rPr>
        <w:footnoteReference w:id="8"/>
      </w:r>
      <w:r w:rsidR="00373240" w:rsidRPr="00A5006C">
        <w:t>).</w:t>
      </w:r>
    </w:p>
    <w:p w14:paraId="3F5D8538" w14:textId="7CFD1D88" w:rsidR="00C5217C" w:rsidRDefault="00352FD4" w:rsidP="00C5217C">
      <w:pPr>
        <w:pStyle w:val="BesediloUMAR"/>
        <w:numPr>
          <w:ilvl w:val="1"/>
          <w:numId w:val="8"/>
        </w:numPr>
        <w:rPr>
          <w:bCs/>
        </w:rPr>
      </w:pPr>
      <w:r>
        <w:rPr>
          <w:bCs/>
        </w:rPr>
        <w:t>U</w:t>
      </w:r>
      <w:r w:rsidR="00C5217C">
        <w:rPr>
          <w:bCs/>
        </w:rPr>
        <w:t xml:space="preserve">voz nekaterih energetskih proizvodov – </w:t>
      </w:r>
      <w:r w:rsidR="00FE7067">
        <w:t>p</w:t>
      </w:r>
      <w:r w:rsidR="00C5217C" w:rsidRPr="000E64EC">
        <w:t>o izteku prehodnega obdobja je avgusta</w:t>
      </w:r>
      <w:r w:rsidR="00FE7067">
        <w:t xml:space="preserve"> </w:t>
      </w:r>
      <w:r w:rsidR="00C5217C">
        <w:t>2022</w:t>
      </w:r>
      <w:r w:rsidR="00C5217C" w:rsidRPr="000E64EC">
        <w:t xml:space="preserve"> začela veljati prepoved uvoza premoga in drugih trdih goriv, decembra</w:t>
      </w:r>
      <w:r w:rsidR="00C5217C">
        <w:t xml:space="preserve"> 2022</w:t>
      </w:r>
      <w:r w:rsidR="00C5217C" w:rsidRPr="000E64EC">
        <w:t xml:space="preserve"> pa uvoz surove nafte</w:t>
      </w:r>
      <w:r w:rsidR="00C5217C" w:rsidRPr="00D03946">
        <w:rPr>
          <w:rStyle w:val="FootnoteReference"/>
        </w:rPr>
        <w:footnoteReference w:id="9"/>
      </w:r>
      <w:r w:rsidR="00C5217C" w:rsidRPr="000E64EC">
        <w:t xml:space="preserve"> (izjema ostaja nafta</w:t>
      </w:r>
      <w:r w:rsidR="00FE7067">
        <w:t>,</w:t>
      </w:r>
      <w:r w:rsidR="00C5217C" w:rsidRPr="000E64EC">
        <w:t xml:space="preserve"> dobavljena po naftovodih</w:t>
      </w:r>
      <w:r w:rsidR="00C5217C">
        <w:t xml:space="preserve">). </w:t>
      </w:r>
      <w:r w:rsidR="00C5217C" w:rsidRPr="000E64EC">
        <w:t>Decembra 2022 je bila tudi določena najvišja cena (60 USD na sodček)</w:t>
      </w:r>
      <w:r w:rsidR="00FE7067">
        <w:t>,</w:t>
      </w:r>
      <w:r w:rsidR="00C5217C" w:rsidRPr="000E64EC">
        <w:t xml:space="preserve"> po kateri </w:t>
      </w:r>
      <w:r w:rsidR="00FE7067">
        <w:t>je</w:t>
      </w:r>
      <w:r w:rsidR="00C5217C" w:rsidRPr="000E64EC">
        <w:t xml:space="preserve"> lahko kupljena in prepeljana nafta ruskega izvora s pomorskim prevozom. </w:t>
      </w:r>
      <w:r w:rsidR="00C5217C">
        <w:t>Uvoz rafiniranih naftnih proizvodov (npr. bencin</w:t>
      </w:r>
      <w:r w:rsidR="00670FF3">
        <w:t xml:space="preserve"> in drugi naftni derivati</w:t>
      </w:r>
      <w:r w:rsidR="00C5217C">
        <w:t>) je prepovedan od februarja 2023.</w:t>
      </w:r>
    </w:p>
    <w:p w14:paraId="7F736255" w14:textId="0BE6B5D8" w:rsidR="00373240" w:rsidRPr="00C5217C" w:rsidRDefault="00352FD4" w:rsidP="00C5217C">
      <w:pPr>
        <w:pStyle w:val="BesediloUMAR"/>
        <w:numPr>
          <w:ilvl w:val="1"/>
          <w:numId w:val="8"/>
        </w:numPr>
        <w:rPr>
          <w:bCs/>
        </w:rPr>
      </w:pPr>
      <w:r>
        <w:t>U</w:t>
      </w:r>
      <w:r w:rsidR="00373240" w:rsidRPr="00A5006C">
        <w:t>voz zlata in srebra</w:t>
      </w:r>
      <w:r>
        <w:t>.</w:t>
      </w:r>
    </w:p>
    <w:p w14:paraId="0F661155" w14:textId="60C48C21" w:rsidR="00FE7067" w:rsidRPr="000E64EC" w:rsidRDefault="00352FD4" w:rsidP="00FE7067">
      <w:pPr>
        <w:pStyle w:val="BesediloUMAR"/>
        <w:numPr>
          <w:ilvl w:val="1"/>
          <w:numId w:val="8"/>
        </w:numPr>
        <w:rPr>
          <w:bCs/>
        </w:rPr>
      </w:pPr>
      <w:r>
        <w:rPr>
          <w:bCs/>
        </w:rPr>
        <w:lastRenderedPageBreak/>
        <w:t>U</w:t>
      </w:r>
      <w:r w:rsidR="00FE7067" w:rsidRPr="000E64EC">
        <w:rPr>
          <w:bCs/>
        </w:rPr>
        <w:t xml:space="preserve">voz </w:t>
      </w:r>
      <w:r w:rsidR="00FE7067">
        <w:rPr>
          <w:bCs/>
        </w:rPr>
        <w:t xml:space="preserve">jekla in železa, </w:t>
      </w:r>
      <w:r w:rsidR="00FE7067" w:rsidRPr="000E64EC">
        <w:rPr>
          <w:bCs/>
        </w:rPr>
        <w:t xml:space="preserve">končnih izdelkov in polizdelkov iz jekla, lesa, cementa, gumarskih izdelkov, gnojil </w:t>
      </w:r>
      <w:r w:rsidR="00FE7067">
        <w:rPr>
          <w:bCs/>
        </w:rPr>
        <w:t>ter</w:t>
      </w:r>
      <w:r w:rsidR="00FE7067" w:rsidRPr="000E64EC">
        <w:rPr>
          <w:bCs/>
        </w:rPr>
        <w:t xml:space="preserve"> nekaterih izdelkov iz stekla in plastike</w:t>
      </w:r>
      <w:r w:rsidR="00FE7067">
        <w:rPr>
          <w:bCs/>
        </w:rPr>
        <w:t>, asfalt, sintetični kavčuk.</w:t>
      </w:r>
    </w:p>
    <w:p w14:paraId="23AEBADC" w14:textId="20CC06A9" w:rsidR="00373240" w:rsidRPr="000E64EC" w:rsidRDefault="00352FD4" w:rsidP="00373240">
      <w:pPr>
        <w:pStyle w:val="BesediloUMAR"/>
        <w:numPr>
          <w:ilvl w:val="1"/>
          <w:numId w:val="8"/>
        </w:numPr>
        <w:rPr>
          <w:b/>
          <w:bCs/>
        </w:rPr>
      </w:pPr>
      <w:r>
        <w:rPr>
          <w:bCs/>
        </w:rPr>
        <w:t>U</w:t>
      </w:r>
      <w:r w:rsidR="00373240" w:rsidRPr="000E64EC">
        <w:rPr>
          <w:bCs/>
        </w:rPr>
        <w:t>voz morskih sadežev, alkoholnih pijač, cigaret, nakita in kozmetike</w:t>
      </w:r>
      <w:r w:rsidR="00030A53">
        <w:rPr>
          <w:bCs/>
        </w:rPr>
        <w:t>.</w:t>
      </w:r>
    </w:p>
    <w:p w14:paraId="01434A37" w14:textId="4E28498D" w:rsidR="00373240" w:rsidRPr="000E64EC" w:rsidRDefault="00352FD4" w:rsidP="00373240">
      <w:pPr>
        <w:pStyle w:val="BesediloUMAR"/>
        <w:numPr>
          <w:ilvl w:val="1"/>
          <w:numId w:val="8"/>
        </w:numPr>
        <w:rPr>
          <w:bCs/>
        </w:rPr>
      </w:pPr>
      <w:r>
        <w:t>P</w:t>
      </w:r>
      <w:r w:rsidR="00373240" w:rsidRPr="000E64EC">
        <w:t>repoveduje se zagotavljanje financiranja, zavarovalnih in pozavarovalnih storitev ter storitev vzdrževanja, tehnične pomoči in drugih povezanih storitev v zvezi z blagom in tehnologijami, ki so na seznamu prepovedi izvoza (npr. letalska, vesoljska industrija).</w:t>
      </w:r>
    </w:p>
    <w:p w14:paraId="0D82CD9D" w14:textId="0B897CC0" w:rsidR="00373240" w:rsidRPr="000E64EC" w:rsidRDefault="00352FD4" w:rsidP="00373240">
      <w:pPr>
        <w:pStyle w:val="BesediloUMAR"/>
        <w:numPr>
          <w:ilvl w:val="1"/>
          <w:numId w:val="8"/>
        </w:numPr>
        <w:rPr>
          <w:bCs/>
        </w:rPr>
      </w:pPr>
      <w:r>
        <w:t xml:space="preserve">Prepoveduje se </w:t>
      </w:r>
      <w:r w:rsidR="00373240" w:rsidRPr="000E64EC">
        <w:t xml:space="preserve">neposredno ali posredno </w:t>
      </w:r>
      <w:r w:rsidR="00373240" w:rsidRPr="000E64EC">
        <w:rPr>
          <w:rStyle w:val="Strong"/>
          <w:b w:val="0"/>
          <w:bCs w:val="0"/>
        </w:rPr>
        <w:t>opravljanje nekaterih storitev</w:t>
      </w:r>
      <w:r w:rsidR="00373240" w:rsidRPr="000E64EC">
        <w:t>, kot so računovodske storitve, revizija, obvezne revizije, knjigovodske storitve ter storitve davčnega in pravnega svetovanja, poslovno svetovanje, storitve za odnose z javnostmi za določene ruske subjekte, arhitekturne in inženirske storitve itd.</w:t>
      </w:r>
      <w:r w:rsidR="00A5006C">
        <w:t xml:space="preserve"> Od decembra 2022 je prepovedano </w:t>
      </w:r>
      <w:r w:rsidR="00A5006C" w:rsidRPr="00A5006C">
        <w:t>zagotavljanj</w:t>
      </w:r>
      <w:r w:rsidR="00A5006C">
        <w:t>e</w:t>
      </w:r>
      <w:r w:rsidR="00A5006C" w:rsidRPr="00A5006C">
        <w:t xml:space="preserve"> oglaševalskih storitev, storitev raziskav trga in raziskav javnega mnenja ter storitev preskušanja izdelkov in tehničnih inšpekcijskih pregledov iz EU.</w:t>
      </w:r>
      <w:r w:rsidR="00A5006C">
        <w:t xml:space="preserve"> </w:t>
      </w:r>
    </w:p>
    <w:p w14:paraId="7C09E59D" w14:textId="77777777" w:rsidR="005C145B" w:rsidRDefault="005C145B" w:rsidP="00373240">
      <w:pPr>
        <w:pStyle w:val="BesediloUMAR"/>
        <w:rPr>
          <w:rStyle w:val="rynqvb"/>
        </w:rPr>
      </w:pPr>
    </w:p>
    <w:p w14:paraId="7A7D4F94" w14:textId="5950CD55" w:rsidR="00700B88" w:rsidRPr="000E64EC" w:rsidRDefault="00700B88" w:rsidP="00700B88">
      <w:pPr>
        <w:pStyle w:val="Heading2"/>
      </w:pPr>
      <w:r>
        <w:t>Vpetost Rusije v svetovno gospodarstvo</w:t>
      </w:r>
    </w:p>
    <w:p w14:paraId="483DC1CC" w14:textId="228492C2" w:rsidR="00700B88" w:rsidRPr="000E64EC" w:rsidRDefault="00700B88" w:rsidP="00700B88">
      <w:pPr>
        <w:pStyle w:val="BesediloUMAR"/>
        <w:rPr>
          <w:b/>
        </w:rPr>
      </w:pPr>
      <w:r w:rsidRPr="000E64EC">
        <w:rPr>
          <w:rStyle w:val="rynqvb"/>
          <w:b/>
          <w:bCs/>
        </w:rPr>
        <w:t xml:space="preserve">Rusija je bila pred vojno solidno integrirana v svetovno gospodarstvo, </w:t>
      </w:r>
      <w:r>
        <w:rPr>
          <w:rStyle w:val="rynqvb"/>
          <w:b/>
          <w:bCs/>
        </w:rPr>
        <w:t xml:space="preserve">po gospodarski razvitosti pa je </w:t>
      </w:r>
      <w:r w:rsidRPr="000E64EC">
        <w:rPr>
          <w:rStyle w:val="rynqvb"/>
          <w:b/>
          <w:bCs/>
        </w:rPr>
        <w:t>zaostaja</w:t>
      </w:r>
      <w:r>
        <w:rPr>
          <w:rStyle w:val="rynqvb"/>
          <w:b/>
          <w:bCs/>
        </w:rPr>
        <w:t>la</w:t>
      </w:r>
      <w:r w:rsidRPr="000E64EC">
        <w:rPr>
          <w:rStyle w:val="rynqvb"/>
          <w:b/>
          <w:bCs/>
        </w:rPr>
        <w:t xml:space="preserve"> za razvitejšimi državami.</w:t>
      </w:r>
      <w:r w:rsidRPr="000E64EC">
        <w:t xml:space="preserve"> </w:t>
      </w:r>
      <w:r w:rsidR="00FE7067">
        <w:t>O</w:t>
      </w:r>
      <w:r w:rsidR="00FE7067" w:rsidRPr="000E64EC">
        <w:t>d padca Sovjetske zveze</w:t>
      </w:r>
      <w:r w:rsidR="00FE7067">
        <w:t xml:space="preserve"> se je</w:t>
      </w:r>
      <w:r w:rsidR="00FE7067" w:rsidRPr="000E64EC">
        <w:t xml:space="preserve"> uveljavila kot gospodarska velesila, leta 2021 </w:t>
      </w:r>
      <w:r w:rsidR="00FE7067">
        <w:t xml:space="preserve">je </w:t>
      </w:r>
      <w:r w:rsidR="00FE7067" w:rsidRPr="000E64EC">
        <w:t>njen BDP znašal 1.779 mrd USD, kar jo je uvrstilo na 11. mest</w:t>
      </w:r>
      <w:r w:rsidR="00FE7067">
        <w:t>o</w:t>
      </w:r>
      <w:r w:rsidR="00FE7067" w:rsidRPr="000E64EC">
        <w:t xml:space="preserve"> med največjimi svetovnimi gospodarstvi. Kot zadnje veliko gospodarstvo se je pridružila WTO šele leta 2012 in pridobila status države z največjimi ugodnostmi</w:t>
      </w:r>
      <w:r w:rsidR="00FE7067" w:rsidRPr="00591369">
        <w:rPr>
          <w:rStyle w:val="FootnoteReference"/>
        </w:rPr>
        <w:footnoteReference w:id="10"/>
      </w:r>
      <w:r w:rsidR="00FE7067" w:rsidRPr="000E64EC">
        <w:t xml:space="preserve">. Po gospodarski razvitosti, merjeni v bruto domačem proizvodu na prebivalca po kupni moči, </w:t>
      </w:r>
      <w:r w:rsidR="00FE7067">
        <w:t xml:space="preserve">je v zadnjih letih </w:t>
      </w:r>
      <w:r w:rsidR="00FE7067" w:rsidRPr="000E64EC">
        <w:t>opazno zaostaja</w:t>
      </w:r>
      <w:r w:rsidR="00FE7067">
        <w:t>la</w:t>
      </w:r>
      <w:r w:rsidR="00FE7067" w:rsidRPr="000E64EC">
        <w:t xml:space="preserve"> za državami EU in OECD, njen zaostanek pa se v zadnjem desetletju ni bistveno zmanjšal.</w:t>
      </w:r>
      <w:r w:rsidR="00FE7067">
        <w:rPr>
          <w:b/>
        </w:rPr>
        <w:t xml:space="preserve"> </w:t>
      </w:r>
      <w:r w:rsidR="00FE7067" w:rsidRPr="008A445D">
        <w:rPr>
          <w:bCs/>
        </w:rPr>
        <w:t>Rusija sicer ni najpomembnejšimi državami v svetovni trgovini</w:t>
      </w:r>
      <w:r w:rsidR="00FE7067" w:rsidRPr="00591369">
        <w:rPr>
          <w:rStyle w:val="FootnoteReference"/>
        </w:rPr>
        <w:footnoteReference w:id="11"/>
      </w:r>
      <w:r w:rsidR="00FE7067" w:rsidRPr="008A445D">
        <w:rPr>
          <w:bCs/>
        </w:rPr>
        <w:t xml:space="preserve">, a je vseeno imela pred vojno razmeroma izvozno usmerjeno gospodarstvo in </w:t>
      </w:r>
      <w:r w:rsidR="00FE7067">
        <w:rPr>
          <w:bCs/>
        </w:rPr>
        <w:t xml:space="preserve">je </w:t>
      </w:r>
      <w:r w:rsidR="00FE7067" w:rsidRPr="008A445D">
        <w:rPr>
          <w:bCs/>
        </w:rPr>
        <w:t>bila pomemben svetovni dobavitelj nekaterih kmetijskih proizvodov (npr. pšenice, gnojil), industrijskih proizvodov (npr. grodelj, železo, nikelj</w:t>
      </w:r>
      <w:r w:rsidR="00FE7067">
        <w:rPr>
          <w:bCs/>
        </w:rPr>
        <w:t>,</w:t>
      </w:r>
      <w:r w:rsidR="00FE7067" w:rsidRPr="008A445D">
        <w:rPr>
          <w:bCs/>
        </w:rPr>
        <w:t xml:space="preserve"> les) in energetskih surovin.</w:t>
      </w:r>
    </w:p>
    <w:p w14:paraId="0B18745A" w14:textId="77777777" w:rsidR="008A445D" w:rsidRPr="000E64EC" w:rsidRDefault="008A445D" w:rsidP="00700B88">
      <w:pPr>
        <w:pStyle w:val="BesediloUMAR"/>
        <w:rPr>
          <w:b/>
        </w:rPr>
      </w:pPr>
    </w:p>
    <w:p w14:paraId="3DD5014A" w14:textId="612DB996" w:rsidR="00700B88" w:rsidRDefault="00700B88" w:rsidP="00700B88">
      <w:pPr>
        <w:pStyle w:val="BesediloUMAR"/>
      </w:pPr>
      <w:r w:rsidRPr="000E64EC">
        <w:rPr>
          <w:b/>
        </w:rPr>
        <w:t>Ruska gospodarska aktivnost temelji zlasti na izkoriščanju naravnih virov, predvsem fosilnih goriv</w:t>
      </w:r>
      <w:r w:rsidRPr="000E64EC">
        <w:rPr>
          <w:bCs/>
        </w:rPr>
        <w:t xml:space="preserve">. </w:t>
      </w:r>
      <w:r w:rsidR="00FE7067" w:rsidRPr="000E64EC">
        <w:t>Vrednost ruskega izvoza blaga in storitev je leta 2021</w:t>
      </w:r>
      <w:r w:rsidR="00FE7067" w:rsidRPr="00591369">
        <w:rPr>
          <w:rStyle w:val="FootnoteReference"/>
        </w:rPr>
        <w:footnoteReference w:id="12"/>
      </w:r>
      <w:r w:rsidR="00FE7067" w:rsidRPr="000E64EC">
        <w:t xml:space="preserve"> znašala 549 milijard USD (31 % BDP), struktura izvozno usmerjenih dejavnosti pa se je v zadnjem desetletju le malo spremenila. V ruskem izvozu prevladujejo energenti, kovine in druge surovine, ob tem velja omeniti, da ruski izvozni davki (zlasti na nafto in zemeljski plin) predstavljajo pomemben vir prihodkov proračuna</w:t>
      </w:r>
      <w:r w:rsidR="00FE7067">
        <w:t xml:space="preserve"> </w:t>
      </w:r>
      <w:r w:rsidR="00FE7067">
        <w:fldChar w:fldCharType="begin"/>
      </w:r>
      <w:r w:rsidR="00FE7067">
        <w:instrText xml:space="preserve"> ADDIN ZOTERO_ITEM CSL_CITATION {"citationID":"n9Y3fAaW","properties":{"formattedCitation":"(IMF, 2021)","plainCitation":"(IMF, 2021)","noteIndex":0},"citationItems":[{"id":3080,"uris":["http://zotero.org/groups/4141114/items/K923G3XY"],"itemData":{"id":3080,"type":"report","publisher":"IMF","title":"Russian Federation: 2020 Article IV Consultation Staff Report","URL":"https://www.imf.org/en/Publications/CR/Issues/2021/02/08/Russian-Federation-2020-Article-IV-Consultation-Press-Release-Staff-Report-50068","author":[{"family":"IMF","given":""}],"issued":{"date-parts":[["2021"]]}}}],"schema":"https://github.com/citation-style-language/schema/raw/master/csl-citation.json"} </w:instrText>
      </w:r>
      <w:r w:rsidR="00FE7067">
        <w:fldChar w:fldCharType="separate"/>
      </w:r>
      <w:r w:rsidR="00FE7067" w:rsidRPr="000E64EC">
        <w:t>(IMF, 2021)</w:t>
      </w:r>
      <w:r w:rsidR="00FE7067">
        <w:fldChar w:fldCharType="end"/>
      </w:r>
      <w:r w:rsidR="00FE7067" w:rsidRPr="000E64EC">
        <w:t>. Pri tem je ostala EU najpomembnejši trgovinski partner</w:t>
      </w:r>
      <w:r w:rsidR="00FE7067" w:rsidRPr="00591369">
        <w:rPr>
          <w:rStyle w:val="FootnoteReference"/>
        </w:rPr>
        <w:footnoteReference w:id="13"/>
      </w:r>
      <w:r w:rsidR="00FE7067" w:rsidRPr="000E64EC">
        <w:t>, saj je Rusija v EU v letu 2021 izvozila skoraj 40 %, skupaj v razvite države pa več kot polovico vsega izvoza. Več kot polovico izvoza v EU predstavljajo energenti, Rusija</w:t>
      </w:r>
      <w:r w:rsidR="00FE7067">
        <w:t xml:space="preserve"> pa</w:t>
      </w:r>
      <w:r w:rsidR="00FE7067" w:rsidRPr="000E64EC">
        <w:t xml:space="preserve"> dobavlja EU tudi nekatere kritične proizvode in surovine (npr. nikelj, paladij), ki so zelo pomembne za evropsko industrijo </w:t>
      </w:r>
      <w:r w:rsidR="00FE7067" w:rsidRPr="000E64EC">
        <w:fldChar w:fldCharType="begin"/>
      </w:r>
      <w:r w:rsidR="00FE7067" w:rsidRPr="000E64EC">
        <w:instrText xml:space="preserve"> ADDIN ZOTERO_ITEM CSL_CITATION {"citationID":"wD8ALk29","properties":{"formattedCitation":"(EK, 2022a)","plainCitation":"(EK, 2022a)","noteIndex":0},"citationItems":[{"id":2650,"uris":["http://zotero.org/groups/4141114/items/HIRSW3Y4"],"itemData":{"id":2650,"type":"webpage","abstract":"Why critical raw materials are important, list of critical raw materials and other Commission actions, and supporting information.","container-title":"Critical raw materials","language":"en","title":"Critical raw materials","URL":"https://single-market-economy.ec.europa.eu/sectors/raw-materials/areas-specific-interest/critical-raw-materials_en","author":[{"family":"EK","given":""}],"accessed":{"date-parts":[["2022",9,29]]},"issued":{"date-parts":[["2022"]]}}}],"schema":"https://github.com/citation-style-language/schema/raw/master/csl-citation.json"} </w:instrText>
      </w:r>
      <w:r w:rsidR="00FE7067" w:rsidRPr="000E64EC">
        <w:fldChar w:fldCharType="separate"/>
      </w:r>
      <w:r w:rsidR="00FE7067" w:rsidRPr="000E64EC">
        <w:t>(EK, 2022a)</w:t>
      </w:r>
      <w:r w:rsidR="00FE7067" w:rsidRPr="000E64EC">
        <w:fldChar w:fldCharType="end"/>
      </w:r>
      <w:r w:rsidR="00FE7067" w:rsidRPr="000E64EC">
        <w:t>.</w:t>
      </w:r>
    </w:p>
    <w:p w14:paraId="2F9F555E" w14:textId="03BB4971" w:rsidR="00700B88" w:rsidRPr="000E64EC" w:rsidRDefault="00700B88" w:rsidP="00700B88">
      <w:pPr>
        <w:pStyle w:val="Caption"/>
        <w:rPr>
          <w:noProof w:val="0"/>
        </w:rPr>
      </w:pPr>
      <w:r w:rsidRPr="000E64EC">
        <w:rPr>
          <w:noProof w:val="0"/>
        </w:rPr>
        <w:lastRenderedPageBreak/>
        <w:t xml:space="preserve">Slika </w:t>
      </w:r>
      <w:r w:rsidRPr="000E64EC">
        <w:rPr>
          <w:noProof w:val="0"/>
        </w:rPr>
        <w:fldChar w:fldCharType="begin"/>
      </w:r>
      <w:r w:rsidRPr="000E64EC">
        <w:rPr>
          <w:noProof w:val="0"/>
        </w:rPr>
        <w:instrText xml:space="preserve"> SEQ Slika \* ARABIC </w:instrText>
      </w:r>
      <w:r w:rsidRPr="000E64EC">
        <w:rPr>
          <w:noProof w:val="0"/>
        </w:rPr>
        <w:fldChar w:fldCharType="separate"/>
      </w:r>
      <w:r w:rsidR="00A437A4">
        <w:t>1</w:t>
      </w:r>
      <w:r w:rsidRPr="000E64EC">
        <w:rPr>
          <w:noProof w:val="0"/>
        </w:rPr>
        <w:fldChar w:fldCharType="end"/>
      </w:r>
      <w:r w:rsidRPr="000E64EC">
        <w:rPr>
          <w:noProof w:val="0"/>
        </w:rPr>
        <w:t xml:space="preserve">: </w:t>
      </w:r>
      <w:r w:rsidR="002F6624">
        <w:rPr>
          <w:noProof w:val="0"/>
        </w:rPr>
        <w:t xml:space="preserve">V ruskem izvozu so pred začetkom vojne prevladovala mineralna goriva, katerih </w:t>
      </w:r>
      <w:r w:rsidR="00DD4C39">
        <w:rPr>
          <w:noProof w:val="0"/>
        </w:rPr>
        <w:t xml:space="preserve">večino </w:t>
      </w:r>
      <w:r w:rsidR="002F6624">
        <w:rPr>
          <w:noProof w:val="0"/>
        </w:rPr>
        <w:t>je Rusija izvozila v</w:t>
      </w:r>
      <w:r w:rsidR="00B64528">
        <w:rPr>
          <w:noProof w:val="0"/>
        </w:rPr>
        <w:t xml:space="preserve"> razvite države (zlasti</w:t>
      </w:r>
      <w:r w:rsidR="002F6624">
        <w:rPr>
          <w:noProof w:val="0"/>
        </w:rPr>
        <w:t xml:space="preserve"> EU</w:t>
      </w:r>
      <w:r w:rsidR="00B64528">
        <w:rPr>
          <w:noProof w:val="0"/>
        </w:rPr>
        <w:t>)</w:t>
      </w:r>
      <w:r w:rsidR="002F6624">
        <w:rPr>
          <w:noProof w:val="0"/>
        </w:rPr>
        <w:t xml:space="preserve"> in na Kitajsko </w:t>
      </w:r>
    </w:p>
    <w:p w14:paraId="0E9AB6B1" w14:textId="461CC277" w:rsidR="00700B88" w:rsidRDefault="006C35F8" w:rsidP="00700B88">
      <w:pPr>
        <w:pStyle w:val="Caption"/>
        <w:rPr>
          <w:noProof w:val="0"/>
        </w:rPr>
      </w:pPr>
      <w:r w:rsidRPr="006C35F8">
        <w:drawing>
          <wp:inline distT="0" distB="0" distL="0" distR="0" wp14:anchorId="6E6F9A78" wp14:editId="5F8BB96B">
            <wp:extent cx="5760000" cy="2376000"/>
            <wp:effectExtent l="0" t="0" r="0" b="5715"/>
            <wp:docPr id="1571594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376000"/>
                    </a:xfrm>
                    <a:prstGeom prst="rect">
                      <a:avLst/>
                    </a:prstGeom>
                    <a:noFill/>
                    <a:ln>
                      <a:noFill/>
                    </a:ln>
                  </pic:spPr>
                </pic:pic>
              </a:graphicData>
            </a:graphic>
          </wp:inline>
        </w:drawing>
      </w:r>
    </w:p>
    <w:p w14:paraId="605F58F9" w14:textId="1D851DB5" w:rsidR="00700B88" w:rsidRPr="000E64EC" w:rsidRDefault="00700B88" w:rsidP="00700B88">
      <w:pPr>
        <w:pStyle w:val="VirUMAR"/>
      </w:pPr>
      <w:r w:rsidRPr="000E64EC">
        <w:t>Vir:</w:t>
      </w:r>
      <w:r w:rsidR="005871B0">
        <w:t xml:space="preserve"> Comtrade UN</w:t>
      </w:r>
      <w:r w:rsidRPr="000E64EC">
        <w:t xml:space="preserve"> </w:t>
      </w:r>
      <w:r w:rsidR="005871B0">
        <w:fldChar w:fldCharType="begin"/>
      </w:r>
      <w:r w:rsidR="005871B0">
        <w:instrText xml:space="preserve"> ADDIN ZOTERO_ITEM CSL_CITATION {"citationID":"dw2yqcLK","properties":{"formattedCitation":"(2023)","plainCitation":"(2023)","noteIndex":0},"citationItems":[{"id":519,"uris":["http://zotero.org/groups/4141114/items/BM3DCKIT"],"itemData":{"id":519,"type":"report","event-place":"New York","genre":"Podatkovna baza","publisher":"United Nations Statistics Division","publisher-place":"New York","title":"UN Comtrade Database","URL":"https://comtrade.un.org/data/","author":[{"family":"UN Comtrade","given":""}],"accessed":{"date-parts":[["2021",9,22]]},"issued":{"date-parts":[["2023"]]}},"suppress-author":true}],"schema":"https://github.com/citation-style-language/schema/raw/master/csl-citation.json"} </w:instrText>
      </w:r>
      <w:r w:rsidR="005871B0">
        <w:fldChar w:fldCharType="separate"/>
      </w:r>
      <w:r w:rsidR="005871B0" w:rsidRPr="005871B0">
        <w:t>(2023)</w:t>
      </w:r>
      <w:r w:rsidR="005871B0">
        <w:fldChar w:fldCharType="end"/>
      </w:r>
      <w:r w:rsidRPr="000E64EC">
        <w:t xml:space="preserve">, preračuni UMAR. Opombe: Razvite azijske države so Japonska, Južna </w:t>
      </w:r>
      <w:r>
        <w:t>K</w:t>
      </w:r>
      <w:r w:rsidRPr="000E64EC">
        <w:t>oreja, Singapur in Tajvan.</w:t>
      </w:r>
      <w:r w:rsidR="00C9798D">
        <w:t xml:space="preserve"> Bivše sovjetske države so države, ki so bile pred letom 1990 članice Sovjetske zveze, brez Estonije, Litve, Latvije in Ukrajine; * </w:t>
      </w:r>
      <w:r w:rsidR="000D41B8">
        <w:t>K</w:t>
      </w:r>
      <w:r w:rsidR="00C9798D">
        <w:t xml:space="preserve">emični izdelki brez gnojil; ** Hrana in pijača brez žitaric. </w:t>
      </w:r>
    </w:p>
    <w:p w14:paraId="44E53CE5" w14:textId="77777777" w:rsidR="00700B88" w:rsidRDefault="00700B88" w:rsidP="00700B88">
      <w:pPr>
        <w:pStyle w:val="BesediloUMAR"/>
      </w:pPr>
    </w:p>
    <w:p w14:paraId="5B91FF60" w14:textId="77777777" w:rsidR="00FE7067" w:rsidRPr="000E64EC" w:rsidRDefault="00FE7067" w:rsidP="00FE7067">
      <w:pPr>
        <w:pStyle w:val="BesediloUMAR"/>
      </w:pPr>
      <w:r>
        <w:rPr>
          <w:b/>
          <w:bCs/>
        </w:rPr>
        <w:t xml:space="preserve">Rusija je pri </w:t>
      </w:r>
      <w:r w:rsidRPr="009C3550">
        <w:rPr>
          <w:b/>
          <w:bCs/>
        </w:rPr>
        <w:t>uvoz</w:t>
      </w:r>
      <w:r>
        <w:rPr>
          <w:b/>
          <w:bCs/>
        </w:rPr>
        <w:t>u</w:t>
      </w:r>
      <w:r w:rsidRPr="009C3550">
        <w:rPr>
          <w:b/>
          <w:bCs/>
        </w:rPr>
        <w:t xml:space="preserve"> precej manj odvisna od preostalega sveta, uvaža predvsem tehnološko zahtevnejše proizvode.</w:t>
      </w:r>
      <w:r>
        <w:t xml:space="preserve"> U</w:t>
      </w:r>
      <w:r w:rsidRPr="000E64EC">
        <w:t>voz blaga in storitev</w:t>
      </w:r>
      <w:r>
        <w:t xml:space="preserve"> v </w:t>
      </w:r>
      <w:r w:rsidRPr="005871B0">
        <w:t xml:space="preserve">Rusijo je v letu 2021 znašal 379 mrd USD (21,3 % BDP), največji delež so predstavljale države EU </w:t>
      </w:r>
      <w:r w:rsidRPr="005871B0">
        <w:fldChar w:fldCharType="begin"/>
      </w:r>
      <w:r>
        <w:instrText xml:space="preserve"> ADDIN ZOTERO_ITEM CSL_CITATION {"citationID":"8sUpGlzc","properties":{"formattedCitation":"(UN Comtrade, 2023; WB, 2023b)","plainCitation":"(UN Comtrade, 2023; WB, 2023b)","noteIndex":0},"citationItems":[{"id":519,"uris":["http://zotero.org/groups/4141114/items/BM3DCKIT"],"itemData":{"id":519,"type":"report","event-place":"New York","genre":"Podatkovna baza","publisher":"United Nations Statistics Division","publisher-place":"New York","title":"UN Comtrade Database","URL":"https://comtrade.un.org/data/","author":[{"family":"UN Comtrade","given":""}],"accessed":{"date-parts":[["2021",9,22]]},"issued":{"date-parts":[["2023"]]}}},{"id":3679,"uris":["http://zotero.org/groups/4141114/items/I8WYK2MB"],"itemData":{"id":3679,"type":"report","event-place":"Washington","genre":"podatkovni portal","publisher":"World Bank","publisher-place":"Washington","title":"World Bank Open Data","URL":"https://data.worldbank.org/","author":[{"family":"WB","given":""}],"accessed":{"date-parts":[["2023",3,31]]},"issued":{"date-parts":[["2023"]]}},"label":"page"}],"schema":"https://github.com/citation-style-language/schema/raw/master/csl-citation.json"} </w:instrText>
      </w:r>
      <w:r w:rsidRPr="005871B0">
        <w:fldChar w:fldCharType="separate"/>
      </w:r>
      <w:r w:rsidRPr="00F45608">
        <w:t>(UN Comtrade, 2023; WB, 2023b)</w:t>
      </w:r>
      <w:r w:rsidRPr="005871B0">
        <w:fldChar w:fldCharType="end"/>
      </w:r>
      <w:r w:rsidRPr="005871B0">
        <w:t>. Pomemben</w:t>
      </w:r>
      <w:r w:rsidRPr="000E64EC">
        <w:t xml:space="preserve"> delež v strukturi ruskega uvoza </w:t>
      </w:r>
      <w:r>
        <w:t xml:space="preserve">je </w:t>
      </w:r>
      <w:r w:rsidRPr="000E64EC">
        <w:rPr>
          <w:rStyle w:val="rynqvb"/>
        </w:rPr>
        <w:t xml:space="preserve">uvoz </w:t>
      </w:r>
      <w:r w:rsidRPr="000E64EC">
        <w:t xml:space="preserve">visokotehnološko zahtevnih proizvodov, s tem da se je ruska odvisnost pri uvozu teh proizvodov in storitev (stroji, računalniki, elektronska oprema, IKT storitve, itd.) v zadnjih letih še povečala </w:t>
      </w:r>
      <w:r w:rsidRPr="000E64EC">
        <w:fldChar w:fldCharType="begin"/>
      </w:r>
      <w:r w:rsidRPr="000E64EC">
        <w:instrText xml:space="preserve"> ADDIN ZOTERO_ITEM CSL_CITATION {"citationID":"GgbYaloX","properties":{"formattedCitation":"(Simola, 2022b)","plainCitation":"(Simola, 2022b)","noteIndex":0},"citationItems":[{"id":3073,"uris":["http://zotero.org/groups/4141114/items/9MHSIB8T"],"itemData":{"id":3073,"type":"report","collection-title":"BOFIT Policy Brief","event-place":"Helsinki","language":"en","number":"3","publisher":"Bank of Finland","publisher-place":"Helsinki","source":"Zotero","title":"Made in Russia? Assessing Russia’s potential for import substitution","URL":"https://publications.bof.fi/bitstream/handle/10024/44904/bpb2203.pdf","author":[{"family":"Simola","given":"Heli"}],"issued":{"date-parts":[["2022"]]}}}],"schema":"https://github.com/citation-style-language/schema/raw/master/csl-citation.json"} </w:instrText>
      </w:r>
      <w:r w:rsidRPr="000E64EC">
        <w:fldChar w:fldCharType="separate"/>
      </w:r>
      <w:r w:rsidRPr="000E64EC">
        <w:t>(Simola, 2022b)</w:t>
      </w:r>
      <w:r w:rsidRPr="000E64EC">
        <w:fldChar w:fldCharType="end"/>
      </w:r>
      <w:r w:rsidRPr="000E64EC">
        <w:t>. Države EU so zlasti pomemben dobavitelj industrijskih strojev, farmacevtskih proizvodov in izdelkov</w:t>
      </w:r>
      <w:r>
        <w:t>,</w:t>
      </w:r>
      <w:r w:rsidRPr="000E64EC">
        <w:t xml:space="preserve"> povezanih z letalsko industrijo. Uvoz blaga v Rusijo zaznamujejo večje geografske spremembe, saj se je v zadnjih dveh desetletjih opazno povečal delež uvoza iz Kitajske (iz 2,8 % leta 2000 na 24,8 % leta 2021). Kljub zmanjšanju ostaja odvisnost od uvoza iz EU in drugih razvitih držav visoka, med pomembnejšimi dobavitelji, predvsem nižje tehnološko zahtevnih proizvodov, pa so tudi Belorusija, Kazahstan, Vietnam in Indija. </w:t>
      </w:r>
    </w:p>
    <w:p w14:paraId="0B6D1C3B" w14:textId="3B967F0C" w:rsidR="00700B88" w:rsidRPr="000E64EC" w:rsidRDefault="00700B88" w:rsidP="00700B88">
      <w:pPr>
        <w:pStyle w:val="Caption"/>
        <w:rPr>
          <w:noProof w:val="0"/>
        </w:rPr>
      </w:pPr>
      <w:r w:rsidRPr="000E64EC">
        <w:rPr>
          <w:noProof w:val="0"/>
        </w:rPr>
        <w:t xml:space="preserve">Slika </w:t>
      </w:r>
      <w:r w:rsidRPr="000E64EC">
        <w:rPr>
          <w:noProof w:val="0"/>
        </w:rPr>
        <w:fldChar w:fldCharType="begin"/>
      </w:r>
      <w:r w:rsidRPr="000E64EC">
        <w:rPr>
          <w:noProof w:val="0"/>
        </w:rPr>
        <w:instrText xml:space="preserve"> SEQ Slika \* ARABIC </w:instrText>
      </w:r>
      <w:r w:rsidRPr="000E64EC">
        <w:rPr>
          <w:noProof w:val="0"/>
        </w:rPr>
        <w:fldChar w:fldCharType="separate"/>
      </w:r>
      <w:r w:rsidR="00A437A4">
        <w:t>2</w:t>
      </w:r>
      <w:r w:rsidRPr="000E64EC">
        <w:rPr>
          <w:noProof w:val="0"/>
        </w:rPr>
        <w:fldChar w:fldCharType="end"/>
      </w:r>
      <w:r w:rsidRPr="000E64EC">
        <w:rPr>
          <w:noProof w:val="0"/>
        </w:rPr>
        <w:t xml:space="preserve">: </w:t>
      </w:r>
      <w:r w:rsidR="002F6624">
        <w:rPr>
          <w:noProof w:val="0"/>
        </w:rPr>
        <w:t>Rusija je pred vojno največ blaga uvozila iz EU in Kitajske, po glavnih skupinah so bili najpomembnejši uvozni proizvod stroji in naprave</w:t>
      </w:r>
      <w:r w:rsidR="00B64528">
        <w:rPr>
          <w:noProof w:val="0"/>
        </w:rPr>
        <w:t xml:space="preserve"> (industrijski stroji, vozila</w:t>
      </w:r>
      <w:r w:rsidR="00FE7067">
        <w:rPr>
          <w:noProof w:val="0"/>
        </w:rPr>
        <w:t xml:space="preserve"> </w:t>
      </w:r>
      <w:r w:rsidR="00B64528">
        <w:rPr>
          <w:noProof w:val="0"/>
        </w:rPr>
        <w:t>…)</w:t>
      </w:r>
    </w:p>
    <w:p w14:paraId="08743FF6" w14:textId="0BEF0AA6" w:rsidR="000D41B8" w:rsidRPr="000E64EC" w:rsidRDefault="006C35F8" w:rsidP="000D41B8">
      <w:pPr>
        <w:pStyle w:val="VirUMAR"/>
      </w:pPr>
      <w:r w:rsidRPr="006C35F8">
        <w:rPr>
          <w:noProof/>
        </w:rPr>
        <w:drawing>
          <wp:inline distT="0" distB="0" distL="0" distR="0" wp14:anchorId="5D66142F" wp14:editId="4861A91E">
            <wp:extent cx="5759450" cy="2354580"/>
            <wp:effectExtent l="0" t="0" r="0" b="7620"/>
            <wp:docPr id="1143820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354580"/>
                    </a:xfrm>
                    <a:prstGeom prst="rect">
                      <a:avLst/>
                    </a:prstGeom>
                    <a:noFill/>
                    <a:ln>
                      <a:noFill/>
                    </a:ln>
                  </pic:spPr>
                </pic:pic>
              </a:graphicData>
            </a:graphic>
          </wp:inline>
        </w:drawing>
      </w:r>
      <w:r w:rsidR="000D41B8" w:rsidRPr="000D41B8">
        <w:t xml:space="preserve"> </w:t>
      </w:r>
      <w:r w:rsidR="000D41B8" w:rsidRPr="000E64EC">
        <w:t>Vir:</w:t>
      </w:r>
      <w:r w:rsidR="000D41B8">
        <w:t xml:space="preserve"> Comtrade UN</w:t>
      </w:r>
      <w:r w:rsidR="000D41B8" w:rsidRPr="000E64EC">
        <w:t xml:space="preserve"> </w:t>
      </w:r>
      <w:r w:rsidR="000D41B8">
        <w:fldChar w:fldCharType="begin"/>
      </w:r>
      <w:r w:rsidR="00B64528">
        <w:instrText xml:space="preserve"> ADDIN ZOTERO_ITEM CSL_CITATION {"citationID":"JntB2qgn","properties":{"formattedCitation":"(2023)","plainCitation":"(2023)","noteIndex":0},"citationItems":[{"id":519,"uris":["http://zotero.org/groups/4141114/items/BM3DCKIT"],"itemData":{"id":519,"type":"report","event-place":"New York","genre":"Podatkovna baza","publisher":"United Nations Statistics Division","publisher-place":"New York","title":"UN Comtrade Database","URL":"https://comtrade.un.org/data/","author":[{"family":"UN Comtrade","given":""}],"accessed":{"date-parts":[["2021",9,22]]},"issued":{"date-parts":[["2023"]]}},"suppress-author":true}],"schema":"https://github.com/citation-style-language/schema/raw/master/csl-citation.json"} </w:instrText>
      </w:r>
      <w:r w:rsidR="000D41B8">
        <w:fldChar w:fldCharType="separate"/>
      </w:r>
      <w:r w:rsidR="000D41B8" w:rsidRPr="005871B0">
        <w:t>(2023)</w:t>
      </w:r>
      <w:r w:rsidR="000D41B8">
        <w:fldChar w:fldCharType="end"/>
      </w:r>
      <w:r w:rsidR="000D41B8" w:rsidRPr="000E64EC">
        <w:t xml:space="preserve">, preračuni UMAR. Opombe: Razvite azijske države so Japonska, Južna </w:t>
      </w:r>
      <w:r w:rsidR="000D41B8">
        <w:t>K</w:t>
      </w:r>
      <w:r w:rsidR="000D41B8" w:rsidRPr="000E64EC">
        <w:t>oreja, Singapur in Tajvan.</w:t>
      </w:r>
      <w:r w:rsidR="000D41B8">
        <w:t xml:space="preserve"> Bivše sovjetske države so države, ki so bile pred letom 1990 članice Sovjetske zveze, brez Estonije, Litve, Latvije in Ukrajine; * Kemični izdelki brez medicinskih in farmacevtskih izdelkov; ** Drugi izdelki – po klasifikaciji SMTK sektor 8. </w:t>
      </w:r>
    </w:p>
    <w:p w14:paraId="1B7BEF5F" w14:textId="32A9FF56" w:rsidR="00373240" w:rsidRPr="000E64EC" w:rsidRDefault="00373240" w:rsidP="00373240">
      <w:pPr>
        <w:pStyle w:val="Heading2"/>
      </w:pPr>
      <w:r w:rsidRPr="000E64EC">
        <w:lastRenderedPageBreak/>
        <w:t>Ocene vpliva vojn</w:t>
      </w:r>
      <w:r w:rsidR="00F602B7" w:rsidRPr="000E64EC">
        <w:t>e</w:t>
      </w:r>
      <w:r w:rsidR="003F21AE">
        <w:t xml:space="preserve"> in sankcij</w:t>
      </w:r>
    </w:p>
    <w:p w14:paraId="6BBEC1FE" w14:textId="0B039DAA" w:rsidR="001E2681" w:rsidRPr="000E64EC" w:rsidRDefault="00143FC6" w:rsidP="001E2681">
      <w:pPr>
        <w:pStyle w:val="BesediloUMAR"/>
      </w:pPr>
      <w:r w:rsidRPr="00FD670D">
        <w:rPr>
          <w:b/>
          <w:bCs/>
        </w:rPr>
        <w:t>Vpliv same vojne na svetovno gospodarsko aktivnost in inflacijo je težko izločiti od preostalih vplivov, saj je več neravnotežij tudi posledica pandemije covida-19 in okrevanja po njej.</w:t>
      </w:r>
      <w:r w:rsidR="001E2681" w:rsidRPr="000E64EC">
        <w:t xml:space="preserve"> Šok</w:t>
      </w:r>
      <w:r w:rsidR="007E1B17">
        <w:t>,</w:t>
      </w:r>
      <w:r w:rsidR="001E2681" w:rsidRPr="000E64EC">
        <w:t xml:space="preserve"> povezan z epidemijo</w:t>
      </w:r>
      <w:r w:rsidR="007E1B17">
        <w:t>,</w:t>
      </w:r>
      <w:r w:rsidR="001E2681" w:rsidRPr="000E64EC">
        <w:t xml:space="preserve"> je pospešil preoblikovanje globalnih verig vrednosti (glej tudi POP, 2022) in povečal motnje na nekaterih področjih </w:t>
      </w:r>
      <w:r w:rsidR="001A159D" w:rsidRPr="000E64EC">
        <w:fldChar w:fldCharType="begin"/>
      </w:r>
      <w:r w:rsidR="001A159D" w:rsidRPr="000E64EC">
        <w:instrText xml:space="preserve"> ADDIN ZOTERO_ITEM CSL_CITATION {"citationID":"V18l56k4","properties":{"formattedCitation":"(Simola, 2021)","plainCitation":"(Simola, 2021)","noteIndex":0},"citationItems":[{"id":2933,"uris":["http://zotero.org/groups/4141114/items/FFSWDV2P"],"itemData":{"id":2933,"type":"report","collection-title":"SUERF Policy Briefs","event-place":"Helsinki","publisher":"SUERF","publisher-place":"Helsinki","title":"The impact of Covid-19 on global value chains","URL":"https://www.suerf.org/docx/f_61fe616efad31ae74399ecdd090ac14d_22639_suerf.pdf","author":[{"family":"Simola","given":"Heli"}],"issued":{"date-parts":[["2021"]]}}}],"schema":"https://github.com/citation-style-language/schema/raw/master/csl-citation.json"} </w:instrText>
      </w:r>
      <w:r w:rsidR="001A159D" w:rsidRPr="000E64EC">
        <w:fldChar w:fldCharType="separate"/>
      </w:r>
      <w:r w:rsidR="001A159D" w:rsidRPr="000E64EC">
        <w:t>(Simola, 2021)</w:t>
      </w:r>
      <w:r w:rsidR="001A159D" w:rsidRPr="000E64EC">
        <w:fldChar w:fldCharType="end"/>
      </w:r>
      <w:r w:rsidR="001E2681" w:rsidRPr="000E64EC">
        <w:t>. To je sprožilo pomanjkanje različnih surovin in strojev, povečali so se tudi stroški in transportni časi. Okrevanje je spodbudilo zadržano povpraševanje ob velikih omejitvah trošenja in povečanju varčevanja v času trajanja zajezitvenih ukrepov ter naraščajoče cene energetskih in neenergetskih surovin</w:t>
      </w:r>
      <w:r w:rsidR="00363B56" w:rsidRPr="000E64EC">
        <w:t xml:space="preserve"> </w:t>
      </w:r>
      <w:r w:rsidR="00363B56" w:rsidRPr="000E64EC">
        <w:fldChar w:fldCharType="begin"/>
      </w:r>
      <w:r w:rsidR="00363B56" w:rsidRPr="000E64EC">
        <w:instrText xml:space="preserve"> ADDIN ZOTERO_ITEM CSL_CITATION {"citationID":"EP4Pycop","properties":{"formattedCitation":"(Darvas in Martins, 2022)","plainCitation":"(Darvas in Martins, 2022)","noteIndex":0},"citationItems":[{"id":2934,"uris":["http://zotero.org/groups/4141114/items/T69L73B5"],"itemData":{"id":2934,"type":"report","collection-title":"Working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schema":"https://github.com/citation-style-language/schema/raw/master/csl-citation.json"} </w:instrText>
      </w:r>
      <w:r w:rsidR="00363B56" w:rsidRPr="000E64EC">
        <w:fldChar w:fldCharType="separate"/>
      </w:r>
      <w:r w:rsidR="00363B56" w:rsidRPr="000E64EC">
        <w:t>(Darvas in Martins, 2022)</w:t>
      </w:r>
      <w:r w:rsidR="00363B56" w:rsidRPr="000E64EC">
        <w:fldChar w:fldCharType="end"/>
      </w:r>
      <w:r w:rsidR="001E2681" w:rsidRPr="000E64EC">
        <w:t>. Vse to je vplivalo na inflacijske pritiske, ki so se začeli povečevati že pred vojno</w:t>
      </w:r>
      <w:r w:rsidR="00713954">
        <w:t>,</w:t>
      </w:r>
      <w:r w:rsidR="001E2681" w:rsidRPr="000E64EC">
        <w:t xml:space="preserve"> in sicer s</w:t>
      </w:r>
      <w:r w:rsidR="001E2681" w:rsidRPr="000E64EC">
        <w:rPr>
          <w:rStyle w:val="rynqvb"/>
        </w:rPr>
        <w:t>kupaj z okrevanjem po pandemiji COVID-19</w:t>
      </w:r>
      <w:r w:rsidR="00363B56" w:rsidRPr="000E64EC">
        <w:rPr>
          <w:rStyle w:val="rynqvb"/>
        </w:rPr>
        <w:t xml:space="preserve"> </w:t>
      </w:r>
      <w:r w:rsidR="00363B56" w:rsidRPr="000E64EC">
        <w:rPr>
          <w:rStyle w:val="rynqvb"/>
        </w:rPr>
        <w:fldChar w:fldCharType="begin"/>
      </w:r>
      <w:r w:rsidR="00F45608">
        <w:rPr>
          <w:rStyle w:val="rynqvb"/>
        </w:rPr>
        <w:instrText xml:space="preserve"> ADDIN ZOTERO_ITEM CSL_CITATION {"citationID":"3mVrKexE","properties":{"formattedCitation":"(Darvas in Martins, 2022; IMF, 2022a)","plainCitation":"(Darvas in Martins, 2022; IMF, 2022a)","noteIndex":0},"citationItems":[{"id":2934,"uris":["http://zotero.org/groups/4141114/items/T69L73B5"],"itemData":{"id":2934,"type":"report","collection-title":"Working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id":2935,"uris":["http://zotero.org/groups/4141114/items/6FTM8U7Q"],"itemData":{"id":2935,"type":"report","event-place":"Washington, DC","publisher":"International Monetary Fund","publisher-place":"Washington, DC","title":"World Economic Outlook. Countering the Cost-of-Living Crisis","URL":"https://www.imf.org/en/Publications/WEO/Issues/2022/10/11/world-economic-outlook-october-2022","author":[{"family":"IMF","given":""}],"issued":{"date-parts":[["2022"]]}}}],"schema":"https://github.com/citation-style-language/schema/raw/master/csl-citation.json"} </w:instrText>
      </w:r>
      <w:r w:rsidR="00363B56" w:rsidRPr="000E64EC">
        <w:rPr>
          <w:rStyle w:val="rynqvb"/>
        </w:rPr>
        <w:fldChar w:fldCharType="separate"/>
      </w:r>
      <w:r w:rsidR="00F45608" w:rsidRPr="00F45608">
        <w:t>(Darvas in Martins, 2022; IMF, 2022a)</w:t>
      </w:r>
      <w:r w:rsidR="00363B56" w:rsidRPr="000E64EC">
        <w:rPr>
          <w:rStyle w:val="rynqvb"/>
        </w:rPr>
        <w:fldChar w:fldCharType="end"/>
      </w:r>
      <w:r w:rsidR="001E2681" w:rsidRPr="000E64EC">
        <w:rPr>
          <w:rStyle w:val="rynqvb"/>
        </w:rPr>
        <w:t>.</w:t>
      </w:r>
    </w:p>
    <w:p w14:paraId="311E2002" w14:textId="76A5C581" w:rsidR="001E2681" w:rsidRPr="000E64EC" w:rsidRDefault="001E2681" w:rsidP="005270BA">
      <w:pPr>
        <w:pStyle w:val="BesediloUMAR"/>
        <w:rPr>
          <w:bCs/>
        </w:rPr>
      </w:pPr>
    </w:p>
    <w:p w14:paraId="01D8E68C" w14:textId="3D03C922" w:rsidR="00A62A3F" w:rsidRPr="000E64EC" w:rsidRDefault="00F602B7" w:rsidP="00A62A3F">
      <w:pPr>
        <w:pStyle w:val="BesediloUMAR"/>
        <w:rPr>
          <w:bCs/>
        </w:rPr>
      </w:pPr>
      <w:r w:rsidRPr="000E64EC">
        <w:rPr>
          <w:b/>
          <w:bCs/>
        </w:rPr>
        <w:t>Učinki vojne in sankcij so bili v letu 2022 obsežni in neenaki med državami.</w:t>
      </w:r>
      <w:r w:rsidRPr="000E64EC">
        <w:t xml:space="preserve"> </w:t>
      </w:r>
      <w:r w:rsidR="00713954" w:rsidRPr="000E64EC">
        <w:t>Upočasnitev rasti svetovne trgovine in gospodarske aktivnosti ni bila samo posledica vojne, ampak tudi naraščajoče inflacije, slabljenja kupne moči gospodinjstev, zaostrovanja pogojev na mednarodnih trgih in upočasnjevanja rasti na Kitajskem zaradi nadaljevanja strategije ničelne tolerance do covid</w:t>
      </w:r>
      <w:r w:rsidR="00713954">
        <w:t>a</w:t>
      </w:r>
      <w:r w:rsidR="00713954" w:rsidRPr="000E64EC">
        <w:t>-19. Svetovno gospodarstvo naj bi se v letih 2022</w:t>
      </w:r>
      <w:r w:rsidR="00713954">
        <w:t>–20</w:t>
      </w:r>
      <w:r w:rsidR="00713954" w:rsidRPr="000E64EC">
        <w:t>23 povečalo skupaj za okoli 5 %</w:t>
      </w:r>
      <w:r w:rsidR="00713954" w:rsidRPr="00591369">
        <w:rPr>
          <w:rStyle w:val="FootnoteReference"/>
        </w:rPr>
        <w:footnoteReference w:id="14"/>
      </w:r>
      <w:r w:rsidR="00713954" w:rsidRPr="000E64EC">
        <w:t xml:space="preserve">. Vojna je vplivala predvsem na negotovost v mednarodnem okolju, posledice </w:t>
      </w:r>
      <w:r w:rsidR="00713954" w:rsidRPr="000E64EC">
        <w:rPr>
          <w:szCs w:val="24"/>
        </w:rPr>
        <w:t>na mednarodno trgovino in gospodarsko aktivnost so bile opazne prek motenj v dobavnih verigah ter visokih cen energentov in nekaterih drugih surovin.</w:t>
      </w:r>
      <w:r w:rsidR="00713954" w:rsidRPr="000E64EC">
        <w:t xml:space="preserve"> Na svetovnih trgih so se pov</w:t>
      </w:r>
      <w:r w:rsidR="00713954">
        <w:t>išale</w:t>
      </w:r>
      <w:r w:rsidR="00713954" w:rsidRPr="000E64EC">
        <w:t xml:space="preserve"> tudi cene </w:t>
      </w:r>
      <w:r w:rsidR="00713954" w:rsidRPr="000E64EC">
        <w:rPr>
          <w:bCs/>
        </w:rPr>
        <w:t xml:space="preserve">hrane, </w:t>
      </w:r>
      <w:r w:rsidR="00713954" w:rsidRPr="000E64EC">
        <w:rPr>
          <w:szCs w:val="24"/>
        </w:rPr>
        <w:t xml:space="preserve">prekinitev izvoza hrane (predvsem žita), kmetijskih proizvodov ter gnojil iz Rusije in Ukrajine pa je vplivala na prehransko varnost v širšem območju, saj naj bi bila prizadeta </w:t>
      </w:r>
      <w:r w:rsidR="006065AA" w:rsidRPr="000E64EC">
        <w:rPr>
          <w:szCs w:val="24"/>
        </w:rPr>
        <w:t xml:space="preserve">predvsem </w:t>
      </w:r>
      <w:r w:rsidR="00713954" w:rsidRPr="000E64EC">
        <w:rPr>
          <w:szCs w:val="24"/>
        </w:rPr>
        <w:t xml:space="preserve">Bližnji vzhod in deli Afrike </w:t>
      </w:r>
      <w:r w:rsidR="00713954" w:rsidRPr="000E64EC">
        <w:rPr>
          <w:szCs w:val="24"/>
        </w:rPr>
        <w:fldChar w:fldCharType="begin"/>
      </w:r>
      <w:r w:rsidR="00713954" w:rsidRPr="000E64EC">
        <w:rPr>
          <w:szCs w:val="24"/>
        </w:rPr>
        <w:instrText xml:space="preserve"> ADDIN ZOTERO_ITEM CSL_CITATION {"citationID":"BXxpsGG4","properties":{"formattedCitation":"(Glauber in Laborde, 2022; WTO, 2022)","plainCitation":"(Glauber in Laborde, 2022; WTO, 2022)","noteIndex":0},"citationItems":[{"id":2111,"uris":["http://zotero.org/groups/4141114/items/SKFKFQ2P"],"itemData":{"id":2111,"type":"report","collection-title":"IFPRI Blog","event-place":"Washington, DC","publisher":"International food policy and research institute","publisher-place":"Washington, DC","title":"How will Russia’s invasion of Ukraine affect global food security? | IFPRI : International Food Policy Research Institute","URL":"https://www.ifpri.org/blog/how-will-russias-invasion-ukraine-affect-global-food-security","author":[{"family":"Glauber","given":"Joseph"},{"family":"Laborde","given":"David"}],"accessed":{"date-parts":[["2022",3,16]]},"issued":{"date-parts":[["2022"]]}}},{"id":3072,"uris":["http://zotero.org/groups/4141114/items/ITGNTV2D"],"itemData":{"id":3072,"type":"report","publisher":"World Trade Organization","title":"The Crisis in Ukraine - Implications of the war for global trade and development","URL":"https://www.wto.org/english/res_e/booksp_e/imparctukraine422_e.pdf","author":[{"family":"WTO","given":""}],"issued":{"date-parts":[["2022"]]}}}],"schema":"https://github.com/citation-style-language/schema/raw/master/csl-citation.json"} </w:instrText>
      </w:r>
      <w:r w:rsidR="00713954" w:rsidRPr="000E64EC">
        <w:rPr>
          <w:szCs w:val="24"/>
        </w:rPr>
        <w:fldChar w:fldCharType="separate"/>
      </w:r>
      <w:r w:rsidR="00713954" w:rsidRPr="000E64EC">
        <w:t>(Glauber in Laborde, 2022; WTO, 2022)</w:t>
      </w:r>
      <w:r w:rsidR="00713954" w:rsidRPr="000E64EC">
        <w:rPr>
          <w:szCs w:val="24"/>
        </w:rPr>
        <w:fldChar w:fldCharType="end"/>
      </w:r>
      <w:r w:rsidR="00713954" w:rsidRPr="000E64EC">
        <w:rPr>
          <w:szCs w:val="24"/>
        </w:rPr>
        <w:t>.</w:t>
      </w:r>
      <w:r w:rsidR="00713954" w:rsidRPr="000E64EC">
        <w:rPr>
          <w:bCs/>
        </w:rPr>
        <w:t xml:space="preserve"> Po oceni WFP </w:t>
      </w:r>
      <w:r w:rsidR="00713954" w:rsidRPr="000E64EC">
        <w:rPr>
          <w:bCs/>
        </w:rPr>
        <w:fldChar w:fldCharType="begin"/>
      </w:r>
      <w:r w:rsidR="00713954" w:rsidRPr="000E64EC">
        <w:rPr>
          <w:bCs/>
        </w:rPr>
        <w:instrText xml:space="preserve"> ADDIN ZOTERO_ITEM CSL_CITATION {"citationID":"NAsF4qM8","properties":{"formattedCitation":"(2022)","plainCitation":"(2022)","noteIndex":0},"citationItems":[{"id":3065,"uris":["http://zotero.org/groups/4141114/items/RVMSEK4N"],"itemData":{"id":3065,"type":"report","language":"en","publisher":"World Food Programme","source":"Zotero","title":"War in Ukraine drives global food crisis","URL":"https://docs.wfp.org/api/documents/WFP-0000140700/download/?_ga=2.127621454.273741644.1673866051-1029651735.1673866051","author":[{"family":"WFP","given":""}],"issued":{"date-parts":[["2022"]]}},"suppress-author":true}],"schema":"https://github.com/citation-style-language/schema/raw/master/csl-citation.json"} </w:instrText>
      </w:r>
      <w:r w:rsidR="00713954" w:rsidRPr="000E64EC">
        <w:rPr>
          <w:bCs/>
        </w:rPr>
        <w:fldChar w:fldCharType="separate"/>
      </w:r>
      <w:r w:rsidR="00713954" w:rsidRPr="000E64EC">
        <w:t>(2022)</w:t>
      </w:r>
      <w:r w:rsidR="00713954" w:rsidRPr="000E64EC">
        <w:rPr>
          <w:bCs/>
        </w:rPr>
        <w:fldChar w:fldCharType="end"/>
      </w:r>
      <w:r w:rsidR="00713954" w:rsidRPr="000E64EC">
        <w:rPr>
          <w:bCs/>
        </w:rPr>
        <w:t xml:space="preserve"> naj bi bilo tveganju pomanjkanja hrane izpostavljeno okoli 345 </w:t>
      </w:r>
      <w:r w:rsidR="00713954">
        <w:rPr>
          <w:bCs/>
        </w:rPr>
        <w:t>milijonov</w:t>
      </w:r>
      <w:r w:rsidR="00713954" w:rsidRPr="000E64EC">
        <w:rPr>
          <w:bCs/>
        </w:rPr>
        <w:t xml:space="preserve"> ljudi, kar je skoraj 200 </w:t>
      </w:r>
      <w:r w:rsidR="00713954">
        <w:rPr>
          <w:bCs/>
        </w:rPr>
        <w:t>milijonov</w:t>
      </w:r>
      <w:r w:rsidR="00713954" w:rsidRPr="000E64EC">
        <w:rPr>
          <w:bCs/>
        </w:rPr>
        <w:t xml:space="preserve"> več kot pred pandemijo. </w:t>
      </w:r>
      <w:r w:rsidR="00713954">
        <w:rPr>
          <w:bCs/>
        </w:rPr>
        <w:t xml:space="preserve">Julija 2022 je bil z Rusijo sprejet dogovor o nemotenem izvozu žitaric iz Ukrajine, ki pa ga je Rusija leto kasneje prekinila. </w:t>
      </w:r>
      <w:r w:rsidR="00713954" w:rsidRPr="000E64EC">
        <w:t>Učinek na ZDA je manjši kot v nekaterih</w:t>
      </w:r>
      <w:r w:rsidR="00713954">
        <w:t xml:space="preserve"> drugih</w:t>
      </w:r>
      <w:r w:rsidR="00713954" w:rsidRPr="000E64EC">
        <w:t xml:space="preserve"> razvitih državah, predvsem EU, in je povezan predvsem s prekinitvami dobave nekaterih ključnih surovin za ameriško proizvodnjo (npr. neonskega plina, paladija, platine in grodelj)</w:t>
      </w:r>
      <w:r w:rsidR="00713954">
        <w:t xml:space="preserve"> </w:t>
      </w:r>
      <w:r w:rsidR="00713954" w:rsidRPr="000E64EC">
        <w:fldChar w:fldCharType="begin"/>
      </w:r>
      <w:r w:rsidR="00713954" w:rsidRPr="000E64EC">
        <w:instrText xml:space="preserve"> ADDIN ZOTERO_ITEM CSL_CITATION {"citationID":"wmoneOhH","properties":{"formattedCitation":"(Bhasin in Chakrabarti, 2022)","plainCitation":"(Bhasin in Chakrabarti, 2022)","noteIndex":0},"citationItems":[{"id":3063,"uris":["http://zotero.org/groups/4141114/items/6DBRFIRI"],"itemData":{"id":3063,"type":"webpage","abstract":"It's important to measure the impact of Russia's invasion of Ukraine on the U.S. economy, and determine which commodities are likely to be in short supply as a result.","genre":"SupplyChainBrain","language":"en","title":"The Impact of the Russia-Ukraine War on the U.S. Economy","URL":"https://www.supplychainbrain.com/blogs/1-think-tank/post/36242-the-impact-of-the-russia-ukraine-war-on-the-us-economy","author":[{"family":"Bhasin","given":"Kriti"},{"family":"Chakrabarti","given":"Digvijay"}],"accessed":{"date-parts":[["2023",1,16]]},"issued":{"date-parts":[["2022"]]}}}],"schema":"https://github.com/citation-style-language/schema/raw/master/csl-citation.json"} </w:instrText>
      </w:r>
      <w:r w:rsidR="00713954" w:rsidRPr="000E64EC">
        <w:fldChar w:fldCharType="separate"/>
      </w:r>
      <w:r w:rsidR="00713954" w:rsidRPr="000E64EC">
        <w:t>(Bhasin in Chakrabarti, 2022)</w:t>
      </w:r>
      <w:r w:rsidR="00713954" w:rsidRPr="000E64EC">
        <w:fldChar w:fldCharType="end"/>
      </w:r>
      <w:r w:rsidR="00713954" w:rsidRPr="000E64EC">
        <w:t>.</w:t>
      </w:r>
    </w:p>
    <w:p w14:paraId="3954E713" w14:textId="77777777" w:rsidR="00F34870" w:rsidRDefault="00F34870" w:rsidP="00BB3C68">
      <w:pPr>
        <w:pStyle w:val="BesediloUMAR"/>
        <w:rPr>
          <w:b/>
          <w:bCs/>
        </w:rPr>
      </w:pPr>
    </w:p>
    <w:p w14:paraId="6BA3A00B" w14:textId="3490FD5F" w:rsidR="00F856EC" w:rsidRPr="000E64EC" w:rsidRDefault="00912819" w:rsidP="00BB3C68">
      <w:pPr>
        <w:pStyle w:val="BesediloUMAR"/>
      </w:pPr>
      <w:r w:rsidRPr="000E64EC">
        <w:rPr>
          <w:b/>
          <w:bCs/>
        </w:rPr>
        <w:t xml:space="preserve">V EU je vojna opazno vplivala na negotovost in razpoloženje med </w:t>
      </w:r>
      <w:r w:rsidRPr="00C207D8">
        <w:rPr>
          <w:b/>
          <w:bCs/>
        </w:rPr>
        <w:t>podjetji in potrošniki.</w:t>
      </w:r>
      <w:r w:rsidRPr="00C207D8">
        <w:t xml:space="preserve"> </w:t>
      </w:r>
      <w:r w:rsidR="00D807B6" w:rsidRPr="00C207D8">
        <w:rPr>
          <w:rStyle w:val="rynqvb"/>
        </w:rPr>
        <w:t xml:space="preserve">EU </w:t>
      </w:r>
      <w:r w:rsidR="00713954" w:rsidRPr="00C207D8">
        <w:rPr>
          <w:rStyle w:val="rynqvb"/>
        </w:rPr>
        <w:t>med</w:t>
      </w:r>
      <w:r w:rsidR="00D807B6" w:rsidRPr="00C207D8">
        <w:rPr>
          <w:rStyle w:val="rynqvb"/>
        </w:rPr>
        <w:t xml:space="preserve"> razvitimi gospodarstvi </w:t>
      </w:r>
      <w:r w:rsidR="00713954" w:rsidRPr="00C207D8">
        <w:rPr>
          <w:rStyle w:val="rynqvb"/>
        </w:rPr>
        <w:t xml:space="preserve">spada </w:t>
      </w:r>
      <w:r w:rsidR="00D807B6" w:rsidRPr="00C207D8">
        <w:rPr>
          <w:rStyle w:val="rynqvb"/>
        </w:rPr>
        <w:t>med najbolj izpostavljen</w:t>
      </w:r>
      <w:r w:rsidR="00713954" w:rsidRPr="00C207D8">
        <w:rPr>
          <w:rStyle w:val="rynqvb"/>
        </w:rPr>
        <w:t>e</w:t>
      </w:r>
      <w:r w:rsidR="00D807B6" w:rsidRPr="00C207D8">
        <w:rPr>
          <w:rStyle w:val="rynqvb"/>
        </w:rPr>
        <w:t xml:space="preserve"> zaradi geografske bližine in</w:t>
      </w:r>
      <w:r w:rsidR="00C207D8" w:rsidRPr="00C207D8">
        <w:rPr>
          <w:rStyle w:val="rynqvb"/>
        </w:rPr>
        <w:t xml:space="preserve"> </w:t>
      </w:r>
      <w:r w:rsidR="00D807B6" w:rsidRPr="00C207D8">
        <w:rPr>
          <w:rStyle w:val="rynqvb"/>
        </w:rPr>
        <w:t>velike odvisnosti od uvoza fosilnih goriv</w:t>
      </w:r>
      <w:r w:rsidR="00A820ED" w:rsidRPr="00C207D8">
        <w:rPr>
          <w:rStyle w:val="rynqvb"/>
        </w:rPr>
        <w:t xml:space="preserve"> </w:t>
      </w:r>
      <w:r w:rsidR="00A820ED" w:rsidRPr="00C207D8">
        <w:rPr>
          <w:rStyle w:val="rynqvb"/>
        </w:rPr>
        <w:fldChar w:fldCharType="begin"/>
      </w:r>
      <w:r w:rsidR="00A820ED" w:rsidRPr="00C207D8">
        <w:rPr>
          <w:rStyle w:val="rynqvb"/>
        </w:rPr>
        <w:instrText xml:space="preserve"> ADDIN ZOTERO_ITEM CSL_CITATION {"citationID":"cwF5bBPL","properties":{"formattedCitation":"(Arriola idr., 2023)","plainCitation":"(Arriola idr., 2023)","noteIndex":0},"citationItems":[{"id":3882,"uris":["http://zotero.org/groups/4141114/items/M9L6AXCN"],"itemData":{"id":3882,"type":"report","event-place":"Pariz","publisher":"Organizacija za gospodarsko sodelovanje in razvoj","publisher-place":"Pariz","title":"Challenges to International Trade and the Global Economy: Recovery from COVID-19 and Russia’s War of Aggression Against Ukraine","URL":"https://www.oecd-ilibrary.org/docserver/5c561274-en.pdf?expires=1689958059&amp;id=id&amp;accname=guest&amp;checksum=6FE92A20CC08E1325083BA00A2FD2FFA","author":[{"family":"Arriola","given":"Christine"},{"family":"Cadestin","given":"Charles"},{"family":"Kowalski","given":"Przemyslaw"},{"family":"Martins Guilhoto","given":"Joaquim José"},{"family":"Miroudot","given":"Sébastien"},{"family":"Tongeren","given":"Frank","non-dropping-particle":"van"}],"issued":{"date-parts":[["2023"]]}}}],"schema":"https://github.com/citation-style-language/schema/raw/master/csl-citation.json"} </w:instrText>
      </w:r>
      <w:r w:rsidR="00A820ED" w:rsidRPr="00C207D8">
        <w:rPr>
          <w:rStyle w:val="rynqvb"/>
        </w:rPr>
        <w:fldChar w:fldCharType="separate"/>
      </w:r>
      <w:r w:rsidR="00A820ED" w:rsidRPr="00C207D8">
        <w:t>(Arriola idr., 2023)</w:t>
      </w:r>
      <w:r w:rsidR="00A820ED" w:rsidRPr="00C207D8">
        <w:rPr>
          <w:rStyle w:val="rynqvb"/>
        </w:rPr>
        <w:fldChar w:fldCharType="end"/>
      </w:r>
      <w:r w:rsidR="00D807B6" w:rsidRPr="00C207D8">
        <w:rPr>
          <w:rStyle w:val="rynqvb"/>
        </w:rPr>
        <w:t xml:space="preserve">. </w:t>
      </w:r>
      <w:r w:rsidR="00CE6C79" w:rsidRPr="00C207D8">
        <w:rPr>
          <w:rStyle w:val="rynqvb"/>
        </w:rPr>
        <w:t xml:space="preserve">Ruska agresija v Ukrajini in z njo povezana </w:t>
      </w:r>
      <w:r w:rsidR="0078734F" w:rsidRPr="00C207D8">
        <w:rPr>
          <w:rStyle w:val="rynqvb"/>
        </w:rPr>
        <w:t>energetska</w:t>
      </w:r>
      <w:r w:rsidR="0078734F">
        <w:rPr>
          <w:rStyle w:val="rynqvb"/>
        </w:rPr>
        <w:t xml:space="preserve"> kriza sta vplivali tako na gospodarsko aktivnost EU kot tudi</w:t>
      </w:r>
      <w:r w:rsidR="00713954">
        <w:rPr>
          <w:rStyle w:val="rynqvb"/>
        </w:rPr>
        <w:t xml:space="preserve"> na</w:t>
      </w:r>
      <w:r w:rsidR="0078734F">
        <w:rPr>
          <w:rStyle w:val="rynqvb"/>
        </w:rPr>
        <w:t xml:space="preserve"> inflacijo. Ob tem pa je treba omeniti, da </w:t>
      </w:r>
      <w:r w:rsidR="00327E83">
        <w:rPr>
          <w:rStyle w:val="rynqvb"/>
        </w:rPr>
        <w:t xml:space="preserve">je </w:t>
      </w:r>
      <w:r w:rsidR="0078734F">
        <w:rPr>
          <w:rStyle w:val="rynqvb"/>
        </w:rPr>
        <w:t>zaradi izrednih okoliščin in zaporedja več šokov (npr. epidemija covida-19) težko opredeliti</w:t>
      </w:r>
      <w:r w:rsidR="002F79D3">
        <w:rPr>
          <w:rStyle w:val="rynqvb"/>
        </w:rPr>
        <w:t>,</w:t>
      </w:r>
      <w:r w:rsidR="0078734F">
        <w:rPr>
          <w:rStyle w:val="rynqvb"/>
        </w:rPr>
        <w:t xml:space="preserve"> kolikšen del inflacije je posledica odpiranja po koncu epidemije in kolikšen posledica vojne </w:t>
      </w:r>
      <w:r w:rsidR="0078734F">
        <w:rPr>
          <w:rStyle w:val="rynqvb"/>
        </w:rPr>
        <w:fldChar w:fldCharType="begin"/>
      </w:r>
      <w:r w:rsidR="0078734F">
        <w:rPr>
          <w:rStyle w:val="rynqvb"/>
        </w:rPr>
        <w:instrText xml:space="preserve"> ADDIN ZOTERO_ITEM CSL_CITATION {"citationID":"askcVH9N","properties":{"formattedCitation":"(Blot idr., 2023)","plainCitation":"(Blot idr., 2023)","noteIndex":0},"citationItems":[{"id":3976,"uris":["http://zotero.org/groups/4141114/items/T3MJE8HR"],"itemData":{"id":3976,"type":"report","collection-title":"Monetary Dialogue Papers","event-place":"Bruselj","language":"en","publisher":"Evropski parlament","publisher-place":"Bruselj","source":"Zotero","title":"The direct and indirect impacts of the war on inflation","URL":"https://www.europarl.europa.eu/RegData/etudes/IDAN/2023/741487/IPOL_IDA(2023)741487_EN.pdf","author":[{"family":"Blot","given":"Christophe"},{"family":"Creel","given":"Jérôme"},{"family":"Geerolf","given":"François"}],"issued":{"date-parts":[["2023"]]}}}],"schema":"https://github.com/citation-style-language/schema/raw/master/csl-citation.json"} </w:instrText>
      </w:r>
      <w:r w:rsidR="0078734F">
        <w:rPr>
          <w:rStyle w:val="rynqvb"/>
        </w:rPr>
        <w:fldChar w:fldCharType="separate"/>
      </w:r>
      <w:r w:rsidR="0078734F" w:rsidRPr="0078734F">
        <w:t>(Blot idr., 2023)</w:t>
      </w:r>
      <w:r w:rsidR="0078734F">
        <w:rPr>
          <w:rStyle w:val="rynqvb"/>
        </w:rPr>
        <w:fldChar w:fldCharType="end"/>
      </w:r>
      <w:r w:rsidR="0078734F">
        <w:rPr>
          <w:rStyle w:val="rynqvb"/>
        </w:rPr>
        <w:t>.</w:t>
      </w:r>
      <w:r w:rsidR="0078734F" w:rsidRPr="00D03946">
        <w:rPr>
          <w:rStyle w:val="FootnoteReference"/>
        </w:rPr>
        <w:footnoteReference w:id="15"/>
      </w:r>
      <w:r w:rsidR="0078734F">
        <w:rPr>
          <w:rStyle w:val="rynqvb"/>
        </w:rPr>
        <w:t xml:space="preserve"> </w:t>
      </w:r>
      <w:r w:rsidR="003943DC" w:rsidRPr="000E64EC">
        <w:t xml:space="preserve">ECB </w:t>
      </w:r>
      <w:r w:rsidR="003943DC" w:rsidRPr="000E64EC">
        <w:fldChar w:fldCharType="begin"/>
      </w:r>
      <w:r w:rsidR="00AE4F0C" w:rsidRPr="000E64EC">
        <w:instrText xml:space="preserve"> ADDIN ZOTERO_ITEM CSL_CITATION {"citationID":"x8JkBTdB","properties":{"formattedCitation":"(2022)","plainCitation":"(2022)","noteIndex":0},"citationItems":[{"id":3069,"uris":["http://zotero.org/groups/4141114/items/LBCJEXL3"],"itemData":{"id":3069,"type":"report","event-place":"Frankfurt","language":"en","number":"4","publisher":"Evropska centralna banka","publisher-place":"Frankfurt","title":"ECB Economic Bulletin","URL":"https://www.ecb.europa.eu/pub/economic-bulletin/html/eb202204.en.html","author":[{"family":"ECB","given":""}],"issued":{"date-parts":[["2022"]]}},"suppress-author":true}],"schema":"https://github.com/citation-style-language/schema/raw/master/csl-citation.json"} </w:instrText>
      </w:r>
      <w:r w:rsidR="003943DC" w:rsidRPr="000E64EC">
        <w:fldChar w:fldCharType="separate"/>
      </w:r>
      <w:r w:rsidR="003943DC" w:rsidRPr="000E64EC">
        <w:t>(2022)</w:t>
      </w:r>
      <w:r w:rsidR="003943DC" w:rsidRPr="000E64EC">
        <w:fldChar w:fldCharType="end"/>
      </w:r>
      <w:r w:rsidR="003943DC" w:rsidRPr="000E64EC">
        <w:t xml:space="preserve"> navaja, da </w:t>
      </w:r>
      <w:r w:rsidR="003943DC" w:rsidRPr="000E64EC">
        <w:rPr>
          <w:rStyle w:val="rynqvb"/>
        </w:rPr>
        <w:t xml:space="preserve">so zaradi </w:t>
      </w:r>
      <w:r w:rsidR="005E3C33" w:rsidRPr="000E64EC">
        <w:rPr>
          <w:rStyle w:val="rynqvb"/>
        </w:rPr>
        <w:t xml:space="preserve">vojne </w:t>
      </w:r>
      <w:r w:rsidR="003943DC" w:rsidRPr="000E64EC">
        <w:rPr>
          <w:rStyle w:val="rynqvb"/>
        </w:rPr>
        <w:t xml:space="preserve">gospodarski obeti postali bolj negotovi, zlasti v sektorjih, ki so odvisni od energije, in v sektorjih, ki proizvajajo trajno blago (oz. blago z daljšo življenjsko dobo). </w:t>
      </w:r>
      <w:r w:rsidR="00FC36F7" w:rsidRPr="000E64EC">
        <w:rPr>
          <w:rStyle w:val="rynqvb"/>
        </w:rPr>
        <w:t>Tekom leta so mednarodne in</w:t>
      </w:r>
      <w:r w:rsidR="00713954">
        <w:rPr>
          <w:rStyle w:val="rynqvb"/>
        </w:rPr>
        <w:t>s</w:t>
      </w:r>
      <w:r w:rsidR="00FC36F7" w:rsidRPr="000E64EC">
        <w:rPr>
          <w:rStyle w:val="rynqvb"/>
        </w:rPr>
        <w:t>titucije opazno znižale napovedi rasti, gospodarska rast naj bi se tako v letih 2022</w:t>
      </w:r>
      <w:r w:rsidR="00713954">
        <w:rPr>
          <w:rStyle w:val="rynqvb"/>
        </w:rPr>
        <w:t xml:space="preserve"> in 20</w:t>
      </w:r>
      <w:r w:rsidR="00FC36F7" w:rsidRPr="000E64EC">
        <w:rPr>
          <w:rStyle w:val="rynqvb"/>
        </w:rPr>
        <w:t>23 povečala le za okoli 3,5 %, s tem da so razmeroma nizke napovedi za leto 2023 (med 0,3</w:t>
      </w:r>
      <w:r w:rsidR="00E34CB0">
        <w:rPr>
          <w:rStyle w:val="rynqvb"/>
        </w:rPr>
        <w:t>–</w:t>
      </w:r>
      <w:r w:rsidR="00FC36F7" w:rsidRPr="000E64EC">
        <w:rPr>
          <w:rStyle w:val="rynqvb"/>
        </w:rPr>
        <w:t xml:space="preserve">0,5 %) povezane z veliko negotovostjo, največje tveganje pa predstavlja možno pomanjkanje plina v Evropi v </w:t>
      </w:r>
      <w:r w:rsidR="00713954">
        <w:rPr>
          <w:rStyle w:val="rynqvb"/>
        </w:rPr>
        <w:t xml:space="preserve">prihajajoči </w:t>
      </w:r>
      <w:r w:rsidR="00FC36F7" w:rsidRPr="000E64EC">
        <w:rPr>
          <w:rStyle w:val="rynqvb"/>
        </w:rPr>
        <w:t xml:space="preserve">zimi </w:t>
      </w:r>
      <w:r w:rsidR="00713954">
        <w:rPr>
          <w:rStyle w:val="rynqvb"/>
        </w:rPr>
        <w:t>(</w:t>
      </w:r>
      <w:r w:rsidR="00FC36F7" w:rsidRPr="000E64EC">
        <w:rPr>
          <w:rStyle w:val="rynqvb"/>
        </w:rPr>
        <w:t>2023/</w:t>
      </w:r>
      <w:r w:rsidR="00713954">
        <w:rPr>
          <w:rStyle w:val="rynqvb"/>
        </w:rPr>
        <w:t>20</w:t>
      </w:r>
      <w:r w:rsidR="00FC36F7" w:rsidRPr="000E64EC">
        <w:rPr>
          <w:rStyle w:val="rynqvb"/>
        </w:rPr>
        <w:t>24</w:t>
      </w:r>
      <w:r w:rsidR="00713954">
        <w:rPr>
          <w:rStyle w:val="rynqvb"/>
        </w:rPr>
        <w:t>)</w:t>
      </w:r>
      <w:r w:rsidR="00FC36F7" w:rsidRPr="000E64EC">
        <w:rPr>
          <w:rStyle w:val="rynqvb"/>
        </w:rPr>
        <w:t xml:space="preserve">. </w:t>
      </w:r>
      <w:r w:rsidR="00FC36F7" w:rsidRPr="000E64EC">
        <w:t xml:space="preserve">Napovedi gospodarske rasti so povezane z veliko negotovostjo, največje tveganje je možno pomanjkanje plina v Evropi, zlasti pozimi 2023/2024 </w:t>
      </w:r>
      <w:r w:rsidR="00FC36F7" w:rsidRPr="000E64EC">
        <w:rPr>
          <w:rStyle w:val="rynqvb"/>
        </w:rPr>
        <w:fldChar w:fldCharType="begin"/>
      </w:r>
      <w:r w:rsidR="00FC36F7" w:rsidRPr="000E64EC">
        <w:rPr>
          <w:rStyle w:val="rynqvb"/>
        </w:rPr>
        <w:instrText xml:space="preserve"> ADDIN ZOTERO_ITEM CSL_CITATION {"citationID":"RM4WoPYq","properties":{"formattedCitation":"(EK, 2022b)","plainCitation":"(EK, 2022b)","noteIndex":0},"citationItems":[{"id":3070,"uris":["http://zotero.org/groups/4141114/items/IWDNRU7R"],"itemData":{"id":3070,"type":"report","event-place":"Luxembourg","number":"Institutional Paper 187","publisher":"Urad za publikacije Evropske unije.","publisher-place":"Luxembourg","title":"European Economic Forecast, Autumn 2022","URL":"https://economy-finance.ec.europa.eu/economic-forecast-and-surveys/economic-forecasts/autumn-2022-economic-forecast-eu-economy-turning-point_sl","author":[{"family":"EK","given":""}],"issued":{"date-parts":[["2022"]]}}}],"schema":"https://github.com/citation-style-language/schema/raw/master/csl-citation.json"} </w:instrText>
      </w:r>
      <w:r w:rsidR="00FC36F7" w:rsidRPr="000E64EC">
        <w:rPr>
          <w:rStyle w:val="rynqvb"/>
        </w:rPr>
        <w:fldChar w:fldCharType="separate"/>
      </w:r>
      <w:r w:rsidR="00FC36F7" w:rsidRPr="000E64EC">
        <w:t>(EK, 2022b)</w:t>
      </w:r>
      <w:r w:rsidR="00FC36F7" w:rsidRPr="000E64EC">
        <w:rPr>
          <w:rStyle w:val="rynqvb"/>
        </w:rPr>
        <w:fldChar w:fldCharType="end"/>
      </w:r>
      <w:r w:rsidR="00FC36F7" w:rsidRPr="000E64EC">
        <w:t xml:space="preserve">. </w:t>
      </w:r>
      <w:r w:rsidR="00D807B6" w:rsidRPr="000E64EC">
        <w:rPr>
          <w:rStyle w:val="rynqvb"/>
        </w:rPr>
        <w:t>P</w:t>
      </w:r>
      <w:r w:rsidR="00BB3C68" w:rsidRPr="000E64EC">
        <w:rPr>
          <w:bCs/>
        </w:rPr>
        <w:t xml:space="preserve">recejšna odvisnost EU od ruskih </w:t>
      </w:r>
      <w:r w:rsidR="00D807B6" w:rsidRPr="000E64EC">
        <w:rPr>
          <w:bCs/>
        </w:rPr>
        <w:t>fosilnih goriv</w:t>
      </w:r>
      <w:r w:rsidR="00BB3C68" w:rsidRPr="000E64EC">
        <w:rPr>
          <w:bCs/>
        </w:rPr>
        <w:t xml:space="preserve"> (zemeljskega plina in nafte)</w:t>
      </w:r>
      <w:r w:rsidR="00D807B6" w:rsidRPr="000E64EC">
        <w:rPr>
          <w:bCs/>
        </w:rPr>
        <w:t xml:space="preserve"> je tudi vplivala </w:t>
      </w:r>
      <w:r w:rsidR="00BB3C68" w:rsidRPr="000E64EC">
        <w:rPr>
          <w:bCs/>
        </w:rPr>
        <w:t>na hitrost ukrepanja in sprejemanja sankcij v EU</w:t>
      </w:r>
      <w:r w:rsidR="00600A5F" w:rsidRPr="000E64EC">
        <w:rPr>
          <w:bCs/>
        </w:rPr>
        <w:t xml:space="preserve"> </w:t>
      </w:r>
      <w:r w:rsidR="00D82C55" w:rsidRPr="000E64EC">
        <w:rPr>
          <w:bCs/>
        </w:rPr>
        <w:fldChar w:fldCharType="begin"/>
      </w:r>
      <w:r w:rsidR="00D82C55" w:rsidRPr="000E64EC">
        <w:rPr>
          <w:bCs/>
        </w:rPr>
        <w:instrText xml:space="preserve"> ADDIN ZOTERO_ITEM CSL_CITATION {"citationID":"D2lxJK2k","properties":{"formattedCitation":"(IEA, 2022; Nelson M., 2022)","plainCitation":"(IEA, 2022; Nelson M., 2022)","noteIndex":0},"citationItems":[{"id":3044,"uris":["http://zotero.org/groups/4141114/items/DBWQYWLH"],"itemData":{"id":3044,"type":"report","language":"en","publisher":"International Energy Agency","source":"Zotero","title":"A 10-Point Plan to Reduce the European Union’s Reliance on Russian Natural Gas","URL":"https://iea.blob.core.windows.net/assets/1af70a5f-9059-47b4-a2dd-1b479918f3cb/A10-PointPlantoReducetheEuropeanUnionsRelianceonRussianNaturalGas.pdf","author":[{"family":"IEA","given":""}],"issued":{"date-parts":[["2022"]]}}},{"id":3047,"uris":["http://zotero.org/groups/4141114/items/CFJTPLPS"],"itemData":{"id":3047,"type":"report","collection-title":"In focus","event-place":"Washington","publisher":"Congressional Research Service","publisher-place":"Washington","title":"The Economic Impact of Russia Sanctions","URL":"https://crsreports.congress.gov/product/pdf/IF/IF12092","author":[{"family":"Nelson M.","given":"Rebecca"}],"issued":{"date-parts":[["2022"]]}}}],"schema":"https://github.com/citation-style-language/schema/raw/master/csl-citation.json"} </w:instrText>
      </w:r>
      <w:r w:rsidR="00D82C55" w:rsidRPr="000E64EC">
        <w:rPr>
          <w:bCs/>
        </w:rPr>
        <w:fldChar w:fldCharType="separate"/>
      </w:r>
      <w:r w:rsidR="00D82C55" w:rsidRPr="000E64EC">
        <w:t>(IEA, 2022; Nelson M., 2022)</w:t>
      </w:r>
      <w:r w:rsidR="00D82C55" w:rsidRPr="000E64EC">
        <w:rPr>
          <w:bCs/>
        </w:rPr>
        <w:fldChar w:fldCharType="end"/>
      </w:r>
      <w:r w:rsidR="00BB3C68" w:rsidRPr="000E64EC">
        <w:rPr>
          <w:bCs/>
        </w:rPr>
        <w:t xml:space="preserve">. </w:t>
      </w:r>
      <w:r w:rsidR="00F856EC" w:rsidRPr="000E64EC">
        <w:rPr>
          <w:rStyle w:val="rynqvb"/>
        </w:rPr>
        <w:t xml:space="preserve">Dobava ruskega zemeljskega plina, ki je ključnega pomena za ogrevanje, industrijo in proizvodnjo elektrike v EU, je bila od začetka vojne zmanjšana za več kot 40 %, veleprodajne cene elektrike in plina pa so se močno povečale, kar je </w:t>
      </w:r>
      <w:r w:rsidR="00F856EC" w:rsidRPr="000E64EC">
        <w:rPr>
          <w:rStyle w:val="rynqvb"/>
        </w:rPr>
        <w:lastRenderedPageBreak/>
        <w:t xml:space="preserve">imelo posledice za gospodinjstva in industrijo. </w:t>
      </w:r>
      <w:r w:rsidR="00BB3C68" w:rsidRPr="000E64EC">
        <w:rPr>
          <w:bCs/>
        </w:rPr>
        <w:t xml:space="preserve">Podatki </w:t>
      </w:r>
      <w:r w:rsidR="00DB3441">
        <w:rPr>
          <w:bCs/>
        </w:rPr>
        <w:t xml:space="preserve">Eurostat </w:t>
      </w:r>
      <w:r w:rsidR="00BB3C68" w:rsidRPr="000E64EC">
        <w:rPr>
          <w:bCs/>
        </w:rPr>
        <w:t xml:space="preserve">Comext </w:t>
      </w:r>
      <w:r w:rsidR="0077353B" w:rsidRPr="000E64EC">
        <w:rPr>
          <w:bCs/>
        </w:rPr>
        <w:fldChar w:fldCharType="begin"/>
      </w:r>
      <w:r w:rsidR="007D79CF">
        <w:rPr>
          <w:bCs/>
        </w:rPr>
        <w:instrText xml:space="preserve"> ADDIN ZOTERO_ITEM CSL_CITATION {"citationID":"2AlvrD6y","properties":{"formattedCitation":"(2023)","plainCitation":"(2023)","noteIndex":0},"citationItems":[{"id":3042,"uris":["http://zotero.org/groups/4141114/items/ZBMKG2ZC"],"itemData":{"id":3042,"type":"report","event-place":"Luxembourg","genre":"podatkovna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rsidR="0077353B" w:rsidRPr="000E64EC">
        <w:rPr>
          <w:bCs/>
        </w:rPr>
        <w:fldChar w:fldCharType="separate"/>
      </w:r>
      <w:r w:rsidR="007D79CF" w:rsidRPr="007D79CF">
        <w:t>(2023)</w:t>
      </w:r>
      <w:r w:rsidR="0077353B" w:rsidRPr="000E64EC">
        <w:rPr>
          <w:bCs/>
        </w:rPr>
        <w:fldChar w:fldCharType="end"/>
      </w:r>
      <w:r w:rsidR="0077353B" w:rsidRPr="000E64EC">
        <w:rPr>
          <w:bCs/>
        </w:rPr>
        <w:t xml:space="preserve"> </w:t>
      </w:r>
      <w:r w:rsidR="00BB3C68" w:rsidRPr="000E64EC">
        <w:rPr>
          <w:bCs/>
        </w:rPr>
        <w:t xml:space="preserve">kažejo, da se je </w:t>
      </w:r>
      <w:r w:rsidR="0077353B" w:rsidRPr="000E64EC">
        <w:rPr>
          <w:bCs/>
        </w:rPr>
        <w:t>uvoz ruskih</w:t>
      </w:r>
      <w:r w:rsidR="00BB3C68" w:rsidRPr="000E64EC">
        <w:rPr>
          <w:bCs/>
        </w:rPr>
        <w:t xml:space="preserve"> </w:t>
      </w:r>
      <w:r w:rsidR="00D807B6" w:rsidRPr="000E64EC">
        <w:rPr>
          <w:bCs/>
        </w:rPr>
        <w:t>fosilnih goriv</w:t>
      </w:r>
      <w:r w:rsidR="00BB3C68" w:rsidRPr="000E64EC">
        <w:rPr>
          <w:bCs/>
        </w:rPr>
        <w:t xml:space="preserve"> v EU v</w:t>
      </w:r>
      <w:r w:rsidR="00697419">
        <w:rPr>
          <w:bCs/>
        </w:rPr>
        <w:t xml:space="preserve"> prvih mesecih vojne </w:t>
      </w:r>
      <w:r w:rsidR="00BB3C68" w:rsidRPr="000E64EC">
        <w:rPr>
          <w:bCs/>
        </w:rPr>
        <w:t>(marec</w:t>
      </w:r>
      <w:r w:rsidR="00713954">
        <w:rPr>
          <w:bCs/>
        </w:rPr>
        <w:t>–</w:t>
      </w:r>
      <w:r w:rsidR="00BB3C68" w:rsidRPr="000E64EC">
        <w:rPr>
          <w:bCs/>
        </w:rPr>
        <w:t>oktober</w:t>
      </w:r>
      <w:r w:rsidR="00713954">
        <w:rPr>
          <w:bCs/>
        </w:rPr>
        <w:t xml:space="preserve"> 2022</w:t>
      </w:r>
      <w:r w:rsidR="00BB3C68" w:rsidRPr="000E64EC">
        <w:rPr>
          <w:bCs/>
        </w:rPr>
        <w:t>) medletno sicer zmanjšal (za 27</w:t>
      </w:r>
      <w:r w:rsidR="0077353B" w:rsidRPr="000E64EC">
        <w:rPr>
          <w:bCs/>
        </w:rPr>
        <w:t> </w:t>
      </w:r>
      <w:r w:rsidR="00BB3C68" w:rsidRPr="000E64EC">
        <w:rPr>
          <w:bCs/>
        </w:rPr>
        <w:t>%, izraženo v masi), a je bil še naprej visok (103 mrd EUR) in je predstavljal skoraj tri</w:t>
      </w:r>
      <w:r w:rsidR="000E64EC">
        <w:rPr>
          <w:bCs/>
        </w:rPr>
        <w:t xml:space="preserve"> </w:t>
      </w:r>
      <w:r w:rsidR="00BB3C68" w:rsidRPr="000E64EC">
        <w:rPr>
          <w:bCs/>
        </w:rPr>
        <w:t>četrtine celotne</w:t>
      </w:r>
      <w:r w:rsidR="0077353B" w:rsidRPr="000E64EC">
        <w:rPr>
          <w:bCs/>
        </w:rPr>
        <w:t>ga</w:t>
      </w:r>
      <w:r w:rsidR="00BB3C68" w:rsidRPr="000E64EC">
        <w:rPr>
          <w:bCs/>
        </w:rPr>
        <w:t xml:space="preserve"> </w:t>
      </w:r>
      <w:r w:rsidR="0077353B" w:rsidRPr="000E64EC">
        <w:rPr>
          <w:bCs/>
        </w:rPr>
        <w:t>uvoza Rusije</w:t>
      </w:r>
      <w:r w:rsidR="00BB3C68" w:rsidRPr="000E64EC">
        <w:rPr>
          <w:bCs/>
        </w:rPr>
        <w:t xml:space="preserve"> v EU. </w:t>
      </w:r>
      <w:r w:rsidR="00D94D81">
        <w:rPr>
          <w:bCs/>
        </w:rPr>
        <w:t>Do konca leta 2022 je EU diverzificirala uvoz plina in zmanjšala uvoz ter s tem tudi odvisnost od ruskega plina</w:t>
      </w:r>
      <w:r w:rsidR="00BA1A5B">
        <w:rPr>
          <w:bCs/>
        </w:rPr>
        <w:t xml:space="preserve"> </w:t>
      </w:r>
      <w:r w:rsidR="00B0707C" w:rsidRPr="000E64EC">
        <w:rPr>
          <w:rStyle w:val="rynqvb"/>
        </w:rPr>
        <w:fldChar w:fldCharType="begin"/>
      </w:r>
      <w:r w:rsidR="00F45608">
        <w:rPr>
          <w:rStyle w:val="rynqvb"/>
        </w:rPr>
        <w:instrText xml:space="preserve"> ADDIN ZOTERO_ITEM CSL_CITATION {"citationID":"anZCCZaE","properties":{"formattedCitation":"(Svet EU, 2023b)","plainCitation":"(Svet EU, 2023b)","noteIndex":0},"citationItems":[{"id":3057,"uris":["http://zotero.org/groups/4141114/items/TSBGPWBZ"],"itemData":{"id":3057,"type":"webpage","language":"en","title":"Where does the EU’s gas come from?","URL":"https://www.consilium.europa.eu/en/infographics/eu-gas-supply/","author":[{"family":"Svet EU","given":""}],"accessed":{"date-parts":[["2023",7,21]]},"issued":{"date-parts":[["2023"]]}}}],"schema":"https://github.com/citation-style-language/schema/raw/master/csl-citation.json"} </w:instrText>
      </w:r>
      <w:r w:rsidR="00B0707C" w:rsidRPr="000E64EC">
        <w:rPr>
          <w:rStyle w:val="rynqvb"/>
        </w:rPr>
        <w:fldChar w:fldCharType="separate"/>
      </w:r>
      <w:r w:rsidR="00F45608" w:rsidRPr="00F45608">
        <w:t>(Svet EU, 2023b)</w:t>
      </w:r>
      <w:r w:rsidR="00B0707C" w:rsidRPr="000E64EC">
        <w:rPr>
          <w:rStyle w:val="rynqvb"/>
        </w:rPr>
        <w:fldChar w:fldCharType="end"/>
      </w:r>
      <w:r w:rsidR="00B0707C">
        <w:rPr>
          <w:rStyle w:val="rynqvb"/>
        </w:rPr>
        <w:t>.</w:t>
      </w:r>
      <w:r w:rsidR="00B0707C" w:rsidRPr="00B0707C">
        <w:rPr>
          <w:rStyle w:val="FootnoteReference"/>
        </w:rPr>
        <w:t xml:space="preserve"> </w:t>
      </w:r>
      <w:r w:rsidR="00B0707C" w:rsidRPr="00D03946">
        <w:rPr>
          <w:rStyle w:val="FootnoteReference"/>
        </w:rPr>
        <w:footnoteReference w:id="16"/>
      </w:r>
    </w:p>
    <w:p w14:paraId="09C2594D" w14:textId="7FE885EF" w:rsidR="00D82C55" w:rsidRDefault="00D82C55" w:rsidP="00BB3C68">
      <w:pPr>
        <w:pStyle w:val="BesediloUMAR"/>
        <w:rPr>
          <w:bCs/>
        </w:rPr>
      </w:pPr>
    </w:p>
    <w:p w14:paraId="43B44E22" w14:textId="30FD7ED9" w:rsidR="00DB3441" w:rsidRPr="004F7815" w:rsidRDefault="00DB3441" w:rsidP="00DB3441">
      <w:pPr>
        <w:pStyle w:val="BesediloUMAR"/>
        <w:rPr>
          <w:rFonts w:ascii="Times New Roman" w:eastAsia="Times New Roman" w:hAnsi="Times New Roman" w:cs="Times New Roman"/>
          <w:sz w:val="24"/>
          <w:szCs w:val="24"/>
          <w:lang w:eastAsia="sl-SI"/>
        </w:rPr>
      </w:pPr>
      <w:r w:rsidRPr="007D5339">
        <w:rPr>
          <w:b/>
        </w:rPr>
        <w:t xml:space="preserve">Ukrajina je </w:t>
      </w:r>
      <w:r w:rsidR="00713954">
        <w:rPr>
          <w:b/>
        </w:rPr>
        <w:t xml:space="preserve">utrpela </w:t>
      </w:r>
      <w:r w:rsidRPr="007D5339">
        <w:rPr>
          <w:b/>
        </w:rPr>
        <w:t xml:space="preserve">velike humanitarne in gospodarske posledice. </w:t>
      </w:r>
      <w:r w:rsidR="00713954" w:rsidRPr="000E64EC">
        <w:rPr>
          <w:szCs w:val="24"/>
        </w:rPr>
        <w:t xml:space="preserve">Agresija </w:t>
      </w:r>
      <w:r w:rsidR="00713954" w:rsidRPr="000E64EC">
        <w:t>je sprožila humanitarno krizo in begunski val</w:t>
      </w:r>
      <w:r w:rsidR="00713954" w:rsidRPr="000E64EC">
        <w:rPr>
          <w:szCs w:val="24"/>
        </w:rPr>
        <w:t xml:space="preserve">, saj je do </w:t>
      </w:r>
      <w:r w:rsidR="00713954">
        <w:rPr>
          <w:szCs w:val="24"/>
        </w:rPr>
        <w:t>konca leta</w:t>
      </w:r>
      <w:r w:rsidR="00713954" w:rsidRPr="000E64EC">
        <w:rPr>
          <w:szCs w:val="24"/>
        </w:rPr>
        <w:t xml:space="preserve"> 202</w:t>
      </w:r>
      <w:r w:rsidR="00713954">
        <w:rPr>
          <w:szCs w:val="24"/>
        </w:rPr>
        <w:t>3</w:t>
      </w:r>
      <w:r w:rsidR="00713954" w:rsidRPr="000E64EC">
        <w:rPr>
          <w:szCs w:val="24"/>
        </w:rPr>
        <w:t xml:space="preserve"> svoje domove zapustilo okoli 12 milijonov oseb, zatočišče v sosednjih državah pa je poiskalo </w:t>
      </w:r>
      <w:r w:rsidR="00713954">
        <w:rPr>
          <w:szCs w:val="24"/>
        </w:rPr>
        <w:t>več kot</w:t>
      </w:r>
      <w:r w:rsidR="00713954" w:rsidRPr="000E64EC">
        <w:rPr>
          <w:szCs w:val="24"/>
        </w:rPr>
        <w:t xml:space="preserve"> </w:t>
      </w:r>
      <w:r w:rsidR="00713954">
        <w:rPr>
          <w:szCs w:val="24"/>
        </w:rPr>
        <w:t>7</w:t>
      </w:r>
      <w:r w:rsidR="00713954" w:rsidRPr="000E64EC">
        <w:rPr>
          <w:szCs w:val="24"/>
        </w:rPr>
        <w:t xml:space="preserve"> mi</w:t>
      </w:r>
      <w:r w:rsidR="00713954">
        <w:rPr>
          <w:szCs w:val="24"/>
        </w:rPr>
        <w:t>lijonov</w:t>
      </w:r>
      <w:r w:rsidR="00713954" w:rsidRPr="000E64EC">
        <w:rPr>
          <w:szCs w:val="24"/>
        </w:rPr>
        <w:t xml:space="preserve"> prebivalcev Ukrajine </w:t>
      </w:r>
      <w:r w:rsidR="00713954" w:rsidRPr="000E64EC">
        <w:rPr>
          <w:szCs w:val="24"/>
        </w:rPr>
        <w:fldChar w:fldCharType="begin"/>
      </w:r>
      <w:r w:rsidR="00713954">
        <w:rPr>
          <w:szCs w:val="24"/>
        </w:rPr>
        <w:instrText xml:space="preserve"> ADDIN ZOTERO_ITEM CSL_CITATION {"citationID":"u7IRzCCU","properties":{"formattedCitation":"(UNOCHA, 2023)","plainCitation":"(UNOCHA, 2023)","noteIndex":0},"citationItems":[{"id":2910,"uris":["http://zotero.org/groups/4141114/items/FQV8G65J"],"itemData":{"id":2910,"type":"webpage","abstract":"The OCHA HDX Ukraine data explorer brings together data from multiple partners on the humanitarian impact following the Russian Federation military offensive on 24 February 2022.","language":"en","title":"UNOCHA Ukraine Data Explorer","URL":"https://data.humdata.org/visualization/ukraine-humanitarian-operations/","author":[{"family":"UNOCHA","given":""}],"issued":{"date-parts":[["2023"]]}}}],"schema":"https://github.com/citation-style-language/schema/raw/master/csl-citation.json"} </w:instrText>
      </w:r>
      <w:r w:rsidR="00713954" w:rsidRPr="000E64EC">
        <w:rPr>
          <w:szCs w:val="24"/>
        </w:rPr>
        <w:fldChar w:fldCharType="separate"/>
      </w:r>
      <w:r w:rsidR="00713954" w:rsidRPr="000E64EC">
        <w:t>(UNOCHA, 2023)</w:t>
      </w:r>
      <w:r w:rsidR="00713954" w:rsidRPr="000E64EC">
        <w:rPr>
          <w:szCs w:val="24"/>
        </w:rPr>
        <w:fldChar w:fldCharType="end"/>
      </w:r>
      <w:r w:rsidR="00713954" w:rsidRPr="000E64EC">
        <w:t xml:space="preserve">. Po podatkih visokega komisarja ZN za človekove pravice </w:t>
      </w:r>
      <w:r w:rsidR="00713954">
        <w:fldChar w:fldCharType="begin"/>
      </w:r>
      <w:r w:rsidR="00713954">
        <w:instrText xml:space="preserve"> ADDIN ZOTERO_ITEM CSL_CITATION {"citationID":"feKufu7l","properties":{"formattedCitation":"(OHCHR, 2023)","plainCitation":"(OHCHR, 2023)","noteIndex":0},"citationItems":[{"id":3909,"uris":["http://zotero.org/groups/4141114/items/TWTZ34QZ"],"itemData":{"id":3909,"type":"webpage","container-title":"OHCHR","language":"en","title":"Ukraine: Civilian casualties from 1 to 16 July 2023","title-short":"Ukraine","URL":"https://www.ohchr.org/en/news/2023/07/ukraine-civilian-casualties-1-16-july-2023","author":[{"family":"OHCHR","given":""}],"accessed":{"date-parts":[["2023",7,25]]},"issued":{"date-parts":[["2023"]]}}}],"schema":"https://github.com/citation-style-language/schema/raw/master/csl-citation.json"} </w:instrText>
      </w:r>
      <w:r w:rsidR="00713954">
        <w:fldChar w:fldCharType="separate"/>
      </w:r>
      <w:r w:rsidR="00713954" w:rsidRPr="001F2115">
        <w:t>(OHCHR, 2023)</w:t>
      </w:r>
      <w:r w:rsidR="00713954">
        <w:fldChar w:fldCharType="end"/>
      </w:r>
      <w:r w:rsidR="00713954" w:rsidRPr="000E64EC">
        <w:t xml:space="preserve"> je bilo v tem obdobju </w:t>
      </w:r>
      <w:r w:rsidR="00713954">
        <w:t>več kot</w:t>
      </w:r>
      <w:r w:rsidR="006D56B5">
        <w:t xml:space="preserve"> </w:t>
      </w:r>
      <w:r w:rsidR="00713954">
        <w:t>25.000</w:t>
      </w:r>
      <w:r w:rsidR="00713954" w:rsidRPr="000E64EC">
        <w:t xml:space="preserve"> civilnih žrtev (do </w:t>
      </w:r>
      <w:r w:rsidR="00713954">
        <w:t xml:space="preserve">16. julija </w:t>
      </w:r>
      <w:r w:rsidR="00713954" w:rsidRPr="000E64EC">
        <w:t xml:space="preserve">2023 </w:t>
      </w:r>
      <w:r w:rsidR="00713954">
        <w:t>9287</w:t>
      </w:r>
      <w:r w:rsidR="00713954" w:rsidRPr="000E64EC">
        <w:t xml:space="preserve"> ubitih in </w:t>
      </w:r>
      <w:r w:rsidR="00713954">
        <w:t>16.384</w:t>
      </w:r>
      <w:r w:rsidR="00713954" w:rsidRPr="000E64EC">
        <w:t xml:space="preserve"> ranjenih). Vojna je povzročila v Ukrajini tudi veliko gospodarsko škodo, </w:t>
      </w:r>
      <w:r w:rsidR="00713954">
        <w:t>s</w:t>
      </w:r>
      <w:r w:rsidR="00713954" w:rsidRPr="000E64EC">
        <w:t xml:space="preserve">kupna ocenjena škoda do </w:t>
      </w:r>
      <w:r w:rsidR="00713954">
        <w:t>aprila 2023</w:t>
      </w:r>
      <w:r w:rsidR="00713954" w:rsidRPr="000E64EC">
        <w:t xml:space="preserve"> znaš</w:t>
      </w:r>
      <w:r w:rsidR="00713954">
        <w:t>a</w:t>
      </w:r>
      <w:r w:rsidR="00713954" w:rsidRPr="000E64EC">
        <w:t xml:space="preserve"> </w:t>
      </w:r>
      <w:r w:rsidR="00713954">
        <w:t>okoli 147,5</w:t>
      </w:r>
      <w:r w:rsidR="00713954" w:rsidRPr="000E64EC">
        <w:t xml:space="preserve"> milijard USD, od tega 5</w:t>
      </w:r>
      <w:r w:rsidR="00713954">
        <w:t>4,4</w:t>
      </w:r>
      <w:r w:rsidR="00713954" w:rsidRPr="000E64EC">
        <w:t xml:space="preserve"> milijard </w:t>
      </w:r>
      <w:r w:rsidR="00713954">
        <w:t xml:space="preserve">USD </w:t>
      </w:r>
      <w:r w:rsidR="00713954" w:rsidRPr="000E64EC">
        <w:t>na stanovanjskih zgradbah in 3</w:t>
      </w:r>
      <w:r w:rsidR="00713954">
        <w:t>6,2</w:t>
      </w:r>
      <w:r w:rsidR="00713954" w:rsidRPr="000E64EC">
        <w:t xml:space="preserve"> milijard</w:t>
      </w:r>
      <w:r w:rsidR="00713954">
        <w:t xml:space="preserve"> USD</w:t>
      </w:r>
      <w:r w:rsidR="00713954" w:rsidRPr="000E64EC">
        <w:t xml:space="preserve"> na transportni infrastrukturi </w:t>
      </w:r>
      <w:r w:rsidR="00713954" w:rsidRPr="000E64EC">
        <w:fldChar w:fldCharType="begin"/>
      </w:r>
      <w:r w:rsidR="00713954">
        <w:instrText xml:space="preserve"> ADDIN ZOTERO_ITEM CSL_CITATION {"citationID":"EwFZzEP7","properties":{"formattedCitation":"(Kulish, 2023; Statista, 2023)","plainCitation":"(Kulish, 2023; Statista, 2023)","noteIndex":0},"citationItems":[{"id":3887,"uris":["http://zotero.org/groups/4141114/items/HPPMW5G9"],"itemData":{"id":3887,"type":"post-weblog","container-title":"Kyiv School of Economics","language":"en_US","title":"$147.5 billion — the total amount of damages caused to Ukraine's infrastructure due to the war, as of April 2023","URL":"https://kse.ua/about-the-school/news/147-5-billion-the-total-amount-of-damages-caused-to-ukraine-s-infrastructure-due-to-the-war-as-of-april-2023/","author":[{"family":"Kulish","given":"Hnat"}],"accessed":{"date-parts":[["2023",7,24]]},"issued":{"date-parts":[["2023"]]}}},{"id":2917,"uris":["http://zotero.org/groups/4141114/items/RLQNPJ6U"],"itemData":{"id":2917,"type":"webpage","abstract":"Ukraine's housing, transportation, and industrial sector infrastructure recorded the highest direct losses from war damages as of September 2022.","container-title":"Statista","language":"en","title":"Ukraine infrastructure damage 2022","URL":"https://www.statista.com/statistics/1303344/ukraine-infrastructure-war-damage/","author":[{"family":"Statista","given":""}],"accessed":{"date-parts":[["2023",1,10]]},"issued":{"date-parts":[["2023"]]}}}],"schema":"https://github.com/citation-style-language/schema/raw/master/csl-citation.json"} </w:instrText>
      </w:r>
      <w:r w:rsidR="00713954" w:rsidRPr="000E64EC">
        <w:fldChar w:fldCharType="separate"/>
      </w:r>
      <w:r w:rsidR="00713954" w:rsidRPr="00F86DD8">
        <w:t>(Kulish, 2023; Statista, 2023)</w:t>
      </w:r>
      <w:r w:rsidR="00713954" w:rsidRPr="000E64EC">
        <w:fldChar w:fldCharType="end"/>
      </w:r>
      <w:r w:rsidR="00713954" w:rsidRPr="000E64EC">
        <w:t>.</w:t>
      </w:r>
      <w:r w:rsidR="00713954">
        <w:t xml:space="preserve"> Močno prizadeta je bila predvsem jeklarska industrija, ki je pred vojno predstavljala tretjino vsega ukrajinskega izvoza in bila tudi eden največjih delodajalcev. Proizvodnja jekla se je v letu 2022 zmanjšala za več kot 70 % </w:t>
      </w:r>
      <w:r w:rsidR="00713954">
        <w:fldChar w:fldCharType="begin"/>
      </w:r>
      <w:r w:rsidR="00713954">
        <w:instrText xml:space="preserve"> ADDIN ZOTERO_ITEM CSL_CITATION {"citationID":"smyXdUNN","properties":{"formattedCitation":"(Euronews, 2023a)","plainCitation":"(Euronews, 2023a)","noteIndex":0},"citationItems":[{"id":3889,"uris":["http://zotero.org/groups/4141114/items/CVBX6PPA"],"itemData":{"id":3889,"type":"webpage","container-title":"Euronews","language":"en","title":"Ukraine steel output falls 70.7% in 2022 due to Russian invasion","URL":"https://www.euronews.com/2023/01/11/ukraine-crisis-steel","author":[{"family":"Euronews","given":""}],"accessed":{"date-parts":[["2023",7,24]]},"issued":{"date-parts":[["2023",1,11]]}}}],"schema":"https://github.com/citation-style-language/schema/raw/master/csl-citation.json"} </w:instrText>
      </w:r>
      <w:r w:rsidR="00713954">
        <w:fldChar w:fldCharType="separate"/>
      </w:r>
      <w:r w:rsidR="00713954" w:rsidRPr="007761F1">
        <w:t>(Euronews, 2023a)</w:t>
      </w:r>
      <w:r w:rsidR="00713954">
        <w:fldChar w:fldCharType="end"/>
      </w:r>
      <w:r w:rsidR="00713954">
        <w:t xml:space="preserve">. Drugi najpomembnejši izvozni proizvod so bili pred vojno kmetijski proizvodi. Prve ocene kažejo, da je 26 % obdelovalnih površin izgubljenih, poškodovanih ali prenevarnih za obdelavo </w:t>
      </w:r>
      <w:r w:rsidR="00713954">
        <w:fldChar w:fldCharType="begin"/>
      </w:r>
      <w:r w:rsidR="00713954">
        <w:instrText xml:space="preserve"> ADDIN ZOTERO_ITEM CSL_CITATION {"citationID":"PJYqCEdK","properties":{"formattedCitation":"(The Brussels Times, 2022)","plainCitation":"(The Brussels Times, 2022)","noteIndex":0},"citationItems":[{"id":3891,"uris":["http://zotero.org/groups/4141114/items/AIADF6KN"],"itemData":{"id":3891,"type":"webpage","abstract":"This year's harvest will be sufficient for domestic demand due to the mass exodus of Ukrainians. The export situation, however, is looking much more uncertain.","language":"en","title":"Ukraine loses 25% of arable land due to Russian invasion","URL":"https://www.brusselstimes.com/238300/war-in-ukraine-ukraine-loses-25-of-arable-land","author":[{"family":"The Brussels Times","given":""}],"accessed":{"date-parts":[["2023",7,25]]},"issued":{"date-parts":[["2022"]]}}}],"schema":"https://github.com/citation-style-language/schema/raw/master/csl-citation.json"} </w:instrText>
      </w:r>
      <w:r w:rsidR="00713954">
        <w:fldChar w:fldCharType="separate"/>
      </w:r>
      <w:r w:rsidR="00713954" w:rsidRPr="007761F1">
        <w:t>(The Brussels Times, 2022)</w:t>
      </w:r>
      <w:r w:rsidR="00713954">
        <w:fldChar w:fldCharType="end"/>
      </w:r>
      <w:r w:rsidR="00713954">
        <w:t xml:space="preserve">. To je zmanjšalo žetev žit v letu 2022 za okoli 40 % </w:t>
      </w:r>
      <w:r w:rsidR="00713954">
        <w:fldChar w:fldCharType="begin"/>
      </w:r>
      <w:r w:rsidR="00713954">
        <w:instrText xml:space="preserve"> ADDIN ZOTERO_ITEM CSL_CITATION {"citationID":"FxntY83f","properties":{"formattedCitation":"(Euronews, 2023b)","plainCitation":"(Euronews, 2023b)","noteIndex":0},"citationItems":[{"id":3893,"uris":["http://zotero.org/groups/4141114/items/APEGQVCI"],"itemData":{"id":3893,"type":"webpage","abstract":"KYIV  –     Ukrainian farms had harvested","container-title":"euronews","language":"en","title":"Ukraine grain harvest 97% complete at 53.2 million T -ministry","URL":"https://www.euronews.com/next/2023/02/04/ukraine-crisis-grain-harvest","author":[{"family":"Euronews","given":""}],"accessed":{"date-parts":[["2023",7,25]]},"issued":{"date-parts":[["2023",2,5]]}}}],"schema":"https://github.com/citation-style-language/schema/raw/master/csl-citation.json"} </w:instrText>
      </w:r>
      <w:r w:rsidR="00713954">
        <w:fldChar w:fldCharType="separate"/>
      </w:r>
      <w:r w:rsidR="00713954" w:rsidRPr="007761F1">
        <w:t>(Euronews, 2023b)</w:t>
      </w:r>
      <w:r w:rsidR="00713954">
        <w:fldChar w:fldCharType="end"/>
      </w:r>
      <w:r w:rsidR="00713954">
        <w:t>, motene pa so bile tudi običajne transportne poti.</w:t>
      </w:r>
      <w:r w:rsidR="00713954" w:rsidRPr="009560E4">
        <w:rPr>
          <w:rStyle w:val="FootnoteReference"/>
        </w:rPr>
        <w:t xml:space="preserve"> </w:t>
      </w:r>
      <w:r w:rsidR="00713954" w:rsidRPr="00591369">
        <w:rPr>
          <w:rStyle w:val="FootnoteReference"/>
        </w:rPr>
        <w:footnoteReference w:id="17"/>
      </w:r>
      <w:r w:rsidR="00713954">
        <w:t xml:space="preserve"> Ukrajinski BDP se je v letu 2022 skrčil za več kot 30 %, napovedi pa zaradi nadaljevanja vojne v letu 2023 ne nakazujejo izboljšanja </w:t>
      </w:r>
      <w:r w:rsidR="00713954">
        <w:fldChar w:fldCharType="begin"/>
      </w:r>
      <w:r w:rsidR="00713954">
        <w:instrText xml:space="preserve"> ADDIN ZOTERO_ITEM CSL_CITATION {"citationID":"tT6ShdE4","properties":{"formattedCitation":"(IMF, 2023a; WB, 2023a)","plainCitation":"(IMF, 2023a; WB, 2023a)","noteIndex":0},"citationItems":[{"id":3438,"uris":["http://zotero.org/groups/4141114/items/N9WF8F9R"],"itemData":{"id":3438,"type":"report","title":"World Economic Outlook Update","URL":"https://www.imf.org/en/Publications/WEO/Issues/2023/01/31/world-economic-outlook-update-january-2023","author":[{"family":"IMF","given":""}],"issued":{"date-parts":[["2023"]],"season":"1"}}},{"id":3899,"uris":["http://zotero.org/groups/4141114/items/54JH4GNI"],"itemData":{"id":3899,"type":"report","event-place":"Washington, DC","language":"en","publisher":"World Bank Group","publisher-place":"Washington, DC","source":"Zotero","title":"Global Economic Prospects - June 2023","URL":"https://openknowledge.worldbank.org/server/api/core/bitstreams/6e892b75-2594-4901-a036-46d0dec1e753/content","author":[{"family":"WB","given":""}],"issued":{"date-parts":[["2023"]]}}}],"schema":"https://github.com/citation-style-language/schema/raw/master/csl-citation.json"} </w:instrText>
      </w:r>
      <w:r w:rsidR="00713954">
        <w:fldChar w:fldCharType="separate"/>
      </w:r>
      <w:r w:rsidR="00713954" w:rsidRPr="006527E3">
        <w:t>(IMF, 2023a; WB, 2023a)</w:t>
      </w:r>
      <w:r w:rsidR="00713954">
        <w:fldChar w:fldCharType="end"/>
      </w:r>
      <w:r w:rsidR="00713954">
        <w:t>.</w:t>
      </w:r>
    </w:p>
    <w:p w14:paraId="193C91DB" w14:textId="77777777" w:rsidR="00DB3441" w:rsidRPr="000E64EC" w:rsidRDefault="00DB3441" w:rsidP="00BB3C68">
      <w:pPr>
        <w:pStyle w:val="BesediloUMAR"/>
        <w:rPr>
          <w:bCs/>
        </w:rPr>
      </w:pPr>
    </w:p>
    <w:p w14:paraId="4C7C7BAA" w14:textId="15297B57" w:rsidR="0000346F" w:rsidRDefault="00B0349D" w:rsidP="0000346F">
      <w:pPr>
        <w:pStyle w:val="BesediloUMAR"/>
        <w:rPr>
          <w:bCs/>
        </w:rPr>
      </w:pPr>
      <w:r w:rsidRPr="000E64EC">
        <w:rPr>
          <w:b/>
        </w:rPr>
        <w:t>Po prvih ocenah</w:t>
      </w:r>
      <w:r w:rsidR="00B64528">
        <w:rPr>
          <w:b/>
        </w:rPr>
        <w:t xml:space="preserve"> naj bi bilo</w:t>
      </w:r>
      <w:r w:rsidRPr="000E64EC">
        <w:rPr>
          <w:b/>
        </w:rPr>
        <w:t xml:space="preserve"> zaradi sankcij</w:t>
      </w:r>
      <w:r w:rsidR="00DB3441">
        <w:rPr>
          <w:b/>
        </w:rPr>
        <w:t xml:space="preserve"> </w:t>
      </w:r>
      <w:r w:rsidR="00B64528">
        <w:rPr>
          <w:b/>
        </w:rPr>
        <w:t xml:space="preserve">rusko gospodarstvo </w:t>
      </w:r>
      <w:r w:rsidR="00DB3441">
        <w:rPr>
          <w:b/>
        </w:rPr>
        <w:t>močno prizadeto</w:t>
      </w:r>
      <w:r w:rsidRPr="000E64EC">
        <w:rPr>
          <w:b/>
        </w:rPr>
        <w:t>,</w:t>
      </w:r>
      <w:r w:rsidR="002F6F6D" w:rsidRPr="000E64EC">
        <w:rPr>
          <w:b/>
        </w:rPr>
        <w:t xml:space="preserve"> </w:t>
      </w:r>
      <w:r w:rsidRPr="000E64EC">
        <w:rPr>
          <w:b/>
        </w:rPr>
        <w:t xml:space="preserve">hkrati pa </w:t>
      </w:r>
      <w:r w:rsidR="00DB3441">
        <w:rPr>
          <w:b/>
        </w:rPr>
        <w:t xml:space="preserve">naj bi bili </w:t>
      </w:r>
      <w:r w:rsidRPr="000E64EC">
        <w:rPr>
          <w:b/>
        </w:rPr>
        <w:t xml:space="preserve">učinki sankcij </w:t>
      </w:r>
      <w:r w:rsidR="002F6F6D" w:rsidRPr="000E64EC">
        <w:rPr>
          <w:b/>
        </w:rPr>
        <w:t xml:space="preserve">v letu 2022 </w:t>
      </w:r>
      <w:r w:rsidRPr="000E64EC">
        <w:rPr>
          <w:b/>
        </w:rPr>
        <w:t>manjši od prvotnih pričakovanj</w:t>
      </w:r>
      <w:r w:rsidR="00E951D6" w:rsidRPr="000E64EC">
        <w:rPr>
          <w:b/>
        </w:rPr>
        <w:t xml:space="preserve">. </w:t>
      </w:r>
      <w:r w:rsidR="00713954" w:rsidRPr="000E64EC">
        <w:rPr>
          <w:rStyle w:val="rynqvb"/>
        </w:rPr>
        <w:t>Učinki sankcij na rusko gospodarstvo se kažejo počasi, saj je bila finančna stabilnost ohranjena z ukrepi Banke Rusije, kar je preprečilo večje takojšne učinke na realno gospodarstvo.</w:t>
      </w:r>
      <w:r w:rsidR="00713954" w:rsidRPr="000E64EC">
        <w:rPr>
          <w:rStyle w:val="hwtze"/>
        </w:rPr>
        <w:t xml:space="preserve"> Tudi odvisnost EU od ruskih energentov </w:t>
      </w:r>
      <w:r w:rsidR="00713954" w:rsidRPr="000E64EC">
        <w:rPr>
          <w:rStyle w:val="rynqvb"/>
        </w:rPr>
        <w:t>je</w:t>
      </w:r>
      <w:r w:rsidR="00713954">
        <w:rPr>
          <w:rStyle w:val="rynqvb"/>
        </w:rPr>
        <w:t>, skupaj z visokimi cenami energentov,</w:t>
      </w:r>
      <w:r w:rsidR="00713954" w:rsidRPr="000E64EC">
        <w:rPr>
          <w:rStyle w:val="rynqvb"/>
        </w:rPr>
        <w:t xml:space="preserve"> pomenila stalne</w:t>
      </w:r>
      <w:r w:rsidR="00713954">
        <w:rPr>
          <w:rStyle w:val="rynqvb"/>
        </w:rPr>
        <w:t xml:space="preserve"> in relativno visoke</w:t>
      </w:r>
      <w:r w:rsidR="00713954" w:rsidRPr="000E64EC">
        <w:rPr>
          <w:rStyle w:val="rynqvb"/>
        </w:rPr>
        <w:t xml:space="preserve"> tokove prihodkov v Rusijo </w:t>
      </w:r>
      <w:r w:rsidR="00713954" w:rsidRPr="000E64EC">
        <w:rPr>
          <w:rStyle w:val="rynqvb"/>
        </w:rPr>
        <w:fldChar w:fldCharType="begin"/>
      </w:r>
      <w:r w:rsidR="00713954" w:rsidRPr="000E64EC">
        <w:rPr>
          <w:rStyle w:val="rynqvb"/>
        </w:rPr>
        <w:instrText xml:space="preserve"> ADDIN ZOTERO_ITEM CSL_CITATION {"citationID":"qjuKsW9q","properties":{"formattedCitation":"(Demertzis idr., 2022)","plainCitation":"(Demertzis idr., 2022)","noteIndex":0},"citationItems":[{"id":3068,"uris":["http://zotero.org/groups/4141114/items/DYNSXI34"],"itemData":{"id":3068,"type":"report","collection-title":"Policy Contribution","language":"en","number":"12","publisher":"Breugel","source":"Zotero","title":"How have sanctions impacted Russia?","URL":"https://www.bruegel.org/sites/default/files/2022-10/PC%2018%202022_1.pdf","author":[{"family":"Demertzis","given":"Maria"},{"family":"Hilgenstock","given":"Benjamin"},{"family":"McWilliams","given":"Ben"},{"family":"Ribakova","given":"Elina"},{"family":"Tagliapietra","given":"Simone"}],"issued":{"date-parts":[["2022"]]}}}],"schema":"https://github.com/citation-style-language/schema/raw/master/csl-citation.json"} </w:instrText>
      </w:r>
      <w:r w:rsidR="00713954" w:rsidRPr="000E64EC">
        <w:rPr>
          <w:rStyle w:val="rynqvb"/>
        </w:rPr>
        <w:fldChar w:fldCharType="separate"/>
      </w:r>
      <w:r w:rsidR="00713954" w:rsidRPr="000E64EC">
        <w:t>(Demertzis idr., 2022)</w:t>
      </w:r>
      <w:r w:rsidR="00713954" w:rsidRPr="000E64EC">
        <w:rPr>
          <w:rStyle w:val="rynqvb"/>
        </w:rPr>
        <w:fldChar w:fldCharType="end"/>
      </w:r>
      <w:r w:rsidR="00713954" w:rsidRPr="000E64EC">
        <w:rPr>
          <w:rStyle w:val="rynqvb"/>
        </w:rPr>
        <w:t xml:space="preserve">. </w:t>
      </w:r>
      <w:r w:rsidR="00713954" w:rsidRPr="000E64EC">
        <w:t xml:space="preserve">Delež Rusije v svetovnem izvozu je leta 2021 znašal 2,2 odstotka, medtem ko je njen delež v svetovnem uvozu znašal 1,3 odstotka. </w:t>
      </w:r>
      <w:r w:rsidR="00713954" w:rsidRPr="000E64EC">
        <w:rPr>
          <w:bCs/>
        </w:rPr>
        <w:t>Prvi podatki kažejo, da se je zaradi sankcij uvoz v Rusijo zmanjšal precej bolj kot izvoz iz Rusije</w:t>
      </w:r>
      <w:r w:rsidR="00713954" w:rsidRPr="00591369">
        <w:rPr>
          <w:rStyle w:val="FootnoteReference"/>
        </w:rPr>
        <w:footnoteReference w:id="18"/>
      </w:r>
      <w:r w:rsidR="00713954" w:rsidRPr="000E64EC">
        <w:rPr>
          <w:bCs/>
        </w:rPr>
        <w:t>.</w:t>
      </w:r>
      <w:r w:rsidR="00713954" w:rsidRPr="000E64EC">
        <w:t xml:space="preserve"> </w:t>
      </w:r>
      <w:r w:rsidR="00713954" w:rsidRPr="000E64EC">
        <w:rPr>
          <w:rStyle w:val="rynqvb"/>
        </w:rPr>
        <w:t xml:space="preserve">Zmanjšanje uvoza odraža zmanjšano povpraševanje v Rusiji, trgovinske sankcije in omejitve mednarodnega plačilnega poslovanja ter odločitev številnih tujih podjetij, da prekinejo ali popolnoma prenehajo poslovati z Rusijo. </w:t>
      </w:r>
      <w:r w:rsidR="00713954" w:rsidRPr="000E64EC">
        <w:rPr>
          <w:bCs/>
        </w:rPr>
        <w:t xml:space="preserve">Določen uvoz blaga (npr. kemični proizvodi, vozila) je Rusija nadomestila predvsem z uvozom iz Turčije in Kitajske, kljub temu pa se je v prvih mesecih po začetku vojne znižal zlasti uvoz tehnološko zahtevnejših izdelkov (razen medicinskih in farmacevtskih proizvodov) za katere Rusija na kratki rok še ni našla alternativnih virov in bo sčasoma začel vplivati na zmogljivost gospodarstva </w:t>
      </w:r>
      <w:r w:rsidR="00713954" w:rsidRPr="000E64EC">
        <w:rPr>
          <w:bCs/>
        </w:rPr>
        <w:fldChar w:fldCharType="begin"/>
      </w:r>
      <w:r w:rsidR="00713954" w:rsidRPr="000E64EC">
        <w:rPr>
          <w:bCs/>
        </w:rPr>
        <w:instrText xml:space="preserve"> ADDIN ZOTERO_ITEM CSL_CITATION {"citationID":"d95HIXxC","properties":{"formattedCitation":"(Darvas in Martins, 2022; Simola, 2022c, 2022a)","plainCitation":"(Darvas in Martins, 2022; Simola, 2022c, 2022a)","noteIndex":0},"citationItems":[{"id":2934,"uris":["http://zotero.org/groups/4141114/items/T69L73B5"],"itemData":{"id":2934,"type":"report","collection-title":"Working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id":3037,"uris":["http://zotero.org/groups/4141114/items/FLL7SNDY"],"itemData":{"id":3037,"type":"report","abstract":"This brief examines the development of Russia’s trade flows in the March-June period following Russia’s invasion of Ukraine. Russia ceased publication of foreign trade statistics after the war broke out, so we utilize the trade statistics of Russia’s major trading partners. We find that Russia’s imports declined substantially in the period with the country struggling to find alternative import sources. On the other hand, Russian export revenues increased post-invasion due to high commodity prices, the lag in transition periods for EU import restrictions and higher export volumes going to other markets. Russian industrial output reflects a shift in foreign trade. High-tech industries reliant on imported inputs contracted, while output remained robust for some export-oriented industries. The first months of war show sanctions took an increasing toll on the Russian economy, seriously eroding the country’s long-term growth potential.","collection-title":"BOFIT Policy Brief","event-place":"Helsinki","language":"en","number":"5","publisher":"Bank of Finland","publisher-place":"Helsinki","source":"Zotero","title":"Russian foreign trade after four months of war in Ukraine","URL":"https://publications.bof.fi/bitstream/handle/10024/52212/bpb2205.pdf","author":[{"family":"Simola","given":"Heli"}],"issued":{"date-parts":[["2022"]]}}},{"id":3038,"uris":["http://zotero.org/groups/4141114/items/IWXCXQB9"],"itemData":{"id":3038,"type":"report","collection-title":"BOFIT Policy Brief","event-place":"Helsinki","language":"en","number":"7","publisher":"Bank of Finland","publisher-place":"Helsinki","source":"Zotero","title":"Can Russia reorient its trade and financial flows?","URL":"https://publications.bof.fi/bitstream/handle/10024/52330/bpb2207.pdf","author":[{"family":"Simola","given":"Heli"}],"issued":{"date-parts":[["2022"]]}}}],"schema":"https://github.com/citation-style-language/schema/raw/master/csl-citation.json"} </w:instrText>
      </w:r>
      <w:r w:rsidR="00713954" w:rsidRPr="000E64EC">
        <w:rPr>
          <w:bCs/>
        </w:rPr>
        <w:fldChar w:fldCharType="separate"/>
      </w:r>
      <w:r w:rsidR="00713954" w:rsidRPr="000E64EC">
        <w:t>(Darvas in Martins, 2022; Simola, 2022c, 2022a)</w:t>
      </w:r>
      <w:r w:rsidR="00713954" w:rsidRPr="000E64EC">
        <w:rPr>
          <w:bCs/>
        </w:rPr>
        <w:fldChar w:fldCharType="end"/>
      </w:r>
      <w:r w:rsidR="00713954" w:rsidRPr="000E64EC">
        <w:rPr>
          <w:bCs/>
        </w:rPr>
        <w:t>. Za preprečitev pomanjkanja izdelkov na trgu je Rusija ob začetku vojne sicer legalizirala t.</w:t>
      </w:r>
      <w:r w:rsidR="00713954">
        <w:rPr>
          <w:bCs/>
        </w:rPr>
        <w:t> </w:t>
      </w:r>
      <w:r w:rsidR="00713954" w:rsidRPr="000E64EC">
        <w:rPr>
          <w:bCs/>
        </w:rPr>
        <w:t>i. vzporedni uvoz blaga</w:t>
      </w:r>
      <w:r w:rsidR="00713954" w:rsidRPr="00591369">
        <w:rPr>
          <w:rStyle w:val="FootnoteReference"/>
        </w:rPr>
        <w:footnoteReference w:id="19"/>
      </w:r>
      <w:r w:rsidR="00713954" w:rsidRPr="000E64EC">
        <w:rPr>
          <w:bCs/>
        </w:rPr>
        <w:t xml:space="preserve">, ki naj bi nadomestil izpad uvoza nekaterih izdelkov, ki so pod sankcijami </w:t>
      </w:r>
      <w:r w:rsidR="00713954" w:rsidRPr="000E64EC">
        <w:rPr>
          <w:bCs/>
        </w:rPr>
        <w:fldChar w:fldCharType="begin"/>
      </w:r>
      <w:r w:rsidR="00713954" w:rsidRPr="000E64EC">
        <w:rPr>
          <w:bCs/>
        </w:rPr>
        <w:instrText xml:space="preserve"> ADDIN ZOTERO_ITEM CSL_CITATION {"citationID":"dN6sVEZS","properties":{"formattedCitation":"(Reuters, 2022)","plainCitation":"(Reuters, 2022)","noteIndex":0},"citationItems":[{"id":3040,"uris":["http://zotero.org/groups/4141114/items/KYSGUPQE"],"itemData":{"id":3040,"type":"webpage","abstract":"Parallel imports to Russia, which Moscow launched in March to circumvent some trading restrictions, will reach $16 billion this year, the minister of industry and trade said on Monday, a figure that accounts for around 4% of 2021 overall imports.","container-title":"Reuters","language":"en","title":"Russia's 2022 parallel imports to reach 4% of 2021 overall imports","URL":"https://www.reuters.com/markets/europe/russias-2022-parallel-imports-reach-4-2021-overall-imports-2022-08-15/","author":[{"literal":"Reuters"}],"accessed":{"date-parts":[["2023",1,16]]},"issued":{"date-parts":[["2022"]]}}}],"schema":"https://github.com/citation-style-language/schema/raw/master/csl-citation.json"} </w:instrText>
      </w:r>
      <w:r w:rsidR="00713954" w:rsidRPr="000E64EC">
        <w:rPr>
          <w:bCs/>
        </w:rPr>
        <w:fldChar w:fldCharType="separate"/>
      </w:r>
      <w:r w:rsidR="00713954" w:rsidRPr="000E64EC">
        <w:t>(Reuters, 2022)</w:t>
      </w:r>
      <w:r w:rsidR="00713954" w:rsidRPr="000E64EC">
        <w:rPr>
          <w:bCs/>
        </w:rPr>
        <w:fldChar w:fldCharType="end"/>
      </w:r>
      <w:r w:rsidR="00713954" w:rsidRPr="000E64EC">
        <w:rPr>
          <w:bCs/>
        </w:rPr>
        <w:t xml:space="preserve">. Pri izvozu blaga je Rusija uspela preusmeriti določen del izvoza na druga tržišča (Kitajska, Indija, Turčija), kljub temu pa </w:t>
      </w:r>
      <w:r w:rsidR="00713954" w:rsidRPr="000E64EC">
        <w:rPr>
          <w:bCs/>
        </w:rPr>
        <w:lastRenderedPageBreak/>
        <w:t xml:space="preserve">opazen </w:t>
      </w:r>
      <w:r w:rsidR="00713954">
        <w:rPr>
          <w:bCs/>
        </w:rPr>
        <w:t xml:space="preserve">upad </w:t>
      </w:r>
      <w:r w:rsidR="00713954" w:rsidRPr="000E64EC">
        <w:rPr>
          <w:bCs/>
        </w:rPr>
        <w:t>izvoza blaga</w:t>
      </w:r>
      <w:r w:rsidR="00713954">
        <w:rPr>
          <w:bCs/>
        </w:rPr>
        <w:t xml:space="preserve"> </w:t>
      </w:r>
      <w:r w:rsidR="00713954" w:rsidRPr="000E64EC">
        <w:rPr>
          <w:bCs/>
        </w:rPr>
        <w:t xml:space="preserve">(razen energentov, kjer </w:t>
      </w:r>
      <w:r w:rsidR="00553FB9">
        <w:rPr>
          <w:bCs/>
        </w:rPr>
        <w:t xml:space="preserve">je </w:t>
      </w:r>
      <w:r w:rsidR="00713954" w:rsidRPr="000E64EC">
        <w:rPr>
          <w:bCs/>
        </w:rPr>
        <w:t>situacija mešana), kaže</w:t>
      </w:r>
      <w:r w:rsidR="00713954">
        <w:rPr>
          <w:bCs/>
        </w:rPr>
        <w:t xml:space="preserve">, </w:t>
      </w:r>
      <w:r w:rsidR="00713954" w:rsidRPr="000E64EC">
        <w:rPr>
          <w:bCs/>
        </w:rPr>
        <w:t xml:space="preserve">da je proizvodna zmogljivost gospodarstva oslabela </w:t>
      </w:r>
      <w:r w:rsidR="00713954" w:rsidRPr="000E64EC">
        <w:rPr>
          <w:bCs/>
        </w:rPr>
        <w:fldChar w:fldCharType="begin"/>
      </w:r>
      <w:r w:rsidR="00713954" w:rsidRPr="000E64EC">
        <w:rPr>
          <w:bCs/>
        </w:rPr>
        <w:instrText xml:space="preserve"> ADDIN ZOTERO_ITEM CSL_CITATION {"citationID":"2DKoKBXp","properties":{"formattedCitation":"(Darvas in Martins, 2022)","plainCitation":"(Darvas in Martins, 2022)","noteIndex":0},"citationItems":[{"id":2934,"uris":["http://zotero.org/groups/4141114/items/T69L73B5"],"itemData":{"id":2934,"type":"report","collection-title":"Working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schema":"https://github.com/citation-style-language/schema/raw/master/csl-citation.json"} </w:instrText>
      </w:r>
      <w:r w:rsidR="00713954" w:rsidRPr="000E64EC">
        <w:rPr>
          <w:bCs/>
        </w:rPr>
        <w:fldChar w:fldCharType="separate"/>
      </w:r>
      <w:r w:rsidR="00713954" w:rsidRPr="000E64EC">
        <w:t>(Darvas in Martins, 2022)</w:t>
      </w:r>
      <w:r w:rsidR="00713954" w:rsidRPr="000E64EC">
        <w:rPr>
          <w:bCs/>
        </w:rPr>
        <w:fldChar w:fldCharType="end"/>
      </w:r>
      <w:r w:rsidR="00713954" w:rsidRPr="000E64EC">
        <w:rPr>
          <w:bCs/>
        </w:rPr>
        <w:t xml:space="preserve">. </w:t>
      </w:r>
      <w:r w:rsidR="00713954">
        <w:rPr>
          <w:bCs/>
        </w:rPr>
        <w:t xml:space="preserve">Opazno so se zmanjšali tudi prihodki od prodaje nafte (od začetka vojne za okoli 65 mrd USD), saj so morala ruska podjetja prodajati nafto s precejšnim diskontom (okoli 23 USD/sod v primerjavi z nafto Brent) </w:t>
      </w:r>
      <w:r w:rsidR="00713954">
        <w:rPr>
          <w:bCs/>
        </w:rPr>
        <w:fldChar w:fldCharType="begin"/>
      </w:r>
      <w:r w:rsidR="00713954">
        <w:rPr>
          <w:bCs/>
        </w:rPr>
        <w:instrText xml:space="preserve"> ADDIN ZOTERO_ITEM CSL_CITATION {"citationID":"21lXFxic","properties":{"formattedCitation":"(Nell idr., 2023)","plainCitation":"(Nell idr., 2023)","noteIndex":0},"citationItems":[{"id":3886,"uris":["http://zotero.org/groups/4141114/items/2QPHC3RZ"],"itemData":{"id":3886,"type":"report","language":"en","publisher":"KSE Institute","source":"Zotero","title":"One year of war: Sanctions impact assessment and action plan for 2023","author":[{"family":"Nell","given":"Jacob"},{"family":"Hilgenstock","given":"Benjamin"},{"family":"Dodonov","given":"Borys"},{"family":"Pavytska","given":"Yuliia"},{"family":"Shapoval","given":"Natalia"},{"family":"Vlasyuk","given":"Anna"},{"family":"Pokryska","given":"Dmytro"},{"family":"Bilousova","given":"Olena"},{"family":"Ivanchuk","given":"Vira"}],"issued":{"date-parts":[["2023"]]}}}],"schema":"https://github.com/citation-style-language/schema/raw/master/csl-citation.json"} </w:instrText>
      </w:r>
      <w:r w:rsidR="00713954">
        <w:rPr>
          <w:bCs/>
        </w:rPr>
        <w:fldChar w:fldCharType="separate"/>
      </w:r>
      <w:r w:rsidR="00713954" w:rsidRPr="007D5339">
        <w:t>(Nell idr., 2023)</w:t>
      </w:r>
      <w:r w:rsidR="00713954">
        <w:rPr>
          <w:bCs/>
        </w:rPr>
        <w:fldChar w:fldCharType="end"/>
      </w:r>
      <w:r w:rsidR="00713954">
        <w:rPr>
          <w:bCs/>
        </w:rPr>
        <w:t xml:space="preserve">. V letu 2022 je ruski BDP tako upadel za 2,1 %, kar je precej manj od prvih ocen ob začetku agresije </w:t>
      </w:r>
      <w:r w:rsidR="00713954">
        <w:rPr>
          <w:bCs/>
        </w:rPr>
        <w:fldChar w:fldCharType="begin"/>
      </w:r>
      <w:r w:rsidR="00713954">
        <w:rPr>
          <w:bCs/>
        </w:rPr>
        <w:instrText xml:space="preserve"> ADDIN ZOTERO_ITEM CSL_CITATION {"citationID":"Lxc6WKIn","properties":{"formattedCitation":"(BOFIT, 2023; EK, 2022c; IMF, 2022b)","plainCitation":"(BOFIT, 2023; EK, 2022c; IMF, 2022b)","noteIndex":0},"citationItems":[{"id":3902,"uris":["http://zotero.org/groups/4141114/items/NCHCMQ2H"],"itemData":{"id":3902,"type":"report","event-place":"Helsinki","language":"en","publisher":"Bank of Finland - Institute for Emerging Economies","publisher-place":"Helsinki","source":"Zotero","title":"BOFIT Forecast for Russia 2023-2024","URL":"https://publications.bof.fi/bitstream/handle/10024/52682/bru0123.pdf?sequence=1&amp;isAllowed=y","author":[{"family":"BOFIT","given":""}],"issued":{"date-parts":[["2023"]]}}},{"id":2579,"uris":["http://zotero.org/groups/4141114/items/Q37AWXZD"],"itemData":{"id":2579,"type":"report","event-place":"Luxembourg","publisher":"Evropska komisija","publisher-place":"Luxembourg","title":"European Economic Forecast, Spring 2022","URL":"https://economy-finance.ec.europa.eu/publications/european-economic-forecast-spring-2022_en","author":[{"family":"EK","given":""}],"issued":{"date-parts":[["2022"]],"season":"5"}}},{"id":3900,"uris":["http://zotero.org/groups/4141114/items/N9XD495G"],"itemData":{"id":3900,"type":"report","event-place":"Washington, DC","language":"en","publisher":"International Monetary Fund","publisher-place":"Washington, DC","title":"World Economic Outlook Update. War Sets Back the Global Recovery.","URL":"https://www.imf.org/en/Publications/WEO/Issues/2022/04/19/world-economic-outlook-april-2022","author":[{"family":"IMF","given":""}],"issued":{"date-parts":[["2022",4]]}}}],"schema":"https://github.com/citation-style-language/schema/raw/master/csl-citation.json"} </w:instrText>
      </w:r>
      <w:r w:rsidR="00713954">
        <w:rPr>
          <w:bCs/>
        </w:rPr>
        <w:fldChar w:fldCharType="separate"/>
      </w:r>
      <w:r w:rsidR="00713954" w:rsidRPr="00F45608">
        <w:t>(BOFIT, 2023; EK, 2022c; IMF, 2022b)</w:t>
      </w:r>
      <w:r w:rsidR="00713954">
        <w:rPr>
          <w:bCs/>
        </w:rPr>
        <w:fldChar w:fldCharType="end"/>
      </w:r>
      <w:r w:rsidR="00713954">
        <w:rPr>
          <w:bCs/>
        </w:rPr>
        <w:t xml:space="preserve">. </w:t>
      </w:r>
      <w:r w:rsidR="009C4AE6">
        <w:rPr>
          <w:bCs/>
        </w:rPr>
        <w:t xml:space="preserve">Učinki sankcij naj bi bili </w:t>
      </w:r>
      <w:r w:rsidR="00F45608">
        <w:rPr>
          <w:bCs/>
        </w:rPr>
        <w:t>veliki</w:t>
      </w:r>
      <w:r w:rsidR="009C4AE6">
        <w:rPr>
          <w:bCs/>
        </w:rPr>
        <w:t xml:space="preserve"> </w:t>
      </w:r>
      <w:r w:rsidR="00A27785">
        <w:rPr>
          <w:bCs/>
        </w:rPr>
        <w:t xml:space="preserve">tudi </w:t>
      </w:r>
      <w:r w:rsidR="009C4AE6">
        <w:rPr>
          <w:bCs/>
        </w:rPr>
        <w:t>v letu 2023, saj je malo verjetno, da bo Rusija izvoz nekaterih energentov</w:t>
      </w:r>
      <w:r w:rsidR="006527E3" w:rsidRPr="00D03946">
        <w:rPr>
          <w:rStyle w:val="FootnoteReference"/>
        </w:rPr>
        <w:footnoteReference w:id="20"/>
      </w:r>
      <w:r w:rsidR="009C4AE6">
        <w:rPr>
          <w:bCs/>
        </w:rPr>
        <w:t xml:space="preserve"> v celoti uspela preusmeriti na azijske trge, bolj opazno pa bo pomanjkanje nekateri</w:t>
      </w:r>
      <w:r w:rsidR="00A26166">
        <w:rPr>
          <w:bCs/>
        </w:rPr>
        <w:t>h</w:t>
      </w:r>
      <w:r w:rsidR="009C4AE6">
        <w:rPr>
          <w:bCs/>
        </w:rPr>
        <w:t xml:space="preserve"> visokotehnoloških proizvodov za razvoj in delovanje predelovalnih</w:t>
      </w:r>
      <w:r w:rsidR="00713954">
        <w:rPr>
          <w:bCs/>
        </w:rPr>
        <w:t xml:space="preserve"> dejavnosti</w:t>
      </w:r>
      <w:r w:rsidR="00A26166">
        <w:rPr>
          <w:bCs/>
        </w:rPr>
        <w:t>.</w:t>
      </w:r>
      <w:r w:rsidR="009C4AE6">
        <w:rPr>
          <w:bCs/>
        </w:rPr>
        <w:t xml:space="preserve"> </w:t>
      </w:r>
      <w:r w:rsidR="00A26166">
        <w:rPr>
          <w:bCs/>
        </w:rPr>
        <w:t xml:space="preserve">Po prvih podatkih se je z vojno spremenila geografska struktura izvoza (od EU in drugih razvitih držav proti Kitajski, Indiji in Turčiji), zaenkrat pa Rusija še </w:t>
      </w:r>
      <w:r w:rsidR="006527E3">
        <w:rPr>
          <w:bCs/>
        </w:rPr>
        <w:t xml:space="preserve">naj ne bi </w:t>
      </w:r>
      <w:r w:rsidR="00A26166">
        <w:rPr>
          <w:bCs/>
        </w:rPr>
        <w:t xml:space="preserve">uspela nadomestiti </w:t>
      </w:r>
      <w:r w:rsidR="006527E3">
        <w:rPr>
          <w:bCs/>
        </w:rPr>
        <w:t>u</w:t>
      </w:r>
      <w:r w:rsidR="00A26166">
        <w:rPr>
          <w:bCs/>
        </w:rPr>
        <w:t>voza tehnologij za industrijo in nekaterih visokotehnoloških proizvodov</w:t>
      </w:r>
      <w:r w:rsidR="006527E3">
        <w:rPr>
          <w:bCs/>
        </w:rPr>
        <w:t>, za katere veljajo omejitve pri izvozu iz razvitih držav</w:t>
      </w:r>
      <w:r w:rsidR="00A26166">
        <w:rPr>
          <w:bCs/>
        </w:rPr>
        <w:t xml:space="preserve"> </w:t>
      </w:r>
      <w:r w:rsidR="00A26166">
        <w:rPr>
          <w:bCs/>
        </w:rPr>
        <w:fldChar w:fldCharType="begin"/>
      </w:r>
      <w:r w:rsidR="00A26166">
        <w:rPr>
          <w:bCs/>
        </w:rPr>
        <w:instrText xml:space="preserve"> ADDIN ZOTERO_ITEM CSL_CITATION {"citationID":"q2uSOOPN","properties":{"formattedCitation":"(FocusEconomics, 2023; Simola, 2023)","plainCitation":"(FocusEconomics, 2023; Simola, 2023)","noteIndex":0},"citationItems":[{"id":3724,"uris":["http://zotero.org/groups/4141114/items/FUPEJFX8"],"itemData":{"id":3724,"type":"report","event-place":"Barcelona","publisher":"FocusEconomics S.L.U.","publisher-place":"Barcelona","title":"The War in Ukraine: One year on","author":[{"family":"FocusEconomics","given":""}],"issued":{"date-parts":[["2023"]]}}},{"id":3987,"uris":["http://zotero.org/groups/4141114/items/2GKI5KQ2"],"itemData":{"id":3987,"type":"report","collection-title":"BOFIT Policy Brief","event-place":"Helsinki","language":"en","number":"9","publisher":"Bank of Finland","publisher-place":"Helsinki","source":"Zotero","title":"The shift in Russian trade during a year of war","URL":"https://publications.bof.fi/bitstream/handle/10024/52738/bpb0923r.pdf?sequence=4&amp;isAllowed=y","author":[{"family":"Simola","given":"Heli"}],"issued":{"date-parts":[["2023"]]}}}],"schema":"https://github.com/citation-style-language/schema/raw/master/csl-citation.json"} </w:instrText>
      </w:r>
      <w:r w:rsidR="00A26166">
        <w:rPr>
          <w:bCs/>
        </w:rPr>
        <w:fldChar w:fldCharType="separate"/>
      </w:r>
      <w:r w:rsidR="00A26166" w:rsidRPr="00A26166">
        <w:t>(FocusEconomics, 2023; Simola, 2023)</w:t>
      </w:r>
      <w:r w:rsidR="00A26166">
        <w:rPr>
          <w:bCs/>
        </w:rPr>
        <w:fldChar w:fldCharType="end"/>
      </w:r>
      <w:r w:rsidR="00A26166">
        <w:rPr>
          <w:bCs/>
        </w:rPr>
        <w:t>.</w:t>
      </w:r>
      <w:r w:rsidR="006527E3">
        <w:rPr>
          <w:bCs/>
        </w:rPr>
        <w:t xml:space="preserve"> IMF </w:t>
      </w:r>
      <w:r w:rsidR="006527E3">
        <w:rPr>
          <w:bCs/>
        </w:rPr>
        <w:fldChar w:fldCharType="begin"/>
      </w:r>
      <w:r w:rsidR="006527E3">
        <w:rPr>
          <w:bCs/>
        </w:rPr>
        <w:instrText xml:space="preserve"> ADDIN ZOTERO_ITEM CSL_CITATION {"citationID":"yWnZuwXu","properties":{"formattedCitation":"(2023b)","plainCitation":"(2023b)","noteIndex":0},"citationItems":[{"id":3906,"uris":["http://zotero.org/groups/4141114/items/54EJ6S8S"],"itemData":{"id":3906,"type":"report","event-place":"Washington, DC","language":"en","publisher":"International Monetary Fund","publisher-place":"Washington, DC","title":"World Economic Outlook Update. Near-Term Resilience, Persistent Challenges","URL":"https://www.imf.org/en/Publications/WEO/Issues/2023/07/10/world-economic-outlook-update-july-2023","author":[{"family":"IMF","given":""}],"issued":{"date-parts":[["2023",7]]}},"suppress-author":true}],"schema":"https://github.com/citation-style-language/schema/raw/master/csl-citation.json"} </w:instrText>
      </w:r>
      <w:r w:rsidR="006527E3">
        <w:rPr>
          <w:bCs/>
        </w:rPr>
        <w:fldChar w:fldCharType="separate"/>
      </w:r>
      <w:r w:rsidR="006527E3" w:rsidRPr="006527E3">
        <w:t>(2023b)</w:t>
      </w:r>
      <w:r w:rsidR="006527E3">
        <w:rPr>
          <w:bCs/>
        </w:rPr>
        <w:fldChar w:fldCharType="end"/>
      </w:r>
      <w:r w:rsidR="006527E3">
        <w:rPr>
          <w:bCs/>
        </w:rPr>
        <w:t xml:space="preserve"> sicer ocenjuje, da naj bi se ruski BDP v letu 2023 povečal za 1,5 %, v letu 2024 pa nadaljnjih 1,3 %. </w:t>
      </w:r>
    </w:p>
    <w:p w14:paraId="79BAE462" w14:textId="77777777" w:rsidR="0000346F" w:rsidRDefault="0000346F" w:rsidP="0000346F">
      <w:pPr>
        <w:pStyle w:val="BesediloUMAR"/>
        <w:rPr>
          <w:bCs/>
        </w:rPr>
      </w:pPr>
    </w:p>
    <w:p w14:paraId="269E1AC6" w14:textId="645A5D51" w:rsidR="00E1501E" w:rsidRPr="000E64EC" w:rsidRDefault="0000346F" w:rsidP="0000346F">
      <w:pPr>
        <w:pStyle w:val="Heading1"/>
      </w:pPr>
      <w:r>
        <w:lastRenderedPageBreak/>
        <w:t>Z</w:t>
      </w:r>
      <w:r w:rsidR="00E1501E" w:rsidRPr="000E64EC">
        <w:t>unanjetrgovinska menjava z Rusijo in Ukrajino</w:t>
      </w:r>
    </w:p>
    <w:p w14:paraId="3928B450" w14:textId="77777777" w:rsidR="0000346F" w:rsidRDefault="0000346F" w:rsidP="00C5137C">
      <w:pPr>
        <w:pStyle w:val="BesediloUMAR"/>
        <w:rPr>
          <w:b/>
          <w:bCs/>
        </w:rPr>
      </w:pPr>
    </w:p>
    <w:p w14:paraId="46FD1FA4" w14:textId="343BC5D9" w:rsidR="00D51E69" w:rsidRPr="000E64EC" w:rsidRDefault="00A97019" w:rsidP="00C5137C">
      <w:pPr>
        <w:pStyle w:val="BesediloUMAR"/>
        <w:rPr>
          <w:b/>
          <w:bCs/>
        </w:rPr>
      </w:pPr>
      <w:r w:rsidRPr="000E64EC">
        <w:rPr>
          <w:b/>
          <w:bCs/>
        </w:rPr>
        <w:t xml:space="preserve">Slovenija je majhno odprto gospodarstvo </w:t>
      </w:r>
      <w:r w:rsidR="00C95466">
        <w:rPr>
          <w:b/>
          <w:bCs/>
        </w:rPr>
        <w:t>ter</w:t>
      </w:r>
      <w:r w:rsidRPr="000E64EC">
        <w:rPr>
          <w:b/>
          <w:bCs/>
        </w:rPr>
        <w:t xml:space="preserve"> za Rusijo</w:t>
      </w:r>
      <w:r w:rsidR="005A7C32" w:rsidRPr="000E64EC">
        <w:rPr>
          <w:b/>
          <w:bCs/>
        </w:rPr>
        <w:t xml:space="preserve"> in Ukrajino</w:t>
      </w:r>
      <w:r w:rsidR="00713954">
        <w:rPr>
          <w:b/>
          <w:bCs/>
        </w:rPr>
        <w:t xml:space="preserve"> zato </w:t>
      </w:r>
      <w:r w:rsidRPr="000E64EC">
        <w:rPr>
          <w:b/>
          <w:bCs/>
        </w:rPr>
        <w:t xml:space="preserve">manj pomemben </w:t>
      </w:r>
      <w:r w:rsidR="00713954">
        <w:rPr>
          <w:b/>
          <w:bCs/>
        </w:rPr>
        <w:t xml:space="preserve">trgovinski </w:t>
      </w:r>
      <w:r w:rsidRPr="000E64EC">
        <w:rPr>
          <w:b/>
          <w:bCs/>
        </w:rPr>
        <w:t xml:space="preserve">partner. </w:t>
      </w:r>
      <w:r w:rsidR="00697419">
        <w:t>O</w:t>
      </w:r>
      <w:r w:rsidR="001F43E2" w:rsidRPr="000E64EC">
        <w:t>bem</w:t>
      </w:r>
      <w:r w:rsidR="000E64EC">
        <w:t>a</w:t>
      </w:r>
      <w:r w:rsidR="001F43E2" w:rsidRPr="000E64EC">
        <w:t xml:space="preserve"> državam</w:t>
      </w:r>
      <w:r w:rsidR="000E64EC">
        <w:t>a</w:t>
      </w:r>
      <w:r w:rsidR="001F43E2" w:rsidRPr="000E64EC">
        <w:t xml:space="preserve"> </w:t>
      </w:r>
      <w:r w:rsidR="00697419">
        <w:t xml:space="preserve">je Slovenija </w:t>
      </w:r>
      <w:r w:rsidRPr="000E64EC">
        <w:t>pomembnejši partner</w:t>
      </w:r>
      <w:r w:rsidR="00697419">
        <w:t xml:space="preserve"> pri izvozu </w:t>
      </w:r>
      <w:r w:rsidRPr="000E64EC">
        <w:t>kot pri uvozu</w:t>
      </w:r>
      <w:r w:rsidR="00CD4805" w:rsidRPr="000E64EC">
        <w:t xml:space="preserve">, relativno majhni deleži </w:t>
      </w:r>
      <w:r w:rsidR="001F43E2" w:rsidRPr="000E64EC">
        <w:t xml:space="preserve">pa </w:t>
      </w:r>
      <w:r w:rsidR="00CD4805" w:rsidRPr="000E64EC">
        <w:t>so skladni z velikostjo slovenskega gospodarstva</w:t>
      </w:r>
      <w:r w:rsidRPr="000E64EC">
        <w:t xml:space="preserve">. </w:t>
      </w:r>
      <w:r w:rsidR="005A7C32" w:rsidRPr="000E64EC">
        <w:t xml:space="preserve">Leta 2021 je </w:t>
      </w:r>
      <w:r w:rsidR="00D51E69" w:rsidRPr="000E64EC">
        <w:t xml:space="preserve">slovenski izvoz </w:t>
      </w:r>
      <w:r w:rsidR="005A7C32" w:rsidRPr="000E64EC">
        <w:t xml:space="preserve">predstavljal </w:t>
      </w:r>
      <w:r w:rsidR="00D51E69" w:rsidRPr="000E64EC">
        <w:t>0,3</w:t>
      </w:r>
      <w:r w:rsidR="00697419">
        <w:t> </w:t>
      </w:r>
      <w:r w:rsidR="00D51E69" w:rsidRPr="000E64EC">
        <w:t>% celotnega ruskega uvoza</w:t>
      </w:r>
      <w:r w:rsidR="00CD4805" w:rsidRPr="000E64EC">
        <w:t xml:space="preserve"> (41. mesto med vsemi držami), največji tržni delež pa</w:t>
      </w:r>
      <w:r w:rsidR="00697419">
        <w:t xml:space="preserve"> je imela</w:t>
      </w:r>
      <w:r w:rsidR="00CD4805" w:rsidRPr="000E64EC">
        <w:t xml:space="preserve"> Slovenija pri medicinskih in farmacevtskih proizvodih, ki </w:t>
      </w:r>
      <w:r w:rsidR="00697419">
        <w:t xml:space="preserve">so </w:t>
      </w:r>
      <w:r w:rsidR="00CD4805" w:rsidRPr="000E64EC">
        <w:t>predstavlja</w:t>
      </w:r>
      <w:r w:rsidR="00697419">
        <w:t>li</w:t>
      </w:r>
      <w:r w:rsidR="00CD4805" w:rsidRPr="000E64EC">
        <w:t xml:space="preserve"> 2,3 % celotnega ruskega uvoza (11. mesto).</w:t>
      </w:r>
      <w:r w:rsidR="001F43E2" w:rsidRPr="000E64EC">
        <w:t xml:space="preserve"> </w:t>
      </w:r>
      <w:r w:rsidR="001D3AD7" w:rsidRPr="000E64EC">
        <w:t xml:space="preserve">Po letu 2015 sta se nominalni izvoz in tudi tržni delež slovenske farmacije v ruskem uvozu opazno znižala, kar je sicer povezano z odprtjem proizvodnje farmacije v Rusiji. </w:t>
      </w:r>
      <w:r w:rsidR="00346757" w:rsidRPr="000E64EC">
        <w:t xml:space="preserve">Tudi v Ukrajini </w:t>
      </w:r>
      <w:r w:rsidR="00697419">
        <w:t xml:space="preserve">je </w:t>
      </w:r>
      <w:r w:rsidR="005A7C32" w:rsidRPr="000E64EC">
        <w:t>slovenski izvoz predstavlja</w:t>
      </w:r>
      <w:r w:rsidR="00697419">
        <w:t>l</w:t>
      </w:r>
      <w:r w:rsidR="005A7C32" w:rsidRPr="000E64EC">
        <w:t xml:space="preserve"> </w:t>
      </w:r>
      <w:r w:rsidR="00346757" w:rsidRPr="000E64EC">
        <w:t xml:space="preserve">le okoli </w:t>
      </w:r>
      <w:r w:rsidR="005A7C32" w:rsidRPr="000E64EC">
        <w:t xml:space="preserve">0,4 % uvoza Ukrajine (37. mesto), največji tržni delež </w:t>
      </w:r>
      <w:r w:rsidR="00697419">
        <w:t>so bili</w:t>
      </w:r>
      <w:r w:rsidR="005A7C32" w:rsidRPr="000E64EC">
        <w:t xml:space="preserve"> medicinski in farmacevtski proizvodi (0,4 %, 8. mesto). Obe državi </w:t>
      </w:r>
      <w:r w:rsidR="00697419">
        <w:t xml:space="preserve">sta </w:t>
      </w:r>
      <w:r w:rsidRPr="000E64EC">
        <w:t>izvozi</w:t>
      </w:r>
      <w:r w:rsidR="00697419">
        <w:t xml:space="preserve">li </w:t>
      </w:r>
      <w:r w:rsidRPr="000E64EC">
        <w:t xml:space="preserve">v Slovenijo </w:t>
      </w:r>
      <w:r w:rsidR="005A7C32" w:rsidRPr="000E64EC">
        <w:t xml:space="preserve">le </w:t>
      </w:r>
      <w:r w:rsidRPr="000E64EC">
        <w:t xml:space="preserve">okoli </w:t>
      </w:r>
      <w:r w:rsidR="00D51E69" w:rsidRPr="000E64EC">
        <w:t xml:space="preserve">0,1 % </w:t>
      </w:r>
      <w:r w:rsidRPr="000E64EC">
        <w:t>vsega izvoza</w:t>
      </w:r>
      <w:r w:rsidR="005A7C32" w:rsidRPr="000E64EC">
        <w:t xml:space="preserve"> </w:t>
      </w:r>
      <w:r w:rsidR="005A7C32" w:rsidRPr="000E64EC">
        <w:fldChar w:fldCharType="begin"/>
      </w:r>
      <w:r w:rsidR="00A44ECD">
        <w:instrText xml:space="preserve"> ADDIN ZOTERO_ITEM CSL_CITATION {"citationID":"HGZB5ka9","properties":{"formattedCitation":"(UN Comtrade, 2023)","plainCitation":"(UN Comtrade, 2023)","noteIndex":0},"citationItems":[{"id":519,"uris":["http://zotero.org/groups/4141114/items/BM3DCKIT"],"itemData":{"id":519,"type":"report","event-place":"New York","genre":"Podatkovna baza","publisher":"United Nations Statistics Division","publisher-place":"New York","title":"UN Comtrade Database","URL":"https://comtrade.un.org/data/","author":[{"family":"UN Comtrade","given":""}],"accessed":{"date-parts":[["2021",9,22]]},"issued":{"date-parts":[["2023"]]}}}],"schema":"https://github.com/citation-style-language/schema/raw/master/csl-citation.json"} </w:instrText>
      </w:r>
      <w:r w:rsidR="005A7C32" w:rsidRPr="000E64EC">
        <w:fldChar w:fldCharType="separate"/>
      </w:r>
      <w:r w:rsidR="00A44ECD" w:rsidRPr="00A44ECD">
        <w:t>(UN Comtrade, 2023)</w:t>
      </w:r>
      <w:r w:rsidR="005A7C32" w:rsidRPr="000E64EC">
        <w:fldChar w:fldCharType="end"/>
      </w:r>
      <w:r w:rsidR="005A7C32" w:rsidRPr="000E64EC">
        <w:t>.</w:t>
      </w:r>
    </w:p>
    <w:p w14:paraId="6306D5F7" w14:textId="77777777" w:rsidR="00D51E69" w:rsidRPr="000E64EC" w:rsidRDefault="00D51E69" w:rsidP="00C5137C">
      <w:pPr>
        <w:pStyle w:val="BesediloUMAR"/>
        <w:rPr>
          <w:b/>
          <w:bCs/>
        </w:rPr>
      </w:pPr>
    </w:p>
    <w:p w14:paraId="11EDF72E" w14:textId="2E190BE3" w:rsidR="00E527E9" w:rsidRPr="000E64EC" w:rsidRDefault="00E941E9" w:rsidP="00FB47B3">
      <w:pPr>
        <w:pStyle w:val="BesediloUMAR"/>
      </w:pPr>
      <w:r w:rsidRPr="000E64EC">
        <w:rPr>
          <w:b/>
          <w:bCs/>
        </w:rPr>
        <w:t xml:space="preserve">Rusija je </w:t>
      </w:r>
      <w:r w:rsidR="00713954">
        <w:rPr>
          <w:b/>
          <w:bCs/>
        </w:rPr>
        <w:t xml:space="preserve">po drugi strani </w:t>
      </w:r>
      <w:r w:rsidRPr="000E64EC">
        <w:rPr>
          <w:b/>
          <w:bCs/>
        </w:rPr>
        <w:t xml:space="preserve">med </w:t>
      </w:r>
      <w:r w:rsidRPr="00433380">
        <w:rPr>
          <w:b/>
          <w:bCs/>
        </w:rPr>
        <w:t>pomembnejšimi trgovinskimi partnericami Slovenije.</w:t>
      </w:r>
      <w:r w:rsidRPr="00433380">
        <w:t xml:space="preserve"> </w:t>
      </w:r>
      <w:r w:rsidR="00C51334" w:rsidRPr="00433380">
        <w:t>Slovenija je v Rusijo v letu 2021 izvozila za 85</w:t>
      </w:r>
      <w:r w:rsidR="00433380" w:rsidRPr="00433380">
        <w:t>4</w:t>
      </w:r>
      <w:r w:rsidR="00C51334" w:rsidRPr="00433380">
        <w:t xml:space="preserve"> mio EUR blaga, to je okoli 2,4 % vsega blagovnega izvoza, skupno v obe državi pa za okoli 1,1 mrd EUR blaga (3,</w:t>
      </w:r>
      <w:r w:rsidR="00433380" w:rsidRPr="00433380">
        <w:t>3</w:t>
      </w:r>
      <w:r w:rsidR="00C51334" w:rsidRPr="00433380">
        <w:t xml:space="preserve"> % vsega izvoza Slovenije v 2021). </w:t>
      </w:r>
      <w:r w:rsidR="00476703" w:rsidRPr="00433380">
        <w:t>V letu 2021 je iz obeh držav uvozila za okoli 42</w:t>
      </w:r>
      <w:r w:rsidR="00433380" w:rsidRPr="00433380">
        <w:t>2</w:t>
      </w:r>
      <w:r w:rsidR="00476703" w:rsidRPr="00433380">
        <w:t xml:space="preserve"> mio </w:t>
      </w:r>
      <w:r w:rsidR="00670FF3">
        <w:t xml:space="preserve">EUR </w:t>
      </w:r>
      <w:r w:rsidR="00476703" w:rsidRPr="00433380">
        <w:t>blaga (večino iz Rusije), kar je za okoli 1,</w:t>
      </w:r>
      <w:r w:rsidR="00433380" w:rsidRPr="00433380">
        <w:t>2</w:t>
      </w:r>
      <w:r w:rsidR="00476703" w:rsidRPr="00433380">
        <w:t xml:space="preserve"> % vsega uvoza. </w:t>
      </w:r>
      <w:r w:rsidR="008E08E2" w:rsidRPr="00433380">
        <w:t xml:space="preserve">V Rusijo </w:t>
      </w:r>
      <w:r w:rsidR="00697419" w:rsidRPr="00433380">
        <w:t xml:space="preserve">so </w:t>
      </w:r>
      <w:r w:rsidR="008E08E2" w:rsidRPr="00433380">
        <w:t>sicer največ izvozi</w:t>
      </w:r>
      <w:r w:rsidR="00697419" w:rsidRPr="00433380">
        <w:t>la</w:t>
      </w:r>
      <w:r w:rsidR="008E08E2" w:rsidRPr="00433380">
        <w:t xml:space="preserve"> velika</w:t>
      </w:r>
      <w:r w:rsidR="008E08E2" w:rsidRPr="008E08E2">
        <w:t xml:space="preserve"> podjetja (okoli 60 % izvoza v letu 2021), iz Rusije pa </w:t>
      </w:r>
      <w:r w:rsidR="00697419">
        <w:t xml:space="preserve">uvozila </w:t>
      </w:r>
      <w:r w:rsidR="008E08E2" w:rsidRPr="008E08E2">
        <w:t>mala in mikro podjetja (skupaj več kot 55 % uvoza)</w:t>
      </w:r>
      <w:r w:rsidR="003E0A3B" w:rsidRPr="00D03946">
        <w:rPr>
          <w:rStyle w:val="FootnoteReference"/>
        </w:rPr>
        <w:footnoteReference w:id="21"/>
      </w:r>
      <w:r w:rsidR="008E08E2" w:rsidRPr="008E08E2">
        <w:t xml:space="preserve">. </w:t>
      </w:r>
      <w:r w:rsidRPr="008E08E2">
        <w:t xml:space="preserve">V zadnjih letih je pri trgovanju z Rusijo in Ukrajino </w:t>
      </w:r>
      <w:r w:rsidR="00C51334" w:rsidRPr="008E08E2">
        <w:t xml:space="preserve">Slovenija </w:t>
      </w:r>
      <w:r w:rsidRPr="008E08E2">
        <w:t>beležila precejšen presežek v blagovni menjavi in je že od leta 2001 neto</w:t>
      </w:r>
      <w:r w:rsidRPr="000E64EC">
        <w:t xml:space="preserve"> izvoznica v obe državi</w:t>
      </w:r>
      <w:r w:rsidR="00A32AA7" w:rsidRPr="000E64EC">
        <w:t xml:space="preserve">. Tudi storitvena menjava </w:t>
      </w:r>
      <w:r w:rsidRPr="000E64EC">
        <w:t xml:space="preserve">z Rusijo </w:t>
      </w:r>
      <w:r w:rsidR="00A32AA7" w:rsidRPr="000E64EC">
        <w:t>in Ukrajino je</w:t>
      </w:r>
      <w:r w:rsidRPr="000E64EC">
        <w:t xml:space="preserve"> </w:t>
      </w:r>
      <w:r w:rsidR="00697419">
        <w:t xml:space="preserve">bila pred vojno </w:t>
      </w:r>
      <w:r w:rsidRPr="000E64EC">
        <w:t>relativno majhna</w:t>
      </w:r>
      <w:r w:rsidR="00A32AA7" w:rsidRPr="000E64EC">
        <w:t xml:space="preserve"> (skupaj 192 mio EUR)</w:t>
      </w:r>
      <w:r w:rsidRPr="000E64EC">
        <w:t xml:space="preserve"> in predstavlja samo okoli 1,</w:t>
      </w:r>
      <w:r w:rsidR="00FB47B3" w:rsidRPr="000E64EC">
        <w:t>5</w:t>
      </w:r>
      <w:r w:rsidRPr="000E64EC">
        <w:t xml:space="preserve"> % celotne menjave storitev.</w:t>
      </w:r>
      <w:r w:rsidR="00BA1D5A" w:rsidRPr="000E64EC">
        <w:t xml:space="preserve"> </w:t>
      </w:r>
      <w:r w:rsidR="00FB47B3" w:rsidRPr="000E64EC">
        <w:t>Po podrobnih podatkih</w:t>
      </w:r>
      <w:r w:rsidR="00A32AA7" w:rsidRPr="00D03946">
        <w:rPr>
          <w:rStyle w:val="FootnoteReference"/>
        </w:rPr>
        <w:footnoteReference w:id="22"/>
      </w:r>
      <w:r w:rsidR="00A32AA7" w:rsidRPr="000E64EC">
        <w:t xml:space="preserve"> </w:t>
      </w:r>
      <w:r w:rsidR="00FB47B3" w:rsidRPr="000E64EC">
        <w:t xml:space="preserve">je pred epidemijo covida-19 okoli polovico izvoza storitev prispeval turizem, pri uvozu pa </w:t>
      </w:r>
      <w:r w:rsidR="00A32AA7" w:rsidRPr="000E64EC">
        <w:t xml:space="preserve">skoraj 90 % </w:t>
      </w:r>
      <w:r w:rsidR="00FB47B3" w:rsidRPr="000E64EC">
        <w:t>uvoz skupine ostalih poslovnih storitev (storitve strokovnega in poslovnega svetovanja</w:t>
      </w:r>
      <w:r w:rsidR="00A32AA7" w:rsidRPr="000E64EC">
        <w:t xml:space="preserve"> </w:t>
      </w:r>
      <w:r w:rsidR="00FB47B3" w:rsidRPr="000E64EC">
        <w:t>ter</w:t>
      </w:r>
      <w:r w:rsidR="00A32AA7" w:rsidRPr="000E64EC">
        <w:t xml:space="preserve"> </w:t>
      </w:r>
      <w:r w:rsidR="00FB47B3" w:rsidRPr="000E64EC">
        <w:t>tehnične, s trgovino povezane in druge poslovne storitve).</w:t>
      </w:r>
    </w:p>
    <w:p w14:paraId="2F4C9F06" w14:textId="0CCF9A72" w:rsidR="00D51E69" w:rsidRPr="000E64EC" w:rsidRDefault="00D51E69" w:rsidP="00D51E69">
      <w:pPr>
        <w:pStyle w:val="Caption"/>
        <w:rPr>
          <w:noProof w:val="0"/>
        </w:rPr>
      </w:pPr>
      <w:r w:rsidRPr="000E64EC">
        <w:rPr>
          <w:noProof w:val="0"/>
        </w:rPr>
        <w:t xml:space="preserve">Slika </w:t>
      </w:r>
      <w:r w:rsidRPr="000E64EC">
        <w:rPr>
          <w:noProof w:val="0"/>
        </w:rPr>
        <w:fldChar w:fldCharType="begin"/>
      </w:r>
      <w:r w:rsidRPr="000E64EC">
        <w:rPr>
          <w:noProof w:val="0"/>
        </w:rPr>
        <w:instrText xml:space="preserve"> SEQ Slika \* ARABIC </w:instrText>
      </w:r>
      <w:r w:rsidRPr="000E64EC">
        <w:rPr>
          <w:noProof w:val="0"/>
        </w:rPr>
        <w:fldChar w:fldCharType="separate"/>
      </w:r>
      <w:r w:rsidR="00A437A4">
        <w:t>3</w:t>
      </w:r>
      <w:r w:rsidRPr="000E64EC">
        <w:rPr>
          <w:noProof w:val="0"/>
        </w:rPr>
        <w:fldChar w:fldCharType="end"/>
      </w:r>
      <w:r w:rsidRPr="000E64EC">
        <w:rPr>
          <w:noProof w:val="0"/>
        </w:rPr>
        <w:t xml:space="preserve">: </w:t>
      </w:r>
      <w:r w:rsidR="004E38F0">
        <w:rPr>
          <w:noProof w:val="0"/>
        </w:rPr>
        <w:t>Delež menjave z Rusijo se je v zadnjih letih zmanjšal, a ostaja med pomembnejšimi trgovinskimi partnericami</w:t>
      </w:r>
      <w:r w:rsidR="00804E5B">
        <w:rPr>
          <w:noProof w:val="0"/>
        </w:rPr>
        <w:t xml:space="preserve">; </w:t>
      </w:r>
      <w:r w:rsidR="00BF086D">
        <w:rPr>
          <w:noProof w:val="0"/>
        </w:rPr>
        <w:t xml:space="preserve">razmeroma majhen </w:t>
      </w:r>
      <w:r w:rsidR="00804E5B">
        <w:rPr>
          <w:noProof w:val="0"/>
        </w:rPr>
        <w:t xml:space="preserve">delež menjave z Ukrajino se je </w:t>
      </w:r>
      <w:r w:rsidR="005A3515">
        <w:rPr>
          <w:noProof w:val="0"/>
        </w:rPr>
        <w:t xml:space="preserve">z vojno </w:t>
      </w:r>
      <w:r w:rsidR="00804E5B">
        <w:rPr>
          <w:noProof w:val="0"/>
        </w:rPr>
        <w:t>še nekoliko zmanjšal</w:t>
      </w:r>
    </w:p>
    <w:p w14:paraId="6D52913A" w14:textId="2A67E74D" w:rsidR="00D51E69" w:rsidRPr="000E64EC" w:rsidRDefault="00641253" w:rsidP="00D51E69">
      <w:pPr>
        <w:pStyle w:val="VirUMAR"/>
      </w:pPr>
      <w:r w:rsidRPr="00641253">
        <w:rPr>
          <w:noProof/>
        </w:rPr>
        <w:drawing>
          <wp:inline distT="0" distB="0" distL="0" distR="0" wp14:anchorId="1E65BF62" wp14:editId="6F213E66">
            <wp:extent cx="2804400" cy="2307600"/>
            <wp:effectExtent l="0" t="0" r="0" b="0"/>
            <wp:docPr id="1643279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4400" cy="2307600"/>
                    </a:xfrm>
                    <a:prstGeom prst="rect">
                      <a:avLst/>
                    </a:prstGeom>
                    <a:noFill/>
                    <a:ln>
                      <a:noFill/>
                    </a:ln>
                  </pic:spPr>
                </pic:pic>
              </a:graphicData>
            </a:graphic>
          </wp:inline>
        </w:drawing>
      </w:r>
      <w:r w:rsidR="00D51E69" w:rsidRPr="000E64EC">
        <w:t xml:space="preserve">   </w:t>
      </w:r>
      <w:r w:rsidR="0062274D">
        <w:t xml:space="preserve">     </w:t>
      </w:r>
      <w:r w:rsidR="00D51E69" w:rsidRPr="000E64EC">
        <w:t xml:space="preserve"> </w:t>
      </w:r>
      <w:r w:rsidRPr="00641253">
        <w:rPr>
          <w:noProof/>
        </w:rPr>
        <w:drawing>
          <wp:inline distT="0" distB="0" distL="0" distR="0" wp14:anchorId="4E9BCDDE" wp14:editId="6963CF8E">
            <wp:extent cx="2804400" cy="2311200"/>
            <wp:effectExtent l="0" t="0" r="0" b="0"/>
            <wp:docPr id="12930475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4400" cy="2311200"/>
                    </a:xfrm>
                    <a:prstGeom prst="rect">
                      <a:avLst/>
                    </a:prstGeom>
                    <a:noFill/>
                    <a:ln>
                      <a:noFill/>
                    </a:ln>
                  </pic:spPr>
                </pic:pic>
              </a:graphicData>
            </a:graphic>
          </wp:inline>
        </w:drawing>
      </w:r>
    </w:p>
    <w:p w14:paraId="08CEDB83" w14:textId="77777777" w:rsidR="00713954" w:rsidRPr="000E64EC" w:rsidRDefault="00713954" w:rsidP="00713954">
      <w:pPr>
        <w:pStyle w:val="VirUMAR"/>
      </w:pPr>
      <w:r w:rsidRPr="00433380">
        <w:t xml:space="preserve">Vir: SURS </w:t>
      </w:r>
      <w:r w:rsidRPr="00433380">
        <w:fldChar w:fldCharType="begin"/>
      </w:r>
      <w:r w:rsidRPr="00433380">
        <w:instrText xml:space="preserve"> ADDIN ZOTERO_ITEM CSL_CITATION {"citationID":"44bJnvot","properties":{"formattedCitation":"(2023)","plainCitation":"(2023)","noteIndex":0},"citationItems":[{"id":2939,"uris":["http://zotero.org/groups/4141114/items/WI7MWBXE"],"itemData":{"id":2939,"type":"report","event-place":"Ljubljana","genre":"Podatkovna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rsidRPr="00433380">
        <w:fldChar w:fldCharType="separate"/>
      </w:r>
      <w:r w:rsidRPr="00433380">
        <w:t>(2023)</w:t>
      </w:r>
      <w:r w:rsidRPr="00433380">
        <w:fldChar w:fldCharType="end"/>
      </w:r>
      <w:r w:rsidRPr="00433380">
        <w:t>, preračuni UMAR. Opomba: zunanjetrgovinski podatki za izračun deleža so popravljeni za oplemenitenje blaga.</w:t>
      </w:r>
      <w:r>
        <w:t xml:space="preserve"> Podatki za leto 2023 so za obdobje januar–maj.</w:t>
      </w:r>
    </w:p>
    <w:p w14:paraId="757F4A27" w14:textId="77777777" w:rsidR="00D51E69" w:rsidRPr="000E64EC" w:rsidRDefault="00D51E69" w:rsidP="00C5137C">
      <w:pPr>
        <w:pStyle w:val="BesediloUMAR"/>
      </w:pPr>
    </w:p>
    <w:p w14:paraId="642AAC9E" w14:textId="77777777" w:rsidR="00713954" w:rsidRPr="000E64EC" w:rsidRDefault="00713954" w:rsidP="00713954">
      <w:pPr>
        <w:pStyle w:val="BesediloUMAR"/>
      </w:pPr>
      <w:r w:rsidRPr="000E64EC">
        <w:rPr>
          <w:b/>
          <w:bCs/>
        </w:rPr>
        <w:lastRenderedPageBreak/>
        <w:t xml:space="preserve">Največji delež izvoza </w:t>
      </w:r>
      <w:r>
        <w:rPr>
          <w:b/>
          <w:bCs/>
        </w:rPr>
        <w:t>so v letu 2021 predstavljali</w:t>
      </w:r>
      <w:r w:rsidRPr="000E64EC">
        <w:rPr>
          <w:b/>
          <w:bCs/>
        </w:rPr>
        <w:t xml:space="preserve"> farmacevtski proizvodi</w:t>
      </w:r>
      <w:r>
        <w:rPr>
          <w:b/>
          <w:bCs/>
        </w:rPr>
        <w:t xml:space="preserve"> </w:t>
      </w:r>
      <w:r w:rsidRPr="000E64EC">
        <w:rPr>
          <w:b/>
          <w:bCs/>
        </w:rPr>
        <w:t xml:space="preserve">… </w:t>
      </w:r>
      <w:r w:rsidRPr="000E64EC">
        <w:t xml:space="preserve">Struktura izvoza se je v zadnjem desetletju nekoliko razpršila, predvsem je bilo opazno povečanje deleža organskih kemičnih proizvodov </w:t>
      </w:r>
      <w:r>
        <w:t>ter</w:t>
      </w:r>
      <w:r w:rsidRPr="000E64EC">
        <w:t xml:space="preserve"> električnih strojev in naprav. Skoraj 40 % blagovnega izvoza v Rusijo so v letu 2021 predstavljali medicinski in farmacevtski proizvodi, pomembnejši pa je bil tudi izvoz električnih strojev in naprav (13 %, od tega večinoma električni in neelektrične gospodinjske naprave), organskih kemičnih proizvodov (11,6 %) in industrijskih strojev za splošno uporabo (5,7</w:t>
      </w:r>
      <w:r w:rsidRPr="000E64EC">
        <w:rPr>
          <w:rFonts w:ascii="Arial" w:hAnsi="Arial" w:cs="Arial"/>
        </w:rPr>
        <w:t> </w:t>
      </w:r>
      <w:r w:rsidRPr="000E64EC">
        <w:t>%). Tudi v Ukrajino je Slovenija izvozila najve</w:t>
      </w:r>
      <w:r w:rsidRPr="000E64EC">
        <w:rPr>
          <w:rFonts w:cs="Myriad Pro"/>
        </w:rPr>
        <w:t>č</w:t>
      </w:r>
      <w:r w:rsidRPr="000E64EC">
        <w:t xml:space="preserve"> medicinskih in farmacevtskih proizvodov (skoraj polovico), med pomembnej</w:t>
      </w:r>
      <w:r w:rsidRPr="000E64EC">
        <w:rPr>
          <w:rFonts w:cs="Myriad Pro"/>
        </w:rPr>
        <w:t>š</w:t>
      </w:r>
      <w:r w:rsidRPr="000E64EC">
        <w:t xml:space="preserve">imi pa sta bila, podobno kot v Rusijo, tudi izvoz električnih strojev in naprav (15,3 %) ter industrijskih strojev (5,4 %). </w:t>
      </w:r>
      <w:r w:rsidRPr="00591369">
        <w:rPr>
          <w:rStyle w:val="FootnoteReference"/>
        </w:rPr>
        <w:footnoteReference w:id="23"/>
      </w:r>
      <w:r>
        <w:t xml:space="preserve"> </w:t>
      </w:r>
    </w:p>
    <w:p w14:paraId="359A2427" w14:textId="085FC80C" w:rsidR="009D73E8" w:rsidRPr="000E64EC" w:rsidRDefault="009D73E8" w:rsidP="00A51896">
      <w:pPr>
        <w:pStyle w:val="Caption"/>
      </w:pPr>
      <w:r w:rsidRPr="000E64EC">
        <w:rPr>
          <w:noProof w:val="0"/>
        </w:rPr>
        <w:t xml:space="preserve">Slika </w:t>
      </w:r>
      <w:r w:rsidRPr="000E64EC">
        <w:rPr>
          <w:noProof w:val="0"/>
        </w:rPr>
        <w:fldChar w:fldCharType="begin"/>
      </w:r>
      <w:r w:rsidRPr="000E64EC">
        <w:rPr>
          <w:noProof w:val="0"/>
        </w:rPr>
        <w:instrText xml:space="preserve"> SEQ Slika \* ARABIC </w:instrText>
      </w:r>
      <w:r w:rsidRPr="000E64EC">
        <w:rPr>
          <w:noProof w:val="0"/>
        </w:rPr>
        <w:fldChar w:fldCharType="separate"/>
      </w:r>
      <w:r w:rsidR="00A437A4">
        <w:t>4</w:t>
      </w:r>
      <w:r w:rsidRPr="000E64EC">
        <w:rPr>
          <w:noProof w:val="0"/>
        </w:rPr>
        <w:fldChar w:fldCharType="end"/>
      </w:r>
      <w:r w:rsidRPr="000E64EC">
        <w:rPr>
          <w:noProof w:val="0"/>
        </w:rPr>
        <w:t xml:space="preserve">: </w:t>
      </w:r>
      <w:r w:rsidR="00FB03ED">
        <w:rPr>
          <w:noProof w:val="0"/>
        </w:rPr>
        <w:t>V</w:t>
      </w:r>
      <w:r w:rsidR="004E38F0">
        <w:rPr>
          <w:noProof w:val="0"/>
        </w:rPr>
        <w:t xml:space="preserve"> strukturi </w:t>
      </w:r>
      <w:r w:rsidRPr="000E64EC">
        <w:rPr>
          <w:noProof w:val="0"/>
        </w:rPr>
        <w:t xml:space="preserve">blagovnega izvoza </w:t>
      </w:r>
      <w:r w:rsidR="004E38F0">
        <w:rPr>
          <w:noProof w:val="0"/>
        </w:rPr>
        <w:t xml:space="preserve">Slovenije </w:t>
      </w:r>
      <w:r w:rsidRPr="000E64EC">
        <w:rPr>
          <w:noProof w:val="0"/>
        </w:rPr>
        <w:t>v Rusijo in Ukrajino</w:t>
      </w:r>
      <w:r w:rsidR="009A5CD6" w:rsidRPr="000E64EC">
        <w:rPr>
          <w:noProof w:val="0"/>
        </w:rPr>
        <w:t xml:space="preserve"> </w:t>
      </w:r>
      <w:r w:rsidR="00FB03ED">
        <w:rPr>
          <w:noProof w:val="0"/>
        </w:rPr>
        <w:t>prevladujejo</w:t>
      </w:r>
      <w:r w:rsidR="004E38F0">
        <w:rPr>
          <w:noProof w:val="0"/>
        </w:rPr>
        <w:t xml:space="preserve"> </w:t>
      </w:r>
      <w:r w:rsidR="00A51896">
        <w:rPr>
          <w:noProof w:val="0"/>
        </w:rPr>
        <w:t>medi</w:t>
      </w:r>
      <w:r w:rsidR="004E38F0">
        <w:rPr>
          <w:noProof w:val="0"/>
        </w:rPr>
        <w:t xml:space="preserve">cinski in farmacevtski proizvodi. </w:t>
      </w:r>
    </w:p>
    <w:p w14:paraId="7318DF2F" w14:textId="2668FFAB" w:rsidR="00A51896" w:rsidRDefault="006C35F8" w:rsidP="001E77BE">
      <w:pPr>
        <w:pStyle w:val="VirUMAR"/>
      </w:pPr>
      <w:r w:rsidRPr="006C35F8">
        <w:rPr>
          <w:noProof/>
        </w:rPr>
        <w:drawing>
          <wp:inline distT="0" distB="0" distL="0" distR="0" wp14:anchorId="03853480" wp14:editId="351E6835">
            <wp:extent cx="2804400" cy="2293200"/>
            <wp:effectExtent l="0" t="0" r="0" b="0"/>
            <wp:docPr id="11252293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4400" cy="2293200"/>
                    </a:xfrm>
                    <a:prstGeom prst="rect">
                      <a:avLst/>
                    </a:prstGeom>
                    <a:noFill/>
                    <a:ln>
                      <a:noFill/>
                    </a:ln>
                  </pic:spPr>
                </pic:pic>
              </a:graphicData>
            </a:graphic>
          </wp:inline>
        </w:drawing>
      </w:r>
      <w:r w:rsidR="00A51896">
        <w:t xml:space="preserve"> </w:t>
      </w:r>
      <w:r w:rsidR="0062274D">
        <w:t xml:space="preserve">     </w:t>
      </w:r>
      <w:r w:rsidR="00BF5199">
        <w:t xml:space="preserve"> </w:t>
      </w:r>
      <w:r w:rsidR="00A51896">
        <w:t xml:space="preserve">  </w:t>
      </w:r>
      <w:r w:rsidR="00641253" w:rsidRPr="00641253">
        <w:rPr>
          <w:noProof/>
        </w:rPr>
        <w:drawing>
          <wp:inline distT="0" distB="0" distL="0" distR="0" wp14:anchorId="14149D02" wp14:editId="6A908920">
            <wp:extent cx="2804400" cy="2311200"/>
            <wp:effectExtent l="0" t="0" r="0" b="0"/>
            <wp:docPr id="9393898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400" cy="2311200"/>
                    </a:xfrm>
                    <a:prstGeom prst="rect">
                      <a:avLst/>
                    </a:prstGeom>
                    <a:noFill/>
                    <a:ln>
                      <a:noFill/>
                    </a:ln>
                  </pic:spPr>
                </pic:pic>
              </a:graphicData>
            </a:graphic>
          </wp:inline>
        </w:drawing>
      </w:r>
    </w:p>
    <w:p w14:paraId="07DE7790" w14:textId="1C36F82D" w:rsidR="001E77BE" w:rsidRDefault="001E77BE" w:rsidP="0062274D">
      <w:pPr>
        <w:pStyle w:val="VirUMAR"/>
        <w:spacing w:before="120"/>
      </w:pPr>
      <w:r w:rsidRPr="00433380">
        <w:t xml:space="preserve">Vir: SURS </w:t>
      </w:r>
      <w:r w:rsidRPr="00433380">
        <w:fldChar w:fldCharType="begin"/>
      </w:r>
      <w:r w:rsidR="00C12E4C">
        <w:instrText xml:space="preserve"> ADDIN ZOTERO_ITEM CSL_CITATION {"citationID":"VmCQLJTv","properties":{"formattedCitation":"(2023)","plainCitation":"(2023)","noteIndex":0},"citationItems":[{"id":2939,"uris":["http://zotero.org/groups/4141114/items/WI7MWBXE"],"itemData":{"id":2939,"type":"report","event-place":"Ljubljana","genre":"Podatkovna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rsidRPr="00433380">
        <w:fldChar w:fldCharType="separate"/>
      </w:r>
      <w:r w:rsidRPr="00433380">
        <w:t>(2023)</w:t>
      </w:r>
      <w:r w:rsidRPr="00433380">
        <w:fldChar w:fldCharType="end"/>
      </w:r>
      <w:r w:rsidRPr="00433380">
        <w:t>, preračuni UMAR.</w:t>
      </w:r>
    </w:p>
    <w:p w14:paraId="6E2229DC" w14:textId="77777777" w:rsidR="0062274D" w:rsidRPr="000E64EC" w:rsidRDefault="0062274D" w:rsidP="00453A22">
      <w:pPr>
        <w:pStyle w:val="BesediloUMAR"/>
      </w:pPr>
    </w:p>
    <w:p w14:paraId="0C6D3416" w14:textId="04486229" w:rsidR="00713954" w:rsidRPr="000E64EC" w:rsidRDefault="00713954" w:rsidP="00713954">
      <w:pPr>
        <w:pStyle w:val="BesediloUMAR"/>
      </w:pPr>
      <w:r w:rsidRPr="000E64EC">
        <w:rPr>
          <w:b/>
          <w:bCs/>
        </w:rPr>
        <w:t>… pri uvozu pa energetske surovine.</w:t>
      </w:r>
      <w:r w:rsidRPr="000E64EC">
        <w:t xml:space="preserve"> Uvoz iz obeh držav predstavlja le okoli 1,1</w:t>
      </w:r>
      <w:r w:rsidRPr="000E64EC">
        <w:rPr>
          <w:rFonts w:ascii="Arial" w:hAnsi="Arial" w:cs="Arial"/>
        </w:rPr>
        <w:t> </w:t>
      </w:r>
      <w:r w:rsidRPr="000E64EC">
        <w:t>% celotnega blagovnega uvoza, uvoz storitev pa 1,8</w:t>
      </w:r>
      <w:r w:rsidRPr="000E64EC">
        <w:rPr>
          <w:rFonts w:ascii="Arial" w:hAnsi="Arial" w:cs="Arial"/>
        </w:rPr>
        <w:t> </w:t>
      </w:r>
      <w:r w:rsidRPr="000E64EC">
        <w:t>% storitvenega uvoza. Najve</w:t>
      </w:r>
      <w:r w:rsidRPr="000E64EC">
        <w:rPr>
          <w:rFonts w:cs="Myriad Pro"/>
        </w:rPr>
        <w:t>č</w:t>
      </w:r>
      <w:r w:rsidRPr="000E64EC">
        <w:t>ji dele</w:t>
      </w:r>
      <w:r w:rsidRPr="000E64EC">
        <w:rPr>
          <w:rFonts w:cs="Myriad Pro"/>
        </w:rPr>
        <w:t>ž</w:t>
      </w:r>
      <w:r w:rsidRPr="000E64EC">
        <w:t xml:space="preserve"> neposrednega uvoza iz Rusije predstavljajo energetske surovine (zemeljski plin ter nafta in naftni derivati), ki pa so v zadnjem desetletju opazno nihale. Po podatkih Eurostata (2022b) neposredno in posredno (prek trgovinskih partneric EU, predvsem Avstrije) iz te države uvozimo več kot 75</w:t>
      </w:r>
      <w:r w:rsidRPr="000E64EC">
        <w:rPr>
          <w:rFonts w:ascii="Arial" w:hAnsi="Arial" w:cs="Arial"/>
        </w:rPr>
        <w:t> </w:t>
      </w:r>
      <w:r w:rsidRPr="000E64EC">
        <w:t>% vsega plina. Ve</w:t>
      </w:r>
      <w:r w:rsidRPr="000E64EC">
        <w:rPr>
          <w:rFonts w:cs="Myriad Pro"/>
        </w:rPr>
        <w:t>č</w:t>
      </w:r>
      <w:r w:rsidRPr="000E64EC">
        <w:t>ino uvoza iz Ukrajine predstavljajo razli</w:t>
      </w:r>
      <w:r w:rsidRPr="000E64EC">
        <w:rPr>
          <w:rFonts w:cs="Myriad Pro"/>
        </w:rPr>
        <w:t>č</w:t>
      </w:r>
      <w:r w:rsidRPr="000E64EC">
        <w:t>ni vmesni proizvodi</w:t>
      </w:r>
      <w:r>
        <w:t xml:space="preserve">, na primer </w:t>
      </w:r>
      <w:r w:rsidRPr="000E64EC">
        <w:rPr>
          <w:rFonts w:cs="Myriad Pro"/>
        </w:rPr>
        <w:t>ž</w:t>
      </w:r>
      <w:r w:rsidRPr="000E64EC">
        <w:t>elezo in jeklo, kovine, pluta in lesni izdelki</w:t>
      </w:r>
      <w:r>
        <w:t>,</w:t>
      </w:r>
      <w:r w:rsidRPr="000E64EC">
        <w:t xml:space="preserve"> vendar njihovi dele</w:t>
      </w:r>
      <w:r w:rsidRPr="000E64EC">
        <w:rPr>
          <w:rFonts w:cs="Myriad Pro"/>
        </w:rPr>
        <w:t>ž</w:t>
      </w:r>
      <w:r w:rsidRPr="000E64EC">
        <w:t>i v skupnem uvozu teh proizvodov niso opaznejši. Podobno velja tudi za uvoz hrane, predvsem žit iz Ukrajine, kjer so neposredni deleži v uvozu zelo majhni</w:t>
      </w:r>
      <w:r>
        <w:t xml:space="preserve">, </w:t>
      </w:r>
      <w:r w:rsidRPr="000E64EC">
        <w:t xml:space="preserve">manj kot 0,1 % celotnega uvoza žit. </w:t>
      </w:r>
    </w:p>
    <w:p w14:paraId="571A7E40" w14:textId="04FE1C13" w:rsidR="000C49B8" w:rsidRPr="000C49B8" w:rsidRDefault="009D73E8" w:rsidP="000C49B8">
      <w:pPr>
        <w:pStyle w:val="Caption"/>
        <w:rPr>
          <w:noProof w:val="0"/>
        </w:rPr>
      </w:pPr>
      <w:r w:rsidRPr="000E64EC">
        <w:rPr>
          <w:noProof w:val="0"/>
        </w:rPr>
        <w:lastRenderedPageBreak/>
        <w:t xml:space="preserve">Slika </w:t>
      </w:r>
      <w:r w:rsidRPr="000E64EC">
        <w:rPr>
          <w:noProof w:val="0"/>
        </w:rPr>
        <w:fldChar w:fldCharType="begin"/>
      </w:r>
      <w:r w:rsidRPr="000E64EC">
        <w:rPr>
          <w:noProof w:val="0"/>
        </w:rPr>
        <w:instrText xml:space="preserve"> SEQ Slika \* ARABIC </w:instrText>
      </w:r>
      <w:r w:rsidRPr="000E64EC">
        <w:rPr>
          <w:noProof w:val="0"/>
        </w:rPr>
        <w:fldChar w:fldCharType="separate"/>
      </w:r>
      <w:r w:rsidR="00A437A4">
        <w:t>5</w:t>
      </w:r>
      <w:r w:rsidRPr="000E64EC">
        <w:rPr>
          <w:noProof w:val="0"/>
        </w:rPr>
        <w:fldChar w:fldCharType="end"/>
      </w:r>
      <w:r w:rsidRPr="000E64EC">
        <w:rPr>
          <w:noProof w:val="0"/>
        </w:rPr>
        <w:t xml:space="preserve">: </w:t>
      </w:r>
      <w:r w:rsidR="004E38F0">
        <w:rPr>
          <w:noProof w:val="0"/>
        </w:rPr>
        <w:t xml:space="preserve">V strukturi blagovnega uvoza iz Rusije so pred vojno največji delež predstavljala mineralna goriva, v uvozu iz Ukrajine pa različni vmesni proizvodi. </w:t>
      </w:r>
    </w:p>
    <w:p w14:paraId="03CDFBDB" w14:textId="718C246B" w:rsidR="00D51E69" w:rsidRPr="000E64EC" w:rsidRDefault="006C35F8" w:rsidP="00453A22">
      <w:pPr>
        <w:pStyle w:val="BesediloUMAR"/>
      </w:pPr>
      <w:r w:rsidRPr="006C35F8">
        <w:rPr>
          <w:noProof/>
        </w:rPr>
        <w:drawing>
          <wp:inline distT="0" distB="0" distL="0" distR="0" wp14:anchorId="331DDFC7" wp14:editId="36C6766E">
            <wp:extent cx="2804400" cy="2293200"/>
            <wp:effectExtent l="0" t="0" r="0" b="0"/>
            <wp:docPr id="18257853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400" cy="2293200"/>
                    </a:xfrm>
                    <a:prstGeom prst="rect">
                      <a:avLst/>
                    </a:prstGeom>
                    <a:noFill/>
                    <a:ln>
                      <a:noFill/>
                    </a:ln>
                  </pic:spPr>
                </pic:pic>
              </a:graphicData>
            </a:graphic>
          </wp:inline>
        </w:drawing>
      </w:r>
      <w:r w:rsidR="0062274D">
        <w:t xml:space="preserve">    </w:t>
      </w:r>
      <w:r w:rsidR="009A5CD6" w:rsidRPr="000E64EC">
        <w:t xml:space="preserve">   </w:t>
      </w:r>
      <w:r w:rsidR="00641253" w:rsidRPr="00641253">
        <w:rPr>
          <w:noProof/>
        </w:rPr>
        <w:drawing>
          <wp:inline distT="0" distB="0" distL="0" distR="0" wp14:anchorId="17914723" wp14:editId="76BA2C9B">
            <wp:extent cx="2804400" cy="2293200"/>
            <wp:effectExtent l="0" t="0" r="0" b="0"/>
            <wp:docPr id="8467808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4400" cy="2293200"/>
                    </a:xfrm>
                    <a:prstGeom prst="rect">
                      <a:avLst/>
                    </a:prstGeom>
                    <a:noFill/>
                    <a:ln>
                      <a:noFill/>
                    </a:ln>
                  </pic:spPr>
                </pic:pic>
              </a:graphicData>
            </a:graphic>
          </wp:inline>
        </w:drawing>
      </w:r>
    </w:p>
    <w:p w14:paraId="085823F9" w14:textId="42955020" w:rsidR="001E77BE" w:rsidRDefault="001E77BE" w:rsidP="001E77BE">
      <w:pPr>
        <w:pStyle w:val="VirUMAR"/>
      </w:pPr>
      <w:r w:rsidRPr="00433380">
        <w:t xml:space="preserve">Vir: SURS </w:t>
      </w:r>
      <w:r w:rsidRPr="00433380">
        <w:fldChar w:fldCharType="begin"/>
      </w:r>
      <w:r w:rsidR="00C12E4C">
        <w:instrText xml:space="preserve"> ADDIN ZOTERO_ITEM CSL_CITATION {"citationID":"N7ajj5iS","properties":{"formattedCitation":"(2023)","plainCitation":"(2023)","noteIndex":0},"citationItems":[{"id":2939,"uris":["http://zotero.org/groups/4141114/items/WI7MWBXE"],"itemData":{"id":2939,"type":"report","event-place":"Ljubljana","genre":"Podatkovna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rsidRPr="00433380">
        <w:fldChar w:fldCharType="separate"/>
      </w:r>
      <w:r w:rsidRPr="00433380">
        <w:t>(2023)</w:t>
      </w:r>
      <w:r w:rsidRPr="00433380">
        <w:fldChar w:fldCharType="end"/>
      </w:r>
      <w:r w:rsidRPr="00433380">
        <w:t>, preračuni UMAR.</w:t>
      </w:r>
      <w:r w:rsidR="00437EE7">
        <w:t xml:space="preserve"> Opomba: struktura uvoza med državama je precej različna, zato sta uvoza med državama prikazana na različnih slikah. </w:t>
      </w:r>
    </w:p>
    <w:p w14:paraId="3BB0EBAF" w14:textId="77777777" w:rsidR="009A5CD6" w:rsidRPr="000E64EC" w:rsidRDefault="009A5CD6" w:rsidP="00453A22">
      <w:pPr>
        <w:pStyle w:val="BesediloUMAR"/>
      </w:pPr>
    </w:p>
    <w:p w14:paraId="3C3D7B24" w14:textId="6D628231" w:rsidR="00DE7707" w:rsidRDefault="009C582D" w:rsidP="00DE7707">
      <w:pPr>
        <w:pStyle w:val="BesediloUMAR"/>
      </w:pPr>
      <w:r w:rsidRPr="000E64EC">
        <w:rPr>
          <w:b/>
          <w:bCs/>
        </w:rPr>
        <w:t xml:space="preserve">Slovenija je z Rusijo močno povezana </w:t>
      </w:r>
      <w:r w:rsidR="00485329">
        <w:rPr>
          <w:b/>
          <w:bCs/>
        </w:rPr>
        <w:t xml:space="preserve">z </w:t>
      </w:r>
      <w:r w:rsidRPr="000E64EC">
        <w:rPr>
          <w:b/>
          <w:bCs/>
        </w:rPr>
        <w:t>neposredni</w:t>
      </w:r>
      <w:r w:rsidR="00485329">
        <w:rPr>
          <w:b/>
          <w:bCs/>
        </w:rPr>
        <w:t xml:space="preserve">mi </w:t>
      </w:r>
      <w:r w:rsidRPr="000E64EC">
        <w:rPr>
          <w:b/>
          <w:bCs/>
        </w:rPr>
        <w:t>tuji</w:t>
      </w:r>
      <w:r w:rsidR="00485329">
        <w:rPr>
          <w:b/>
          <w:bCs/>
        </w:rPr>
        <w:t>mi</w:t>
      </w:r>
      <w:r w:rsidRPr="000E64EC">
        <w:rPr>
          <w:b/>
          <w:bCs/>
        </w:rPr>
        <w:t xml:space="preserve"> naložb</w:t>
      </w:r>
      <w:r w:rsidR="00485329">
        <w:rPr>
          <w:b/>
          <w:bCs/>
        </w:rPr>
        <w:t>ami</w:t>
      </w:r>
      <w:r w:rsidRPr="000E64EC">
        <w:rPr>
          <w:b/>
          <w:bCs/>
        </w:rPr>
        <w:t xml:space="preserve">. </w:t>
      </w:r>
      <w:r w:rsidR="00485329" w:rsidRPr="000E64EC">
        <w:t>Neposredne naložbe Slovenije v Rusiji so konec leta 2021 znašale 468 mio EUR oz. 6 % vseh slovenskih tujih naložb, s tem pa je bila Rusija med največjimi prejemnicami slovenskih naložb in največja izven območja držav bivše Jugoslavije. Večina prejemnic so bile ruske družbe iz predelovalnih dejavnosti (89,8 %), največje naložbe v preteklih letih pa so bile povezane z dejavnostjo farmacije. Po podatkih BS</w:t>
      </w:r>
      <w:r w:rsidR="00485329">
        <w:t xml:space="preserve"> </w:t>
      </w:r>
      <w:r w:rsidR="00485329">
        <w:fldChar w:fldCharType="begin"/>
      </w:r>
      <w:r w:rsidR="00485329">
        <w:instrText xml:space="preserve"> ADDIN ZOTERO_ITEM CSL_CITATION {"citationID":"xpusnixl","properties":{"formattedCitation":"(2022a)","plainCitation":"(2022a)","noteIndex":0},"citationItems":[{"id":2550,"uris":["http://zotero.org/groups/4141114/items/RMI4ZS8I"],"itemData":{"id":2550,"type":"report","event-place":"Ljubljana","publisher":"Banka Slovenije","publisher-place":"Ljubljana","title":"Neposredne naložbe 2021","URL":"https://bankaslovenije.blob.core.windows.net/publication-files/neposredne-nalozbe-2021-prva-objava.pdf","author":[{"family":"BS","given":""}],"accessed":{"date-parts":[["2022",9,14]]},"issued":{"date-parts":[["2022"]]}},"suppress-author":true}],"schema":"https://github.com/citation-style-language/schema/raw/master/csl-citation.json"} </w:instrText>
      </w:r>
      <w:r w:rsidR="00485329">
        <w:fldChar w:fldCharType="separate"/>
      </w:r>
      <w:r w:rsidR="00485329" w:rsidRPr="00FB03ED">
        <w:t>(2022a)</w:t>
      </w:r>
      <w:r w:rsidR="00485329">
        <w:fldChar w:fldCharType="end"/>
      </w:r>
      <w:r w:rsidR="00485329" w:rsidRPr="000E64EC">
        <w:t xml:space="preserve"> je Slovenija gostila za 515 mio EUR ruskih naložb (2,8 vseh tujih naložb v Sloveniji)</w:t>
      </w:r>
      <w:r w:rsidR="00485329" w:rsidRPr="00591369">
        <w:rPr>
          <w:rStyle w:val="FootnoteReference"/>
        </w:rPr>
        <w:footnoteReference w:id="24"/>
      </w:r>
      <w:r w:rsidR="00485329" w:rsidRPr="000E64EC">
        <w:t>, s tem pa je bila Rusija med desetimi najpomembnejšimi investitorkami v Sloveniji. Ena izmed največjih ruskih investicij je povezana s kovinsko industrijo, ruska podjetja pa so bila pred vojno pomembneje prisotna v turistični industriji, trgovini in bančništvu. Naložbe Ukrajine v Slovenijo (in obratno) so precej manjše in predstavljajo manj kot odstotek vseh naložb</w:t>
      </w:r>
      <w:r w:rsidR="00485329" w:rsidRPr="004A5B65">
        <w:t>. Po državi nadzora je v Sloveniji</w:t>
      </w:r>
      <w:r w:rsidR="00485329">
        <w:t xml:space="preserve"> leta 2020 delovalo 733 podjetij iz Rusije (255 ukrajinskih), ki pa so sicer zaposlovala precej manj delavcev na podjetje kot ostala, vključno z ukrajinskimi podjetji, precej nižja pa sta bila njihov prihodek in dodana vrednost na podjetje ter zaposlenega.</w:t>
      </w:r>
    </w:p>
    <w:p w14:paraId="77298915" w14:textId="77777777" w:rsidR="00BF5199" w:rsidRDefault="00BF5199" w:rsidP="00DE7707">
      <w:pPr>
        <w:pStyle w:val="BesediloUMAR"/>
      </w:pPr>
    </w:p>
    <w:p w14:paraId="41FAEF5D" w14:textId="42BD8CAA" w:rsidR="00D93E93" w:rsidRPr="000E64EC" w:rsidRDefault="00D93E93" w:rsidP="00282A75">
      <w:pPr>
        <w:pStyle w:val="Heading2"/>
      </w:pPr>
      <w:r w:rsidRPr="000E64EC">
        <w:t xml:space="preserve">Izpostavljenost </w:t>
      </w:r>
      <w:r w:rsidR="00071DFF">
        <w:t xml:space="preserve">slovenskega gospodarstva </w:t>
      </w:r>
    </w:p>
    <w:p w14:paraId="23F0C25E" w14:textId="39E6DC1F" w:rsidR="00DD42F0" w:rsidRPr="000E64EC" w:rsidRDefault="00485329" w:rsidP="009D73E8">
      <w:pPr>
        <w:pStyle w:val="BesediloUMAR"/>
      </w:pPr>
      <w:r w:rsidRPr="000E64EC">
        <w:rPr>
          <w:b/>
          <w:bCs/>
        </w:rPr>
        <w:t>Izpostavljenost izvozno usmerjenih dejavnosti je visoka v proizvodnji kemičnih izdelkov</w:t>
      </w:r>
      <w:r w:rsidRPr="00485329">
        <w:rPr>
          <w:b/>
          <w:bCs/>
        </w:rPr>
        <w:t>, saj Slovenija v Rusijo izvozi četrtino vseh organskih kemičnih proizvodov.</w:t>
      </w:r>
      <w:r w:rsidRPr="0006489A">
        <w:t xml:space="preserve"> Prav tako je izpostavljenost visoka </w:t>
      </w:r>
      <w:r w:rsidRPr="00937DEB">
        <w:t>v dejavnosti farmacije, kjer obe državi skupaj predstavljata okoli 12,5 % celotnega (neposrednega) izvoza medicinskih in farmacevtskih proizvodov</w:t>
      </w:r>
      <w:r w:rsidR="009D73E8" w:rsidRPr="000E64EC">
        <w:t xml:space="preserve">. </w:t>
      </w:r>
      <w:r w:rsidR="00545973" w:rsidRPr="000E64EC">
        <w:t>Ob tem je treba omeniti, da v skladu z dogovorjenimi sankcijami na ravni</w:t>
      </w:r>
      <w:r w:rsidR="005A3515" w:rsidRPr="005A3515">
        <w:t xml:space="preserve"> </w:t>
      </w:r>
      <w:r w:rsidR="005A3515" w:rsidRPr="000E64EC">
        <w:t>EU</w:t>
      </w:r>
      <w:r w:rsidR="00545973" w:rsidRPr="000E64EC">
        <w:t xml:space="preserve">, dejavnost farmacije ni bila podvržena omejitvam trgovanja. </w:t>
      </w:r>
      <w:r w:rsidR="009D73E8" w:rsidRPr="000E64EC">
        <w:t>Tudi podrobna analiza med podjetji kaže, da so neposredno zaradi sankcij v Rusiji najbolj izpostavljena podjetja</w:t>
      </w:r>
      <w:r w:rsidR="005A3515" w:rsidRPr="005A3515">
        <w:t xml:space="preserve"> </w:t>
      </w:r>
      <w:r w:rsidR="005A3515" w:rsidRPr="000E64EC">
        <w:t>predelovaln</w:t>
      </w:r>
      <w:r w:rsidR="005A3515">
        <w:t>ih dejavnosti</w:t>
      </w:r>
      <w:r w:rsidR="009D73E8" w:rsidRPr="000E64EC">
        <w:t xml:space="preserve">, predvsem </w:t>
      </w:r>
      <w:r w:rsidR="005A3515">
        <w:t>iz</w:t>
      </w:r>
      <w:r w:rsidR="009D73E8" w:rsidRPr="000E64EC">
        <w:t>farmacije. Navzkrižna primerjava podatkovne baze SloExport</w:t>
      </w:r>
      <w:r w:rsidR="00AE4F0C" w:rsidRPr="000E64EC">
        <w:t xml:space="preserve"> </w:t>
      </w:r>
      <w:r w:rsidR="00AE4F0C" w:rsidRPr="000E64EC">
        <w:fldChar w:fldCharType="begin"/>
      </w:r>
      <w:r w:rsidR="00AE4F0C" w:rsidRPr="000E64EC">
        <w:instrText xml:space="preserve"> ADDIN ZOTERO_ITEM CSL_CITATION {"citationID":"NGBQOtFd","properties":{"formattedCitation":"(GZS, 2022)","plainCitation":"(GZS, 2022)","noteIndex":0},"citationItems":[{"id":2083,"uris":["http://zotero.org/groups/4141114/items/YX4FDHAK"],"itemData":{"id":2083,"type":"report","event-place":"Ljubljana","genre":"podatkovna baza","publisher":"Gospodarska zbornica Slovenije","publisher-place":"Ljubljana","title":"SLOEXPORT - podatkovna baza slovenskih izvoznikov","URL":"http://www.sloexport.si/","author":[{"family":"GZS","given":""}],"accessed":{"date-parts":[["2022",3,14]]},"issued":{"date-parts":[["2022"]]}}}],"schema":"https://github.com/citation-style-language/schema/raw/master/csl-citation.json"} </w:instrText>
      </w:r>
      <w:r w:rsidR="00AE4F0C" w:rsidRPr="000E64EC">
        <w:fldChar w:fldCharType="separate"/>
      </w:r>
      <w:r w:rsidR="00AE4F0C" w:rsidRPr="000E64EC">
        <w:t>(GZS, 2022)</w:t>
      </w:r>
      <w:r w:rsidR="00AE4F0C" w:rsidRPr="000E64EC">
        <w:fldChar w:fldCharType="end"/>
      </w:r>
      <w:r w:rsidR="009D73E8" w:rsidRPr="000E64EC">
        <w:t>, ki identificira podjetja, ki izvažajo v Rusijo in/ali so neposredno prisotna na ruskem trgu, in podatkov</w:t>
      </w:r>
      <w:r w:rsidR="00AE4F0C" w:rsidRPr="000E64EC">
        <w:t xml:space="preserve"> Ajpes </w:t>
      </w:r>
      <w:r w:rsidR="00AE4F0C" w:rsidRPr="000E64EC">
        <w:fldChar w:fldCharType="begin"/>
      </w:r>
      <w:r w:rsidR="00AE4F0C" w:rsidRPr="000E64EC">
        <w:instrText xml:space="preserve"> ADDIN ZOTERO_ITEM CSL_CITATION {"citationID":"gFyMUzzP","properties":{"formattedCitation":"(2022)","plainCitation":"(2022)","noteIndex":0},"citationItems":[{"id":3079,"uris":["http://zotero.org/groups/4141114/items/NR5WGNXC"],"itemData":{"id":3079,"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podjetnike","author":[{"family":"AJPES","given":""}],"issued":{"date-parts":[["2022"]]}},"suppress-author":true}],"schema":"https://github.com/citation-style-language/schema/raw/master/csl-citation.json"} </w:instrText>
      </w:r>
      <w:r w:rsidR="00AE4F0C" w:rsidRPr="000E64EC">
        <w:fldChar w:fldCharType="separate"/>
      </w:r>
      <w:r w:rsidR="00AE4F0C" w:rsidRPr="000E64EC">
        <w:t>(2022)</w:t>
      </w:r>
      <w:r w:rsidR="00AE4F0C" w:rsidRPr="000E64EC">
        <w:fldChar w:fldCharType="end"/>
      </w:r>
      <w:r w:rsidR="00AE4F0C" w:rsidRPr="000E64EC">
        <w:t xml:space="preserve"> </w:t>
      </w:r>
      <w:r w:rsidR="009D73E8" w:rsidRPr="000E64EC">
        <w:t>kaže, da je bilo v letu 202</w:t>
      </w:r>
      <w:r w:rsidR="00A97019" w:rsidRPr="000E64EC">
        <w:t>1</w:t>
      </w:r>
      <w:r w:rsidR="009D73E8" w:rsidRPr="000E64EC">
        <w:t xml:space="preserve"> z Rusijo skoraj 60</w:t>
      </w:r>
      <w:r w:rsidR="00613374">
        <w:t> </w:t>
      </w:r>
      <w:r w:rsidR="009D73E8" w:rsidRPr="000E64EC">
        <w:t>% ekonomsko povezanih podjetij v predelovalni dejavnostih (C), sledijo strokovne, znanstvene in tehnične dejavnosti (M), trgovina (G) in promet (H). V letu 202</w:t>
      </w:r>
      <w:r w:rsidR="00A97019" w:rsidRPr="000E64EC">
        <w:t>1</w:t>
      </w:r>
      <w:r w:rsidR="009D73E8" w:rsidRPr="000E64EC">
        <w:t xml:space="preserve"> so ta vsaj v določeni meri neposredno z Rusijo povezana podjetja ustvarila 1</w:t>
      </w:r>
      <w:r w:rsidR="00A97019" w:rsidRPr="000E64EC">
        <w:t>7,1</w:t>
      </w:r>
      <w:r w:rsidR="00613374">
        <w:t> </w:t>
      </w:r>
      <w:r w:rsidR="009D73E8" w:rsidRPr="000E64EC">
        <w:t xml:space="preserve">% dodane vrednosti, </w:t>
      </w:r>
      <w:r w:rsidR="00A97019" w:rsidRPr="000E64EC">
        <w:t>38,1</w:t>
      </w:r>
      <w:r w:rsidR="000372AC">
        <w:t> </w:t>
      </w:r>
      <w:r w:rsidR="009D73E8" w:rsidRPr="000E64EC">
        <w:t>% prihodkov od prodaje izven EU ter zaposlovala 13,</w:t>
      </w:r>
      <w:r w:rsidR="00A97019" w:rsidRPr="000E64EC">
        <w:t>3</w:t>
      </w:r>
      <w:r w:rsidR="00613374">
        <w:t> </w:t>
      </w:r>
      <w:r w:rsidR="009D73E8" w:rsidRPr="000E64EC">
        <w:t>% vseh zaposlenih v gospodarskih družbah.</w:t>
      </w:r>
      <w:r w:rsidR="00545973" w:rsidRPr="000E64EC">
        <w:t xml:space="preserve"> Pri uvozu iz Rusije je izpostavljenost velika predvsem pri uvozu energetskih surovin, ki so v letu 2021 predstavljale okoli dve tretjini celotnega uvoza. </w:t>
      </w:r>
      <w:r w:rsidR="00D93E93" w:rsidRPr="000E64EC">
        <w:t>Zaradi vojn</w:t>
      </w:r>
      <w:r w:rsidR="007C5055">
        <w:t>ih razmer in prekinjenih transportnih poti</w:t>
      </w:r>
      <w:r w:rsidR="00D93E93" w:rsidRPr="000E64EC">
        <w:t xml:space="preserve"> bi lahko bil delež izpada trgovine z Ukrajino </w:t>
      </w:r>
      <w:r w:rsidR="007C5055">
        <w:t xml:space="preserve">relativno </w:t>
      </w:r>
      <w:r w:rsidR="00D93E93" w:rsidRPr="000E64EC">
        <w:t xml:space="preserve">visok, </w:t>
      </w:r>
      <w:r w:rsidRPr="000E64EC">
        <w:t xml:space="preserve">vendar je </w:t>
      </w:r>
      <w:r w:rsidRPr="000E64EC">
        <w:lastRenderedPageBreak/>
        <w:t xml:space="preserve">zunanjetrgovinska izpostavljenost do Ukrajine </w:t>
      </w:r>
      <w:r>
        <w:t xml:space="preserve">razmeroma </w:t>
      </w:r>
      <w:r w:rsidRPr="000E64EC">
        <w:t>majhna</w:t>
      </w:r>
      <w:r>
        <w:t>, poleg tega pa bi lahko prišlo do večjih sprememb v strukturi menjave</w:t>
      </w:r>
      <w:r w:rsidRPr="000E64EC">
        <w:t>. Ob tem</w:t>
      </w:r>
      <w:r>
        <w:t xml:space="preserve"> je prisotno </w:t>
      </w:r>
      <w:r w:rsidRPr="00485329">
        <w:t>zavedanje, da bi lahko bil zaradi vojnih razmer upad poslovanja in</w:t>
      </w:r>
      <w:r w:rsidRPr="000E64EC">
        <w:t xml:space="preserve"> prihodkov posameznih podjetjih</w:t>
      </w:r>
      <w:r>
        <w:t xml:space="preserve"> v Rusiji in Ukrajini</w:t>
      </w:r>
      <w:r w:rsidRPr="000E64EC">
        <w:t xml:space="preserve"> visok</w:t>
      </w:r>
      <w:r>
        <w:t>.</w:t>
      </w:r>
      <w:r w:rsidRPr="00591369">
        <w:rPr>
          <w:rStyle w:val="FootnoteReference"/>
        </w:rPr>
        <w:footnoteReference w:id="25"/>
      </w:r>
      <w:r>
        <w:t xml:space="preserve"> Podatkovni bazi KSE instituta </w:t>
      </w:r>
      <w:r>
        <w:fldChar w:fldCharType="begin"/>
      </w:r>
      <w:r>
        <w:instrText xml:space="preserve"> ADDIN ZOTERO_ITEM CSL_CITATION {"citationID":"RV77zNI9","properties":{"formattedCitation":"(2023)","plainCitation":"(2023)","noteIndex":0},"citationItems":[{"id":2955,"uris":["http://zotero.org/groups/4141114/items/TEV2IYVR"],"itemData":{"id":2955,"type":"webpage","abstract":"#LeaveRussia: The List of Companies that Stopped or Still Working in Russia","language":"en","title":"#LeaveRussia","URL":"https://leave-russia.org/?1650483096","author":[{"family":"KSE institute","given":""}],"accessed":{"date-parts":[["2023",1,10]]},"issued":{"date-parts":[["2023"]]}},"suppress-author":true}],"schema":"https://github.com/citation-style-language/schema/raw/master/csl-citation.json"} </w:instrText>
      </w:r>
      <w:r>
        <w:fldChar w:fldCharType="separate"/>
      </w:r>
      <w:r w:rsidRPr="006D5B32">
        <w:t>(2023)</w:t>
      </w:r>
      <w:r>
        <w:fldChar w:fldCharType="end"/>
      </w:r>
      <w:r>
        <w:t xml:space="preserve"> in Yale SOM </w:t>
      </w:r>
      <w:r>
        <w:fldChar w:fldCharType="begin"/>
      </w:r>
      <w:r>
        <w:instrText xml:space="preserve"> ADDIN ZOTERO_ITEM CSL_CITATION {"citationID":"TerrqnpE","properties":{"formattedCitation":"(2023)","plainCitation":"(2023)","noteIndex":0},"citationItems":[{"id":2957,"uris":["http://zotero.org/groups/4141114/items/XF8ZPG7T"],"itemData":{"id":2957,"type":"webpage","container-title":"Chief Executive Leadership Institute","language":"en","title":"Over 1,000 Companies Have Curtailed Operations in Russia—But Some Remain |","URL":"https://som.yale.edu/story/2022/over-1000-companies-have-curtailed-operations-russia-some-remain","author":[{"family":"Yale SOM","given":""}],"accessed":{"date-parts":[["2023",1,10]]},"issued":{"date-parts":[["2023"]]}},"suppress-author":true}],"schema":"https://github.com/citation-style-language/schema/raw/master/csl-citation.json"} </w:instrText>
      </w:r>
      <w:r>
        <w:fldChar w:fldCharType="separate"/>
      </w:r>
      <w:r w:rsidRPr="00D86C43">
        <w:t>(2023)</w:t>
      </w:r>
      <w:r>
        <w:fldChar w:fldCharType="end"/>
      </w:r>
      <w:r>
        <w:t xml:space="preserve"> navajata 12 večjih slovenskih podjetij, ki so pred začetkom vojne delovala na ruskem trgu. Po teh podatkih sta od začetka vojne dve podjetji prenehali z aktivnostjo na ruskem trgu, dve sta zmanjšali obseg poslovanja, preostala podjetja pa so poslovala normalno.</w:t>
      </w:r>
    </w:p>
    <w:p w14:paraId="7E5EFD42" w14:textId="77777777" w:rsidR="00485329" w:rsidRDefault="00485329" w:rsidP="00DD42F0">
      <w:pPr>
        <w:pStyle w:val="BesediloUMAR"/>
        <w:rPr>
          <w:b/>
          <w:bCs/>
        </w:rPr>
      </w:pPr>
    </w:p>
    <w:p w14:paraId="2C6CE530" w14:textId="6A2CEB14" w:rsidR="00485329" w:rsidRPr="00DD42F0" w:rsidRDefault="00485329" w:rsidP="00485329">
      <w:pPr>
        <w:pStyle w:val="BesediloUMAR"/>
      </w:pPr>
      <w:r w:rsidRPr="00DD42F0">
        <w:rPr>
          <w:b/>
          <w:bCs/>
        </w:rPr>
        <w:t>Skupna izpostavljenost je še nekoliko večja</w:t>
      </w:r>
      <w:r>
        <w:rPr>
          <w:b/>
          <w:bCs/>
        </w:rPr>
        <w:t xml:space="preserve"> ob upoštevanju</w:t>
      </w:r>
      <w:r w:rsidRPr="00DD42F0">
        <w:rPr>
          <w:b/>
          <w:bCs/>
        </w:rPr>
        <w:t xml:space="preserve"> posredn</w:t>
      </w:r>
      <w:r>
        <w:rPr>
          <w:b/>
          <w:bCs/>
        </w:rPr>
        <w:t>e</w:t>
      </w:r>
      <w:r w:rsidRPr="00DD42F0">
        <w:rPr>
          <w:b/>
          <w:bCs/>
        </w:rPr>
        <w:t xml:space="preserve"> menjav</w:t>
      </w:r>
      <w:r>
        <w:rPr>
          <w:b/>
          <w:bCs/>
        </w:rPr>
        <w:t>e</w:t>
      </w:r>
      <w:r w:rsidRPr="00DD42F0">
        <w:rPr>
          <w:b/>
          <w:bCs/>
        </w:rPr>
        <w:t xml:space="preserve"> z Rusijo, </w:t>
      </w:r>
      <w:r>
        <w:rPr>
          <w:b/>
          <w:bCs/>
        </w:rPr>
        <w:t xml:space="preserve">z </w:t>
      </w:r>
      <w:r w:rsidRPr="00DD42F0">
        <w:rPr>
          <w:b/>
          <w:bCs/>
        </w:rPr>
        <w:t>vključenost</w:t>
      </w:r>
      <w:r>
        <w:rPr>
          <w:b/>
          <w:bCs/>
        </w:rPr>
        <w:t>jo</w:t>
      </w:r>
      <w:r w:rsidRPr="00DD42F0">
        <w:rPr>
          <w:b/>
          <w:bCs/>
        </w:rPr>
        <w:t xml:space="preserve"> v proizvodnjo naših glavnih trgovinskih partneric.</w:t>
      </w:r>
      <w:r w:rsidRPr="00DD42F0">
        <w:t xml:space="preserve"> Po zadnjih razpoložljivih podatkih (za leto 2018) znaša delež izvoza slovenske dodane vrednosti v Rusijo</w:t>
      </w:r>
      <w:r>
        <w:t xml:space="preserve">, </w:t>
      </w:r>
      <w:r w:rsidRPr="00DD42F0">
        <w:t>ki vključuje tako neposredni kot posredni izvoz dodane vrednosti</w:t>
      </w:r>
      <w:r>
        <w:t>,</w:t>
      </w:r>
      <w:r w:rsidRPr="00DD42F0">
        <w:t xml:space="preserve"> 3,3 %. Tudi po tem merilu je do Rusije najbolj izpostavljena farmacevtska industrija, kjer delež izvoza dodane vrednosti dosega 13,5 %. Povprečni delež izvoza dodane vrednosti držav članic EU v Rusijo je nekoliko nižji in znaša 2,3 %. D</w:t>
      </w:r>
      <w:r w:rsidRPr="00DD42F0">
        <w:rPr>
          <w:bCs/>
        </w:rPr>
        <w:t xml:space="preserve">elež slovenskega uvoza dodane vrednosti iz Rusije (ki vključuje tako neposredni kot posredni uvoz dodane vrednosti) pa je leta 2018 znašal 3,1 %, kar je nekoliko manj od povprečja EU, ki znaša 3,6 % </w:t>
      </w:r>
      <w:r w:rsidRPr="00DD42F0">
        <w:rPr>
          <w:bCs/>
        </w:rPr>
        <w:fldChar w:fldCharType="begin"/>
      </w:r>
      <w:r w:rsidRPr="000E64EC">
        <w:rPr>
          <w:bCs/>
        </w:rPr>
        <w:instrText xml:space="preserve"> ADDIN ZOTERO_ITEM CSL_CITATION {"citationID":"RiAqFVy8","properties":{"formattedCitation":"(OECD, 2021)","plainCitation":"(OECD, 2021)","noteIndex":0},"citationItems":[{"id":1343,"uris":["http://zotero.org/groups/4141114/items/IH8EVC8K",["http://zotero.org/groups/4141114/items/IH8EVC8K"]],"itemData":{"id":1343,"type":"report","event-place":"Pariz","genre":"Podatkovna baza","publisher":"Organizacija za gospodarsko sodelovanje in razvoj","publisher-place":"Pariz","title":"Trade in Value Added (TiVA) 2021 ed: Principal Indicators","URL":"https://stats.oecd.org/Index.aspx?DataSetCode=TIVA_2021_C1","author":[{"family":"OECD","given":""}],"accessed":{"date-parts":[["2022",1,26]]},"issued":{"date-parts":[["2021"]]}}}],"schema":"https://github.com/citation-style-language/schema/raw/master/csl-citation.json"} </w:instrText>
      </w:r>
      <w:r w:rsidRPr="00DD42F0">
        <w:rPr>
          <w:bCs/>
        </w:rPr>
        <w:fldChar w:fldCharType="separate"/>
      </w:r>
      <w:r w:rsidRPr="000E64EC">
        <w:t>(OECD, 2021)</w:t>
      </w:r>
      <w:r w:rsidRPr="00DD42F0">
        <w:fldChar w:fldCharType="end"/>
      </w:r>
      <w:r w:rsidRPr="00DD42F0">
        <w:rPr>
          <w:bCs/>
        </w:rPr>
        <w:t>. Tudi z vidika uvoza dodane vrednosti so v povprečju države EU in tudi Slovenija najbolj izpostavljene do ruskih panog, povezanih s pridobivanjem nafte</w:t>
      </w:r>
      <w:r w:rsidRPr="000E64EC">
        <w:rPr>
          <w:bCs/>
        </w:rPr>
        <w:t>, naftnih derivatov</w:t>
      </w:r>
      <w:r w:rsidRPr="00DD42F0">
        <w:rPr>
          <w:bCs/>
        </w:rPr>
        <w:t xml:space="preserve"> in zemeljskega plina.</w:t>
      </w:r>
      <w:r w:rsidRPr="00591369">
        <w:rPr>
          <w:rStyle w:val="FootnoteReference"/>
        </w:rPr>
        <w:footnoteReference w:id="26"/>
      </w:r>
      <w:r>
        <w:rPr>
          <w:bCs/>
        </w:rPr>
        <w:t xml:space="preserve"> </w:t>
      </w:r>
      <w:r>
        <w:t>OECD navaja, da je Slovenija med bolj izpostavljenimi državami EU</w:t>
      </w:r>
      <w:r w:rsidRPr="00591369">
        <w:rPr>
          <w:rStyle w:val="FootnoteReference"/>
        </w:rPr>
        <w:footnoteReference w:id="27"/>
      </w:r>
      <w:r>
        <w:t xml:space="preserve">, a hkrati je skupna izpostavljenost </w:t>
      </w:r>
      <w:r w:rsidRPr="00B92A06">
        <w:t xml:space="preserve">dokaj </w:t>
      </w:r>
      <w:r>
        <w:t>majhna in predstavlja med 1,5–2,0 % BDP. Izpostavljenost je predvsem pri izvozu, saj je pri uvozu večina uvoženih proizvodov nadomestljiva iz drugih virov.</w:t>
      </w:r>
    </w:p>
    <w:p w14:paraId="2468123F" w14:textId="6BC4F8AA" w:rsidR="00DD42F0" w:rsidRDefault="00DD42F0" w:rsidP="009D73E8">
      <w:pPr>
        <w:pStyle w:val="BesediloUMAR"/>
      </w:pPr>
    </w:p>
    <w:p w14:paraId="2911CA52" w14:textId="77777777" w:rsidR="00485329" w:rsidRDefault="00485329" w:rsidP="00485329">
      <w:pPr>
        <w:pStyle w:val="BesediloUMAR"/>
      </w:pPr>
      <w:r w:rsidRPr="00485329">
        <w:rPr>
          <w:b/>
          <w:bCs/>
        </w:rPr>
        <w:t>Slovenski finančni sektor je v Rusiji in Ukrajini minimalno neposredno izpostavljen, večji so lahko učinki na podjetja z neposrednimi povezavami.</w:t>
      </w:r>
      <w:r>
        <w:t xml:space="preserve"> </w:t>
      </w:r>
      <w:r w:rsidRPr="000E64EC">
        <w:rPr>
          <w:bCs/>
        </w:rPr>
        <w:t>Ob zmanjšani likvidnosti je v prvih dneh sankcij največja ruska banka Sberbank po odločitvi ECB prenehala z delovanjem v EU in posledično tudi v Sloveniji</w:t>
      </w:r>
      <w:r w:rsidRPr="00591369">
        <w:rPr>
          <w:rStyle w:val="FootnoteReference"/>
        </w:rPr>
        <w:footnoteReference w:id="28"/>
      </w:r>
      <w:r>
        <w:rPr>
          <w:bCs/>
        </w:rPr>
        <w:t xml:space="preserve"> </w:t>
      </w:r>
      <w:r>
        <w:rPr>
          <w:bCs/>
        </w:rPr>
        <w:fldChar w:fldCharType="begin"/>
      </w:r>
      <w:r>
        <w:rPr>
          <w:bCs/>
        </w:rPr>
        <w:instrText xml:space="preserve"> ADDIN ZOTERO_ITEM CSL_CITATION {"citationID":"RSW3jmYH","properties":{"formattedCitation":"(BS, 2022d, 2022e)","plainCitation":"(BS, 2022d, 2022e)","noteIndex":0},"citationItems":[{"id":3120,"uris":["http://zotero.org/groups/4141114/items/IP5BPHVP"],"itemData":{"id":3120,"type":"webpage","language":"si","title":"Poslovanje slovenske Sberbank banke v ponedeljek in torek omejeno","URL":"https://www.bsi.si/mediji/1806/poslovanje-slovenske-sberbank-banke-v-ponedeljek-in-torek-omejeno","author":[{"family":"BS","given":""}],"accessed":{"date-parts":[["2023",1,20]]},"issued":{"date-parts":[["2022",2]]}}},{"id":3122,"uris":["http://zotero.org/groups/4141114/items/VMNN3E8F"],"itemData":{"id":3122,"type":"webpage","language":"si","title":"Sprejeta rešitev za komitente nekdanje slovenske Sberbank banke: od 2. marca dalje nemoten dostop do vseh sredstev na računih in bančnih storitev","URL":"https://www.bsi.si/mediji/1808/sprejeta-resitev-za-komitente-nekdanje-slovenske-sberbank-banke-od-jutri-dalje-nemoten-dostop-do-vseh-sredstev-na-racunih-in-bancnih-storitev","author":[{"family":"BS","given":""}],"accessed":{"date-parts":[["2023",1,20]]},"issued":{"date-parts":[["2022",3]]}}}],"schema":"https://github.com/citation-style-language/schema/raw/master/csl-citation.json"} </w:instrText>
      </w:r>
      <w:r>
        <w:rPr>
          <w:bCs/>
        </w:rPr>
        <w:fldChar w:fldCharType="separate"/>
      </w:r>
      <w:r w:rsidRPr="00FB03ED">
        <w:t>(BS, 2022d, 2022e)</w:t>
      </w:r>
      <w:r>
        <w:rPr>
          <w:bCs/>
        </w:rPr>
        <w:fldChar w:fldCharType="end"/>
      </w:r>
      <w:r w:rsidRPr="000E64EC">
        <w:rPr>
          <w:bCs/>
        </w:rPr>
        <w:t xml:space="preserve">. </w:t>
      </w:r>
      <w:r>
        <w:t xml:space="preserve">Neposredna izpostavljenost slovenskih bank do držav, povezanih z rusko agresijo (Rusija, Ukrajina, Belorusija), je sicer majhna in je konec leta 2021 znašala le 0,2 % celotne izpostavljenosti bank ob koncu leta 2021, v prvih mesecih vojne (obdobje marec–junij) pa se je še zmanjšala, na 0,15 % </w:t>
      </w:r>
      <w:r>
        <w:fldChar w:fldCharType="begin"/>
      </w:r>
      <w:r>
        <w:instrText xml:space="preserve"> ADDIN ZOTERO_ITEM CSL_CITATION {"citationID":"NjH6j4sZ","properties":{"formattedCitation":"(BS, 2022b)","plainCitation":"(BS, 2022b)","noteIndex":0},"citationItems":[{"id":2682,"uris":["http://zotero.org/groups/4141114/items/8BGVAGLS"],"itemData":{"id":2682,"type":"report","event-place":"Ljubljana","number":"Oktober 2022","publisher":"Banka Slovenije","publisher-place":"Ljubljana","title":"Poročilo o finančni stabilnosti","URL":"https://bankaslovenije.blob.core.windows.net/publication-files/fsr_102022.pdf","author":[{"family":"BS","given":""}],"accessed":{"date-parts":[["2022",10,6]]},"issued":{"date-parts":[["2022"]]}}}],"schema":"https://github.com/citation-style-language/schema/raw/master/csl-citation.json"} </w:instrText>
      </w:r>
      <w:r>
        <w:fldChar w:fldCharType="separate"/>
      </w:r>
      <w:r w:rsidRPr="00FB03ED">
        <w:t>(BS, 2022b)</w:t>
      </w:r>
      <w:r>
        <w:fldChar w:fldCharType="end"/>
      </w:r>
      <w:r>
        <w:t xml:space="preserve">. Večja pa je izpostavljenost posameznih podjetij z neposrednimi trgovinskimi, finančnimi in lastniškimi povezavami, ki znaša okoli 570 mio EUR, to je 1 % bančne aktive </w:t>
      </w:r>
      <w:r>
        <w:fldChar w:fldCharType="begin"/>
      </w:r>
      <w:r>
        <w:instrText xml:space="preserve"> ADDIN ZOTERO_ITEM CSL_CITATION {"citationID":"iMhwtMVP","properties":{"formattedCitation":"(BS, 2022c)","plainCitation":"(BS, 2022c)","noteIndex":0},"citationItems":[{"id":2557,"uris":["http://zotero.org/groups/4141114/items/D6HMVZS6"],"itemData":{"id":2557,"type":"report","event-place":"Ljubljana","number":"Maj 2022","publisher":"Banka Slovenije","publisher-place":"Ljubljana","title":"Poročilo o finančni stabilnosti","URL":"https://bankaslovenije.blob.core.windows.net/publication-files/porocilo-o-financni-stabilnosti-2022_maj_l.pdf","author":[{"family":"BS","given":""}],"accessed":{"date-parts":[["2022",9,16]]},"issued":{"date-parts":[["2022"]]}}}],"schema":"https://github.com/citation-style-language/schema/raw/master/csl-citation.json"} </w:instrText>
      </w:r>
      <w:r>
        <w:fldChar w:fldCharType="separate"/>
      </w:r>
      <w:r w:rsidRPr="00FB03ED">
        <w:t>(BS, 2022c)</w:t>
      </w:r>
      <w:r>
        <w:fldChar w:fldCharType="end"/>
      </w:r>
      <w:r>
        <w:t>.</w:t>
      </w:r>
      <w:r w:rsidRPr="00F41DDB">
        <w:t xml:space="preserve"> </w:t>
      </w:r>
      <w:r>
        <w:t xml:space="preserve">Na poslovanje podjetij vplivajo tudi valutna tveganja, saj se je vrednost rublja do avgusta 2023 opazno znižala. </w:t>
      </w:r>
    </w:p>
    <w:p w14:paraId="2A3DCADC" w14:textId="1F9C1CAF" w:rsidR="00291E9C" w:rsidRDefault="00291E9C" w:rsidP="009D73E8">
      <w:pPr>
        <w:pStyle w:val="BesediloUMAR"/>
      </w:pPr>
    </w:p>
    <w:p w14:paraId="371E50DB" w14:textId="1D7A1789" w:rsidR="003A4219" w:rsidRDefault="00485329" w:rsidP="003A4219">
      <w:pPr>
        <w:pStyle w:val="BesediloUMAR"/>
        <w:rPr>
          <w:rStyle w:val="rynqvb"/>
        </w:rPr>
      </w:pPr>
      <w:r>
        <w:rPr>
          <w:b/>
          <w:bCs/>
        </w:rPr>
        <w:t xml:space="preserve">Glavni kanali, prek katerih je vojna v Ukrajini vplivala na Slovenijo, so bili povezani s cenami surovin, zunanjim povpraševanjem in motnjami v dobavnih verigah. </w:t>
      </w:r>
      <w:r w:rsidR="00230ADE">
        <w:rPr>
          <w:rStyle w:val="rynqvb"/>
        </w:rPr>
        <w:t xml:space="preserve">Vojna je povzročila velik šok na energetskih in živilskih trgih, </w:t>
      </w:r>
      <w:r>
        <w:rPr>
          <w:rStyle w:val="rynqvb"/>
        </w:rPr>
        <w:t xml:space="preserve">z zmanjšano </w:t>
      </w:r>
      <w:r w:rsidR="00230ADE">
        <w:rPr>
          <w:rStyle w:val="rynqvb"/>
        </w:rPr>
        <w:t>in negotov</w:t>
      </w:r>
      <w:r>
        <w:rPr>
          <w:rStyle w:val="rynqvb"/>
        </w:rPr>
        <w:t>o</w:t>
      </w:r>
      <w:r w:rsidR="00230ADE">
        <w:rPr>
          <w:rStyle w:val="rynqvb"/>
        </w:rPr>
        <w:t xml:space="preserve"> ponud</w:t>
      </w:r>
      <w:r w:rsidR="00B0100B">
        <w:rPr>
          <w:rStyle w:val="rynqvb"/>
        </w:rPr>
        <w:t>b</w:t>
      </w:r>
      <w:r>
        <w:rPr>
          <w:rStyle w:val="rynqvb"/>
        </w:rPr>
        <w:t>o</w:t>
      </w:r>
      <w:r w:rsidR="00230ADE">
        <w:rPr>
          <w:rStyle w:val="rynqvb"/>
        </w:rPr>
        <w:t xml:space="preserve"> </w:t>
      </w:r>
      <w:r w:rsidR="00BA7007">
        <w:rPr>
          <w:rStyle w:val="rynqvb"/>
        </w:rPr>
        <w:t>ter</w:t>
      </w:r>
      <w:r>
        <w:rPr>
          <w:rStyle w:val="rynqvb"/>
        </w:rPr>
        <w:t xml:space="preserve"> </w:t>
      </w:r>
      <w:r w:rsidR="00230ADE">
        <w:rPr>
          <w:rStyle w:val="rynqvb"/>
        </w:rPr>
        <w:t>močn</w:t>
      </w:r>
      <w:r>
        <w:rPr>
          <w:rStyle w:val="rynqvb"/>
        </w:rPr>
        <w:t>im</w:t>
      </w:r>
      <w:r w:rsidR="00230ADE">
        <w:rPr>
          <w:rStyle w:val="rynqvb"/>
        </w:rPr>
        <w:t xml:space="preserve"> dvig</w:t>
      </w:r>
      <w:r>
        <w:rPr>
          <w:rStyle w:val="rynqvb"/>
        </w:rPr>
        <w:t>om</w:t>
      </w:r>
      <w:r w:rsidR="00230ADE">
        <w:rPr>
          <w:rStyle w:val="rynqvb"/>
        </w:rPr>
        <w:t xml:space="preserve"> </w:t>
      </w:r>
      <w:r w:rsidR="00230ADE" w:rsidRPr="00DE1F35">
        <w:rPr>
          <w:rStyle w:val="rynqvb"/>
        </w:rPr>
        <w:t>cen</w:t>
      </w:r>
      <w:r w:rsidR="005A7297" w:rsidRPr="00DE1F35">
        <w:rPr>
          <w:rStyle w:val="rynqvb"/>
        </w:rPr>
        <w:t xml:space="preserve"> surovin</w:t>
      </w:r>
      <w:r w:rsidR="00230ADE">
        <w:rPr>
          <w:rStyle w:val="rynqvb"/>
        </w:rPr>
        <w:t xml:space="preserve">. </w:t>
      </w:r>
      <w:r w:rsidR="00523FEC">
        <w:rPr>
          <w:rStyle w:val="rynqvb"/>
        </w:rPr>
        <w:t xml:space="preserve">Cene zemeljskega plina so, ob povečani negotovosti glede dobave iz Rusije, na mednarodnih trgih v tretjem četrtletju 2022 dosegle rekordne vrednosti, </w:t>
      </w:r>
      <w:r w:rsidR="005A7297">
        <w:rPr>
          <w:rStyle w:val="rynqvb"/>
        </w:rPr>
        <w:t xml:space="preserve">opazno višje pa </w:t>
      </w:r>
      <w:r w:rsidR="00523FEC">
        <w:rPr>
          <w:rStyle w:val="rynqvb"/>
        </w:rPr>
        <w:t xml:space="preserve">so bile tudi cene nafte in naftnih derivatov. </w:t>
      </w:r>
      <w:r w:rsidR="005A7297">
        <w:rPr>
          <w:rStyle w:val="rynqvb"/>
        </w:rPr>
        <w:t xml:space="preserve">V drugi polovici leta so se začele zviševati tudi cene hrane, predvsem zaradi višjih cen energije in pomanjkanja nekaterih proizvodov. Vojna v Ukrajini je tako </w:t>
      </w:r>
      <w:r w:rsidR="00230ADE">
        <w:rPr>
          <w:rStyle w:val="rynqvb"/>
        </w:rPr>
        <w:t>prispevala k inflacijskim pritiskom, ki so sicer nastajali že med okrevanjem po pandemiji.</w:t>
      </w:r>
      <w:r w:rsidR="00523FEC">
        <w:rPr>
          <w:rStyle w:val="rynqvb"/>
        </w:rPr>
        <w:t xml:space="preserve"> Medletna inflacija je </w:t>
      </w:r>
      <w:r w:rsidR="005A7297">
        <w:rPr>
          <w:rStyle w:val="rynqvb"/>
        </w:rPr>
        <w:t xml:space="preserve">v Sloveniji </w:t>
      </w:r>
      <w:r w:rsidR="00523FEC">
        <w:rPr>
          <w:rStyle w:val="rynqvb"/>
        </w:rPr>
        <w:t>do konca</w:t>
      </w:r>
      <w:r w:rsidR="005A7297">
        <w:rPr>
          <w:rStyle w:val="rynqvb"/>
        </w:rPr>
        <w:t xml:space="preserve"> leta znašala </w:t>
      </w:r>
      <w:r>
        <w:rPr>
          <w:rStyle w:val="rynqvb"/>
        </w:rPr>
        <w:t xml:space="preserve">več kot </w:t>
      </w:r>
      <w:r w:rsidR="005A7297">
        <w:rPr>
          <w:rStyle w:val="rynqvb"/>
        </w:rPr>
        <w:t>deset odstotkov, do sredine leta 2023 pa se je nekoliko znižala, a ostala visoka. Vpliv vojne na neposredno zunanjetrgovinsko</w:t>
      </w:r>
      <w:r>
        <w:rPr>
          <w:rStyle w:val="rynqvb"/>
        </w:rPr>
        <w:t xml:space="preserve"> menjavo</w:t>
      </w:r>
      <w:r w:rsidR="005A7297">
        <w:rPr>
          <w:rStyle w:val="rynqvb"/>
        </w:rPr>
        <w:t xml:space="preserve"> z Rusijo in Ukrajino je bil omejen</w:t>
      </w:r>
      <w:r w:rsidR="00DE1F35">
        <w:rPr>
          <w:rStyle w:val="rynqvb"/>
        </w:rPr>
        <w:t>, predvsem na izvoz v Rusijo je imela vojna manjši negativni učinek kot v nekaterih drugih državah EU</w:t>
      </w:r>
      <w:r w:rsidR="005A7297">
        <w:rPr>
          <w:rStyle w:val="rynqvb"/>
        </w:rPr>
        <w:t xml:space="preserve">. Večji </w:t>
      </w:r>
      <w:r w:rsidR="00DE1F35">
        <w:rPr>
          <w:rStyle w:val="rynqvb"/>
        </w:rPr>
        <w:t xml:space="preserve">je bil posredni učinek, saj se je zaradi visoke vpetosti v evropske dobavne verige močno upočasnila aktivnost in posledično rast povpraševanja v glavnih trgovinskih partnericah. Motnje v dobavnih verigah so </w:t>
      </w:r>
      <w:r w:rsidR="00DE1F35">
        <w:rPr>
          <w:rStyle w:val="rynqvb"/>
        </w:rPr>
        <w:lastRenderedPageBreak/>
        <w:t xml:space="preserve">bile sicer prisotne že pred začetkom vojne, ob tem pa velja omeniti, da so sprejete omejitve uvoza nekaterih surovin (npr. gnojil, kovin, izdelkov iz lesa) posredno tudi vplivale na povečanje cen v industriji, gradbeništvu in kmetijstvu. </w:t>
      </w:r>
    </w:p>
    <w:p w14:paraId="1A3706A0" w14:textId="77777777" w:rsidR="003A4219" w:rsidRDefault="003A4219" w:rsidP="003A4219">
      <w:pPr>
        <w:pStyle w:val="BesediloUMAR"/>
        <w:rPr>
          <w:rStyle w:val="rynqvb"/>
        </w:rPr>
      </w:pPr>
    </w:p>
    <w:p w14:paraId="2797CE10" w14:textId="2110BD33" w:rsidR="00C5137C" w:rsidRDefault="00C5137C" w:rsidP="003A4219">
      <w:pPr>
        <w:pStyle w:val="Heading1"/>
      </w:pPr>
      <w:r w:rsidRPr="000E64EC">
        <w:lastRenderedPageBreak/>
        <w:t>Analiza zunanjetrgovinske menjave z Rusijo</w:t>
      </w:r>
      <w:r w:rsidR="00191ADF">
        <w:t xml:space="preserve"> </w:t>
      </w:r>
    </w:p>
    <w:p w14:paraId="1CEDB94A" w14:textId="77777777" w:rsidR="00C12E4C" w:rsidRDefault="00C12E4C" w:rsidP="00C12E4C">
      <w:pPr>
        <w:pStyle w:val="BesediloUMAR"/>
      </w:pPr>
    </w:p>
    <w:p w14:paraId="5292A83B" w14:textId="2608511A" w:rsidR="00485329" w:rsidRDefault="00485329" w:rsidP="00485329">
      <w:pPr>
        <w:pStyle w:val="BesediloUMAR"/>
      </w:pPr>
      <w:r>
        <w:rPr>
          <w:b/>
          <w:bCs/>
        </w:rPr>
        <w:t>Od začetka vojne</w:t>
      </w:r>
      <w:r w:rsidRPr="00055D95">
        <w:rPr>
          <w:b/>
          <w:bCs/>
        </w:rPr>
        <w:t xml:space="preserve"> v Ukrajini</w:t>
      </w:r>
      <w:r>
        <w:rPr>
          <w:b/>
          <w:bCs/>
        </w:rPr>
        <w:t xml:space="preserve"> se je trgovina med EU in Rusijo močno zmanjšala in bila maja 2023 najnižja v zadnjih dvajsetih letih.</w:t>
      </w:r>
      <w:r>
        <w:t xml:space="preserve"> Krčenje menjave EU z Rusijo odraža sprejete sankcije, omejitve finančnih tokov, prekinitve transporta ter odločitve podjetij, da prenehajo poslovati z Rusijo. Med posameznimi državami EU so sicer večje razlike, kar odraža tudi strukturo blagovne menjave posameznih držav in velikost tokov. Vrednostni i</w:t>
      </w:r>
      <w:r>
        <w:rPr>
          <w:rStyle w:val="rynqvb"/>
        </w:rPr>
        <w:t>zvoz EU v Rusijo se je ob začetku vojne močno zmanjšal, po maju 2022 pa so se izvozni tokovi stabilizirali in do konca proučevanega obdobja ostali na relativno nizki ravni (okoli 50 % vrednosti izvoza v primerjavi z obdobjem pred začetkom vojne). Vrednost uvoza EU iz Rusije je v prvih mesecih vojne ostala na visoki ravni zaradi visokih in naraščajočih cen nafte, zemeljskega plina in drugih surovin, medtem ko so uvožene količine upadle.</w:t>
      </w:r>
      <w:r>
        <w:rPr>
          <w:rStyle w:val="hwtze"/>
        </w:rPr>
        <w:t xml:space="preserve"> V drugi polovici leta se je zaradi upada cen surovin in sankcij vrednost uvoza močno zmanjšala ter tako v maju 2023 bila </w:t>
      </w:r>
      <w:r>
        <w:rPr>
          <w:rStyle w:val="rynqvb"/>
        </w:rPr>
        <w:t>medletno nižja za okoli 70 % in s tem najnižja po letu 2010. EU je imela v obdobju pred vojno večinoma trgovinski primanjkljaj z Rusijo</w:t>
      </w:r>
      <w:r>
        <w:t>, k temu pa je prispeval zlasti uvoz energentov. Po uvedbi sankcij tudi na uvoz večine energentov in ob padajočih cenah surovin se je primanjkljaj začel zmanjševati ter se marca 2023 prevesil v presežek.</w:t>
      </w:r>
    </w:p>
    <w:p w14:paraId="2337C4B6" w14:textId="77777777" w:rsidR="00485329" w:rsidRDefault="00485329" w:rsidP="00245C6C">
      <w:pPr>
        <w:pStyle w:val="BesediloUMAR"/>
        <w:rPr>
          <w:b/>
          <w:bCs/>
        </w:rPr>
      </w:pPr>
    </w:p>
    <w:p w14:paraId="4D76F663" w14:textId="286F4503" w:rsidR="007A2B63" w:rsidRDefault="00245C6C" w:rsidP="00245C6C">
      <w:pPr>
        <w:pStyle w:val="BesediloUMAR"/>
      </w:pPr>
      <w:r>
        <w:rPr>
          <w:b/>
          <w:bCs/>
        </w:rPr>
        <w:t>Od začetka vojne</w:t>
      </w:r>
      <w:r w:rsidRPr="00055D95">
        <w:rPr>
          <w:b/>
          <w:bCs/>
        </w:rPr>
        <w:t xml:space="preserve"> v Ukrajini</w:t>
      </w:r>
      <w:r>
        <w:rPr>
          <w:b/>
          <w:bCs/>
        </w:rPr>
        <w:t xml:space="preserve"> se je trgovina med EU in Rusijo močno zmanjšala in bila maja 2023 najnižja v zadnjih dvajsetih letih.</w:t>
      </w:r>
      <w:r>
        <w:t xml:space="preserve"> Krčenje menjave</w:t>
      </w:r>
      <w:r w:rsidR="006301D5">
        <w:t xml:space="preserve"> </w:t>
      </w:r>
      <w:r>
        <w:t>EU z Rusijo odraža sprejete sankcije</w:t>
      </w:r>
      <w:r w:rsidR="00202025">
        <w:t>, omejitve finančnih tokov, prekinitve transporta</w:t>
      </w:r>
      <w:r w:rsidR="006301D5">
        <w:t xml:space="preserve"> ter odločitve podjetij, da prenehajo poslovati z Rusijo. Med posameznimi državami EU so sicer večje razlike, </w:t>
      </w:r>
      <w:r w:rsidR="00202025">
        <w:t xml:space="preserve">kar odraža tudi strukturo blagovne menjave posameznih držav in velikost tokov. </w:t>
      </w:r>
      <w:r w:rsidR="0078799F">
        <w:t>Vrednostni i</w:t>
      </w:r>
      <w:r w:rsidR="00202025">
        <w:rPr>
          <w:rStyle w:val="rynqvb"/>
        </w:rPr>
        <w:t>zvoz EU v Rusijo se je ob začetku vojne močno zmanjšal, po maju 2022 pa so se izvozni tokovi stabilizirali in do konca proučevanega obdobja ostali na relativno nizki ravni (okoli 50 % vrednosti izvoza v primerjavi z obdobjem pred začetkom vojne). Vrednost uvoza EU iz Rusije je v prvih mesecih vojne ostala na visoki ravni zaradi visokih in naraščajočih cen nafte, zemeljskega plina in drugih surovin</w:t>
      </w:r>
      <w:r w:rsidR="00EC6445">
        <w:rPr>
          <w:rStyle w:val="rynqvb"/>
        </w:rPr>
        <w:t>, medtem ko so uvožene količine upadle</w:t>
      </w:r>
      <w:r w:rsidR="00202025">
        <w:rPr>
          <w:rStyle w:val="rynqvb"/>
        </w:rPr>
        <w:t>.</w:t>
      </w:r>
      <w:r w:rsidR="00202025">
        <w:rPr>
          <w:rStyle w:val="hwtze"/>
        </w:rPr>
        <w:t xml:space="preserve"> V drugi polovici leta se je zaradi upada cen surovin in sankcij vrednost uvoza močno zmanjšala ter tako v maju 2023 bila </w:t>
      </w:r>
      <w:r w:rsidR="00202025">
        <w:rPr>
          <w:rStyle w:val="rynqvb"/>
        </w:rPr>
        <w:t>medletno nižja za okoli 70 % in s tem najnižja po letu 2010. EU je imela v obdobju pred vojno večinoma trgovinski primanjkljaj z Rusijo</w:t>
      </w:r>
      <w:r w:rsidR="00202025">
        <w:t>, k temu pa je prispeval zlasti uvoz energentov. Po uvedbi sankcij tudi na uvoz večine energentov in ob padajočih cenah surovin se je primanjkljaj začel zmanjševati ter se marca 2023 prevesil v presežek.</w:t>
      </w:r>
    </w:p>
    <w:p w14:paraId="078949F1" w14:textId="0A528F98" w:rsidR="007A2B63" w:rsidRDefault="007A2B63" w:rsidP="007A2B63">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6</w:t>
      </w:r>
      <w:r w:rsidRPr="0097105A">
        <w:fldChar w:fldCharType="end"/>
      </w:r>
      <w:r w:rsidRPr="0097105A">
        <w:t xml:space="preserve">: </w:t>
      </w:r>
      <w:r>
        <w:t xml:space="preserve">EU je v letu 2022 povečala vrednost uvoza blaga iz Rusije in zmanjšala izvoz v Rusijo; </w:t>
      </w:r>
      <w:r w:rsidR="000A1F9A">
        <w:t xml:space="preserve">Slovenija je uvoz povečala bolj kot izvoz in </w:t>
      </w:r>
      <w:r w:rsidR="005A3515">
        <w:t xml:space="preserve">imela </w:t>
      </w:r>
      <w:r w:rsidR="000A1F9A">
        <w:t>prvič doslej z Rusijo zunanjetrgovinski primanjkjaj</w:t>
      </w:r>
    </w:p>
    <w:p w14:paraId="38E66610" w14:textId="5EDBE0A1" w:rsidR="007A2B63" w:rsidRDefault="00641253" w:rsidP="007A2B63">
      <w:pPr>
        <w:pStyle w:val="BesediloUMAR"/>
      </w:pPr>
      <w:r w:rsidRPr="00641253">
        <w:rPr>
          <w:noProof/>
        </w:rPr>
        <w:drawing>
          <wp:inline distT="0" distB="0" distL="0" distR="0" wp14:anchorId="09825280" wp14:editId="285DFF2E">
            <wp:extent cx="2822400" cy="2322000"/>
            <wp:effectExtent l="0" t="0" r="0" b="2540"/>
            <wp:docPr id="16086381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2400" cy="2322000"/>
                    </a:xfrm>
                    <a:prstGeom prst="rect">
                      <a:avLst/>
                    </a:prstGeom>
                    <a:noFill/>
                    <a:ln>
                      <a:noFill/>
                    </a:ln>
                  </pic:spPr>
                </pic:pic>
              </a:graphicData>
            </a:graphic>
          </wp:inline>
        </w:drawing>
      </w:r>
      <w:r w:rsidR="007A2B63" w:rsidRPr="00C12E4C">
        <w:t xml:space="preserve"> </w:t>
      </w:r>
      <w:r w:rsidR="00C502F7">
        <w:t xml:space="preserve">   </w:t>
      </w:r>
      <w:r w:rsidR="009131B6">
        <w:rPr>
          <w:noProof/>
        </w:rPr>
        <w:t xml:space="preserve">  </w:t>
      </w:r>
      <w:r w:rsidRPr="00641253">
        <w:rPr>
          <w:noProof/>
        </w:rPr>
        <w:drawing>
          <wp:inline distT="0" distB="0" distL="0" distR="0" wp14:anchorId="3955CF83" wp14:editId="3913472D">
            <wp:extent cx="2804400" cy="2307600"/>
            <wp:effectExtent l="0" t="0" r="0" b="0"/>
            <wp:docPr id="4623203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4400" cy="2307600"/>
                    </a:xfrm>
                    <a:prstGeom prst="rect">
                      <a:avLst/>
                    </a:prstGeom>
                    <a:noFill/>
                    <a:ln>
                      <a:noFill/>
                    </a:ln>
                  </pic:spPr>
                </pic:pic>
              </a:graphicData>
            </a:graphic>
          </wp:inline>
        </w:drawing>
      </w:r>
    </w:p>
    <w:p w14:paraId="79E64089" w14:textId="4BF8EBA0" w:rsidR="007A2B63" w:rsidRDefault="007A2B63" w:rsidP="007A2B63">
      <w:pPr>
        <w:pStyle w:val="VirUMAR"/>
      </w:pPr>
      <w:r>
        <w:t xml:space="preserve">Vir: Eurostat </w:t>
      </w:r>
      <w:r>
        <w:fldChar w:fldCharType="begin"/>
      </w:r>
      <w:r w:rsidR="0078734F">
        <w:instrText xml:space="preserve"> ADDIN ZOTERO_ITEM CSL_CITATION {"citationID":"2wFUGeon","properties":{"formattedCitation":"(2023)","plainCitation":"(2023)","noteIndex":0},"citationItems":[{"id":3042,"uris":["http://zotero.org/groups/4141114/items/ZBMKG2ZC"],"itemData":{"id":3042,"type":"report","event-place":"Luxembourg","genre":"podatkovna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0078734F" w:rsidRPr="0078734F">
        <w:t>(2023)</w:t>
      </w:r>
      <w:r>
        <w:fldChar w:fldCharType="end"/>
      </w:r>
      <w:r>
        <w:t xml:space="preserve">. </w:t>
      </w:r>
      <w:r w:rsidR="00426E59">
        <w:t>Opomba: v povprečju leta 2022 se je skupna menjava med EU in Rusijo sicer povečala, kar gre pripisati predvsem visokim cenam energentov v prvi polovici leta, vključujoč mesece pred začetkom vojne. Podatki za leto 2023 so za obdobje januar–maj.</w:t>
      </w:r>
    </w:p>
    <w:p w14:paraId="3EC0DA73" w14:textId="77777777" w:rsidR="007A2B63" w:rsidRDefault="007A2B63" w:rsidP="00245C6C">
      <w:pPr>
        <w:pStyle w:val="BesediloUMAR"/>
      </w:pPr>
    </w:p>
    <w:p w14:paraId="17209D06" w14:textId="7BCB28FA" w:rsidR="00426E59" w:rsidRDefault="00426E59" w:rsidP="00426E59">
      <w:pPr>
        <w:pStyle w:val="Caption"/>
        <w:rPr>
          <w:b w:val="0"/>
          <w:bCs w:val="0"/>
        </w:rPr>
      </w:pPr>
      <w:r>
        <w:lastRenderedPageBreak/>
        <w:t>V nasprotju z EU se je vrednost blagovne menjave Slovenije v letu vojne močno povečala.</w:t>
      </w:r>
      <w:r>
        <w:rPr>
          <w:rStyle w:val="FootnoteReference"/>
        </w:rPr>
        <w:footnoteReference w:id="29"/>
      </w:r>
      <w:r>
        <w:t xml:space="preserve"> </w:t>
      </w:r>
      <w:r w:rsidRPr="00F84618">
        <w:rPr>
          <w:b w:val="0"/>
          <w:bCs w:val="0"/>
        </w:rPr>
        <w:t xml:space="preserve">Menjava </w:t>
      </w:r>
      <w:r>
        <w:rPr>
          <w:b w:val="0"/>
          <w:bCs w:val="0"/>
        </w:rPr>
        <w:t xml:space="preserve">v letu 2022 je dosegla rekordne vrednosti, povečala sta se tako izvoz kot uvoz. To gre pripisati naraščajočim cenam energetskih proizvodov in drugih surovin, strukturi blagovne menjave, enkratnim novim poslom (izvoz farmacevtskih izdelkov, povečan uvoz naftnih derivatov) in, vsaj pri uvozu, relativno nizki osnovi pri naftnih derivatih. </w:t>
      </w:r>
      <w:r w:rsidRPr="00176D09">
        <w:rPr>
          <w:b w:val="0"/>
          <w:bCs w:val="0"/>
        </w:rPr>
        <w:t xml:space="preserve">Ker </w:t>
      </w:r>
      <w:r>
        <w:rPr>
          <w:b w:val="0"/>
          <w:bCs w:val="0"/>
        </w:rPr>
        <w:t>sta</w:t>
      </w:r>
      <w:r w:rsidRPr="00176D09">
        <w:rPr>
          <w:b w:val="0"/>
          <w:bCs w:val="0"/>
        </w:rPr>
        <w:t xml:space="preserve"> v strukturi </w:t>
      </w:r>
      <w:r>
        <w:rPr>
          <w:b w:val="0"/>
          <w:bCs w:val="0"/>
        </w:rPr>
        <w:t xml:space="preserve">blagovne menjave z </w:t>
      </w:r>
      <w:r w:rsidRPr="00176D09">
        <w:rPr>
          <w:b w:val="0"/>
          <w:bCs w:val="0"/>
        </w:rPr>
        <w:t xml:space="preserve">Rusijo izvoz farmacevtskih proizvodov </w:t>
      </w:r>
      <w:r>
        <w:rPr>
          <w:b w:val="0"/>
          <w:bCs w:val="0"/>
        </w:rPr>
        <w:t xml:space="preserve">in uvoz naftnih derivatov </w:t>
      </w:r>
      <w:r w:rsidRPr="00176D09">
        <w:rPr>
          <w:b w:val="0"/>
          <w:bCs w:val="0"/>
        </w:rPr>
        <w:t>precej pomembnejš</w:t>
      </w:r>
      <w:r>
        <w:rPr>
          <w:b w:val="0"/>
          <w:bCs w:val="0"/>
        </w:rPr>
        <w:t>a</w:t>
      </w:r>
      <w:r w:rsidRPr="00176D09">
        <w:rPr>
          <w:b w:val="0"/>
          <w:bCs w:val="0"/>
        </w:rPr>
        <w:t xml:space="preserve"> kot v strukturi EU, je to </w:t>
      </w:r>
      <w:r w:rsidRPr="00716EC1">
        <w:rPr>
          <w:b w:val="0"/>
          <w:bCs w:val="0"/>
        </w:rPr>
        <w:t xml:space="preserve">precej bolj vplivalo na relativno spremembo slovenskega izvoza v Rusijo </w:t>
      </w:r>
      <w:r>
        <w:rPr>
          <w:b w:val="0"/>
          <w:bCs w:val="0"/>
        </w:rPr>
        <w:t xml:space="preserve">od </w:t>
      </w:r>
      <w:r w:rsidRPr="00716EC1">
        <w:rPr>
          <w:b w:val="0"/>
          <w:bCs w:val="0"/>
        </w:rPr>
        <w:t>izvoza EU. Povečanje</w:t>
      </w:r>
      <w:r>
        <w:rPr>
          <w:b w:val="0"/>
          <w:bCs w:val="0"/>
        </w:rPr>
        <w:t xml:space="preserve"> blagovne menjave je bilo v letu 2022 največje med državami EU, poleg večje menjave povezano tudi z razmeroma nizko osnovo v predhodnem letu. V prvih petih mesecih se je menjava Slovenije, tako kot v vseh drugih državah EU, zmanjšala, a je bilo slednje medletno med manjšimi (poleg Latvije in Madžarske). </w:t>
      </w:r>
    </w:p>
    <w:p w14:paraId="15BAA738" w14:textId="0C7F1030" w:rsidR="004C09CC" w:rsidRDefault="004C09CC" w:rsidP="007A2B63">
      <w:pPr>
        <w:pStyle w:val="Caption"/>
      </w:pPr>
    </w:p>
    <w:p w14:paraId="0C29920B" w14:textId="47C3C68C" w:rsidR="007A2B63" w:rsidRPr="006B2E8B" w:rsidRDefault="007A2B63" w:rsidP="007A2B63">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7</w:t>
      </w:r>
      <w:r w:rsidRPr="0097105A">
        <w:fldChar w:fldCharType="end"/>
      </w:r>
      <w:r w:rsidRPr="0097105A">
        <w:t xml:space="preserve">: </w:t>
      </w:r>
      <w:r>
        <w:t>Slovenija je med državami EU v letu 2022 najbolj povečala vrednost blagovne menjave</w:t>
      </w:r>
      <w:r w:rsidR="00641253">
        <w:t xml:space="preserve"> z Rusijo</w:t>
      </w:r>
      <w:r>
        <w:t xml:space="preserve"> </w:t>
      </w:r>
    </w:p>
    <w:p w14:paraId="3BB124DB" w14:textId="538865E1" w:rsidR="007A2B63" w:rsidRDefault="00641253" w:rsidP="007A2B63">
      <w:pPr>
        <w:pStyle w:val="VirUMAR"/>
      </w:pPr>
      <w:r w:rsidRPr="00641253">
        <w:rPr>
          <w:noProof/>
        </w:rPr>
        <w:drawing>
          <wp:inline distT="0" distB="0" distL="0" distR="0" wp14:anchorId="48C3E152" wp14:editId="19132056">
            <wp:extent cx="5759450" cy="2100580"/>
            <wp:effectExtent l="0" t="0" r="0" b="0"/>
            <wp:docPr id="1915049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100580"/>
                    </a:xfrm>
                    <a:prstGeom prst="rect">
                      <a:avLst/>
                    </a:prstGeom>
                    <a:noFill/>
                    <a:ln>
                      <a:noFill/>
                    </a:ln>
                  </pic:spPr>
                </pic:pic>
              </a:graphicData>
            </a:graphic>
          </wp:inline>
        </w:drawing>
      </w:r>
      <w:r w:rsidR="007A2B63">
        <w:t xml:space="preserve">Vir: Eurostat </w:t>
      </w:r>
      <w:r w:rsidR="007A2B63">
        <w:fldChar w:fldCharType="begin"/>
      </w:r>
      <w:r w:rsidR="0078734F">
        <w:instrText xml:space="preserve"> ADDIN ZOTERO_ITEM CSL_CITATION {"citationID":"ijjNIHrh","properties":{"formattedCitation":"(2023)","plainCitation":"(2023)","noteIndex":0},"citationItems":[{"id":3042,"uris":["http://zotero.org/groups/4141114/items/ZBMKG2ZC"],"itemData":{"id":3042,"type":"report","event-place":"Luxembourg","genre":"podatkovna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rsidR="007A2B63">
        <w:fldChar w:fldCharType="separate"/>
      </w:r>
      <w:r w:rsidR="0078734F" w:rsidRPr="0078734F">
        <w:t>(2023)</w:t>
      </w:r>
      <w:r w:rsidR="007A2B63">
        <w:fldChar w:fldCharType="end"/>
      </w:r>
      <w:r w:rsidR="007A2B63">
        <w:t xml:space="preserve">. </w:t>
      </w:r>
    </w:p>
    <w:p w14:paraId="11885325" w14:textId="77777777" w:rsidR="007A2B63" w:rsidRDefault="007A2B63" w:rsidP="004C09CC">
      <w:pPr>
        <w:pStyle w:val="BesediloUMAR"/>
        <w:rPr>
          <w:b/>
          <w:bCs/>
        </w:rPr>
      </w:pPr>
    </w:p>
    <w:p w14:paraId="701C27F4" w14:textId="14D792ED" w:rsidR="004C09CC" w:rsidRDefault="004C09CC" w:rsidP="004C09CC">
      <w:pPr>
        <w:pStyle w:val="BesediloUMAR"/>
        <w:rPr>
          <w:rStyle w:val="rynqvb"/>
        </w:rPr>
      </w:pPr>
      <w:r>
        <w:rPr>
          <w:b/>
          <w:bCs/>
        </w:rPr>
        <w:t xml:space="preserve">Opazno se je </w:t>
      </w:r>
      <w:r w:rsidRPr="004C09CC">
        <w:rPr>
          <w:b/>
          <w:bCs/>
        </w:rPr>
        <w:t>spremenila struktura blagovne menjave EU z Rusijo.</w:t>
      </w:r>
      <w:r w:rsidRPr="00245C6C">
        <w:t xml:space="preserve"> </w:t>
      </w:r>
      <w:r>
        <w:t>Pri izvozu je bil največji upad opažen v skupini strojev in naprav, ki je v letu 2021 predstavljala okoli 45 % celotne</w:t>
      </w:r>
      <w:r w:rsidR="00426E59">
        <w:t>ga</w:t>
      </w:r>
      <w:r>
        <w:t xml:space="preserve"> izvoza blaga EU v Rusijo, </w:t>
      </w:r>
      <w:r w:rsidRPr="00950073">
        <w:t>maja 2023</w:t>
      </w:r>
      <w:r>
        <w:t xml:space="preserve"> pa samo še okoli 25 %. V tej skupini se je med pomembnejšimi proizvodi močno zmanjšal zlasti izvoz motornih vozil in drugih transportnih naprav (za več kot 85 %), veliko pa je bilo tudi zmanjšanje izvoza električnih strojev in naprav (za 68 %) in industrijskih strojev za splošno uporabo (za 56 %). To je povezano zlasti s trgovinskimi sankcijami in s tem povezanimi omejitvami izvoza visokotehnoloških proizvodov ter t. i. luksuznih proizvodov nad določenimi vrednostmi. Povečala pa sta se deleža izvoza kemičnih proizvodov (predvsem medicinskih in farmacevtskih izdelkov) ter hrane.</w:t>
      </w:r>
      <w:r w:rsidR="00EC3407">
        <w:t xml:space="preserve"> </w:t>
      </w:r>
      <w:r>
        <w:t xml:space="preserve">Pri uvozu se do konca leta 2022 struktura ni bistveno spremenila, saj največji delež v uvozu predstavljajo mineralna goriva. </w:t>
      </w:r>
      <w:r>
        <w:rPr>
          <w:rStyle w:val="rynqvb"/>
        </w:rPr>
        <w:t xml:space="preserve">Ker so sankcije za uvoz surove nafte začele veljati šele decembra 2022, za naftne derivate pa februarja 2023, je bil večji učinek na samo uvozno strukturo viden šele v zadnjih mesecih. Z uvoznimi omejitvami se je popolnoma prekinil tudi uvoz premoga, lesa in izdelkov iz jekla (od avgusta 2022 naprej). Povečal pa se je delež uvoza zemeljskega plina, ob tem pa velja omeniti, da sta se vrednosti in količinski uvoz zemeljskega plina od septembra 2022 naprej opazno zmanjšala. EU uvoznih omejitev na uvoz zemeljskega plina sicer ni uvedla, a so države in podjetja uvedle varčevalne ukrepe in s tem zmanjšale porabo, razpršile dobave tudi na druge regije, postopno pa so padle tudi cene. </w:t>
      </w:r>
    </w:p>
    <w:p w14:paraId="69058FE0" w14:textId="77777777" w:rsidR="00B9135D" w:rsidRPr="001C27AA" w:rsidRDefault="00B9135D" w:rsidP="00F84618">
      <w:pPr>
        <w:pStyle w:val="BesediloUMAR"/>
      </w:pPr>
    </w:p>
    <w:p w14:paraId="0C415217" w14:textId="20CA2376" w:rsidR="004C09CC" w:rsidRPr="006B2E8B" w:rsidRDefault="004C09CC" w:rsidP="004C09CC">
      <w:pPr>
        <w:pStyle w:val="Caption"/>
      </w:pPr>
      <w:r w:rsidRPr="0097105A">
        <w:lastRenderedPageBreak/>
        <w:t xml:space="preserve">Slika </w:t>
      </w:r>
      <w:r w:rsidRPr="0097105A">
        <w:fldChar w:fldCharType="begin"/>
      </w:r>
      <w:r w:rsidRPr="0097105A">
        <w:instrText xml:space="preserve"> SEQ Slika \* ARABIC </w:instrText>
      </w:r>
      <w:r w:rsidRPr="0097105A">
        <w:fldChar w:fldCharType="separate"/>
      </w:r>
      <w:r w:rsidR="00A437A4">
        <w:t>8</w:t>
      </w:r>
      <w:r w:rsidRPr="0097105A">
        <w:fldChar w:fldCharType="end"/>
      </w:r>
      <w:r w:rsidRPr="0097105A">
        <w:t xml:space="preserve">: </w:t>
      </w:r>
      <w:r w:rsidR="00950073">
        <w:t>V strukturi menjave se je v EU in Sloveniji najbolj povečal izvoz medi</w:t>
      </w:r>
      <w:r w:rsidR="00D33514">
        <w:t>ci</w:t>
      </w:r>
      <w:r w:rsidR="00950073">
        <w:t>nskih in farmacevtskih izdelkov, pri uvozu pa mineralnih goriv</w:t>
      </w:r>
    </w:p>
    <w:p w14:paraId="40F6FC6B" w14:textId="4BB2E8A5" w:rsidR="004C09CC" w:rsidRDefault="00641253" w:rsidP="004C09CC">
      <w:pPr>
        <w:pStyle w:val="BesediloUMAR"/>
        <w:rPr>
          <w:rStyle w:val="rynqvb"/>
        </w:rPr>
      </w:pPr>
      <w:r>
        <w:rPr>
          <w:rStyle w:val="rynqvb"/>
          <w:noProof/>
        </w:rPr>
        <w:drawing>
          <wp:inline distT="0" distB="0" distL="0" distR="0" wp14:anchorId="7A07CB1C" wp14:editId="339E5D6B">
            <wp:extent cx="2804400" cy="2296800"/>
            <wp:effectExtent l="0" t="0" r="0" b="8255"/>
            <wp:docPr id="118729316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4400" cy="2296800"/>
                    </a:xfrm>
                    <a:prstGeom prst="rect">
                      <a:avLst/>
                    </a:prstGeom>
                    <a:noFill/>
                  </pic:spPr>
                </pic:pic>
              </a:graphicData>
            </a:graphic>
          </wp:inline>
        </w:drawing>
      </w:r>
      <w:r w:rsidR="0062274D">
        <w:rPr>
          <w:rStyle w:val="rynqvb"/>
        </w:rPr>
        <w:t xml:space="preserve">    </w:t>
      </w:r>
      <w:r w:rsidR="004C09CC">
        <w:rPr>
          <w:rStyle w:val="rynqvb"/>
        </w:rPr>
        <w:t xml:space="preserve">   </w:t>
      </w:r>
      <w:r>
        <w:rPr>
          <w:rStyle w:val="rynqvb"/>
          <w:noProof/>
        </w:rPr>
        <w:drawing>
          <wp:inline distT="0" distB="0" distL="0" distR="0" wp14:anchorId="72085C24" wp14:editId="5D72A411">
            <wp:extent cx="2804400" cy="2296800"/>
            <wp:effectExtent l="0" t="0" r="0" b="8255"/>
            <wp:docPr id="4292486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4400" cy="2296800"/>
                    </a:xfrm>
                    <a:prstGeom prst="rect">
                      <a:avLst/>
                    </a:prstGeom>
                    <a:noFill/>
                  </pic:spPr>
                </pic:pic>
              </a:graphicData>
            </a:graphic>
          </wp:inline>
        </w:drawing>
      </w:r>
    </w:p>
    <w:p w14:paraId="5F777B55" w14:textId="2B6614E6" w:rsidR="00B9135D" w:rsidRDefault="00B9135D" w:rsidP="00B9135D">
      <w:pPr>
        <w:pStyle w:val="VirUMAR"/>
      </w:pPr>
      <w:r>
        <w:t xml:space="preserve">Vir: SURS </w:t>
      </w:r>
      <w:r>
        <w:fldChar w:fldCharType="begin"/>
      </w:r>
      <w:r w:rsidR="005325BB">
        <w:instrText xml:space="preserve"> ADDIN ZOTERO_ITEM CSL_CITATION {"citationID":"xFu19215","properties":{"formattedCitation":"(2023)","plainCitation":"(2023)","noteIndex":0},"citationItems":[{"id":2939,"uris":["http://zotero.org/groups/4141114/items/WI7MWBXE"],"itemData":{"id":2939,"type":"report","event-place":"Ljubljana","genre":"Podatkovna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003007BA" w:rsidRPr="003007BA">
        <w:t>(2023)</w:t>
      </w:r>
      <w:r>
        <w:fldChar w:fldCharType="end"/>
      </w:r>
      <w:r w:rsidR="003007BA">
        <w:t xml:space="preserve">, </w:t>
      </w:r>
      <w:r>
        <w:t xml:space="preserve">Eurostat </w:t>
      </w:r>
      <w:r>
        <w:fldChar w:fldCharType="begin"/>
      </w:r>
      <w:r w:rsidR="0078734F">
        <w:instrText xml:space="preserve"> ADDIN ZOTERO_ITEM CSL_CITATION {"citationID":"s9YoU0GB","properties":{"formattedCitation":"(2023)","plainCitation":"(2023)","noteIndex":0},"citationItems":[{"id":3042,"uris":["http://zotero.org/groups/4141114/items/ZBMKG2ZC"],"itemData":{"id":3042,"type":"report","event-place":"Luxembourg","genre":"podatkovna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0078734F" w:rsidRPr="0078734F">
        <w:t>(2023)</w:t>
      </w:r>
      <w:r>
        <w:fldChar w:fldCharType="end"/>
      </w:r>
      <w:r>
        <w:t xml:space="preserve">, preračuni UMAR. </w:t>
      </w:r>
    </w:p>
    <w:p w14:paraId="58D8253C" w14:textId="77777777" w:rsidR="00557D4B" w:rsidRDefault="00557D4B" w:rsidP="00B9135D">
      <w:pPr>
        <w:pStyle w:val="VirUMAR"/>
      </w:pPr>
    </w:p>
    <w:p w14:paraId="12E78DA4" w14:textId="50766F6F" w:rsidR="00557D4B" w:rsidRDefault="00426E59" w:rsidP="00557D4B">
      <w:pPr>
        <w:pStyle w:val="BesediloUMAR"/>
      </w:pPr>
      <w:bookmarkStart w:id="5" w:name="_Hlk144892251"/>
      <w:r>
        <w:rPr>
          <w:b/>
          <w:bCs/>
        </w:rPr>
        <w:t xml:space="preserve">Menjava Slovenije z Ukrajino se je od začetka ruske agresije povečala. </w:t>
      </w:r>
      <w:r>
        <w:t>Po visokem upadu ob začetku vojne, ko so bile prekinjene transportne poti in</w:t>
      </w:r>
      <w:r w:rsidRPr="006678D2">
        <w:t xml:space="preserve"> </w:t>
      </w:r>
      <w:r>
        <w:t xml:space="preserve">aktivnosti v </w:t>
      </w:r>
      <w:r w:rsidRPr="00716506">
        <w:t>predelovalnih dejavnostih, se je izvoz v sredini leta začel povečevati in do konca pr</w:t>
      </w:r>
      <w:r w:rsidRPr="0006489A">
        <w:t>o</w:t>
      </w:r>
      <w:r w:rsidRPr="00716506">
        <w:t>učevanega</w:t>
      </w:r>
      <w:r>
        <w:t xml:space="preserve"> obdobja zaostajal za ravnmi izpred vojne. Vrednostno se je zmanjšal izvoz večine glavnih skupin proizvodov (tudi medicinskih in farmacevtskih, ki so pred vojno predstavljali skoraj polovico izvoza), povečal pa se je izvoz hrane in zlasti naftnih derivatov, ki jih Slovenija pred vojno v Rusijo ni izvažala. V povprečju EU se je izvoz v Ukrajino v letu 2022 povečal in je bil v prvih mesecih 2023 opazno večji kot v primerljivem obdobju pred vojno. Zlasti veliko je bilo povečanje izvoza energentov (naftnih derivatov), saj so bile običajne morske transportne poti večinoma prekinjene. Ob tem velja omeniti, da so izvoz močno povečale zlasti sosednje države (Poljska, Slovaška, Romunija) in nekatere druge države </w:t>
      </w:r>
      <w:r w:rsidRPr="00426E59">
        <w:t>iz centralne in vzhodne Evrope (Latvija, Estonija, Bolgarija, Češka). Uvoz Slovenije iz Ukrajine, ki je bil pred vojno relativno majhen se je od začetka agresije skoraj podvojil.</w:t>
      </w:r>
      <w:r w:rsidRPr="00426E59">
        <w:rPr>
          <w:b/>
          <w:bCs/>
        </w:rPr>
        <w:t xml:space="preserve"> </w:t>
      </w:r>
      <w:r w:rsidRPr="00426E59">
        <w:t>K temu je prispeval zlasti uvoz kmetijskih izdelkov – koruze in pšenice,</w:t>
      </w:r>
      <w:r>
        <w:t xml:space="preserve"> ki jo je Slovenija pred vojno sicer uvozila v minimalnih količinah. Uvoz omenjenih izdelkov se je močno povečal že v letu 2022, v prvih petih mesecih 2023 pa je Slovenija iz Ukrajine uvozila okoli 60 % vse koruze (2021: 1,5 %; 2022: 26 %) ter 18 % vse pšenice (2021 in v letih pred vojno ni bilo neposrednega uvoza ukrajinske pšenice; 2022: 6 %). Povečanje uvoza je bilo veliko, saj je bila skupna vrednost uvoza iz Ukrajine skoraj enkrat večja kot v letu 2022 oz. več kot dvakrat večja kot leta 2019. To povečanje je bilo med največjimi v EU, večje tudi kot v sosednjih državah. Kljub temuskupni slovenski uvoz iz Ukrajine ostaja razmeroma majhen (0,8 % vsega uvoza).</w:t>
      </w:r>
      <w:r w:rsidRPr="00591369">
        <w:rPr>
          <w:rStyle w:val="FootnoteReference"/>
        </w:rPr>
        <w:footnoteReference w:id="30"/>
      </w:r>
      <w:bookmarkEnd w:id="5"/>
    </w:p>
    <w:p w14:paraId="6A9DD468" w14:textId="77777777" w:rsidR="00BF5199" w:rsidRDefault="00BF5199" w:rsidP="00557D4B">
      <w:pPr>
        <w:pStyle w:val="BesediloUMAR"/>
      </w:pPr>
    </w:p>
    <w:p w14:paraId="7D0FF43A" w14:textId="4F46816F" w:rsidR="00F52A9E" w:rsidRPr="000E64EC" w:rsidRDefault="00C05425" w:rsidP="00F52A9E">
      <w:pPr>
        <w:pStyle w:val="Heading2"/>
      </w:pPr>
      <w:r>
        <w:t>Izvoz</w:t>
      </w:r>
      <w:r w:rsidR="00F52A9E">
        <w:t xml:space="preserve"> </w:t>
      </w:r>
      <w:r w:rsidR="001C27AA">
        <w:t xml:space="preserve">Slovenije </w:t>
      </w:r>
      <w:r>
        <w:t>v</w:t>
      </w:r>
      <w:r w:rsidR="00F52A9E">
        <w:t xml:space="preserve"> Rusijo</w:t>
      </w:r>
    </w:p>
    <w:p w14:paraId="701F61E4" w14:textId="77777777" w:rsidR="00426E59" w:rsidRDefault="00426E59" w:rsidP="00426E59">
      <w:pPr>
        <w:pStyle w:val="BesediloUMAR"/>
      </w:pPr>
      <w:r>
        <w:rPr>
          <w:b/>
          <w:bCs/>
        </w:rPr>
        <w:t xml:space="preserve">Izvoz Slovenije v Rusijo se je v prvem letu vojne vrednostno povečal. </w:t>
      </w:r>
      <w:r>
        <w:t xml:space="preserve">Ob začetku vojne (v prvih dveh mesecih agresije) se je izvoz v Rusijo zmanjšal za okoli četrtino (vrednostno in v masi), medletno pa je bil nižji za 40 %. K zmanjšanju je prispevala predvsem negotovost glede uvedenih sankcij in </w:t>
      </w:r>
      <w:r w:rsidRPr="00DD00B5">
        <w:t>večj</w:t>
      </w:r>
      <w:r>
        <w:t>a</w:t>
      </w:r>
      <w:r w:rsidRPr="00DD00B5">
        <w:t xml:space="preserve"> p</w:t>
      </w:r>
      <w:r>
        <w:t>rekinitev ladijskega prometa v ruskih in ukrajinskih pristaniščih Črnega morja. Aprila sprejete sankcije so ruskim cestnim in ladijskim prevoznikom onemogočile poslovanje v EU, v primerjavi z enakim obdobjem predhodnega leta je upadel tudi izvoz večine glavnih izvoznih proizvodov, izražen v masi</w:t>
      </w:r>
      <w:r w:rsidRPr="00591369">
        <w:rPr>
          <w:rStyle w:val="FootnoteReference"/>
        </w:rPr>
        <w:footnoteReference w:id="31"/>
      </w:r>
      <w:r>
        <w:t xml:space="preserve">. Od maja se je začel izvoz tekoče povečevati in vrednostno kmalu presegel ravni izpred začetka vojne, v drugi polovici leta pa je dosegel </w:t>
      </w:r>
      <w:r>
        <w:lastRenderedPageBreak/>
        <w:t xml:space="preserve">rekordno visoke vrednosti. Konec lanskega in v začetku letošnjega leta se je rast izvoza prekinila, a je vrednostno ostala na zelo visoki ravni in je bila maja 2023 precej višja kot pred začetkom vojne. Količinski izvoz (izražen v neto kg) se je sicer zmanjšal, a je bilo to pripisati predvsem strukturi slovenskega izvoza, saj je teža farmacevtskih izdelkov precej manjša od teže strojev in naprav ter različnih materialov. </w:t>
      </w:r>
    </w:p>
    <w:p w14:paraId="548343D4" w14:textId="38A63A63" w:rsidR="00D6712F" w:rsidRDefault="00D6712F" w:rsidP="00D6712F">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9</w:t>
      </w:r>
      <w:r w:rsidRPr="0097105A">
        <w:fldChar w:fldCharType="end"/>
      </w:r>
      <w:r w:rsidRPr="0097105A">
        <w:t xml:space="preserve">: </w:t>
      </w:r>
      <w:r w:rsidR="00C05425">
        <w:t>Vrednost slovenskega izvoza v Rusijo se je močno povečala, količinski izvoz je upadel</w:t>
      </w:r>
    </w:p>
    <w:p w14:paraId="4ACE00DE" w14:textId="02E3E0B1" w:rsidR="00D6712F" w:rsidRDefault="00641253" w:rsidP="00D6712F">
      <w:pPr>
        <w:pStyle w:val="BesediloUMAR"/>
      </w:pPr>
      <w:r w:rsidRPr="00641253">
        <w:rPr>
          <w:noProof/>
        </w:rPr>
        <w:drawing>
          <wp:inline distT="0" distB="0" distL="0" distR="0" wp14:anchorId="17CAA75E" wp14:editId="590F16AA">
            <wp:extent cx="5759450" cy="2096135"/>
            <wp:effectExtent l="0" t="0" r="0" b="0"/>
            <wp:docPr id="4301699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2096135"/>
                    </a:xfrm>
                    <a:prstGeom prst="rect">
                      <a:avLst/>
                    </a:prstGeom>
                    <a:noFill/>
                    <a:ln>
                      <a:noFill/>
                    </a:ln>
                  </pic:spPr>
                </pic:pic>
              </a:graphicData>
            </a:graphic>
          </wp:inline>
        </w:drawing>
      </w:r>
    </w:p>
    <w:p w14:paraId="29163017" w14:textId="77777777" w:rsidR="00426E59" w:rsidRDefault="00426E59" w:rsidP="00426E59">
      <w:pPr>
        <w:pStyle w:val="VirUMAR"/>
      </w:pPr>
      <w:r>
        <w:t xml:space="preserve">Vir: SURS </w:t>
      </w:r>
      <w:r>
        <w:fldChar w:fldCharType="begin"/>
      </w:r>
      <w:r>
        <w:instrText xml:space="preserve"> ADDIN ZOTERO_ITEM CSL_CITATION {"citationID":"s5vevuWO","properties":{"formattedCitation":"(2023)","plainCitation":"(2023)","noteIndex":0},"citationItems":[{"id":2939,"uris":["http://zotero.org/groups/4141114/items/WI7MWBXE"],"itemData":{"id":2939,"type":"report","event-place":"Ljubljana","genre":"Podatkovna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Eurostat </w:t>
      </w:r>
      <w:r>
        <w:fldChar w:fldCharType="begin"/>
      </w:r>
      <w:r>
        <w:instrText xml:space="preserve"> ADDIN ZOTERO_ITEM CSL_CITATION {"citationID":"4Rg8pJ8b","properties":{"formattedCitation":"(2023)","plainCitation":"(2023)","noteIndex":0},"citationItems":[{"id":3042,"uris":["http://zotero.org/groups/4141114/items/ZBMKG2ZC"],"itemData":{"id":3042,"type":"report","event-place":"Luxembourg","genre":"podatkovna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Pr="0078734F">
        <w:t>(2023)</w:t>
      </w:r>
      <w:r>
        <w:fldChar w:fldCharType="end"/>
      </w:r>
      <w:r>
        <w:t xml:space="preserve">, preračuni UMAR. Opomba: Serija prikazuje 3-mesečne drseče sredine. </w:t>
      </w:r>
    </w:p>
    <w:p w14:paraId="57A76B3B" w14:textId="77777777" w:rsidR="00F52A9E" w:rsidRDefault="00F52A9E" w:rsidP="00C12E4C">
      <w:pPr>
        <w:pStyle w:val="BesediloUMAR"/>
      </w:pPr>
    </w:p>
    <w:p w14:paraId="1C8BD2F6" w14:textId="43EA86E0" w:rsidR="00426E59" w:rsidRPr="00BF5199" w:rsidRDefault="00F52A9E" w:rsidP="00F52A9E">
      <w:pPr>
        <w:pStyle w:val="BesediloUMAR"/>
      </w:pPr>
      <w:r w:rsidRPr="009C2FB2">
        <w:rPr>
          <w:b/>
          <w:bCs/>
        </w:rPr>
        <w:t xml:space="preserve">Struktura izvoza se je </w:t>
      </w:r>
      <w:r w:rsidR="00D33514">
        <w:rPr>
          <w:b/>
          <w:bCs/>
        </w:rPr>
        <w:t>med</w:t>
      </w:r>
      <w:r w:rsidRPr="009C2FB2">
        <w:rPr>
          <w:b/>
          <w:bCs/>
        </w:rPr>
        <w:t xml:space="preserve"> vojn</w:t>
      </w:r>
      <w:r w:rsidR="00D33514">
        <w:rPr>
          <w:b/>
          <w:bCs/>
        </w:rPr>
        <w:t>o</w:t>
      </w:r>
      <w:r w:rsidRPr="009C2FB2">
        <w:rPr>
          <w:b/>
          <w:bCs/>
        </w:rPr>
        <w:t xml:space="preserve"> zelo spremenila, k povečanju izvoza </w:t>
      </w:r>
      <w:r w:rsidR="00426E59">
        <w:rPr>
          <w:b/>
          <w:bCs/>
        </w:rPr>
        <w:t xml:space="preserve">je </w:t>
      </w:r>
      <w:r w:rsidRPr="009C2FB2">
        <w:rPr>
          <w:b/>
          <w:bCs/>
        </w:rPr>
        <w:t>največ prispeval izvoz kemijskih, zlasti farmacevtskih proizvodov.</w:t>
      </w:r>
      <w:r>
        <w:rPr>
          <w:b/>
          <w:bCs/>
        </w:rPr>
        <w:t xml:space="preserve"> </w:t>
      </w:r>
      <w:r>
        <w:t xml:space="preserve">Slovenija je </w:t>
      </w:r>
      <w:r w:rsidR="00D33514">
        <w:t>med</w:t>
      </w:r>
      <w:r>
        <w:t xml:space="preserve"> vojn</w:t>
      </w:r>
      <w:r w:rsidR="00D33514">
        <w:t>o</w:t>
      </w:r>
      <w:r>
        <w:t xml:space="preserve"> vsaj ohranila vrednostni izvoz večine glavnih izvoznih proizvodov v Rusijo, saj večinoma izvaža izdelke, ki niso zajeti v omejitvene ukrepe proti Rusiji. Najbolj se je sicer povečal izvoz kemijskih proizvodov, kjer se je poleg medicinskih in farmacevtskih proizvodov, povečal tudi izvoz organskih kemičnih proizvodov (predvsem organsko-anorganskih spojin) in drugih kemijskih proizvodov. Veliko tega povečanja je bilo posledica višjih cen, saj so se količine le malo spremenile v primerjavi z letom prej. Povečal se je tudi izvoz električnih naprav, kjer </w:t>
      </w:r>
      <w:r w:rsidR="00B0100B">
        <w:t>večina</w:t>
      </w:r>
      <w:r>
        <w:t xml:space="preserve"> teh proizvodov po vrednosti ne spada med luksuzne proizvode in s tem pod sankcije. Zmanjšal pa se je izvoz ostalih strojev in naprav ter kovin in kovinskih izdelkov, </w:t>
      </w:r>
      <w:r w:rsidR="00D33514">
        <w:t>in sicer</w:t>
      </w:r>
      <w:r>
        <w:t xml:space="preserve"> vrednostno </w:t>
      </w:r>
      <w:r w:rsidR="00FB3E15">
        <w:t>ter</w:t>
      </w:r>
      <w:r>
        <w:t xml:space="preserve"> v masi.</w:t>
      </w:r>
    </w:p>
    <w:p w14:paraId="32662AF4" w14:textId="482AE9DE" w:rsidR="007D1718" w:rsidRDefault="00F52A9E" w:rsidP="007D1718">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10</w:t>
      </w:r>
      <w:r w:rsidRPr="0097105A">
        <w:fldChar w:fldCharType="end"/>
      </w:r>
      <w:r w:rsidRPr="0097105A">
        <w:t xml:space="preserve">: </w:t>
      </w:r>
      <w:r>
        <w:t>I</w:t>
      </w:r>
      <w:r w:rsidRPr="0097105A">
        <w:t>zvoz Slovenije v Rusijo</w:t>
      </w:r>
      <w:r>
        <w:t xml:space="preserve"> po proizvodih</w:t>
      </w:r>
      <w:r w:rsidR="005325BB">
        <w:t>, v obdobju 2021–2023</w:t>
      </w:r>
    </w:p>
    <w:p w14:paraId="4F5BAF2D" w14:textId="4CC869ED" w:rsidR="00F52A9E" w:rsidRDefault="00641253" w:rsidP="007D1718">
      <w:pPr>
        <w:pStyle w:val="Caption"/>
      </w:pPr>
      <w:r w:rsidRPr="00641253">
        <w:drawing>
          <wp:inline distT="0" distB="0" distL="0" distR="0" wp14:anchorId="0507E7FD" wp14:editId="64C9EE3B">
            <wp:extent cx="5759450" cy="2323465"/>
            <wp:effectExtent l="0" t="0" r="0" b="635"/>
            <wp:docPr id="543361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2323465"/>
                    </a:xfrm>
                    <a:prstGeom prst="rect">
                      <a:avLst/>
                    </a:prstGeom>
                    <a:noFill/>
                    <a:ln>
                      <a:noFill/>
                    </a:ln>
                  </pic:spPr>
                </pic:pic>
              </a:graphicData>
            </a:graphic>
          </wp:inline>
        </w:drawing>
      </w:r>
    </w:p>
    <w:p w14:paraId="0B5C3442" w14:textId="7385B141" w:rsidR="00F52A9E" w:rsidRDefault="00F52A9E" w:rsidP="00F52A9E">
      <w:pPr>
        <w:pStyle w:val="VirUMAR"/>
      </w:pPr>
      <w:r>
        <w:t>Vir: SURS</w:t>
      </w:r>
      <w:r w:rsidR="005325BB">
        <w:t xml:space="preserve"> </w:t>
      </w:r>
      <w:r w:rsidR="005325BB">
        <w:fldChar w:fldCharType="begin"/>
      </w:r>
      <w:r w:rsidR="005325BB">
        <w:instrText xml:space="preserve"> ADDIN ZOTERO_ITEM CSL_CITATION {"citationID":"22n00JPn","properties":{"formattedCitation":"(2023)","plainCitation":"(2023)","noteIndex":0},"citationItems":[{"id":2939,"uris":["http://zotero.org/groups/4141114/items/WI7MWBXE"],"itemData":{"id":2939,"type":"report","event-place":"Ljubljana","genre":"Podatkovna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rsidR="005325BB">
        <w:fldChar w:fldCharType="separate"/>
      </w:r>
      <w:r w:rsidR="005325BB" w:rsidRPr="005325BB">
        <w:t>(2023)</w:t>
      </w:r>
      <w:r w:rsidR="005325BB">
        <w:fldChar w:fldCharType="end"/>
      </w:r>
      <w:r>
        <w:t xml:space="preserve">, preračuni UMAR. Opomba: </w:t>
      </w:r>
      <w:r w:rsidR="00953B8D">
        <w:t>podatki za leto 2023 so za obdobje januar – maj.</w:t>
      </w:r>
    </w:p>
    <w:p w14:paraId="6B4D7275" w14:textId="17452B33" w:rsidR="00F52A9E" w:rsidRDefault="00F52A9E" w:rsidP="00F52A9E">
      <w:pPr>
        <w:pStyle w:val="BesediloUMAR"/>
        <w:rPr>
          <w:b/>
          <w:bCs/>
        </w:rPr>
      </w:pPr>
    </w:p>
    <w:p w14:paraId="5397059D" w14:textId="77777777" w:rsidR="00BF5199" w:rsidRDefault="00BF5199" w:rsidP="00F52A9E">
      <w:pPr>
        <w:pStyle w:val="BesediloUMAR"/>
        <w:rPr>
          <w:b/>
          <w:bCs/>
        </w:rPr>
      </w:pPr>
    </w:p>
    <w:p w14:paraId="78597C38" w14:textId="63BF39D1" w:rsidR="00F52A9E" w:rsidRPr="00BF5199" w:rsidRDefault="00426E59" w:rsidP="00F52A9E">
      <w:pPr>
        <w:pStyle w:val="BesediloUMAR"/>
        <w:rPr>
          <w:b/>
          <w:bCs/>
        </w:rPr>
      </w:pPr>
      <w:r>
        <w:rPr>
          <w:b/>
          <w:bCs/>
        </w:rPr>
        <w:lastRenderedPageBreak/>
        <w:t xml:space="preserve">Večji izvoz medicinskih in farmacevtskih proizvodov je bil predvsem posledica močno povečanega izvoza imunoloških proizvodov. </w:t>
      </w:r>
      <w:r>
        <w:t>Pred vojno je leta 2021 izvoz medicinskih in farmacevtskih proizvodov predstavljal okoli 40 % celotnega izvoza Slovenije v Rusijo, konec leta 2022 že skoraj 70 % (v povprečju leta 2022 53,6 %), aprila 2023 pa 60 %. V letu 2022 se je njihov medletni izvoz povečal za skoraj 90 %. Podrobni pregled kaže, da gre večino rasti pripisati farmacevtskim proizvodom, zlasti izvozu skupine imunoloških proizvodov.</w:t>
      </w:r>
      <w:r w:rsidRPr="00591369">
        <w:rPr>
          <w:rStyle w:val="FootnoteReference"/>
        </w:rPr>
        <w:footnoteReference w:id="32"/>
      </w:r>
      <w:r>
        <w:t xml:space="preserve"> V Rusijo jih je Slovenija leta 2021 izvozila za 29 mio EUR, v letu 2022 pa se je ta izvoz povečal za skoraj 9-krat na 251 mio EUR. Visoka rast je bila posledica močno povečanih količin in cen. Visok izvoz imunoloških proizvodov se je nadaljeval tudi v začetku leta 2023, Slovenija pa je v prvih petih mesecih 2023 postala druga največja evropska izvoznica teh proizvodov v Rusijo. Imunoloških proizvodov Slovenija ne proizvaja, zato ocenjujemo, da je v tem primeru šlo za ponovni izvoz</w:t>
      </w:r>
      <w:r w:rsidRPr="00591369">
        <w:rPr>
          <w:rStyle w:val="FootnoteReference"/>
        </w:rPr>
        <w:footnoteReference w:id="33"/>
      </w:r>
      <w:r>
        <w:t xml:space="preserve"> oz. trgovinsko dejavnost, ki ni imela vpliva na dodano vrednost v predelovalnih dejavnostih ter aktivnost največjih slovenskih farmacevtskih podjetij, torej za povečan izvoz (in hkrati uvoz). Povečanje izvoza imunoloških proizvodov v Rusijo med vojno je bilo zaznati tudi v drugih državah EU, ki so v preteklih letih tradicionalno izvažale veliko teh proizvodov (Belgija, Nemčija). Ob tem je treba tudi omeniti, da se je izvoz medicinskih in farmacevtskih proizvodov (razen imunoloških) v letu 2022 vrednostno povečal za okoli 25 %, kar je podobna rast kot v EU. Povečanje gre pripisati zlasti cenam, saj se je izvoz, izražen v masi, nekoliko zmanjšal (Slovenija: –3,9 %, EU: –1,5 %). </w:t>
      </w:r>
    </w:p>
    <w:p w14:paraId="1BFF6C47" w14:textId="3C9233FB" w:rsidR="00F52A9E" w:rsidRDefault="00F52A9E" w:rsidP="00F52A9E">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11</w:t>
      </w:r>
      <w:r w:rsidRPr="0097105A">
        <w:fldChar w:fldCharType="end"/>
      </w:r>
      <w:r w:rsidRPr="0097105A">
        <w:t xml:space="preserve">: </w:t>
      </w:r>
      <w:r w:rsidR="00E55532">
        <w:t>Povečanje izvoza medicinskih in farmacevtskih proizvodov gre pripisati zlasti imunološkim proizvodom</w:t>
      </w:r>
    </w:p>
    <w:p w14:paraId="30E9A40E" w14:textId="301C3859" w:rsidR="00F52A9E" w:rsidRPr="007016BB" w:rsidRDefault="007D1718" w:rsidP="00F52A9E">
      <w:pPr>
        <w:pStyle w:val="BesediloUMAR"/>
      </w:pPr>
      <w:r w:rsidRPr="007D1718">
        <w:t xml:space="preserve"> </w:t>
      </w:r>
      <w:r w:rsidR="00641253" w:rsidRPr="00641253">
        <w:rPr>
          <w:noProof/>
        </w:rPr>
        <w:drawing>
          <wp:inline distT="0" distB="0" distL="0" distR="0" wp14:anchorId="40F1474C" wp14:editId="2993EC1E">
            <wp:extent cx="2804400" cy="2307600"/>
            <wp:effectExtent l="0" t="0" r="0" b="0"/>
            <wp:docPr id="19974034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4400" cy="2307600"/>
                    </a:xfrm>
                    <a:prstGeom prst="rect">
                      <a:avLst/>
                    </a:prstGeom>
                    <a:noFill/>
                    <a:ln>
                      <a:noFill/>
                    </a:ln>
                  </pic:spPr>
                </pic:pic>
              </a:graphicData>
            </a:graphic>
          </wp:inline>
        </w:drawing>
      </w:r>
      <w:r w:rsidR="00F52A9E">
        <w:t xml:space="preserve">  </w:t>
      </w:r>
      <w:r w:rsidR="0062274D">
        <w:t xml:space="preserve">    </w:t>
      </w:r>
      <w:r w:rsidR="00641253" w:rsidRPr="00641253">
        <w:rPr>
          <w:noProof/>
        </w:rPr>
        <w:drawing>
          <wp:inline distT="0" distB="0" distL="0" distR="0" wp14:anchorId="30F25967" wp14:editId="2AD5FD23">
            <wp:extent cx="2804400" cy="2300400"/>
            <wp:effectExtent l="0" t="0" r="0" b="5080"/>
            <wp:docPr id="6630528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4400" cy="2300400"/>
                    </a:xfrm>
                    <a:prstGeom prst="rect">
                      <a:avLst/>
                    </a:prstGeom>
                    <a:noFill/>
                    <a:ln>
                      <a:noFill/>
                    </a:ln>
                  </pic:spPr>
                </pic:pic>
              </a:graphicData>
            </a:graphic>
          </wp:inline>
        </w:drawing>
      </w:r>
    </w:p>
    <w:p w14:paraId="6C2843BD" w14:textId="77777777" w:rsidR="004E2298" w:rsidRDefault="004E2298" w:rsidP="0062274D">
      <w:pPr>
        <w:pStyle w:val="VirUMAR"/>
        <w:spacing w:before="80"/>
      </w:pPr>
      <w:r>
        <w:t xml:space="preserve">Vir: SURS </w:t>
      </w:r>
      <w:r>
        <w:fldChar w:fldCharType="begin"/>
      </w:r>
      <w:r>
        <w:instrText xml:space="preserve"> ADDIN ZOTERO_ITEM CSL_CITATION {"citationID":"7dOPodG7","properties":{"formattedCitation":"(2023)","plainCitation":"(2023)","noteIndex":0},"citationItems":[{"id":2939,"uris":["http://zotero.org/groups/4141114/items/WI7MWBXE"],"itemData":{"id":2939,"type":"report","event-place":"Ljubljana","genre":"Podatkovna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Eurostat Comext </w:t>
      </w:r>
      <w:r>
        <w:fldChar w:fldCharType="begin"/>
      </w:r>
      <w:r>
        <w:instrText xml:space="preserve"> ADDIN ZOTERO_ITEM CSL_CITATION {"citationID":"K4X4dCeO","properties":{"formattedCitation":"(2023)","plainCitation":"(2023)","noteIndex":0},"citationItems":[{"id":3042,"uris":["http://zotero.org/groups/4141114/items/ZBMKG2ZC"],"itemData":{"id":3042,"type":"report","event-place":"Luxembourg","genre":"podatkovna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Pr="007D79CF">
        <w:t>(2023)</w:t>
      </w:r>
      <w:r>
        <w:fldChar w:fldCharType="end"/>
      </w:r>
      <w:r>
        <w:t>, preračuni UMAR. Opomba: Serija prikazuje na levi sliki prikazuje 3-mesečne drseče sredine.</w:t>
      </w:r>
    </w:p>
    <w:p w14:paraId="476FC9FC" w14:textId="77777777" w:rsidR="00F52A9E" w:rsidRDefault="00F52A9E" w:rsidP="00C12E4C">
      <w:pPr>
        <w:pStyle w:val="BesediloUMAR"/>
      </w:pPr>
    </w:p>
    <w:p w14:paraId="21D5EBF9" w14:textId="3DB95A18" w:rsidR="00F84618" w:rsidRPr="000E64EC" w:rsidRDefault="00F84618" w:rsidP="00F84618">
      <w:pPr>
        <w:pStyle w:val="Heading2"/>
      </w:pPr>
      <w:r>
        <w:t>Uvoz Slovenije iz Rusije</w:t>
      </w:r>
    </w:p>
    <w:p w14:paraId="4DA7BC53" w14:textId="77777777" w:rsidR="00A32E49" w:rsidRDefault="00A32E49" w:rsidP="00DF1DA7">
      <w:pPr>
        <w:pStyle w:val="BesediloUMAR"/>
      </w:pPr>
    </w:p>
    <w:p w14:paraId="5605A70E" w14:textId="3A19E257" w:rsidR="00B24111" w:rsidRDefault="004E2298" w:rsidP="00C5137C">
      <w:pPr>
        <w:pStyle w:val="BesediloUMAR"/>
      </w:pPr>
      <w:r>
        <w:rPr>
          <w:b/>
          <w:bCs/>
        </w:rPr>
        <w:t xml:space="preserve">Uvoz Slovenije iz Rusije se je v prvem letu vojne vrednostno močno povečal, a se je zaradi sankcij do aprila 2023 skoraj ustavil. </w:t>
      </w:r>
      <w:r w:rsidRPr="00FE5E40">
        <w:t xml:space="preserve">K povečanju skupnega blagovnega uvoza iz Rusije </w:t>
      </w:r>
      <w:r>
        <w:t xml:space="preserve">v prvih mesecih po začetku vojne </w:t>
      </w:r>
      <w:r w:rsidRPr="00FE5E40">
        <w:t xml:space="preserve">so največ prispevali energenti, predvsem </w:t>
      </w:r>
      <w:r>
        <w:t>rast</w:t>
      </w:r>
      <w:r w:rsidRPr="00FE5E40">
        <w:t>njihovih cen</w:t>
      </w:r>
      <w:r>
        <w:t xml:space="preserve">, podoben trend pa je bilo zaznati tudi v povprečju EU. Ob visoki odvisnosti od ruskega izvoza in povečani negotovosti so se na mednarodnih trgih </w:t>
      </w:r>
      <w:r>
        <w:lastRenderedPageBreak/>
        <w:t>zlasti povečale cene zemeljskega plina in nafte</w:t>
      </w:r>
      <w:r w:rsidRPr="00591369">
        <w:rPr>
          <w:rStyle w:val="FootnoteReference"/>
        </w:rPr>
        <w:footnoteReference w:id="34"/>
      </w:r>
      <w:r>
        <w:t xml:space="preserve">, kar je tudi vplivalo na vrednostno večji uvoz. Ob povečanih količinah uvoženih energentov (izraženo v masi) je vrednost uvoza ostala visoka do konca leta. Zaradi visokega deleža uvoza energentov (zlasti naftnih derivatov) in razmeroma nizke osnove v predhodnem letu je bilo v letu 2022 medletno povečanje uvoza iz Rusije med najvišjimi v EU. EU je med letom sprejela več paketov sankcij, uvozne omejitve pa od februarja 2023 </w:t>
      </w:r>
      <w:r>
        <w:rPr>
          <w:rStyle w:val="rynqvb"/>
        </w:rPr>
        <w:t>veljajo za večino ključnih izvoznih izdelkov Rusije, razen za zemeljski plin.</w:t>
      </w:r>
      <w:r>
        <w:rPr>
          <w:rStyle w:val="hwtze"/>
        </w:rPr>
        <w:t xml:space="preserve"> </w:t>
      </w:r>
      <w:r>
        <w:t xml:space="preserve">V prvih mesecih 2023 se je tako zaradi sankcij in postopnega znižanja cen surovin in energentov uvoz močno zmanjšal in do aprila 2023 v primerjavi z obdobjem pred vojno upadel za več kot 85 %. </w:t>
      </w:r>
    </w:p>
    <w:p w14:paraId="42D1A8DC" w14:textId="417C1AA7" w:rsidR="00C05425" w:rsidRDefault="00C05425" w:rsidP="00C05425">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12</w:t>
      </w:r>
      <w:r w:rsidRPr="0097105A">
        <w:fldChar w:fldCharType="end"/>
      </w:r>
      <w:r w:rsidRPr="0097105A">
        <w:t xml:space="preserve">: </w:t>
      </w:r>
      <w:r>
        <w:t xml:space="preserve">Vrednost slovenskega uvoza iz Rusije je </w:t>
      </w:r>
      <w:r w:rsidR="004D0129">
        <w:t xml:space="preserve">v sredini leta </w:t>
      </w:r>
      <w:r w:rsidR="006B2D0D">
        <w:t xml:space="preserve">2022 </w:t>
      </w:r>
      <w:r w:rsidR="004D0129">
        <w:t>dosegla rekordne vrednosti, uvoz pa se je povečal vrednostno in količinsko</w:t>
      </w:r>
    </w:p>
    <w:p w14:paraId="0047C9CE" w14:textId="4F55CB8B" w:rsidR="00C05425" w:rsidRDefault="00641253" w:rsidP="00C05425">
      <w:pPr>
        <w:pStyle w:val="BesediloUMAR"/>
      </w:pPr>
      <w:r w:rsidRPr="00641253">
        <w:rPr>
          <w:noProof/>
        </w:rPr>
        <w:drawing>
          <wp:inline distT="0" distB="0" distL="0" distR="0" wp14:anchorId="13150131" wp14:editId="1DCF5325">
            <wp:extent cx="5759450" cy="2096135"/>
            <wp:effectExtent l="0" t="0" r="0" b="0"/>
            <wp:docPr id="11607911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2096135"/>
                    </a:xfrm>
                    <a:prstGeom prst="rect">
                      <a:avLst/>
                    </a:prstGeom>
                    <a:noFill/>
                    <a:ln>
                      <a:noFill/>
                    </a:ln>
                  </pic:spPr>
                </pic:pic>
              </a:graphicData>
            </a:graphic>
          </wp:inline>
        </w:drawing>
      </w:r>
    </w:p>
    <w:p w14:paraId="5D159B0F" w14:textId="66ECCFEC" w:rsidR="00C05425" w:rsidRDefault="00C05425" w:rsidP="00C05425">
      <w:pPr>
        <w:pStyle w:val="VirUMAR"/>
      </w:pPr>
      <w:r>
        <w:t xml:space="preserve">Vir: SURS </w:t>
      </w:r>
      <w:r>
        <w:fldChar w:fldCharType="begin"/>
      </w:r>
      <w:r w:rsidR="0078734F">
        <w:instrText xml:space="preserve"> ADDIN ZOTERO_ITEM CSL_CITATION {"citationID":"J8CQjhlM","properties":{"formattedCitation":"(2023)","plainCitation":"(2023)","noteIndex":0},"citationItems":[{"id":2939,"uris":["http://zotero.org/groups/4141114/items/WI7MWBXE"],"itemData":{"id":2939,"type":"report","event-place":"Ljubljana","genre":"Podatkovna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Eurostat </w:t>
      </w:r>
      <w:r>
        <w:fldChar w:fldCharType="begin"/>
      </w:r>
      <w:r w:rsidR="0078734F">
        <w:instrText xml:space="preserve"> ADDIN ZOTERO_ITEM CSL_CITATION {"citationID":"WK5tVCRz","properties":{"formattedCitation":"(2023)","plainCitation":"(2023)","noteIndex":0},"citationItems":[{"id":3042,"uris":["http://zotero.org/groups/4141114/items/ZBMKG2ZC"],"itemData":{"id":3042,"type":"report","event-place":"Luxembourg","genre":"podatkovna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0078734F" w:rsidRPr="0078734F">
        <w:t>(2023)</w:t>
      </w:r>
      <w:r>
        <w:fldChar w:fldCharType="end"/>
      </w:r>
      <w:r>
        <w:t xml:space="preserve">, preračuni UMAR. </w:t>
      </w:r>
      <w:r w:rsidR="00953B8D">
        <w:t>Opomba: Serija prikazuje 3 mesečne drseče sredine.</w:t>
      </w:r>
    </w:p>
    <w:p w14:paraId="77DCAAA2" w14:textId="77777777" w:rsidR="007113BC" w:rsidRDefault="007113BC" w:rsidP="007113BC">
      <w:pPr>
        <w:pStyle w:val="BesediloUMAR"/>
      </w:pPr>
    </w:p>
    <w:p w14:paraId="2B2BA162" w14:textId="63601A50" w:rsidR="00DE4F36" w:rsidRDefault="00DE4F36" w:rsidP="00DE4F36">
      <w:pPr>
        <w:pStyle w:val="BesediloUMAR"/>
        <w:rPr>
          <w:rStyle w:val="rynqvb"/>
        </w:rPr>
      </w:pPr>
      <w:r w:rsidRPr="004D3588">
        <w:rPr>
          <w:rStyle w:val="rynqvb"/>
          <w:b/>
          <w:bCs/>
        </w:rPr>
        <w:t>Struktura uvoza iz Rusije se v letu 2022 zaradi vojne ni veliko spremenila.</w:t>
      </w:r>
      <w:r>
        <w:rPr>
          <w:rStyle w:val="rynqvb"/>
        </w:rPr>
        <w:t xml:space="preserve"> Delež energentov v uvozu iz Rusije je že v letih pred vojno opazno nihal (2019: 88 %, 2020: 80 %, 2021: 68 %), kar gre predvsem pripisati večjim nihanjem uvoza naftnih derivatov</w:t>
      </w:r>
      <w:r w:rsidRPr="00D03946">
        <w:rPr>
          <w:rStyle w:val="FootnoteReference"/>
        </w:rPr>
        <w:footnoteReference w:id="35"/>
      </w:r>
      <w:r>
        <w:rPr>
          <w:rStyle w:val="rynqvb"/>
        </w:rPr>
        <w:t xml:space="preserve">. V letu 2022 se je delež energentov znova povečal na 88 %, v prvih </w:t>
      </w:r>
      <w:r w:rsidR="006B2D0D">
        <w:rPr>
          <w:rStyle w:val="rynqvb"/>
        </w:rPr>
        <w:t>petih</w:t>
      </w:r>
      <w:r>
        <w:rPr>
          <w:rStyle w:val="rynqvb"/>
        </w:rPr>
        <w:t xml:space="preserve"> mesecih 2023 pa zmanjšal na </w:t>
      </w:r>
      <w:r w:rsidR="006B2D0D">
        <w:rPr>
          <w:rStyle w:val="rynqvb"/>
        </w:rPr>
        <w:t>manj kot 80</w:t>
      </w:r>
      <w:r>
        <w:rPr>
          <w:rStyle w:val="rynqvb"/>
        </w:rPr>
        <w:t xml:space="preserve"> %. Pričakujemo, da se bo ta delež do konca leta 2023 močno zmanjšal, saj od februarja naprej veljajo uvozne omejitve za uvoz naftnih derivatov. Vrednostni uvoz drugih proizvodov (brez mineralnih goriv) se je v letu 2022 povečal, k temu pa je prispeval zlasti uvoz nekaterih kemičnih proizvodov (npr. gnojil) ob višjih cenah in količinah. Uvoz drugih glavnih skupin proizvodov se je zmanjšal. </w:t>
      </w:r>
    </w:p>
    <w:p w14:paraId="13454401" w14:textId="2F1CBB71" w:rsidR="000C49B8" w:rsidRDefault="000C49B8" w:rsidP="000C49B8">
      <w:pPr>
        <w:pStyle w:val="Caption"/>
      </w:pPr>
      <w:r w:rsidRPr="0097105A">
        <w:lastRenderedPageBreak/>
        <w:t xml:space="preserve">Slika </w:t>
      </w:r>
      <w:r w:rsidRPr="0097105A">
        <w:fldChar w:fldCharType="begin"/>
      </w:r>
      <w:r w:rsidRPr="0097105A">
        <w:instrText xml:space="preserve"> SEQ Slika \* ARABIC </w:instrText>
      </w:r>
      <w:r w:rsidRPr="0097105A">
        <w:fldChar w:fldCharType="separate"/>
      </w:r>
      <w:r w:rsidR="00A437A4">
        <w:t>13</w:t>
      </w:r>
      <w:r w:rsidRPr="0097105A">
        <w:fldChar w:fldCharType="end"/>
      </w:r>
      <w:r w:rsidRPr="0097105A">
        <w:t xml:space="preserve">: </w:t>
      </w:r>
      <w:r>
        <w:t>Uvoz</w:t>
      </w:r>
      <w:r w:rsidRPr="0097105A">
        <w:t xml:space="preserve"> Slovenije </w:t>
      </w:r>
      <w:r>
        <w:t>iz</w:t>
      </w:r>
      <w:r w:rsidRPr="0097105A">
        <w:t xml:space="preserve"> Rusij</w:t>
      </w:r>
      <w:r>
        <w:t>e po proizvodih</w:t>
      </w:r>
    </w:p>
    <w:p w14:paraId="2BD25ECB" w14:textId="0BBA471F" w:rsidR="00E04CD7" w:rsidRPr="007113BC" w:rsidRDefault="00641253" w:rsidP="00E04CD7">
      <w:pPr>
        <w:pStyle w:val="BesediloUMAR"/>
        <w:rPr>
          <w:highlight w:val="yellow"/>
        </w:rPr>
      </w:pPr>
      <w:r w:rsidRPr="00641253">
        <w:rPr>
          <w:noProof/>
        </w:rPr>
        <w:drawing>
          <wp:inline distT="0" distB="0" distL="0" distR="0" wp14:anchorId="49AA05FD" wp14:editId="214C45C8">
            <wp:extent cx="5759450" cy="2317750"/>
            <wp:effectExtent l="0" t="0" r="0" b="6350"/>
            <wp:docPr id="11428282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2317750"/>
                    </a:xfrm>
                    <a:prstGeom prst="rect">
                      <a:avLst/>
                    </a:prstGeom>
                    <a:noFill/>
                    <a:ln>
                      <a:noFill/>
                    </a:ln>
                  </pic:spPr>
                </pic:pic>
              </a:graphicData>
            </a:graphic>
          </wp:inline>
        </w:drawing>
      </w:r>
    </w:p>
    <w:p w14:paraId="6E1D7B69" w14:textId="77777777" w:rsidR="006B2D0D" w:rsidRDefault="006B2D0D" w:rsidP="006B2D0D">
      <w:pPr>
        <w:pStyle w:val="VirUMAR"/>
      </w:pPr>
      <w:r>
        <w:t xml:space="preserve">Vir: SURS </w:t>
      </w:r>
      <w:r>
        <w:fldChar w:fldCharType="begin"/>
      </w:r>
      <w:r>
        <w:instrText xml:space="preserve"> ADDIN ZOTERO_ITEM CSL_CITATION {"citationID":"HPsxWyge","properties":{"formattedCitation":"(2023)","plainCitation":"(2023)","noteIndex":0},"citationItems":[{"id":2939,"uris":["http://zotero.org/groups/4141114/items/WI7MWBXE"],"itemData":{"id":2939,"type":"report","event-place":"Ljubljana","genre":"Podatkovna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5325BB">
        <w:t>(2023)</w:t>
      </w:r>
      <w:r>
        <w:fldChar w:fldCharType="end"/>
      </w:r>
      <w:r>
        <w:t>, preračuni UMAR. Opomba: * podatki za leto 2023 so za obdobje januar–maj.</w:t>
      </w:r>
    </w:p>
    <w:p w14:paraId="40FF0A91" w14:textId="77777777" w:rsidR="000C49B8" w:rsidRDefault="000C49B8" w:rsidP="00DE4F36">
      <w:pPr>
        <w:pStyle w:val="BesediloUMAR"/>
        <w:rPr>
          <w:rStyle w:val="rynqvb"/>
        </w:rPr>
      </w:pPr>
    </w:p>
    <w:p w14:paraId="528A9F9A" w14:textId="77777777" w:rsidR="006B2D0D" w:rsidRDefault="006B2D0D" w:rsidP="006B2D0D">
      <w:pPr>
        <w:pStyle w:val="BesediloUMAR"/>
        <w:rPr>
          <w:rStyle w:val="rynqvb"/>
        </w:rPr>
      </w:pPr>
      <w:r>
        <w:rPr>
          <w:rStyle w:val="rynqvb"/>
          <w:b/>
          <w:bCs/>
        </w:rPr>
        <w:t>V</w:t>
      </w:r>
      <w:r w:rsidRPr="00A664E7">
        <w:rPr>
          <w:rStyle w:val="rynqvb"/>
          <w:b/>
          <w:bCs/>
        </w:rPr>
        <w:t xml:space="preserve">rednostni uvoz </w:t>
      </w:r>
      <w:r>
        <w:rPr>
          <w:rStyle w:val="rynqvb"/>
          <w:b/>
          <w:bCs/>
        </w:rPr>
        <w:t xml:space="preserve">naftnih derivatov iz Rusije se je ob začetku vojne </w:t>
      </w:r>
      <w:r w:rsidRPr="00A664E7">
        <w:rPr>
          <w:rStyle w:val="rynqvb"/>
          <w:b/>
          <w:bCs/>
        </w:rPr>
        <w:t xml:space="preserve">povečal zaradi naraščajočih cen nafte na svetovnih trgih in povečanih količin, ki so </w:t>
      </w:r>
      <w:r>
        <w:rPr>
          <w:rStyle w:val="rynqvb"/>
          <w:b/>
          <w:bCs/>
        </w:rPr>
        <w:t xml:space="preserve">v sredini leta </w:t>
      </w:r>
      <w:r w:rsidRPr="00A664E7">
        <w:rPr>
          <w:rStyle w:val="rynqvb"/>
          <w:b/>
          <w:bCs/>
        </w:rPr>
        <w:t>dosegle rekordne vrednosti.</w:t>
      </w:r>
      <w:r>
        <w:rPr>
          <w:rStyle w:val="rynqvb"/>
        </w:rPr>
        <w:t xml:space="preserve"> Količinsko in vrednostno je pri uvozu naftnih derivatov izstopal zlasti junij 2022, ko se je uvoz teh proizvodov iz Rusije močno povečal.</w:t>
      </w:r>
      <w:r w:rsidRPr="00591369">
        <w:rPr>
          <w:rStyle w:val="FootnoteReference"/>
        </w:rPr>
        <w:footnoteReference w:id="36"/>
      </w:r>
      <w:r>
        <w:rPr>
          <w:rStyle w:val="rynqvb"/>
        </w:rPr>
        <w:t xml:space="preserve"> Podrobni podatki kažejo, da je količinsko povečan mesečni uvoz naftnih derivatov pripisati predvsem trgovinski dejavnosti</w:t>
      </w:r>
      <w:r w:rsidRPr="00591369">
        <w:rPr>
          <w:rStyle w:val="FootnoteReference"/>
        </w:rPr>
        <w:footnoteReference w:id="37"/>
      </w:r>
      <w:r>
        <w:rPr>
          <w:rStyle w:val="rynqvb"/>
        </w:rPr>
        <w:t xml:space="preserve">, saj se je od aprila povečal tudi uvoz iz drugih držav, hkrati pa se je ob tem močno povečal tudi izvoz naftnih derivatov iz Slovenije v sosednje države (Italija, Avstrija, Hrvaška). V drugi polovici leta je uvoz naftnih derivatov iz Rusije precej upadel in ga je ob nadaljevanju visokega izvoza nadomestil uvoz iz drugih držav (Savdska Arabija, Italija, Grčija, Egipt). Zaradi visokega uvoza v poletnih mesecih in zelo nizke osnove v predhodnem letu je bila v Sloveniji medletna rast uvoza naftnih derivatov med najvišjimi v EU, ob tem pa je treba omeniti, da so uvožene količine naftnih derivatov povečale tudi nekatere druge države EU, ki uvozijo precej več ruske nafte kot Slovenija (Belgija, Nemčija, Grčija). </w:t>
      </w:r>
    </w:p>
    <w:p w14:paraId="4CFF854B" w14:textId="07E08F1D" w:rsidR="007D79CF" w:rsidRDefault="007D79CF" w:rsidP="007D79CF">
      <w:pPr>
        <w:pStyle w:val="Caption"/>
      </w:pPr>
      <w:r w:rsidRPr="0097105A">
        <w:t xml:space="preserve">Slika </w:t>
      </w:r>
      <w:r w:rsidRPr="0097105A">
        <w:fldChar w:fldCharType="begin"/>
      </w:r>
      <w:r w:rsidRPr="0097105A">
        <w:instrText xml:space="preserve"> SEQ Slika \* ARABIC </w:instrText>
      </w:r>
      <w:r w:rsidRPr="0097105A">
        <w:fldChar w:fldCharType="separate"/>
      </w:r>
      <w:r w:rsidR="00A437A4">
        <w:t>14</w:t>
      </w:r>
      <w:r w:rsidRPr="0097105A">
        <w:fldChar w:fldCharType="end"/>
      </w:r>
      <w:r w:rsidRPr="0097105A">
        <w:t xml:space="preserve">: </w:t>
      </w:r>
      <w:r>
        <w:t>V letu 2022 se je močno povečala celotna menjava Slovenije z naftnimi derivati</w:t>
      </w:r>
      <w:r w:rsidR="00953B8D">
        <w:t>*</w:t>
      </w:r>
      <w:r>
        <w:t>, ne samo uvoz teh proizvodov iz Rusije</w:t>
      </w:r>
    </w:p>
    <w:p w14:paraId="01A961B8" w14:textId="4D9340C9" w:rsidR="007D79CF" w:rsidRDefault="00641253" w:rsidP="007D79CF">
      <w:pPr>
        <w:pStyle w:val="BesediloUMAR"/>
        <w:rPr>
          <w:rStyle w:val="rynqvb"/>
        </w:rPr>
      </w:pPr>
      <w:r w:rsidRPr="00641253">
        <w:rPr>
          <w:rStyle w:val="rynqvb"/>
          <w:noProof/>
        </w:rPr>
        <w:drawing>
          <wp:inline distT="0" distB="0" distL="0" distR="0" wp14:anchorId="6D4E29CF" wp14:editId="233BB340">
            <wp:extent cx="5760000" cy="1785600"/>
            <wp:effectExtent l="0" t="0" r="0" b="5715"/>
            <wp:docPr id="18942680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00" cy="1785600"/>
                    </a:xfrm>
                    <a:prstGeom prst="rect">
                      <a:avLst/>
                    </a:prstGeom>
                    <a:noFill/>
                    <a:ln>
                      <a:noFill/>
                    </a:ln>
                  </pic:spPr>
                </pic:pic>
              </a:graphicData>
            </a:graphic>
          </wp:inline>
        </w:drawing>
      </w:r>
    </w:p>
    <w:p w14:paraId="5A1690A8" w14:textId="2E8777D8" w:rsidR="007D79CF" w:rsidRDefault="007D79CF" w:rsidP="007D79CF">
      <w:pPr>
        <w:pStyle w:val="VirUMAR"/>
      </w:pPr>
      <w:r>
        <w:t xml:space="preserve">Vir: SURS </w:t>
      </w:r>
      <w:r>
        <w:fldChar w:fldCharType="begin"/>
      </w:r>
      <w:r>
        <w:instrText xml:space="preserve"> ADDIN ZOTERO_ITEM CSL_CITATION {"citationID":"hwHx8BBO","properties":{"formattedCitation":"(2023)","plainCitation":"(2023)","noteIndex":0},"citationItems":[{"id":2939,"uris":["http://zotero.org/groups/4141114/items/WI7MWBXE"],"itemData":{"id":2939,"type":"report","event-place":"Ljubljana","genre":"Podatkovna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preračuni UMAR. Opomba: </w:t>
      </w:r>
      <w:r w:rsidR="00953B8D">
        <w:t>*</w:t>
      </w:r>
      <w:r>
        <w:t>SMTK 33</w:t>
      </w:r>
      <w:r w:rsidR="00953B8D">
        <w:t xml:space="preserve"> – nafta in naftni derivati</w:t>
      </w:r>
      <w:r>
        <w:t>, saj mesečni podatki na tretji stopnji po klasifikaciji SMTK</w:t>
      </w:r>
      <w:r w:rsidR="00953B8D">
        <w:t xml:space="preserve"> na SURS</w:t>
      </w:r>
      <w:r>
        <w:t xml:space="preserve"> niso dostopni. </w:t>
      </w:r>
    </w:p>
    <w:p w14:paraId="7A5ECC17" w14:textId="6202E1CF" w:rsidR="004302DC" w:rsidRDefault="004302DC" w:rsidP="004302DC">
      <w:pPr>
        <w:pStyle w:val="Caption"/>
      </w:pPr>
      <w:r w:rsidRPr="0097105A">
        <w:lastRenderedPageBreak/>
        <w:t xml:space="preserve">Slika </w:t>
      </w:r>
      <w:r w:rsidRPr="0097105A">
        <w:fldChar w:fldCharType="begin"/>
      </w:r>
      <w:r w:rsidRPr="0097105A">
        <w:instrText xml:space="preserve"> SEQ Slika \* ARABIC </w:instrText>
      </w:r>
      <w:r w:rsidRPr="0097105A">
        <w:fldChar w:fldCharType="separate"/>
      </w:r>
      <w:r w:rsidR="00A437A4">
        <w:t>15</w:t>
      </w:r>
      <w:r w:rsidRPr="0097105A">
        <w:fldChar w:fldCharType="end"/>
      </w:r>
      <w:r w:rsidRPr="0097105A">
        <w:t xml:space="preserve">: </w:t>
      </w:r>
      <w:r w:rsidR="00831CA4" w:rsidRPr="00831CA4">
        <w:t xml:space="preserve">Rast uvoza naftnih derivatov iz Rusije v letu 2022 je bila glede na maso največja med državami EU; količinsko največje uvoznice so sicer ostale Belgija, Francija in Grčija </w:t>
      </w:r>
    </w:p>
    <w:p w14:paraId="7F7314AF" w14:textId="085E3CBE" w:rsidR="00A7121F" w:rsidRDefault="00831CA4" w:rsidP="00C5137C">
      <w:pPr>
        <w:pStyle w:val="BesediloUMAR"/>
        <w:rPr>
          <w:rStyle w:val="rynqvb"/>
        </w:rPr>
      </w:pPr>
      <w:r w:rsidRPr="00831CA4">
        <w:rPr>
          <w:rStyle w:val="rynqvb"/>
        </w:rPr>
        <w:t xml:space="preserve"> </w:t>
      </w:r>
      <w:r w:rsidR="00641253" w:rsidRPr="00641253">
        <w:rPr>
          <w:rStyle w:val="rynqvb"/>
          <w:noProof/>
        </w:rPr>
        <w:drawing>
          <wp:inline distT="0" distB="0" distL="0" distR="0" wp14:anchorId="4778B91C" wp14:editId="445853D3">
            <wp:extent cx="2804400" cy="2343600"/>
            <wp:effectExtent l="0" t="0" r="0" b="0"/>
            <wp:docPr id="107168389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04400" cy="2343600"/>
                    </a:xfrm>
                    <a:prstGeom prst="rect">
                      <a:avLst/>
                    </a:prstGeom>
                    <a:noFill/>
                    <a:ln>
                      <a:noFill/>
                    </a:ln>
                  </pic:spPr>
                </pic:pic>
              </a:graphicData>
            </a:graphic>
          </wp:inline>
        </w:drawing>
      </w:r>
      <w:r w:rsidR="00A7121F">
        <w:rPr>
          <w:rStyle w:val="rynqvb"/>
        </w:rPr>
        <w:t xml:space="preserve"> </w:t>
      </w:r>
      <w:r w:rsidR="0062274D">
        <w:rPr>
          <w:rStyle w:val="rynqvb"/>
        </w:rPr>
        <w:t xml:space="preserve">     </w:t>
      </w:r>
      <w:r w:rsidR="00641253" w:rsidRPr="00641253">
        <w:rPr>
          <w:rStyle w:val="rynqvb"/>
          <w:noProof/>
        </w:rPr>
        <w:drawing>
          <wp:inline distT="0" distB="0" distL="0" distR="0" wp14:anchorId="6BF786D7" wp14:editId="0B949AA0">
            <wp:extent cx="2804400" cy="2336400"/>
            <wp:effectExtent l="0" t="0" r="0" b="6985"/>
            <wp:docPr id="21220367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04400" cy="2336400"/>
                    </a:xfrm>
                    <a:prstGeom prst="rect">
                      <a:avLst/>
                    </a:prstGeom>
                    <a:noFill/>
                    <a:ln>
                      <a:noFill/>
                    </a:ln>
                  </pic:spPr>
                </pic:pic>
              </a:graphicData>
            </a:graphic>
          </wp:inline>
        </w:drawing>
      </w:r>
    </w:p>
    <w:p w14:paraId="08BF4FDD" w14:textId="77777777" w:rsidR="006B2D0D" w:rsidRDefault="006B2D0D" w:rsidP="006B2D0D">
      <w:pPr>
        <w:pStyle w:val="VirUMAR"/>
        <w:rPr>
          <w:rStyle w:val="rynqvb"/>
        </w:rPr>
      </w:pPr>
      <w:r>
        <w:t xml:space="preserve">Vir: Eurostat </w:t>
      </w:r>
      <w:r>
        <w:fldChar w:fldCharType="begin"/>
      </w:r>
      <w:r>
        <w:instrText xml:space="preserve"> ADDIN ZOTERO_ITEM CSL_CITATION {"citationID":"FG51Cg33","properties":{"formattedCitation":"(2023)","plainCitation":"(2023)","noteIndex":0},"citationItems":[{"id":3042,"uris":["http://zotero.org/groups/4141114/items/ZBMKG2ZC"],"itemData":{"id":3042,"type":"report","event-place":"Luxembourg","genre":"podatkovna baza","publisher":"Eurostat","publisher-place":"Luxembourg","title":"Eurostat Comext Database","URL":"http://epp.eurostat.ec.europa.eu/newxtweb/","author":[{"family":"Eurostat","given":""}],"accessed":{"date-parts":[["2021",9,22]]},"issued":{"date-parts":[["2023"]]}},"suppress-author":true}],"schema":"https://github.com/citation-style-language/schema/raw/master/csl-citation.json"} </w:instrText>
      </w:r>
      <w:r>
        <w:fldChar w:fldCharType="separate"/>
      </w:r>
      <w:r w:rsidRPr="0078734F">
        <w:t>(2023)</w:t>
      </w:r>
      <w:r>
        <w:fldChar w:fldCharType="end"/>
      </w:r>
      <w:r>
        <w:t xml:space="preserve">, preračuni UMAR. Opomba: Za mednarodno primerjavo uporabljamo podatke Eurostat Comext, naftni derivati po SMTK 334. Po podatkih SURS se je slovenski uvoz nafte in naftnih derivatov (SMTK 33) iz Rusije v letu 2022 povečal za 171,4 %. </w:t>
      </w:r>
    </w:p>
    <w:p w14:paraId="46ACF73B" w14:textId="77777777" w:rsidR="007113BC" w:rsidRDefault="007113BC" w:rsidP="00C5137C">
      <w:pPr>
        <w:pStyle w:val="BesediloUMAR"/>
      </w:pPr>
    </w:p>
    <w:p w14:paraId="7B17D576" w14:textId="0C0EE972" w:rsidR="00C5137C" w:rsidRPr="000E64EC" w:rsidRDefault="00C5137C" w:rsidP="00C5137C">
      <w:pPr>
        <w:pStyle w:val="Heading1"/>
      </w:pPr>
      <w:r w:rsidRPr="000E64EC">
        <w:lastRenderedPageBreak/>
        <w:t>Zaključek</w:t>
      </w:r>
    </w:p>
    <w:p w14:paraId="508B1CAF" w14:textId="77777777" w:rsidR="00DC757D" w:rsidRDefault="00DC757D" w:rsidP="00DC757D">
      <w:pPr>
        <w:pStyle w:val="BesediloUMAR"/>
        <w:rPr>
          <w:b/>
          <w:bCs/>
        </w:rPr>
      </w:pPr>
    </w:p>
    <w:p w14:paraId="28167577" w14:textId="75347DD5" w:rsidR="006B2D0D" w:rsidRDefault="006B2D0D" w:rsidP="006B2D0D">
      <w:pPr>
        <w:pStyle w:val="BesediloUMAR"/>
      </w:pPr>
      <w:r>
        <w:rPr>
          <w:b/>
          <w:bCs/>
        </w:rPr>
        <w:t>Iz</w:t>
      </w:r>
      <w:r w:rsidRPr="00DC757D">
        <w:rPr>
          <w:b/>
          <w:bCs/>
        </w:rPr>
        <w:t>postavljenost slovenskega gospodarstva do Rusije in</w:t>
      </w:r>
      <w:r>
        <w:rPr>
          <w:b/>
          <w:bCs/>
        </w:rPr>
        <w:t xml:space="preserve"> </w:t>
      </w:r>
      <w:r w:rsidRPr="00DC757D">
        <w:rPr>
          <w:b/>
          <w:bCs/>
        </w:rPr>
        <w:t>Ukrajine je razmeroma majhna</w:t>
      </w:r>
      <w:r>
        <w:rPr>
          <w:b/>
          <w:bCs/>
        </w:rPr>
        <w:t xml:space="preserve">, po prvih podatkih so bili neposredni učinki vojne na slovensko gospodarsko aktivnost </w:t>
      </w:r>
      <w:r w:rsidRPr="00D16B0B">
        <w:rPr>
          <w:b/>
          <w:bCs/>
        </w:rPr>
        <w:t>relativno</w:t>
      </w:r>
      <w:r>
        <w:rPr>
          <w:b/>
          <w:bCs/>
        </w:rPr>
        <w:t xml:space="preserve"> skromni. </w:t>
      </w:r>
      <w:r>
        <w:t>V</w:t>
      </w:r>
      <w:r w:rsidRPr="00DC757D">
        <w:t xml:space="preserve"> tem delu sta pomembna zlasti izpostavljenost slovenske</w:t>
      </w:r>
      <w:r>
        <w:t xml:space="preserve"> </w:t>
      </w:r>
      <w:r w:rsidRPr="00DC757D">
        <w:t xml:space="preserve">farmacevtske in kemične dejavnosti </w:t>
      </w:r>
      <w:r>
        <w:t xml:space="preserve">in </w:t>
      </w:r>
      <w:r w:rsidRPr="00DC757D">
        <w:t>visoka</w:t>
      </w:r>
      <w:r>
        <w:t xml:space="preserve"> </w:t>
      </w:r>
      <w:r w:rsidRPr="00DC757D">
        <w:t>odvisnost od uvoza energentov</w:t>
      </w:r>
      <w:r>
        <w:t xml:space="preserve">. Izpostavljenost farmacevtske dejavnosti zmanjšuje dejstvo, da izdelki niso zajeti med sankcije in lahko poteka prosta trgovina z Rusijo, ki pa jo omejujejo zlasti omejitve in prekinitve transportnih poti. Od začetka vojne je večina slovenskih podjetij tudi ohranila svoje podružnice in podjetja na ruskem trgu in ni šla v postopke odprodaje. </w:t>
      </w:r>
      <w:r w:rsidR="009914EF">
        <w:t xml:space="preserve">Pri uvozu </w:t>
      </w:r>
      <w:r>
        <w:t>je Slovenija od začetka vojne razpršila vire energentov in zmanjšala odvisnost tako od dobav zemeljskega plina, kot tudi naftnih derivatov</w:t>
      </w:r>
      <w:r w:rsidRPr="00164E44">
        <w:t>, za kater</w:t>
      </w:r>
      <w:r w:rsidRPr="0006489A">
        <w:t>ih</w:t>
      </w:r>
      <w:r w:rsidRPr="00164E44">
        <w:t xml:space="preserve"> uvoz</w:t>
      </w:r>
      <w:r w:rsidRPr="004F460A">
        <w:t xml:space="preserve"> od februarja 2</w:t>
      </w:r>
      <w:r>
        <w:t>023 veljajo sankcije. Zaradi majhne izpostavljenosti lahko ugotovimo, da je bil zaenkrat neposredni učinek na skupno izvozno aktivnost Slovenije razmeroma majhen. Vojna je v določeni meri vplivala tudi na rast cen v Sloveniji, vendar je težko opredeliti obseg tega vpliva, saj se je njihova rast začela že v letu 2021, torej pred začetkom ruske agresije.</w:t>
      </w:r>
      <w:r w:rsidRPr="006B365F">
        <w:t xml:space="preserve"> </w:t>
      </w:r>
      <w:r>
        <w:t xml:space="preserve">Šok ob vojni se je v prvih mesecih odrazil predvsem </w:t>
      </w:r>
      <w:r w:rsidRPr="006B365F">
        <w:t xml:space="preserve">v visoki rasti cen energentov in surovin, kar </w:t>
      </w:r>
      <w:r>
        <w:t xml:space="preserve">je z </w:t>
      </w:r>
      <w:r w:rsidRPr="006B365F">
        <w:t>naraščanj</w:t>
      </w:r>
      <w:r>
        <w:t>em</w:t>
      </w:r>
      <w:r w:rsidRPr="006B365F">
        <w:t xml:space="preserve"> uvoznih cen</w:t>
      </w:r>
      <w:r>
        <w:t xml:space="preserve"> </w:t>
      </w:r>
      <w:r w:rsidRPr="006B365F">
        <w:t>dodatno krepi</w:t>
      </w:r>
      <w:r>
        <w:t xml:space="preserve">lo </w:t>
      </w:r>
      <w:r w:rsidRPr="006B365F">
        <w:t>inflacijo</w:t>
      </w:r>
      <w:r>
        <w:t>.</w:t>
      </w:r>
    </w:p>
    <w:p w14:paraId="24A406C3" w14:textId="77777777" w:rsidR="001E560F" w:rsidRDefault="001E560F" w:rsidP="00DC757D">
      <w:pPr>
        <w:pStyle w:val="BesediloUMAR"/>
      </w:pPr>
    </w:p>
    <w:p w14:paraId="356BA098" w14:textId="1CD2069E" w:rsidR="00C5137C" w:rsidRPr="00DC757D" w:rsidRDefault="001E560F" w:rsidP="00DC757D">
      <w:pPr>
        <w:pStyle w:val="BesediloUMAR"/>
      </w:pPr>
      <w:r>
        <w:rPr>
          <w:b/>
          <w:bCs/>
        </w:rPr>
        <w:t xml:space="preserve">Kljub </w:t>
      </w:r>
      <w:r w:rsidR="001E7D65">
        <w:rPr>
          <w:b/>
          <w:bCs/>
        </w:rPr>
        <w:t>povečanju blagovne menjave</w:t>
      </w:r>
      <w:r w:rsidR="004B138F">
        <w:rPr>
          <w:b/>
          <w:bCs/>
        </w:rPr>
        <w:t xml:space="preserve"> z Rusijo</w:t>
      </w:r>
      <w:r>
        <w:rPr>
          <w:b/>
          <w:bCs/>
        </w:rPr>
        <w:t xml:space="preserve"> je bil učinek vojne na slovensko gospodarstvo </w:t>
      </w:r>
      <w:r w:rsidR="00CE6C79">
        <w:rPr>
          <w:b/>
          <w:bCs/>
        </w:rPr>
        <w:t xml:space="preserve">predvsem </w:t>
      </w:r>
      <w:r>
        <w:rPr>
          <w:b/>
          <w:bCs/>
        </w:rPr>
        <w:t>negativen.</w:t>
      </w:r>
      <w:r w:rsidR="00DC757D">
        <w:t xml:space="preserve"> V nasprotju s pričakovanji ob začetku vojne razpoložljivi statistični kazalniki kažejo veliko povečanje </w:t>
      </w:r>
      <w:r w:rsidR="00B0100B">
        <w:t>blagovne</w:t>
      </w:r>
      <w:r w:rsidR="00DC757D">
        <w:t xml:space="preserve"> menjave</w:t>
      </w:r>
      <w:r w:rsidR="004B138F">
        <w:t xml:space="preserve"> z Rusijo</w:t>
      </w:r>
      <w:r w:rsidR="00DC757D">
        <w:t xml:space="preserve">, tako izvoza kot uvoza. </w:t>
      </w:r>
      <w:r w:rsidR="001E7D65">
        <w:t>Vendar p</w:t>
      </w:r>
      <w:r w:rsidR="00DC757D">
        <w:t xml:space="preserve">odroben pregled </w:t>
      </w:r>
      <w:r w:rsidR="001E7D65">
        <w:t>po</w:t>
      </w:r>
      <w:r w:rsidR="00DC757D">
        <w:t>kaže, da je nominalno povečanje izvoza predvsem posledica trgovinske dejavnosti in enkratnih poslov, ki nimajo večjega učinka na dodano vrednost izvozno usmerjenih dejavnosti v Sloveniji. Še več, blagovna menjava večine predelovalnih dejavnosti</w:t>
      </w:r>
      <w:r w:rsidR="004B138F">
        <w:t xml:space="preserve"> z Rusijo</w:t>
      </w:r>
      <w:r w:rsidR="00CD776F">
        <w:t xml:space="preserve">, </w:t>
      </w:r>
      <w:r w:rsidR="00DC757D">
        <w:t>razen dela medicinskih in farmacevtskih dejavnosti</w:t>
      </w:r>
      <w:r w:rsidR="00CD776F">
        <w:t>,</w:t>
      </w:r>
      <w:r w:rsidR="00DC757D">
        <w:t xml:space="preserve"> se je </w:t>
      </w:r>
      <w:r w:rsidR="001E7D65">
        <w:t>med</w:t>
      </w:r>
      <w:r w:rsidR="00DC757D">
        <w:t xml:space="preserve"> vojn</w:t>
      </w:r>
      <w:r w:rsidR="001E7D65">
        <w:t>o</w:t>
      </w:r>
      <w:r w:rsidR="00DC757D">
        <w:t xml:space="preserve"> zmanjšala</w:t>
      </w:r>
      <w:r>
        <w:t xml:space="preserve">. Vojna, sankcije in protiukrepi Rusije so vplivali tudi na veliko povečanje negotovosti za poslovanje slovenskih podjetij na ruskem trgu. </w:t>
      </w:r>
      <w:r w:rsidR="00CD776F">
        <w:t xml:space="preserve">Na podlagi razpoložljivih podatkov lahko tako sklepamo, da je, razen za nekaj s trgovino povezanih podjetij, vojna </w:t>
      </w:r>
      <w:r w:rsidR="00BF4681">
        <w:t xml:space="preserve">negativno vplivala </w:t>
      </w:r>
      <w:r w:rsidR="00CD776F">
        <w:t>na poslovanje slovenskih predelovalnih podjetij</w:t>
      </w:r>
      <w:r w:rsidR="00BF4681">
        <w:t>.</w:t>
      </w:r>
      <w:r w:rsidR="00CD776F">
        <w:t xml:space="preserve"> </w:t>
      </w:r>
    </w:p>
    <w:p w14:paraId="178D1C30" w14:textId="77777777" w:rsidR="001E560F" w:rsidRDefault="001E560F">
      <w:pPr>
        <w:spacing w:after="0" w:line="240" w:lineRule="auto"/>
        <w:rPr>
          <w:rFonts w:ascii="Myriad Pro" w:hAnsi="Myriad Pro" w:cs="Arial"/>
          <w:b/>
          <w:bCs/>
          <w:color w:val="9E001A" w:themeColor="accent1"/>
          <w:sz w:val="24"/>
          <w:szCs w:val="26"/>
        </w:rPr>
      </w:pPr>
      <w:r>
        <w:br w:type="page"/>
      </w:r>
    </w:p>
    <w:p w14:paraId="19BD862D" w14:textId="4DA359F1" w:rsidR="00C5137C" w:rsidRDefault="00D03946" w:rsidP="006C35F8">
      <w:pPr>
        <w:pStyle w:val="Heading1"/>
        <w:numPr>
          <w:ilvl w:val="0"/>
          <w:numId w:val="0"/>
        </w:numPr>
        <w:ind w:left="357" w:hanging="357"/>
      </w:pPr>
      <w:r>
        <w:lastRenderedPageBreak/>
        <w:t>L</w:t>
      </w:r>
      <w:r w:rsidR="00C5137C" w:rsidRPr="000E64EC">
        <w:t xml:space="preserve">iteratura in viri </w:t>
      </w:r>
    </w:p>
    <w:p w14:paraId="651BB67B" w14:textId="77777777" w:rsidR="0023649B" w:rsidRDefault="00EF4560" w:rsidP="0023649B">
      <w:pPr>
        <w:pStyle w:val="LiteraturaUMAR"/>
      </w:pPr>
      <w:r w:rsidRPr="00601DA6">
        <w:rPr>
          <w:szCs w:val="20"/>
        </w:rPr>
        <w:fldChar w:fldCharType="begin"/>
      </w:r>
      <w:r w:rsidR="0023649B">
        <w:rPr>
          <w:szCs w:val="20"/>
        </w:rPr>
        <w:instrText xml:space="preserve"> ADDIN ZOTERO_BIBL {"uncited":[],"omitted":[],"custom":[]} CSL_BIBLIOGRAPHY </w:instrText>
      </w:r>
      <w:r w:rsidRPr="00601DA6">
        <w:rPr>
          <w:szCs w:val="20"/>
        </w:rPr>
        <w:fldChar w:fldCharType="separate"/>
      </w:r>
      <w:r w:rsidR="0023649B">
        <w:t>AJPES. (2022). Statistični podatki iz bilance stanja in izkaza poslovnega izida za gospodarske družbe in samostojne podjetnike. Ljubljana: Agencija Republike Slovenije za javnopravne evidence in storitve.</w:t>
      </w:r>
    </w:p>
    <w:p w14:paraId="73348278" w14:textId="77777777" w:rsidR="0023649B" w:rsidRDefault="0023649B" w:rsidP="0023649B">
      <w:pPr>
        <w:pStyle w:val="LiteraturaUMAR"/>
      </w:pPr>
      <w:r>
        <w:t>Arce, Ó., Koester, G. in Nickel, C. (2023). One year since Russia’s invasion of Ukraine – the effects on euro area inflation. Pridobljeno s https://www.ecb.europa.eu/press/blog/date/2023/html/ecb.blog20230224~3b75362af3.en.html</w:t>
      </w:r>
    </w:p>
    <w:p w14:paraId="407E3B1E" w14:textId="77777777" w:rsidR="0023649B" w:rsidRDefault="0023649B" w:rsidP="0023649B">
      <w:pPr>
        <w:pStyle w:val="LiteraturaUMAR"/>
      </w:pPr>
      <w:r>
        <w:t>Arriola, C., Cadestin, C., Kowalski, P., Martins Guilhoto, J. J., Miroudot, S. in van Tongeren, F. (2023). Challenges to International Trade and the Global Economy: Recovery from COVID-19 and Russia’s War of Aggression Against Ukraine. Pariz: Organizacija za gospodarsko sodelovanje in razvoj. Pridobljeno s https://www.oecd-ilibrary.org/docserver/5c561274-en.pdf?expires=1689958059&amp;id=id&amp;accname=guest&amp;checksum=6FE92A20CC08E1325083BA00A2FD2FFA</w:t>
      </w:r>
    </w:p>
    <w:p w14:paraId="45AEBBC0" w14:textId="77777777" w:rsidR="0023649B" w:rsidRDefault="0023649B" w:rsidP="0023649B">
      <w:pPr>
        <w:pStyle w:val="LiteraturaUMAR"/>
      </w:pPr>
      <w:r>
        <w:t>Astrov, V., Ghodsi, M., Grieveson, R., Holzner, M., Landesmann, M., Kochnev, A., … Tverdostup, M. (2022). Russia’s Invasion of Ukraine: Assessment of the Humanitarian, Economic and Financial Impact in the Short and Medium Term, 59. Dunaj: WIIW. Pridobljeno s https://wiiw.ac.at/russia-s-invasion-of-ukraine-assessment-of-the-humanitarian-economic-and-financial-impact-in-the-short-and-medium-term-dlp-6132.pdf</w:t>
      </w:r>
    </w:p>
    <w:p w14:paraId="5B658406" w14:textId="77777777" w:rsidR="0023649B" w:rsidRDefault="0023649B" w:rsidP="0023649B">
      <w:pPr>
        <w:pStyle w:val="LiteraturaUMAR"/>
      </w:pPr>
      <w:r>
        <w:t>Bhasin, K. in Chakrabarti, D. (2022). The Impact of the Russia-Ukraine War on the U.S. Economy, [SupplyChainBrain]. Pridobljeno 16. 1. 2023 s https://www.supplychainbrain.com/blogs/1-think-tank/post/36242-the-impact-of-the-russia-ukraine-war-on-the-us-economy</w:t>
      </w:r>
    </w:p>
    <w:p w14:paraId="6086BAC3" w14:textId="77777777" w:rsidR="0023649B" w:rsidRDefault="0023649B" w:rsidP="0023649B">
      <w:pPr>
        <w:pStyle w:val="LiteraturaUMAR"/>
      </w:pPr>
      <w:r>
        <w:t>Blot, C., Creel, J. in Geerolf, F. (2023). The direct and indirect impacts of the war on inflation. Bruselj: Evropski parlament. Pridobljeno s https://www.europarl.europa.eu/RegData/etudes/IDAN/2023/741487/IPOL_IDA(2023)741487_EN.pdf</w:t>
      </w:r>
    </w:p>
    <w:p w14:paraId="2BB7A9DA" w14:textId="77777777" w:rsidR="0023649B" w:rsidRDefault="0023649B" w:rsidP="0023649B">
      <w:pPr>
        <w:pStyle w:val="LiteraturaUMAR"/>
      </w:pPr>
      <w:r>
        <w:t>BOFIT. (2023). BOFIT Forecast for Russia 2023-2024. Helsinki: Bank of Finland - Institute for Emerging Economies. Pridobljeno s https://publications.bof.fi/bitstream/handle/10024/52682/bru0123.pdf?sequence=1&amp;isAllowed=y</w:t>
      </w:r>
    </w:p>
    <w:p w14:paraId="3FFBCFF6" w14:textId="77777777" w:rsidR="0023649B" w:rsidRDefault="0023649B" w:rsidP="0023649B">
      <w:pPr>
        <w:pStyle w:val="LiteraturaUMAR"/>
      </w:pPr>
      <w:r>
        <w:t>BS. (2022a). Neposredne naložbe 2021. Ljubljana: Banka Slovenije. Pridobljeno s https://bankaslovenije.blob.core.windows.net/publication-files/neposredne-nalozbe-2021-prva-objava.pdf</w:t>
      </w:r>
    </w:p>
    <w:p w14:paraId="3A65D9F3" w14:textId="77777777" w:rsidR="0023649B" w:rsidRDefault="0023649B" w:rsidP="0023649B">
      <w:pPr>
        <w:pStyle w:val="LiteraturaUMAR"/>
      </w:pPr>
      <w:r>
        <w:t>BS. (2022b). Poročilo o finančni stabilnosti, Oktober 2022. Ljubljana: Banka Slovenije. Pridobljeno s https://bankaslovenije.blob.core.windows.net/publication-files/fsr_102022.pdf</w:t>
      </w:r>
    </w:p>
    <w:p w14:paraId="706700FD" w14:textId="77777777" w:rsidR="0023649B" w:rsidRDefault="0023649B" w:rsidP="0023649B">
      <w:pPr>
        <w:pStyle w:val="LiteraturaUMAR"/>
      </w:pPr>
      <w:r>
        <w:t>BS. (2022c). Poročilo o finančni stabilnosti, Maj 2022. Ljubljana: Banka Slovenije. Pridobljeno s https://bankaslovenije.blob.core.windows.net/publication-files/porocilo-o-financni-stabilnosti-2022_maj_l.pdf</w:t>
      </w:r>
    </w:p>
    <w:p w14:paraId="3A9DCF37" w14:textId="77777777" w:rsidR="0023649B" w:rsidRDefault="0023649B" w:rsidP="0023649B">
      <w:pPr>
        <w:pStyle w:val="LiteraturaUMAR"/>
      </w:pPr>
      <w:r>
        <w:t>BS. (2022d februar). Poslovanje slovenske Sberbank banke v ponedeljek in torek omejeno. Pridobljeno 20. 1. 2023 s https://www.bsi.si/mediji/1806/poslovanje-slovenske-sberbank-banke-v-ponedeljek-in-torek-omejeno</w:t>
      </w:r>
    </w:p>
    <w:p w14:paraId="53233AA2" w14:textId="77777777" w:rsidR="0023649B" w:rsidRDefault="0023649B" w:rsidP="0023649B">
      <w:pPr>
        <w:pStyle w:val="LiteraturaUMAR"/>
      </w:pPr>
      <w:r>
        <w:t>BS. (2022e marec). Sprejeta rešitev za komitente nekdanje slovenske Sberbank banke: od 2. marca dalje nemoten dostop do vseh sredstev na računih in bančnih storitev. Pridobljeno 20. 1. 2023 s https://www.bsi.si/mediji/1808/sprejeta-resitev-za-komitente-nekdanje-slovenske-sberbank-banke-od-jutri-dalje-nemoten-dostop-do-vseh-sredstev-na-racunih-in-bancnih-storitev</w:t>
      </w:r>
    </w:p>
    <w:p w14:paraId="098D47E6" w14:textId="77777777" w:rsidR="0023649B" w:rsidRDefault="0023649B" w:rsidP="0023649B">
      <w:pPr>
        <w:pStyle w:val="LiteraturaUMAR"/>
      </w:pPr>
      <w:r>
        <w:t>BS. (2023). Omejevalni ukrepi proti Rusiji. Pridobljeno 10. 1. 2023 s https://www.bsi.si/financna-stabilnost/nadzor-bancnega-sistema/financni-omejevalni-ukrepi/omejevalni-ukrepi-proti-rusiji</w:t>
      </w:r>
    </w:p>
    <w:p w14:paraId="0C0BFD60" w14:textId="77777777" w:rsidR="0023649B" w:rsidRDefault="0023649B" w:rsidP="0023649B">
      <w:pPr>
        <w:pStyle w:val="LiteraturaUMAR"/>
      </w:pPr>
      <w:r>
        <w:t xml:space="preserve">Caldara, D., Conlisk, S., Iacoviello, M. in Penn, M. (2022). The Effect of the War in Ukraine on Global Activity and Inflation. Washington: Federal Reserve. Pridobljeno s </w:t>
      </w:r>
      <w:r>
        <w:lastRenderedPageBreak/>
        <w:t>https://www.federalreserve.gov/econres/notes/feds-notes/the-effect-of-the-war-in-ukraine-on-global-activity-and-inflation-20220527.html</w:t>
      </w:r>
    </w:p>
    <w:p w14:paraId="430415E7" w14:textId="77777777" w:rsidR="0023649B" w:rsidRDefault="0023649B" w:rsidP="0023649B">
      <w:pPr>
        <w:pStyle w:val="LiteraturaUMAR"/>
      </w:pPr>
      <w:r>
        <w:t>Darvas, Z. in Martins, C. (2022). The impact of the Ukraine crisis on international trade, 20/2022. Brugges: BRUEGEL. Pridobljeno s https://www.bruegel.org/sites/default/files/2022-12/WP%2020.pdf</w:t>
      </w:r>
    </w:p>
    <w:p w14:paraId="0EC92A72" w14:textId="77777777" w:rsidR="0023649B" w:rsidRDefault="0023649B" w:rsidP="0023649B">
      <w:pPr>
        <w:pStyle w:val="LiteraturaUMAR"/>
      </w:pPr>
      <w:r>
        <w:t>Demertzis, M., Hilgenstock, B., McWilliams, B., Ribakova, E. in Tagliapietra, S. (2022). How have sanctions impacted Russia?, 12. Breugel. Pridobljeno s https://www.bruegel.org/sites/default/files/2022-10/PC%2018%202022_1.pdf</w:t>
      </w:r>
    </w:p>
    <w:p w14:paraId="566DFDA0" w14:textId="77777777" w:rsidR="0023649B" w:rsidRDefault="0023649B" w:rsidP="0023649B">
      <w:pPr>
        <w:pStyle w:val="LiteraturaUMAR"/>
      </w:pPr>
      <w:r>
        <w:t>ECB. (2022). ECB Economic Bulletin, 4. Frankfurt: Evropska centralna banka. Pridobljeno s https://www.ecb.europa.eu/pub/economic-bulletin/html/eb202204.en.html</w:t>
      </w:r>
    </w:p>
    <w:p w14:paraId="54A7D564" w14:textId="77777777" w:rsidR="0023649B" w:rsidRDefault="0023649B" w:rsidP="0023649B">
      <w:pPr>
        <w:pStyle w:val="LiteraturaUMAR"/>
      </w:pPr>
      <w:r>
        <w:t>EK. (2022a). Critical raw materials. Pridobljeno 29. 9. 2022 s https://single-market-economy.ec.europa.eu/sectors/raw-materials/areas-specific-interest/critical-raw-materials_en</w:t>
      </w:r>
    </w:p>
    <w:p w14:paraId="45B2373E" w14:textId="77777777" w:rsidR="0023649B" w:rsidRDefault="0023649B" w:rsidP="0023649B">
      <w:pPr>
        <w:pStyle w:val="LiteraturaUMAR"/>
      </w:pPr>
      <w:r>
        <w:t>EK. (2022b). European Economic Forecast, Autumn 2022, Institutional Paper 187. Luxembourg: Urad za publikacije Evropske unije. Pridobljeno s https://economy-finance.ec.europa.eu/economic-forecast-and-surveys/economic-forecasts/autumn-2022-economic-forecast-eu-economy-turning-point_sl</w:t>
      </w:r>
    </w:p>
    <w:p w14:paraId="60FE1E29" w14:textId="77777777" w:rsidR="0023649B" w:rsidRDefault="0023649B" w:rsidP="0023649B">
      <w:pPr>
        <w:pStyle w:val="LiteraturaUMAR"/>
      </w:pPr>
      <w:r>
        <w:t>EK. (2022c). European Economic Forecast, Spring 2022. Luxembourg: Evropska komisija. Pridobljeno s https://economy-finance.ec.europa.eu/publications/european-economic-forecast-spring-2022_en</w:t>
      </w:r>
    </w:p>
    <w:p w14:paraId="0FD80688" w14:textId="77777777" w:rsidR="0023649B" w:rsidRDefault="0023649B" w:rsidP="0023649B">
      <w:pPr>
        <w:pStyle w:val="LiteraturaUMAR"/>
      </w:pPr>
      <w:r>
        <w:t>EK. (2023). EU sanctions against Russia following the invasion of Ukraine. Pridobljeno 25. 7. 2023 s https://eu-solidarity-ukraine.ec.europa.eu/eu-sanctions-against-russia-following-invasion-ukraine_en</w:t>
      </w:r>
    </w:p>
    <w:p w14:paraId="6D7F37A4" w14:textId="77777777" w:rsidR="0023649B" w:rsidRDefault="0023649B" w:rsidP="0023649B">
      <w:pPr>
        <w:pStyle w:val="LiteraturaUMAR"/>
      </w:pPr>
      <w:r>
        <w:t>EUR-Lex. (b. d.). EU restrictive measures in view of Russia’s invasion of Ukraine. Pridobljeno 11. 7. 2023 s https://eur-lex.europa.eu/EN/legal-content/summary/eu-restrictive-measures-in-view-of-russia-s-invasion-of-ukraine.html</w:t>
      </w:r>
    </w:p>
    <w:p w14:paraId="44867D2C" w14:textId="77777777" w:rsidR="0023649B" w:rsidRDefault="0023649B" w:rsidP="0023649B">
      <w:pPr>
        <w:pStyle w:val="LiteraturaUMAR"/>
      </w:pPr>
      <w:r>
        <w:t>Euronews. (2023a, 11. januar). Ukraine steel output falls 70.7% in 2022 due to Russian invasion. Pridobljeno 24. 7. 2023 s https://www.euronews.com/2023/01/11/ukraine-crisis-steel</w:t>
      </w:r>
    </w:p>
    <w:p w14:paraId="767CDEB7" w14:textId="77777777" w:rsidR="0023649B" w:rsidRDefault="0023649B" w:rsidP="0023649B">
      <w:pPr>
        <w:pStyle w:val="LiteraturaUMAR"/>
      </w:pPr>
      <w:r>
        <w:t>Euronews. (2023b, 5. februar). Ukraine grain harvest 97% complete at 53.2 million T -ministry. Pridobljeno 25. 7. 2023 s https://www.euronews.com/next/2023/02/04/ukraine-crisis-grain-harvest</w:t>
      </w:r>
    </w:p>
    <w:p w14:paraId="2F791B9A" w14:textId="77777777" w:rsidR="0023649B" w:rsidRDefault="0023649B" w:rsidP="0023649B">
      <w:pPr>
        <w:pStyle w:val="LiteraturaUMAR"/>
      </w:pPr>
      <w:r>
        <w:t>Eurostat. (2023). Eurostat Comext Database [podatkovna baza]. Luxembourg: Eurostat. Pridobljeno s http://epp.eurostat.ec.europa.eu/newxtweb/</w:t>
      </w:r>
    </w:p>
    <w:p w14:paraId="5424A601" w14:textId="77777777" w:rsidR="0023649B" w:rsidRDefault="0023649B" w:rsidP="0023649B">
      <w:pPr>
        <w:pStyle w:val="LiteraturaUMAR"/>
      </w:pPr>
      <w:r>
        <w:t>FocusEconomics. (2023). The War in Ukraine: One year on. Barcelona: FocusEconomics S.L.U.</w:t>
      </w:r>
    </w:p>
    <w:p w14:paraId="1D016402" w14:textId="77777777" w:rsidR="0023649B" w:rsidRDefault="0023649B" w:rsidP="0023649B">
      <w:pPr>
        <w:pStyle w:val="LiteraturaUMAR"/>
      </w:pPr>
      <w:r>
        <w:t>G7 Germany. (2022a). G7 Leaders’ Statement. Berlin: G7 Germany. Pridobljeno s https://www.bundesregierung.de/resource/blob/997532/2014234/39e142fa878dce9e420ef4d29c17969d/2022-03-11-g7-leader-eng-data.pdf?download=1</w:t>
      </w:r>
    </w:p>
    <w:p w14:paraId="59666CED" w14:textId="77777777" w:rsidR="0023649B" w:rsidRDefault="0023649B" w:rsidP="0023649B">
      <w:pPr>
        <w:pStyle w:val="LiteraturaUMAR"/>
      </w:pPr>
      <w:r>
        <w:t>G7 Germany. (2022b). G7 Statement on Support for Ukraine. Elmau: G7 Germany. Pridobljeno s https://www.g7germany.de/resource/blob/974430/2057196/4628490eda0863e429c30136ec180feb/2022-06-27-g7-erklaerung-ukraine-en-data.pdf?download=1</w:t>
      </w:r>
    </w:p>
    <w:p w14:paraId="496DB5E2" w14:textId="77777777" w:rsidR="0023649B" w:rsidRDefault="0023649B" w:rsidP="0023649B">
      <w:pPr>
        <w:pStyle w:val="LiteraturaUMAR"/>
      </w:pPr>
      <w:r>
        <w:t>Glauber, J. in Laborde, D. (2022). How will Russia’s invasion of Ukraine affect global food security? | IFPRI</w:t>
      </w:r>
      <w:r>
        <w:rPr>
          <w:rFonts w:ascii="Arial" w:hAnsi="Arial" w:cs="Arial"/>
        </w:rPr>
        <w:t> </w:t>
      </w:r>
      <w:r>
        <w:t>: International Food Policy Research Institute. Washington, DC: International food policy and research institute. Pridobljeno s https://www.ifpri.org/blog/how-will-russias-invasion-ukraine-affect-global-food-security</w:t>
      </w:r>
    </w:p>
    <w:p w14:paraId="10E78DA0" w14:textId="77777777" w:rsidR="0023649B" w:rsidRDefault="0023649B" w:rsidP="0023649B">
      <w:pPr>
        <w:pStyle w:val="LiteraturaUMAR"/>
      </w:pPr>
      <w:r>
        <w:t>GZS. (2022). SLOEXPORT - podatkovna baza slovenskih izvoznikov [podatkovna baza]. Ljubljana: Gospodarska zbornica Slovenije. Pridobljeno s http://www.sloexport.si/</w:t>
      </w:r>
    </w:p>
    <w:p w14:paraId="1E30E388" w14:textId="77777777" w:rsidR="0023649B" w:rsidRDefault="0023649B" w:rsidP="0023649B">
      <w:pPr>
        <w:pStyle w:val="LiteraturaUMAR"/>
      </w:pPr>
      <w:r>
        <w:t>IEA. (2022). A 10-Point Plan to Reduce the European Union’s Reliance on Russian Natural Gas. International Energy Agency. Pridobljeno s https://iea.blob.core.windows.net/assets/1af70a5f-9059-47b4-a2dd-1b479918f3cb/A10-PointPlantoReducetheEuropeanUnionsRelianceonRussianNaturalGas.pdf</w:t>
      </w:r>
    </w:p>
    <w:p w14:paraId="549598EB" w14:textId="77777777" w:rsidR="0023649B" w:rsidRDefault="0023649B" w:rsidP="0023649B">
      <w:pPr>
        <w:pStyle w:val="LiteraturaUMAR"/>
      </w:pPr>
      <w:r>
        <w:lastRenderedPageBreak/>
        <w:t>IMF. (2021). Russian Federation: 2020 Article IV Consultation Staff Report. IMF. Pridobljeno s https://www.imf.org/en/Publications/CR/Issues/2021/02/08/Russian-Federation-2020-Article-IV-Consultation-Press-Release-Staff-Report-50068</w:t>
      </w:r>
    </w:p>
    <w:p w14:paraId="0A185846" w14:textId="77777777" w:rsidR="0023649B" w:rsidRDefault="0023649B" w:rsidP="0023649B">
      <w:pPr>
        <w:pStyle w:val="LiteraturaUMAR"/>
      </w:pPr>
      <w:r>
        <w:t>IMF. (2022a). World Economic Outlook. Countering the Cost-of-Living Crisis. Washington, DC: International Monetary Fund. Pridobljeno s https://www.imf.org/en/Publications/WEO/Issues/2022/10/11/world-economic-outlook-october-2022</w:t>
      </w:r>
    </w:p>
    <w:p w14:paraId="62FF344B" w14:textId="77777777" w:rsidR="0023649B" w:rsidRDefault="0023649B" w:rsidP="0023649B">
      <w:pPr>
        <w:pStyle w:val="LiteraturaUMAR"/>
      </w:pPr>
      <w:r>
        <w:t>IMF. (2022b). World Economic Outlook Update. War Sets Back the Global Recovery. Washington, DC: International Monetary Fund. Pridobljeno s https://www.imf.org/en/Publications/WEO/Issues/2022/04/19/world-economic-outlook-april-2022</w:t>
      </w:r>
    </w:p>
    <w:p w14:paraId="73860A4B" w14:textId="77777777" w:rsidR="0023649B" w:rsidRDefault="0023649B" w:rsidP="0023649B">
      <w:pPr>
        <w:pStyle w:val="LiteraturaUMAR"/>
      </w:pPr>
      <w:r>
        <w:t>IMF. (2023a). World Economic Outlook Update. Pridobljeno s https://www.imf.org/en/Publications/WEO/Issues/2023/01/31/world-economic-outlook-update-january-2023</w:t>
      </w:r>
    </w:p>
    <w:p w14:paraId="7845D268" w14:textId="77777777" w:rsidR="0023649B" w:rsidRDefault="0023649B" w:rsidP="0023649B">
      <w:pPr>
        <w:pStyle w:val="LiteraturaUMAR"/>
      </w:pPr>
      <w:r>
        <w:t>IMF. (2023b). World Economic Outlook Update. Near-Term Resilience, Persistent Challenges. Washington, DC: International Monetary Fund. Pridobljeno s https://www.imf.org/en/Publications/WEO/Issues/2023/07/10/world-economic-outlook-update-july-2023</w:t>
      </w:r>
    </w:p>
    <w:p w14:paraId="29A5E707" w14:textId="77777777" w:rsidR="0023649B" w:rsidRDefault="0023649B" w:rsidP="0023649B">
      <w:pPr>
        <w:pStyle w:val="LiteraturaUMAR"/>
      </w:pPr>
      <w:r>
        <w:t>Jenkins, B. M. (2023). Consequences of the War in Ukraine: The Economic Fallout. Pridobljeno 31. 3. 2023 s https://www.rand.org/blog/2023/03/consequences-of-the-war-in-ukraine-the-economic-fallout.html</w:t>
      </w:r>
    </w:p>
    <w:p w14:paraId="5C9CCC23" w14:textId="77777777" w:rsidR="0023649B" w:rsidRDefault="0023649B" w:rsidP="0023649B">
      <w:pPr>
        <w:pStyle w:val="LiteraturaUMAR"/>
      </w:pPr>
      <w:r>
        <w:t>KSE institute. (2023). #LeaveRussia. Pridobljeno s https://leave-russia.org/?1650483096</w:t>
      </w:r>
    </w:p>
    <w:p w14:paraId="06503754" w14:textId="77777777" w:rsidR="0023649B" w:rsidRDefault="0023649B" w:rsidP="0023649B">
      <w:pPr>
        <w:pStyle w:val="LiteraturaUMAR"/>
      </w:pPr>
      <w:r>
        <w:t>Kulish, H. (2023). $147.5 billion — the total amount of damages caused to Ukraine’s infrastructure due to the war, as of April 2023. Pridobljeno 24. 7. 2023 s https://kse.ua/about-the-school/news/147-5-billion-the-total-amount-of-damages-caused-to-ukraine-s-infrastructure-due-to-the-war-as-of-april-2023/</w:t>
      </w:r>
    </w:p>
    <w:p w14:paraId="4E675879" w14:textId="77777777" w:rsidR="0023649B" w:rsidRDefault="0023649B" w:rsidP="0023649B">
      <w:pPr>
        <w:pStyle w:val="LiteraturaUMAR"/>
      </w:pPr>
      <w:r>
        <w:t>Luka Koper. (2023). Statistika pretovora - Luka Koper d.d. Pridobljeno 25. 7. 2023 s https://www.luka-kp.si/aktualno/statistika-pretovora/</w:t>
      </w:r>
    </w:p>
    <w:p w14:paraId="6DB9F451" w14:textId="77777777" w:rsidR="0023649B" w:rsidRDefault="0023649B" w:rsidP="0023649B">
      <w:pPr>
        <w:pStyle w:val="LiteraturaUMAR"/>
      </w:pPr>
      <w:r>
        <w:t>MGRT. (2023). Ukrepi za omejevanje trgovine zaradi razmer v Ukrajini. Pridobljeno 25. 7. 2023 s https://www.gov.si/teme/ukrepi-za-omejevanje-trgovine-zaradi-razmer-v-ukrajini/</w:t>
      </w:r>
    </w:p>
    <w:p w14:paraId="11DEC9E1" w14:textId="77777777" w:rsidR="0023649B" w:rsidRDefault="0023649B" w:rsidP="0023649B">
      <w:pPr>
        <w:pStyle w:val="LiteraturaUMAR"/>
      </w:pPr>
      <w:r>
        <w:t>Moritsch, S. (2022). The geopolitical impact of the conflict in Ukraine. Dunaj: KPMG. Pridobljeno s https://assets.kpmg/content/dam/kpmg/xx/pdf/2022/03/russia-ukraine-geopolitical-impact.pdf</w:t>
      </w:r>
    </w:p>
    <w:p w14:paraId="2AF3795B" w14:textId="77777777" w:rsidR="0023649B" w:rsidRDefault="0023649B" w:rsidP="0023649B">
      <w:pPr>
        <w:pStyle w:val="LiteraturaUMAR"/>
      </w:pPr>
      <w:r>
        <w:t>NATO. (2022). NATO Parliamentary Assembly - Finland&amp;Sweden Accession. Pridobljeno 10. 1. 2023 s https://www.nato-pa.int/content/finland-sweden-accession</w:t>
      </w:r>
    </w:p>
    <w:p w14:paraId="59836FE0" w14:textId="77777777" w:rsidR="0023649B" w:rsidRDefault="0023649B" w:rsidP="0023649B">
      <w:pPr>
        <w:pStyle w:val="LiteraturaUMAR"/>
      </w:pPr>
      <w:r>
        <w:t>Nell, J., Hilgenstock, B., Dodonov, B., Pavytska, Y., Shapoval, N., Vlasyuk, A., … Ivanchuk, V. (2023). One year of war: Sanctions impact assessment and action plan for 2023. KSE Institute.</w:t>
      </w:r>
    </w:p>
    <w:p w14:paraId="2267B9B8" w14:textId="77777777" w:rsidR="0023649B" w:rsidRDefault="0023649B" w:rsidP="0023649B">
      <w:pPr>
        <w:pStyle w:val="LiteraturaUMAR"/>
      </w:pPr>
      <w:r>
        <w:t>Nelson M., R. (2022). The Economic Impact of Russia Sanctions. Washington: Congressional Research Service. Pridobljeno s https://crsreports.congress.gov/product/pdf/IF/IF12092</w:t>
      </w:r>
    </w:p>
    <w:p w14:paraId="004C9D6B" w14:textId="77777777" w:rsidR="0023649B" w:rsidRDefault="0023649B" w:rsidP="0023649B">
      <w:pPr>
        <w:pStyle w:val="LiteraturaUMAR"/>
      </w:pPr>
      <w:r>
        <w:t>OECD. (2021). Trade in Value Added (TiVA) 2021 ed: Principal Indicators [podatkovna baza]. Pariz: Organizacija za gospodarsko sodelovanje in razvoj. Pridobljeno s https://stats.oecd.org/Index.aspx?DataSetCode=TIVA_2021_C1</w:t>
      </w:r>
    </w:p>
    <w:p w14:paraId="163FAF9F" w14:textId="77777777" w:rsidR="0023649B" w:rsidRDefault="0023649B" w:rsidP="0023649B">
      <w:pPr>
        <w:pStyle w:val="LiteraturaUMAR"/>
      </w:pPr>
      <w:r>
        <w:t>OHCHR. (2023). Ukraine: Civilian casualties from 1 to 16 July 2023. Pridobljeno 25. 7. 2023 s https://www.ohchr.org/en/news/2023/07/ukraine-civilian-casualties-1-16-july-2023</w:t>
      </w:r>
    </w:p>
    <w:p w14:paraId="24411E83" w14:textId="77777777" w:rsidR="0023649B" w:rsidRDefault="0023649B" w:rsidP="0023649B">
      <w:pPr>
        <w:pStyle w:val="LiteraturaUMAR"/>
      </w:pPr>
      <w:r>
        <w:t>Prokopenko, A. (2023). Is This the End of the Road for the Ukraine Grain Deal? Pridobljeno 25. 7. 2023 s https://carnegieendowment.org/politika/90225</w:t>
      </w:r>
    </w:p>
    <w:p w14:paraId="713C4ED3" w14:textId="77777777" w:rsidR="0023649B" w:rsidRDefault="0023649B" w:rsidP="0023649B">
      <w:pPr>
        <w:pStyle w:val="LiteraturaUMAR"/>
      </w:pPr>
      <w:r>
        <w:t>Reuters. (2022). Russia’s 2022 parallel imports to reach 4% of 2021 overall imports. Pridobljeno 16. 1. 2023 s https://www.reuters.com/markets/europe/russias-2022-parallel-imports-reach-4-2021-overall-imports-2022-08-15/</w:t>
      </w:r>
    </w:p>
    <w:p w14:paraId="31A8F2C2" w14:textId="77777777" w:rsidR="0023649B" w:rsidRDefault="0023649B" w:rsidP="0023649B">
      <w:pPr>
        <w:pStyle w:val="LiteraturaUMAR"/>
      </w:pPr>
      <w:r>
        <w:lastRenderedPageBreak/>
        <w:t>Simola, H. (2021). The impact of Covid-19 on global value chains. Helsinki: SUERF. Pridobljeno s https://www.suerf.org/docx/f_61fe616efad31ae74399ecdd090ac14d_22639_suerf.pdf</w:t>
      </w:r>
    </w:p>
    <w:p w14:paraId="3975CAED" w14:textId="77777777" w:rsidR="0023649B" w:rsidRDefault="0023649B" w:rsidP="0023649B">
      <w:pPr>
        <w:pStyle w:val="LiteraturaUMAR"/>
      </w:pPr>
      <w:r>
        <w:t>Simola, H. (2022a). Can Russia reorient its trade and financial flows?, 7. Helsinki: Bank of Finland. Pridobljeno s https://publications.bof.fi/bitstream/handle/10024/52330/bpb2207.pdf</w:t>
      </w:r>
    </w:p>
    <w:p w14:paraId="76F6C6C1" w14:textId="77777777" w:rsidR="0023649B" w:rsidRDefault="0023649B" w:rsidP="0023649B">
      <w:pPr>
        <w:pStyle w:val="LiteraturaUMAR"/>
      </w:pPr>
      <w:r>
        <w:t>Simola, H. (2022b). Made in Russia? Assessing Russia’s potential for import substitution, 3. Helsinki: Bank of Finland. Pridobljeno s https://publications.bof.fi/bitstream/handle/10024/44904/bpb2203.pdf</w:t>
      </w:r>
    </w:p>
    <w:p w14:paraId="7433C016" w14:textId="77777777" w:rsidR="0023649B" w:rsidRDefault="0023649B" w:rsidP="0023649B">
      <w:pPr>
        <w:pStyle w:val="LiteraturaUMAR"/>
      </w:pPr>
      <w:r>
        <w:t>Simola, H. (2022c). Russian foreign trade after four months of war in Ukraine, 5. Helsinki: Bank of Finland. Pridobljeno s https://publications.bof.fi/bitstream/handle/10024/52212/bpb2205.pdf</w:t>
      </w:r>
    </w:p>
    <w:p w14:paraId="005D1471" w14:textId="77777777" w:rsidR="0023649B" w:rsidRDefault="0023649B" w:rsidP="0023649B">
      <w:pPr>
        <w:pStyle w:val="LiteraturaUMAR"/>
      </w:pPr>
      <w:r>
        <w:t>Simola, H. (2023). The shift in Russian trade during a year of war, 9. Helsinki: Bank of Finland. Pridobljeno s https://publications.bof.fi/bitstream/handle/10024/52738/bpb0923r.pdf?sequence=4&amp;isAllowed=y</w:t>
      </w:r>
    </w:p>
    <w:p w14:paraId="0DE5DDB0" w14:textId="77777777" w:rsidR="0023649B" w:rsidRDefault="0023649B" w:rsidP="0023649B">
      <w:pPr>
        <w:pStyle w:val="LiteraturaUMAR"/>
      </w:pPr>
      <w:r>
        <w:t>SPIRIT. (2023). Evropska podjetja so zaradi vojne v Ukrajini utrpela 100 mlrd EUR izgube. Pridobljeno 25. 8. 2023 s https://www.izvoznookno.si/aktualno/evropska-podjetja-so-zaradi-vojne-v-ukrajini-utrpe/</w:t>
      </w:r>
    </w:p>
    <w:p w14:paraId="467669FA" w14:textId="77777777" w:rsidR="0023649B" w:rsidRDefault="0023649B" w:rsidP="0023649B">
      <w:pPr>
        <w:pStyle w:val="LiteraturaUMAR"/>
      </w:pPr>
      <w:r>
        <w:t>Statista. (2023). Ukraine infrastructure damage 2022. Pridobljeno 25. 7. 2023 s https://www.statista.com/statistics/1303344/ukraine-infrastructure-war-damage/</w:t>
      </w:r>
    </w:p>
    <w:p w14:paraId="47CC7724" w14:textId="77777777" w:rsidR="0023649B" w:rsidRDefault="0023649B" w:rsidP="0023649B">
      <w:pPr>
        <w:pStyle w:val="LiteraturaUMAR"/>
      </w:pPr>
      <w:r>
        <w:t>SURS. (2023). Si-stat [podatkovna baza]. Ljubljana: Statistični urad RS. Pridobljeno s https://pxweb.stat.si/sistat/sl</w:t>
      </w:r>
    </w:p>
    <w:p w14:paraId="0A036B89" w14:textId="77777777" w:rsidR="0023649B" w:rsidRDefault="0023649B" w:rsidP="0023649B">
      <w:pPr>
        <w:pStyle w:val="LiteraturaUMAR"/>
      </w:pPr>
      <w:r>
        <w:t>Svet EU. (2023a). Omejevalni ukrepi EU proti Rusiji v zvezi z Ukrajino (od leta 2014). Pridobljeno 11. 7. 2023 s https://www.consilium.europa.eu/sl/policies/sanctions/restrictive-measures-against-russia-over-ukraine/</w:t>
      </w:r>
    </w:p>
    <w:p w14:paraId="404116E0" w14:textId="77777777" w:rsidR="0023649B" w:rsidRDefault="0023649B" w:rsidP="0023649B">
      <w:pPr>
        <w:pStyle w:val="LiteraturaUMAR"/>
      </w:pPr>
      <w:r>
        <w:t>Svet EU. (2023b). Where does the EU’s gas come from? Pridobljeno 21. 7. 2023 s https://www.consilium.europa.eu/en/infographics/eu-gas-supply/</w:t>
      </w:r>
    </w:p>
    <w:p w14:paraId="1C175A61" w14:textId="77777777" w:rsidR="0023649B" w:rsidRDefault="0023649B" w:rsidP="0023649B">
      <w:pPr>
        <w:pStyle w:val="LiteraturaUMAR"/>
      </w:pPr>
      <w:r>
        <w:t>Svet EU. (2023c, 26. junij). Obrazložitev sankcij EU proti Rusiji. Pridobljeno 11. 7. 2023 s https://www.consilium.europa.eu/sl/policies/sanctions/restrictive-measures-against-russia-over-ukraine/sanctions-against-russia-explained/</w:t>
      </w:r>
    </w:p>
    <w:p w14:paraId="46F30E42" w14:textId="77777777" w:rsidR="0023649B" w:rsidRDefault="0023649B" w:rsidP="0023649B">
      <w:pPr>
        <w:pStyle w:val="LiteraturaUMAR"/>
      </w:pPr>
      <w:r>
        <w:t>The Brussels Times. (2022). Ukraine loses 25% of arable land due to Russian invasion. Pridobljeno 25. 7. 2023 s https://www.brusselstimes.com/238300/war-in-ukraine-ukraine-loses-25-of-arable-land</w:t>
      </w:r>
    </w:p>
    <w:p w14:paraId="7576DDB4" w14:textId="77777777" w:rsidR="0023649B" w:rsidRDefault="0023649B" w:rsidP="0023649B">
      <w:pPr>
        <w:pStyle w:val="LiteraturaUMAR"/>
      </w:pPr>
      <w:r>
        <w:t>UN Comtrade. (2023). UN Comtrade Database [podatkovna baza]. New York: United Nations Statistics Division. Pridobljeno s https://comtrade.un.org/data/</w:t>
      </w:r>
    </w:p>
    <w:p w14:paraId="6C243986" w14:textId="77777777" w:rsidR="0023649B" w:rsidRDefault="0023649B" w:rsidP="0023649B">
      <w:pPr>
        <w:pStyle w:val="LiteraturaUMAR"/>
      </w:pPr>
      <w:r>
        <w:t>UNOCHA. (2023). UNOCHA Ukraine Data Explorer. Pridobljeno s https://data.humdata.org/visualization/ukraine-humanitarian-operations/</w:t>
      </w:r>
    </w:p>
    <w:p w14:paraId="44BFC2B0" w14:textId="77777777" w:rsidR="0023649B" w:rsidRDefault="0023649B" w:rsidP="0023649B">
      <w:pPr>
        <w:pStyle w:val="LiteraturaUMAR"/>
      </w:pPr>
      <w:r>
        <w:t>USDT. (2023). Ukraine-/Russia-related Sanctions. Pridobljeno 25. 7. 2023 s https://home.treasury.gov/policy-issues/financial-sanctions/sanctions-programs-and-country-information/ukraine-russia-related-sanctions</w:t>
      </w:r>
    </w:p>
    <w:p w14:paraId="0B9CC144" w14:textId="77777777" w:rsidR="0023649B" w:rsidRDefault="0023649B" w:rsidP="0023649B">
      <w:pPr>
        <w:pStyle w:val="LiteraturaUMAR"/>
      </w:pPr>
      <w:r>
        <w:t>WB. (2023a). Global Economic Prospects - June 2023. Washington, DC: World Bank Group. Pridobljeno s https://openknowledge.worldbank.org/server/api/core/bitstreams/6e892b75-2594-4901-a036-46d0dec1e753/content</w:t>
      </w:r>
    </w:p>
    <w:p w14:paraId="17AF13B0" w14:textId="77777777" w:rsidR="0023649B" w:rsidRDefault="0023649B" w:rsidP="0023649B">
      <w:pPr>
        <w:pStyle w:val="LiteraturaUMAR"/>
      </w:pPr>
      <w:r>
        <w:t>WB. (2023b). World Bank Open Data [podatkovni portal]. Washington: World Bank. Pridobljeno s https://data.worldbank.org/</w:t>
      </w:r>
    </w:p>
    <w:p w14:paraId="32931371" w14:textId="77777777" w:rsidR="0023649B" w:rsidRDefault="0023649B" w:rsidP="0023649B">
      <w:pPr>
        <w:pStyle w:val="LiteraturaUMAR"/>
      </w:pPr>
      <w:r>
        <w:t>WFP. (2022). War in Ukraine drives global food crisis. World Food Programme. Pridobljeno s https://docs.wfp.org/api/documents/WFP-0000140700/download/?_ga=2.127621454.273741644.1673866051-1029651735.1673866051</w:t>
      </w:r>
    </w:p>
    <w:p w14:paraId="4F5D9AFC" w14:textId="77777777" w:rsidR="0023649B" w:rsidRDefault="0023649B" w:rsidP="0023649B">
      <w:pPr>
        <w:pStyle w:val="LiteraturaUMAR"/>
      </w:pPr>
      <w:r>
        <w:t>WTO. (2022). The Crisis in Ukraine - Implications of the war for global trade and development. World Trade Organization. Pridobljeno s https://www.wto.org/english/res_e/booksp_e/imparctukraine422_e.pdf</w:t>
      </w:r>
    </w:p>
    <w:p w14:paraId="2D90FE84" w14:textId="051C7E1B" w:rsidR="0023649B" w:rsidRDefault="0023649B" w:rsidP="0023649B">
      <w:pPr>
        <w:pStyle w:val="LiteraturaUMAR"/>
        <w:rPr>
          <w:szCs w:val="20"/>
        </w:rPr>
      </w:pPr>
      <w:r>
        <w:t>Yale SOM. (2023). Over 1,000 Companies Have Curtailed Operations in Russia—But Some Remain |. Pridobljeno 25. 7. 2023 s https://som.yale.edu/story/2022/over-1000-companies-have-curtailed-operations-russia-some-remain</w:t>
      </w:r>
      <w:r w:rsidR="00EF4560" w:rsidRPr="00601DA6">
        <w:rPr>
          <w:szCs w:val="20"/>
        </w:rPr>
        <w:fldChar w:fldCharType="end"/>
      </w:r>
      <w:r>
        <w:rPr>
          <w:szCs w:val="20"/>
        </w:rPr>
        <w:br w:type="page"/>
      </w:r>
    </w:p>
    <w:p w14:paraId="2B0FA740" w14:textId="45632069" w:rsidR="00C5137C" w:rsidRDefault="00C5137C" w:rsidP="0023649B">
      <w:pPr>
        <w:pStyle w:val="Heading1"/>
        <w:numPr>
          <w:ilvl w:val="0"/>
          <w:numId w:val="0"/>
        </w:numPr>
        <w:ind w:left="357" w:hanging="357"/>
      </w:pPr>
      <w:r w:rsidRPr="000E64EC">
        <w:lastRenderedPageBreak/>
        <w:t xml:space="preserve">Priloga – tabele </w:t>
      </w:r>
    </w:p>
    <w:p w14:paraId="1403AA89" w14:textId="77777777" w:rsidR="006C35F8" w:rsidRDefault="006C35F8" w:rsidP="006C35F8">
      <w:pPr>
        <w:pStyle w:val="Caption"/>
      </w:pPr>
      <w:r w:rsidRPr="00AA79D5">
        <w:t>Tabela 1: Izvoz Slovenije v Rusijo po glavnih skupinah proizvodov</w:t>
      </w:r>
      <w:r>
        <w:t>, SMTK klasifikacija</w:t>
      </w:r>
    </w:p>
    <w:tbl>
      <w:tblPr>
        <w:tblStyle w:val="TableGrid"/>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122"/>
        <w:gridCol w:w="766"/>
        <w:gridCol w:w="752"/>
        <w:gridCol w:w="1067"/>
        <w:gridCol w:w="623"/>
        <w:gridCol w:w="752"/>
        <w:gridCol w:w="715"/>
        <w:gridCol w:w="752"/>
        <w:gridCol w:w="623"/>
        <w:gridCol w:w="888"/>
      </w:tblGrid>
      <w:tr w:rsidR="006C35F8" w:rsidRPr="00B80429" w14:paraId="5CFF7F43" w14:textId="77777777" w:rsidTr="0030571A">
        <w:trPr>
          <w:trHeight w:val="300"/>
        </w:trPr>
        <w:tc>
          <w:tcPr>
            <w:tcW w:w="2122" w:type="dxa"/>
            <w:noWrap/>
            <w:vAlign w:val="center"/>
            <w:hideMark/>
          </w:tcPr>
          <w:p w14:paraId="6BB20243" w14:textId="77777777" w:rsidR="006C35F8" w:rsidRPr="00B80429" w:rsidRDefault="006C35F8" w:rsidP="0030571A">
            <w:pPr>
              <w:pStyle w:val="TabelaglavadesnoUMAR"/>
              <w:jc w:val="center"/>
            </w:pPr>
          </w:p>
        </w:tc>
        <w:tc>
          <w:tcPr>
            <w:tcW w:w="2585" w:type="dxa"/>
            <w:gridSpan w:val="3"/>
            <w:noWrap/>
            <w:vAlign w:val="center"/>
            <w:hideMark/>
          </w:tcPr>
          <w:p w14:paraId="270DC2E5" w14:textId="77777777" w:rsidR="006C35F8" w:rsidRPr="00B80429" w:rsidRDefault="006C35F8" w:rsidP="0030571A">
            <w:pPr>
              <w:pStyle w:val="TabelaglavadesnoUMAR"/>
              <w:jc w:val="center"/>
            </w:pPr>
            <w:r>
              <w:t xml:space="preserve">Povprečje </w:t>
            </w:r>
            <w:r w:rsidRPr="00B80429">
              <w:t>2016-2020</w:t>
            </w:r>
          </w:p>
        </w:tc>
        <w:tc>
          <w:tcPr>
            <w:tcW w:w="1375" w:type="dxa"/>
            <w:gridSpan w:val="2"/>
            <w:noWrap/>
            <w:vAlign w:val="center"/>
            <w:hideMark/>
          </w:tcPr>
          <w:p w14:paraId="55FA9D16" w14:textId="77777777" w:rsidR="006C35F8" w:rsidRPr="00B80429" w:rsidRDefault="006C35F8" w:rsidP="0030571A">
            <w:pPr>
              <w:pStyle w:val="TabelaglavadesnoUMAR"/>
              <w:jc w:val="center"/>
            </w:pPr>
            <w:r w:rsidRPr="00B80429">
              <w:t>2021</w:t>
            </w:r>
          </w:p>
        </w:tc>
        <w:tc>
          <w:tcPr>
            <w:tcW w:w="1467" w:type="dxa"/>
            <w:gridSpan w:val="2"/>
            <w:noWrap/>
            <w:vAlign w:val="center"/>
            <w:hideMark/>
          </w:tcPr>
          <w:p w14:paraId="0A69434A" w14:textId="77777777" w:rsidR="006C35F8" w:rsidRPr="00B80429" w:rsidRDefault="006C35F8" w:rsidP="0030571A">
            <w:pPr>
              <w:pStyle w:val="TabelaglavadesnoUMAR"/>
              <w:jc w:val="center"/>
            </w:pPr>
            <w:r w:rsidRPr="00B80429">
              <w:t>2022</w:t>
            </w:r>
          </w:p>
        </w:tc>
        <w:tc>
          <w:tcPr>
            <w:tcW w:w="1511" w:type="dxa"/>
            <w:gridSpan w:val="2"/>
            <w:noWrap/>
            <w:vAlign w:val="center"/>
            <w:hideMark/>
          </w:tcPr>
          <w:p w14:paraId="03472FC0" w14:textId="77777777" w:rsidR="006C35F8" w:rsidRPr="00B80429" w:rsidRDefault="006C35F8" w:rsidP="0030571A">
            <w:pPr>
              <w:pStyle w:val="TabelaglavadesnoUMAR"/>
              <w:jc w:val="center"/>
            </w:pPr>
            <w:r>
              <w:t>2023 j</w:t>
            </w:r>
            <w:bookmarkStart w:id="6" w:name="_GoBack"/>
            <w:bookmarkEnd w:id="6"/>
            <w:r>
              <w:t>an-maj</w:t>
            </w:r>
          </w:p>
        </w:tc>
      </w:tr>
      <w:tr w:rsidR="006C35F8" w:rsidRPr="00B80429" w14:paraId="4A3DC7CC" w14:textId="77777777" w:rsidTr="00BF5199">
        <w:trPr>
          <w:trHeight w:val="1220"/>
        </w:trPr>
        <w:tc>
          <w:tcPr>
            <w:tcW w:w="2122" w:type="dxa"/>
            <w:tcBorders>
              <w:bottom w:val="single" w:sz="6" w:space="0" w:color="auto"/>
            </w:tcBorders>
            <w:hideMark/>
          </w:tcPr>
          <w:p w14:paraId="50C2151E" w14:textId="77777777" w:rsidR="006C35F8" w:rsidRPr="00B80429" w:rsidRDefault="006C35F8" w:rsidP="009C2105">
            <w:pPr>
              <w:pStyle w:val="TabelaglavadesnoUMAR"/>
            </w:pPr>
          </w:p>
        </w:tc>
        <w:tc>
          <w:tcPr>
            <w:tcW w:w="766" w:type="dxa"/>
            <w:tcBorders>
              <w:bottom w:val="single" w:sz="6" w:space="0" w:color="auto"/>
            </w:tcBorders>
            <w:hideMark/>
          </w:tcPr>
          <w:p w14:paraId="40B10055" w14:textId="77777777" w:rsidR="006C35F8" w:rsidRPr="00B80429" w:rsidRDefault="006C35F8" w:rsidP="00BF5199">
            <w:pPr>
              <w:pStyle w:val="TabelaglavadesnoUMAR"/>
              <w:rPr>
                <w:sz w:val="16"/>
                <w:szCs w:val="16"/>
              </w:rPr>
            </w:pPr>
            <w:r w:rsidRPr="00B80429">
              <w:rPr>
                <w:sz w:val="16"/>
                <w:szCs w:val="16"/>
              </w:rPr>
              <w:t>v mio EUR</w:t>
            </w:r>
          </w:p>
        </w:tc>
        <w:tc>
          <w:tcPr>
            <w:tcW w:w="752" w:type="dxa"/>
            <w:tcBorders>
              <w:bottom w:val="single" w:sz="6" w:space="0" w:color="auto"/>
            </w:tcBorders>
            <w:hideMark/>
          </w:tcPr>
          <w:p w14:paraId="61668DF3" w14:textId="3D12AEFF" w:rsidR="006C35F8" w:rsidRPr="00B80429" w:rsidRDefault="006C35F8" w:rsidP="00BF5199">
            <w:pPr>
              <w:pStyle w:val="TabelaglavadesnoUMAR"/>
              <w:rPr>
                <w:sz w:val="16"/>
                <w:szCs w:val="16"/>
              </w:rPr>
            </w:pPr>
            <w:r w:rsidRPr="00B80429">
              <w:rPr>
                <w:sz w:val="16"/>
                <w:szCs w:val="16"/>
              </w:rPr>
              <w:t xml:space="preserve">delež v izvozu v Rusijo, </w:t>
            </w:r>
            <w:r w:rsidR="00BF5199">
              <w:rPr>
                <w:sz w:val="16"/>
                <w:szCs w:val="16"/>
              </w:rPr>
              <w:br/>
            </w:r>
            <w:r w:rsidRPr="00B80429">
              <w:rPr>
                <w:sz w:val="16"/>
                <w:szCs w:val="16"/>
              </w:rPr>
              <w:t>v %</w:t>
            </w:r>
          </w:p>
        </w:tc>
        <w:tc>
          <w:tcPr>
            <w:tcW w:w="1067" w:type="dxa"/>
            <w:tcBorders>
              <w:bottom w:val="single" w:sz="6" w:space="0" w:color="auto"/>
            </w:tcBorders>
            <w:hideMark/>
          </w:tcPr>
          <w:p w14:paraId="366091A6" w14:textId="10D04A4D" w:rsidR="006C35F8" w:rsidRPr="00B80429" w:rsidRDefault="006C35F8" w:rsidP="00BF5199">
            <w:pPr>
              <w:pStyle w:val="TabelaglavadesnoUMAR"/>
              <w:rPr>
                <w:sz w:val="16"/>
                <w:szCs w:val="16"/>
              </w:rPr>
            </w:pPr>
            <w:r w:rsidRPr="00B80429">
              <w:rPr>
                <w:sz w:val="16"/>
                <w:szCs w:val="16"/>
              </w:rPr>
              <w:t xml:space="preserve">delež v skupnem izvozu proizvoda, </w:t>
            </w:r>
            <w:r w:rsidR="00BF5199">
              <w:rPr>
                <w:sz w:val="16"/>
                <w:szCs w:val="16"/>
              </w:rPr>
              <w:br/>
            </w:r>
            <w:r w:rsidRPr="00B80429">
              <w:rPr>
                <w:sz w:val="16"/>
                <w:szCs w:val="16"/>
              </w:rPr>
              <w:t>v %</w:t>
            </w:r>
          </w:p>
        </w:tc>
        <w:tc>
          <w:tcPr>
            <w:tcW w:w="623" w:type="dxa"/>
            <w:tcBorders>
              <w:bottom w:val="single" w:sz="6" w:space="0" w:color="auto"/>
            </w:tcBorders>
            <w:hideMark/>
          </w:tcPr>
          <w:p w14:paraId="31C05623" w14:textId="77777777" w:rsidR="006C35F8" w:rsidRPr="00B80429" w:rsidRDefault="006C35F8" w:rsidP="00BF5199">
            <w:pPr>
              <w:pStyle w:val="TabelaglavadesnoUMAR"/>
              <w:rPr>
                <w:sz w:val="16"/>
                <w:szCs w:val="16"/>
              </w:rPr>
            </w:pPr>
            <w:r w:rsidRPr="00B80429">
              <w:rPr>
                <w:sz w:val="16"/>
                <w:szCs w:val="16"/>
              </w:rPr>
              <w:t>v mio EUR</w:t>
            </w:r>
          </w:p>
        </w:tc>
        <w:tc>
          <w:tcPr>
            <w:tcW w:w="752" w:type="dxa"/>
            <w:tcBorders>
              <w:bottom w:val="single" w:sz="6" w:space="0" w:color="auto"/>
            </w:tcBorders>
            <w:hideMark/>
          </w:tcPr>
          <w:p w14:paraId="3AB54579" w14:textId="21BF2166" w:rsidR="006C35F8" w:rsidRPr="00B80429" w:rsidRDefault="006C35F8" w:rsidP="00BF5199">
            <w:pPr>
              <w:pStyle w:val="TabelaglavadesnoUMAR"/>
              <w:rPr>
                <w:sz w:val="16"/>
                <w:szCs w:val="16"/>
              </w:rPr>
            </w:pPr>
            <w:r w:rsidRPr="00B80429">
              <w:rPr>
                <w:sz w:val="16"/>
                <w:szCs w:val="16"/>
              </w:rPr>
              <w:t xml:space="preserve">delež v izvozu v Rusijo, </w:t>
            </w:r>
            <w:r w:rsidR="00BF5199">
              <w:rPr>
                <w:sz w:val="16"/>
                <w:szCs w:val="16"/>
              </w:rPr>
              <w:br/>
            </w:r>
            <w:r w:rsidRPr="00B80429">
              <w:rPr>
                <w:sz w:val="16"/>
                <w:szCs w:val="16"/>
              </w:rPr>
              <w:t>v %</w:t>
            </w:r>
          </w:p>
        </w:tc>
        <w:tc>
          <w:tcPr>
            <w:tcW w:w="715" w:type="dxa"/>
            <w:tcBorders>
              <w:bottom w:val="single" w:sz="6" w:space="0" w:color="auto"/>
            </w:tcBorders>
            <w:hideMark/>
          </w:tcPr>
          <w:p w14:paraId="5736F4BE" w14:textId="77777777" w:rsidR="006C35F8" w:rsidRPr="00B80429" w:rsidRDefault="006C35F8" w:rsidP="00BF5199">
            <w:pPr>
              <w:pStyle w:val="TabelaglavadesnoUMAR"/>
              <w:rPr>
                <w:sz w:val="16"/>
                <w:szCs w:val="16"/>
              </w:rPr>
            </w:pPr>
            <w:r w:rsidRPr="00B80429">
              <w:rPr>
                <w:sz w:val="16"/>
                <w:szCs w:val="16"/>
              </w:rPr>
              <w:t>v mio EUR</w:t>
            </w:r>
          </w:p>
        </w:tc>
        <w:tc>
          <w:tcPr>
            <w:tcW w:w="752" w:type="dxa"/>
            <w:tcBorders>
              <w:bottom w:val="single" w:sz="6" w:space="0" w:color="auto"/>
            </w:tcBorders>
            <w:hideMark/>
          </w:tcPr>
          <w:p w14:paraId="7258094B" w14:textId="3C710D16" w:rsidR="006C35F8" w:rsidRPr="00B80429" w:rsidRDefault="006C35F8" w:rsidP="00BF5199">
            <w:pPr>
              <w:pStyle w:val="TabelaglavadesnoUMAR"/>
              <w:rPr>
                <w:sz w:val="16"/>
                <w:szCs w:val="16"/>
              </w:rPr>
            </w:pPr>
            <w:r w:rsidRPr="00B80429">
              <w:rPr>
                <w:sz w:val="16"/>
                <w:szCs w:val="16"/>
              </w:rPr>
              <w:t>delež v izvozu v Rusijo,</w:t>
            </w:r>
            <w:r w:rsidR="00BF5199">
              <w:rPr>
                <w:sz w:val="16"/>
                <w:szCs w:val="16"/>
              </w:rPr>
              <w:br/>
            </w:r>
            <w:r w:rsidRPr="00B80429">
              <w:rPr>
                <w:sz w:val="16"/>
                <w:szCs w:val="16"/>
              </w:rPr>
              <w:t xml:space="preserve"> v %</w:t>
            </w:r>
          </w:p>
        </w:tc>
        <w:tc>
          <w:tcPr>
            <w:tcW w:w="623" w:type="dxa"/>
            <w:tcBorders>
              <w:bottom w:val="single" w:sz="6" w:space="0" w:color="auto"/>
            </w:tcBorders>
            <w:hideMark/>
          </w:tcPr>
          <w:p w14:paraId="36696E25" w14:textId="77777777" w:rsidR="006C35F8" w:rsidRPr="00B80429" w:rsidRDefault="006C35F8" w:rsidP="00BF5199">
            <w:pPr>
              <w:pStyle w:val="TabelaglavadesnoUMAR"/>
              <w:rPr>
                <w:sz w:val="16"/>
                <w:szCs w:val="16"/>
              </w:rPr>
            </w:pPr>
            <w:r w:rsidRPr="00B80429">
              <w:rPr>
                <w:sz w:val="16"/>
                <w:szCs w:val="16"/>
              </w:rPr>
              <w:t>v mio EUR</w:t>
            </w:r>
          </w:p>
        </w:tc>
        <w:tc>
          <w:tcPr>
            <w:tcW w:w="888" w:type="dxa"/>
            <w:tcBorders>
              <w:bottom w:val="single" w:sz="6" w:space="0" w:color="auto"/>
            </w:tcBorders>
            <w:hideMark/>
          </w:tcPr>
          <w:p w14:paraId="05B34A80" w14:textId="580FE653" w:rsidR="006C35F8" w:rsidRPr="00B80429" w:rsidRDefault="006C35F8" w:rsidP="00BF5199">
            <w:pPr>
              <w:pStyle w:val="BesediloUMAR"/>
              <w:jc w:val="right"/>
              <w:rPr>
                <w:b/>
                <w:bCs/>
                <w:sz w:val="16"/>
                <w:szCs w:val="16"/>
              </w:rPr>
            </w:pPr>
            <w:r w:rsidRPr="00B80429">
              <w:rPr>
                <w:b/>
                <w:bCs/>
                <w:sz w:val="16"/>
                <w:szCs w:val="16"/>
              </w:rPr>
              <w:t xml:space="preserve">delež v izvozu v Rusijo, </w:t>
            </w:r>
            <w:r w:rsidR="00BF5199">
              <w:rPr>
                <w:b/>
                <w:bCs/>
                <w:sz w:val="16"/>
                <w:szCs w:val="16"/>
              </w:rPr>
              <w:br/>
            </w:r>
            <w:r w:rsidRPr="00B80429">
              <w:rPr>
                <w:b/>
                <w:bCs/>
                <w:sz w:val="16"/>
                <w:szCs w:val="16"/>
              </w:rPr>
              <w:t>v %</w:t>
            </w:r>
          </w:p>
        </w:tc>
      </w:tr>
      <w:tr w:rsidR="006C35F8" w:rsidRPr="00B80429" w14:paraId="49D587F9" w14:textId="77777777" w:rsidTr="00BF5199">
        <w:trPr>
          <w:trHeight w:val="263"/>
        </w:trPr>
        <w:tc>
          <w:tcPr>
            <w:tcW w:w="2122" w:type="dxa"/>
            <w:tcBorders>
              <w:top w:val="single" w:sz="6" w:space="0" w:color="auto"/>
            </w:tcBorders>
            <w:hideMark/>
          </w:tcPr>
          <w:p w14:paraId="3F26B8E6" w14:textId="77777777" w:rsidR="006C35F8" w:rsidRPr="00B80429" w:rsidRDefault="006C35F8" w:rsidP="009C2105">
            <w:pPr>
              <w:pStyle w:val="TabelalevoUMAR"/>
            </w:pPr>
            <w:r w:rsidRPr="00B80429">
              <w:t>Skupaj</w:t>
            </w:r>
          </w:p>
        </w:tc>
        <w:tc>
          <w:tcPr>
            <w:tcW w:w="766" w:type="dxa"/>
            <w:tcBorders>
              <w:top w:val="single" w:sz="6" w:space="0" w:color="auto"/>
            </w:tcBorders>
            <w:noWrap/>
            <w:vAlign w:val="bottom"/>
            <w:hideMark/>
          </w:tcPr>
          <w:p w14:paraId="4B901696" w14:textId="77777777" w:rsidR="006C35F8" w:rsidRPr="00B80429" w:rsidRDefault="006C35F8" w:rsidP="00BF5199">
            <w:pPr>
              <w:pStyle w:val="TabeladesnoUMAR"/>
            </w:pPr>
            <w:r w:rsidRPr="00910588">
              <w:t>826,5</w:t>
            </w:r>
          </w:p>
        </w:tc>
        <w:tc>
          <w:tcPr>
            <w:tcW w:w="752" w:type="dxa"/>
            <w:tcBorders>
              <w:top w:val="single" w:sz="6" w:space="0" w:color="auto"/>
            </w:tcBorders>
            <w:noWrap/>
            <w:vAlign w:val="bottom"/>
            <w:hideMark/>
          </w:tcPr>
          <w:p w14:paraId="71BF59D2" w14:textId="77777777" w:rsidR="006C35F8" w:rsidRPr="00B80429" w:rsidRDefault="006C35F8" w:rsidP="00BF5199">
            <w:pPr>
              <w:pStyle w:val="TabeladesnoUMAR"/>
            </w:pPr>
            <w:r w:rsidRPr="00B80429">
              <w:t>100</w:t>
            </w:r>
          </w:p>
        </w:tc>
        <w:tc>
          <w:tcPr>
            <w:tcW w:w="1067" w:type="dxa"/>
            <w:tcBorders>
              <w:top w:val="single" w:sz="6" w:space="0" w:color="auto"/>
            </w:tcBorders>
            <w:noWrap/>
            <w:vAlign w:val="bottom"/>
            <w:hideMark/>
          </w:tcPr>
          <w:p w14:paraId="54E5CB9E" w14:textId="77777777" w:rsidR="006C35F8" w:rsidRPr="00B80429" w:rsidRDefault="006C35F8" w:rsidP="00BF5199">
            <w:pPr>
              <w:pStyle w:val="TabeladesnoUMAR"/>
            </w:pPr>
            <w:r w:rsidRPr="00B80429">
              <w:t>2,9</w:t>
            </w:r>
          </w:p>
        </w:tc>
        <w:tc>
          <w:tcPr>
            <w:tcW w:w="623" w:type="dxa"/>
            <w:tcBorders>
              <w:top w:val="single" w:sz="6" w:space="0" w:color="auto"/>
            </w:tcBorders>
            <w:noWrap/>
            <w:vAlign w:val="bottom"/>
            <w:hideMark/>
          </w:tcPr>
          <w:p w14:paraId="0EC14FD5" w14:textId="77777777" w:rsidR="006C35F8" w:rsidRPr="00B80429" w:rsidRDefault="006C35F8" w:rsidP="00BF5199">
            <w:pPr>
              <w:pStyle w:val="TabeladesnoUMAR"/>
            </w:pPr>
            <w:r w:rsidRPr="00B80429">
              <w:t>854,1</w:t>
            </w:r>
          </w:p>
        </w:tc>
        <w:tc>
          <w:tcPr>
            <w:tcW w:w="752" w:type="dxa"/>
            <w:tcBorders>
              <w:top w:val="single" w:sz="6" w:space="0" w:color="auto"/>
            </w:tcBorders>
            <w:noWrap/>
            <w:vAlign w:val="bottom"/>
            <w:hideMark/>
          </w:tcPr>
          <w:p w14:paraId="29205348" w14:textId="77777777" w:rsidR="006C35F8" w:rsidRPr="00B80429" w:rsidRDefault="006C35F8" w:rsidP="00BF5199">
            <w:pPr>
              <w:pStyle w:val="TabeladesnoUMAR"/>
            </w:pPr>
            <w:r w:rsidRPr="00B80429">
              <w:t>100</w:t>
            </w:r>
          </w:p>
        </w:tc>
        <w:tc>
          <w:tcPr>
            <w:tcW w:w="715" w:type="dxa"/>
            <w:tcBorders>
              <w:top w:val="single" w:sz="6" w:space="0" w:color="auto"/>
            </w:tcBorders>
            <w:noWrap/>
            <w:vAlign w:val="bottom"/>
            <w:hideMark/>
          </w:tcPr>
          <w:p w14:paraId="5827ADC6" w14:textId="77777777" w:rsidR="006C35F8" w:rsidRPr="00B80429" w:rsidRDefault="006C35F8" w:rsidP="00BF5199">
            <w:pPr>
              <w:pStyle w:val="TabeladesnoUMAR"/>
            </w:pPr>
            <w:r w:rsidRPr="00B80429">
              <w:t>1180,3</w:t>
            </w:r>
          </w:p>
        </w:tc>
        <w:tc>
          <w:tcPr>
            <w:tcW w:w="752" w:type="dxa"/>
            <w:tcBorders>
              <w:top w:val="single" w:sz="6" w:space="0" w:color="auto"/>
            </w:tcBorders>
            <w:noWrap/>
            <w:vAlign w:val="bottom"/>
            <w:hideMark/>
          </w:tcPr>
          <w:p w14:paraId="05425CC0" w14:textId="77777777" w:rsidR="006C35F8" w:rsidRPr="00B80429" w:rsidRDefault="006C35F8" w:rsidP="00BF5199">
            <w:pPr>
              <w:pStyle w:val="TabeladesnoUMAR"/>
            </w:pPr>
            <w:r w:rsidRPr="00B80429">
              <w:t>100</w:t>
            </w:r>
          </w:p>
        </w:tc>
        <w:tc>
          <w:tcPr>
            <w:tcW w:w="623" w:type="dxa"/>
            <w:tcBorders>
              <w:top w:val="single" w:sz="6" w:space="0" w:color="auto"/>
            </w:tcBorders>
            <w:noWrap/>
            <w:vAlign w:val="bottom"/>
            <w:hideMark/>
          </w:tcPr>
          <w:p w14:paraId="5DECE0BB" w14:textId="77777777" w:rsidR="006C35F8" w:rsidRPr="00B80429" w:rsidRDefault="006C35F8" w:rsidP="00BF5199">
            <w:pPr>
              <w:pStyle w:val="TabeladesnoUMAR"/>
            </w:pPr>
            <w:r w:rsidRPr="00B80429">
              <w:t>555,6</w:t>
            </w:r>
          </w:p>
        </w:tc>
        <w:tc>
          <w:tcPr>
            <w:tcW w:w="888" w:type="dxa"/>
            <w:tcBorders>
              <w:top w:val="single" w:sz="6" w:space="0" w:color="auto"/>
            </w:tcBorders>
            <w:noWrap/>
            <w:vAlign w:val="bottom"/>
            <w:hideMark/>
          </w:tcPr>
          <w:p w14:paraId="63763B80" w14:textId="77777777" w:rsidR="006C35F8" w:rsidRPr="00B80429" w:rsidRDefault="006C35F8" w:rsidP="00BF5199">
            <w:pPr>
              <w:pStyle w:val="TabeladesnoUMAR"/>
            </w:pPr>
            <w:r w:rsidRPr="00B80429">
              <w:t>100</w:t>
            </w:r>
          </w:p>
        </w:tc>
      </w:tr>
      <w:tr w:rsidR="006C35F8" w:rsidRPr="00B80429" w14:paraId="3B8AC783" w14:textId="77777777" w:rsidTr="00BF5199">
        <w:trPr>
          <w:trHeight w:val="277"/>
        </w:trPr>
        <w:tc>
          <w:tcPr>
            <w:tcW w:w="2122" w:type="dxa"/>
            <w:hideMark/>
          </w:tcPr>
          <w:p w14:paraId="1FCE3992" w14:textId="77777777" w:rsidR="006C35F8" w:rsidRPr="00B80429" w:rsidRDefault="006C35F8" w:rsidP="009C2105">
            <w:pPr>
              <w:pStyle w:val="TabelalevoUMAR"/>
            </w:pPr>
            <w:r w:rsidRPr="00B80429">
              <w:t>5 Kemični proizvodi</w:t>
            </w:r>
          </w:p>
        </w:tc>
        <w:tc>
          <w:tcPr>
            <w:tcW w:w="766" w:type="dxa"/>
            <w:noWrap/>
            <w:vAlign w:val="bottom"/>
            <w:hideMark/>
          </w:tcPr>
          <w:p w14:paraId="45834EE9" w14:textId="77777777" w:rsidR="006C35F8" w:rsidRPr="00B80429" w:rsidRDefault="006C35F8" w:rsidP="00BF5199">
            <w:pPr>
              <w:pStyle w:val="TabeladesnoUMAR"/>
            </w:pPr>
            <w:r w:rsidRPr="00910588">
              <w:t>464,8</w:t>
            </w:r>
          </w:p>
        </w:tc>
        <w:tc>
          <w:tcPr>
            <w:tcW w:w="752" w:type="dxa"/>
            <w:noWrap/>
            <w:vAlign w:val="bottom"/>
            <w:hideMark/>
          </w:tcPr>
          <w:p w14:paraId="59771550" w14:textId="77777777" w:rsidR="006C35F8" w:rsidRPr="00B80429" w:rsidRDefault="006C35F8" w:rsidP="00BF5199">
            <w:pPr>
              <w:pStyle w:val="TabeladesnoUMAR"/>
            </w:pPr>
            <w:r w:rsidRPr="00B80429">
              <w:t>56,2</w:t>
            </w:r>
          </w:p>
        </w:tc>
        <w:tc>
          <w:tcPr>
            <w:tcW w:w="1067" w:type="dxa"/>
            <w:noWrap/>
            <w:vAlign w:val="bottom"/>
            <w:hideMark/>
          </w:tcPr>
          <w:p w14:paraId="487981A4" w14:textId="77777777" w:rsidR="006C35F8" w:rsidRPr="00B80429" w:rsidRDefault="006C35F8" w:rsidP="00BF5199">
            <w:pPr>
              <w:pStyle w:val="TabeladesnoUMAR"/>
            </w:pPr>
            <w:r w:rsidRPr="00B80429">
              <w:t>9,6</w:t>
            </w:r>
          </w:p>
        </w:tc>
        <w:tc>
          <w:tcPr>
            <w:tcW w:w="623" w:type="dxa"/>
            <w:noWrap/>
            <w:vAlign w:val="bottom"/>
            <w:hideMark/>
          </w:tcPr>
          <w:p w14:paraId="786F59C6" w14:textId="77777777" w:rsidR="006C35F8" w:rsidRPr="00B80429" w:rsidRDefault="006C35F8" w:rsidP="00BF5199">
            <w:pPr>
              <w:pStyle w:val="TabeladesnoUMAR"/>
            </w:pPr>
            <w:r w:rsidRPr="00B80429">
              <w:t>483,5</w:t>
            </w:r>
          </w:p>
        </w:tc>
        <w:tc>
          <w:tcPr>
            <w:tcW w:w="752" w:type="dxa"/>
            <w:noWrap/>
            <w:vAlign w:val="bottom"/>
            <w:hideMark/>
          </w:tcPr>
          <w:p w14:paraId="62D40208" w14:textId="77777777" w:rsidR="006C35F8" w:rsidRPr="00B80429" w:rsidRDefault="006C35F8" w:rsidP="00BF5199">
            <w:pPr>
              <w:pStyle w:val="TabeladesnoUMAR"/>
            </w:pPr>
            <w:r w:rsidRPr="00B80429">
              <w:t>56,6</w:t>
            </w:r>
          </w:p>
        </w:tc>
        <w:tc>
          <w:tcPr>
            <w:tcW w:w="715" w:type="dxa"/>
            <w:noWrap/>
            <w:vAlign w:val="bottom"/>
            <w:hideMark/>
          </w:tcPr>
          <w:p w14:paraId="7A5EC58B" w14:textId="77777777" w:rsidR="006C35F8" w:rsidRPr="00B80429" w:rsidRDefault="006C35F8" w:rsidP="00BF5199">
            <w:pPr>
              <w:pStyle w:val="TabeladesnoUMAR"/>
            </w:pPr>
            <w:r w:rsidRPr="00B80429">
              <w:t>813,3</w:t>
            </w:r>
          </w:p>
        </w:tc>
        <w:tc>
          <w:tcPr>
            <w:tcW w:w="752" w:type="dxa"/>
            <w:noWrap/>
            <w:vAlign w:val="bottom"/>
            <w:hideMark/>
          </w:tcPr>
          <w:p w14:paraId="20CD6121" w14:textId="77777777" w:rsidR="006C35F8" w:rsidRPr="00B80429" w:rsidRDefault="006C35F8" w:rsidP="00BF5199">
            <w:pPr>
              <w:pStyle w:val="TabeladesnoUMAR"/>
            </w:pPr>
            <w:r w:rsidRPr="00B80429">
              <w:t>68,9</w:t>
            </w:r>
          </w:p>
        </w:tc>
        <w:tc>
          <w:tcPr>
            <w:tcW w:w="623" w:type="dxa"/>
            <w:noWrap/>
            <w:vAlign w:val="bottom"/>
            <w:hideMark/>
          </w:tcPr>
          <w:p w14:paraId="0213FDBE" w14:textId="77777777" w:rsidR="006C35F8" w:rsidRPr="00B80429" w:rsidRDefault="006C35F8" w:rsidP="00BF5199">
            <w:pPr>
              <w:pStyle w:val="TabeladesnoUMAR"/>
            </w:pPr>
            <w:r w:rsidRPr="00B80429">
              <w:t>422,6</w:t>
            </w:r>
          </w:p>
        </w:tc>
        <w:tc>
          <w:tcPr>
            <w:tcW w:w="888" w:type="dxa"/>
            <w:noWrap/>
            <w:vAlign w:val="bottom"/>
            <w:hideMark/>
          </w:tcPr>
          <w:p w14:paraId="53FA11D4" w14:textId="77777777" w:rsidR="006C35F8" w:rsidRPr="00B80429" w:rsidRDefault="006C35F8" w:rsidP="00BF5199">
            <w:pPr>
              <w:pStyle w:val="TabeladesnoUMAR"/>
            </w:pPr>
            <w:r w:rsidRPr="00B80429">
              <w:t>76,1</w:t>
            </w:r>
          </w:p>
        </w:tc>
      </w:tr>
      <w:tr w:rsidR="006C35F8" w:rsidRPr="00B80429" w14:paraId="7EA4587B" w14:textId="77777777" w:rsidTr="00BF5199">
        <w:trPr>
          <w:trHeight w:val="126"/>
        </w:trPr>
        <w:tc>
          <w:tcPr>
            <w:tcW w:w="2122" w:type="dxa"/>
            <w:hideMark/>
          </w:tcPr>
          <w:p w14:paraId="5614C0BC" w14:textId="77777777" w:rsidR="006C35F8" w:rsidRPr="00B80429" w:rsidRDefault="006C35F8" w:rsidP="009C2105">
            <w:pPr>
              <w:pStyle w:val="TabelalevoUMAR"/>
            </w:pPr>
            <w:r w:rsidRPr="00B80429">
              <w:t>7 Stroji in transportne naprave</w:t>
            </w:r>
          </w:p>
        </w:tc>
        <w:tc>
          <w:tcPr>
            <w:tcW w:w="766" w:type="dxa"/>
            <w:noWrap/>
            <w:vAlign w:val="bottom"/>
            <w:hideMark/>
          </w:tcPr>
          <w:p w14:paraId="7532C575" w14:textId="77777777" w:rsidR="006C35F8" w:rsidRPr="00B80429" w:rsidRDefault="006C35F8" w:rsidP="00BF5199">
            <w:pPr>
              <w:pStyle w:val="TabeladesnoUMAR"/>
            </w:pPr>
            <w:r w:rsidRPr="00910588">
              <w:t>200,4</w:t>
            </w:r>
          </w:p>
        </w:tc>
        <w:tc>
          <w:tcPr>
            <w:tcW w:w="752" w:type="dxa"/>
            <w:noWrap/>
            <w:vAlign w:val="bottom"/>
            <w:hideMark/>
          </w:tcPr>
          <w:p w14:paraId="37CE1F8D" w14:textId="77777777" w:rsidR="006C35F8" w:rsidRPr="00B80429" w:rsidRDefault="006C35F8" w:rsidP="00BF5199">
            <w:pPr>
              <w:pStyle w:val="TabeladesnoUMAR"/>
            </w:pPr>
            <w:r w:rsidRPr="00B80429">
              <w:t>24,2</w:t>
            </w:r>
          </w:p>
        </w:tc>
        <w:tc>
          <w:tcPr>
            <w:tcW w:w="1067" w:type="dxa"/>
            <w:noWrap/>
            <w:vAlign w:val="bottom"/>
            <w:hideMark/>
          </w:tcPr>
          <w:p w14:paraId="799D3C69" w14:textId="77777777" w:rsidR="006C35F8" w:rsidRPr="00B80429" w:rsidRDefault="006C35F8" w:rsidP="00BF5199">
            <w:pPr>
              <w:pStyle w:val="TabeladesnoUMAR"/>
            </w:pPr>
            <w:r w:rsidRPr="00B80429">
              <w:t>1,8</w:t>
            </w:r>
          </w:p>
        </w:tc>
        <w:tc>
          <w:tcPr>
            <w:tcW w:w="623" w:type="dxa"/>
            <w:noWrap/>
            <w:vAlign w:val="bottom"/>
            <w:hideMark/>
          </w:tcPr>
          <w:p w14:paraId="20238055" w14:textId="77777777" w:rsidR="006C35F8" w:rsidRPr="00B80429" w:rsidRDefault="006C35F8" w:rsidP="00BF5199">
            <w:pPr>
              <w:pStyle w:val="TabeladesnoUMAR"/>
            </w:pPr>
            <w:r w:rsidRPr="00B80429">
              <w:t>196,6</w:t>
            </w:r>
          </w:p>
        </w:tc>
        <w:tc>
          <w:tcPr>
            <w:tcW w:w="752" w:type="dxa"/>
            <w:noWrap/>
            <w:vAlign w:val="bottom"/>
            <w:hideMark/>
          </w:tcPr>
          <w:p w14:paraId="0CFEFDD8" w14:textId="77777777" w:rsidR="006C35F8" w:rsidRPr="00B80429" w:rsidRDefault="006C35F8" w:rsidP="00BF5199">
            <w:pPr>
              <w:pStyle w:val="TabeladesnoUMAR"/>
            </w:pPr>
            <w:r w:rsidRPr="00B80429">
              <w:t>23,0</w:t>
            </w:r>
          </w:p>
        </w:tc>
        <w:tc>
          <w:tcPr>
            <w:tcW w:w="715" w:type="dxa"/>
            <w:noWrap/>
            <w:vAlign w:val="bottom"/>
            <w:hideMark/>
          </w:tcPr>
          <w:p w14:paraId="2D5D0D74" w14:textId="77777777" w:rsidR="006C35F8" w:rsidRPr="00B80429" w:rsidRDefault="006C35F8" w:rsidP="00BF5199">
            <w:pPr>
              <w:pStyle w:val="TabeladesnoUMAR"/>
            </w:pPr>
            <w:r w:rsidRPr="00B80429">
              <w:t>214,6</w:t>
            </w:r>
          </w:p>
        </w:tc>
        <w:tc>
          <w:tcPr>
            <w:tcW w:w="752" w:type="dxa"/>
            <w:noWrap/>
            <w:vAlign w:val="bottom"/>
            <w:hideMark/>
          </w:tcPr>
          <w:p w14:paraId="65D9E7A4" w14:textId="77777777" w:rsidR="006C35F8" w:rsidRPr="00B80429" w:rsidRDefault="006C35F8" w:rsidP="00BF5199">
            <w:pPr>
              <w:pStyle w:val="TabeladesnoUMAR"/>
            </w:pPr>
            <w:r w:rsidRPr="00B80429">
              <w:t>18,2</w:t>
            </w:r>
          </w:p>
        </w:tc>
        <w:tc>
          <w:tcPr>
            <w:tcW w:w="623" w:type="dxa"/>
            <w:noWrap/>
            <w:vAlign w:val="bottom"/>
            <w:hideMark/>
          </w:tcPr>
          <w:p w14:paraId="739869DF" w14:textId="77777777" w:rsidR="006C35F8" w:rsidRPr="00B80429" w:rsidRDefault="006C35F8" w:rsidP="00BF5199">
            <w:pPr>
              <w:pStyle w:val="TabeladesnoUMAR"/>
            </w:pPr>
            <w:r w:rsidRPr="00B80429">
              <w:t>87,4</w:t>
            </w:r>
          </w:p>
        </w:tc>
        <w:tc>
          <w:tcPr>
            <w:tcW w:w="888" w:type="dxa"/>
            <w:noWrap/>
            <w:vAlign w:val="bottom"/>
            <w:hideMark/>
          </w:tcPr>
          <w:p w14:paraId="39229469" w14:textId="77777777" w:rsidR="006C35F8" w:rsidRPr="00B80429" w:rsidRDefault="006C35F8" w:rsidP="00BF5199">
            <w:pPr>
              <w:pStyle w:val="TabeladesnoUMAR"/>
            </w:pPr>
            <w:r w:rsidRPr="00B80429">
              <w:t>15,7</w:t>
            </w:r>
          </w:p>
        </w:tc>
      </w:tr>
      <w:tr w:rsidR="006C35F8" w:rsidRPr="00B80429" w14:paraId="4C562968" w14:textId="77777777" w:rsidTr="00BF5199">
        <w:trPr>
          <w:trHeight w:val="90"/>
        </w:trPr>
        <w:tc>
          <w:tcPr>
            <w:tcW w:w="2122" w:type="dxa"/>
            <w:hideMark/>
          </w:tcPr>
          <w:p w14:paraId="01E36CCF" w14:textId="77777777" w:rsidR="006C35F8" w:rsidRPr="00B80429" w:rsidRDefault="006C35F8" w:rsidP="009C2105">
            <w:pPr>
              <w:pStyle w:val="TabelalevoUMAR"/>
            </w:pPr>
            <w:r w:rsidRPr="00B80429">
              <w:t>6 Izdelki, razvrščeni po materialu</w:t>
            </w:r>
          </w:p>
        </w:tc>
        <w:tc>
          <w:tcPr>
            <w:tcW w:w="766" w:type="dxa"/>
            <w:noWrap/>
            <w:vAlign w:val="bottom"/>
            <w:hideMark/>
          </w:tcPr>
          <w:p w14:paraId="0CD1FA13" w14:textId="77777777" w:rsidR="006C35F8" w:rsidRPr="00B80429" w:rsidRDefault="006C35F8" w:rsidP="00BF5199">
            <w:pPr>
              <w:pStyle w:val="TabeladesnoUMAR"/>
            </w:pPr>
            <w:r w:rsidRPr="00910588">
              <w:t>93,1</w:t>
            </w:r>
          </w:p>
        </w:tc>
        <w:tc>
          <w:tcPr>
            <w:tcW w:w="752" w:type="dxa"/>
            <w:noWrap/>
            <w:vAlign w:val="bottom"/>
            <w:hideMark/>
          </w:tcPr>
          <w:p w14:paraId="6E735935" w14:textId="77777777" w:rsidR="006C35F8" w:rsidRPr="00B80429" w:rsidRDefault="006C35F8" w:rsidP="00BF5199">
            <w:pPr>
              <w:pStyle w:val="TabeladesnoUMAR"/>
            </w:pPr>
            <w:r w:rsidRPr="00B80429">
              <w:t>11,3</w:t>
            </w:r>
          </w:p>
        </w:tc>
        <w:tc>
          <w:tcPr>
            <w:tcW w:w="1067" w:type="dxa"/>
            <w:noWrap/>
            <w:vAlign w:val="bottom"/>
            <w:hideMark/>
          </w:tcPr>
          <w:p w14:paraId="5A3240D3" w14:textId="77777777" w:rsidR="006C35F8" w:rsidRPr="00B80429" w:rsidRDefault="006C35F8" w:rsidP="00BF5199">
            <w:pPr>
              <w:pStyle w:val="TabeladesnoUMAR"/>
            </w:pPr>
            <w:r w:rsidRPr="00B80429">
              <w:t>1,6</w:t>
            </w:r>
          </w:p>
        </w:tc>
        <w:tc>
          <w:tcPr>
            <w:tcW w:w="623" w:type="dxa"/>
            <w:noWrap/>
            <w:vAlign w:val="bottom"/>
            <w:hideMark/>
          </w:tcPr>
          <w:p w14:paraId="54EDD603" w14:textId="77777777" w:rsidR="006C35F8" w:rsidRPr="00B80429" w:rsidRDefault="006C35F8" w:rsidP="00BF5199">
            <w:pPr>
              <w:pStyle w:val="TabeladesnoUMAR"/>
            </w:pPr>
            <w:r w:rsidRPr="00B80429">
              <w:t>100,4</w:t>
            </w:r>
          </w:p>
        </w:tc>
        <w:tc>
          <w:tcPr>
            <w:tcW w:w="752" w:type="dxa"/>
            <w:noWrap/>
            <w:vAlign w:val="bottom"/>
            <w:hideMark/>
          </w:tcPr>
          <w:p w14:paraId="4338187E" w14:textId="77777777" w:rsidR="006C35F8" w:rsidRPr="00B80429" w:rsidRDefault="006C35F8" w:rsidP="00BF5199">
            <w:pPr>
              <w:pStyle w:val="TabeladesnoUMAR"/>
            </w:pPr>
            <w:r w:rsidRPr="00B80429">
              <w:t>11,8</w:t>
            </w:r>
          </w:p>
        </w:tc>
        <w:tc>
          <w:tcPr>
            <w:tcW w:w="715" w:type="dxa"/>
            <w:noWrap/>
            <w:vAlign w:val="bottom"/>
            <w:hideMark/>
          </w:tcPr>
          <w:p w14:paraId="5A1066B9" w14:textId="77777777" w:rsidR="006C35F8" w:rsidRPr="00B80429" w:rsidRDefault="006C35F8" w:rsidP="00BF5199">
            <w:pPr>
              <w:pStyle w:val="TabeladesnoUMAR"/>
            </w:pPr>
            <w:r w:rsidRPr="00B80429">
              <w:t>95,6</w:t>
            </w:r>
          </w:p>
        </w:tc>
        <w:tc>
          <w:tcPr>
            <w:tcW w:w="752" w:type="dxa"/>
            <w:noWrap/>
            <w:vAlign w:val="bottom"/>
            <w:hideMark/>
          </w:tcPr>
          <w:p w14:paraId="4241B5F4" w14:textId="77777777" w:rsidR="006C35F8" w:rsidRPr="00B80429" w:rsidRDefault="006C35F8" w:rsidP="00BF5199">
            <w:pPr>
              <w:pStyle w:val="TabeladesnoUMAR"/>
            </w:pPr>
            <w:r w:rsidRPr="00B80429">
              <w:t>8,1</w:t>
            </w:r>
          </w:p>
        </w:tc>
        <w:tc>
          <w:tcPr>
            <w:tcW w:w="623" w:type="dxa"/>
            <w:noWrap/>
            <w:vAlign w:val="bottom"/>
            <w:hideMark/>
          </w:tcPr>
          <w:p w14:paraId="6DEE16F2" w14:textId="77777777" w:rsidR="006C35F8" w:rsidRPr="00B80429" w:rsidRDefault="006C35F8" w:rsidP="00BF5199">
            <w:pPr>
              <w:pStyle w:val="TabeladesnoUMAR"/>
            </w:pPr>
            <w:r w:rsidRPr="00B80429">
              <w:t>25,7</w:t>
            </w:r>
          </w:p>
        </w:tc>
        <w:tc>
          <w:tcPr>
            <w:tcW w:w="888" w:type="dxa"/>
            <w:noWrap/>
            <w:vAlign w:val="bottom"/>
            <w:hideMark/>
          </w:tcPr>
          <w:p w14:paraId="61F342CA" w14:textId="77777777" w:rsidR="006C35F8" w:rsidRPr="00B80429" w:rsidRDefault="006C35F8" w:rsidP="00BF5199">
            <w:pPr>
              <w:pStyle w:val="TabeladesnoUMAR"/>
            </w:pPr>
            <w:r w:rsidRPr="00B80429">
              <w:t>4,6</w:t>
            </w:r>
          </w:p>
        </w:tc>
      </w:tr>
      <w:tr w:rsidR="006C35F8" w:rsidRPr="00B80429" w14:paraId="2EB9E7C4" w14:textId="77777777" w:rsidTr="00BF5199">
        <w:trPr>
          <w:trHeight w:val="54"/>
        </w:trPr>
        <w:tc>
          <w:tcPr>
            <w:tcW w:w="2122" w:type="dxa"/>
            <w:hideMark/>
          </w:tcPr>
          <w:p w14:paraId="207F5572" w14:textId="77777777" w:rsidR="006C35F8" w:rsidRPr="00B80429" w:rsidRDefault="006C35F8" w:rsidP="009C2105">
            <w:pPr>
              <w:pStyle w:val="TabelalevoUMAR"/>
            </w:pPr>
            <w:r w:rsidRPr="00B80429">
              <w:t>8 Razni izdelki</w:t>
            </w:r>
          </w:p>
        </w:tc>
        <w:tc>
          <w:tcPr>
            <w:tcW w:w="766" w:type="dxa"/>
            <w:noWrap/>
            <w:vAlign w:val="bottom"/>
            <w:hideMark/>
          </w:tcPr>
          <w:p w14:paraId="4FFDC803" w14:textId="77777777" w:rsidR="006C35F8" w:rsidRPr="00B80429" w:rsidRDefault="006C35F8" w:rsidP="00BF5199">
            <w:pPr>
              <w:pStyle w:val="TabeladesnoUMAR"/>
            </w:pPr>
            <w:r w:rsidRPr="00910588">
              <w:t>33,4</w:t>
            </w:r>
          </w:p>
        </w:tc>
        <w:tc>
          <w:tcPr>
            <w:tcW w:w="752" w:type="dxa"/>
            <w:noWrap/>
            <w:vAlign w:val="bottom"/>
            <w:hideMark/>
          </w:tcPr>
          <w:p w14:paraId="55EEED83" w14:textId="77777777" w:rsidR="006C35F8" w:rsidRPr="00B80429" w:rsidRDefault="006C35F8" w:rsidP="00BF5199">
            <w:pPr>
              <w:pStyle w:val="TabeladesnoUMAR"/>
            </w:pPr>
            <w:r w:rsidRPr="00B80429">
              <w:t>4,0</w:t>
            </w:r>
          </w:p>
        </w:tc>
        <w:tc>
          <w:tcPr>
            <w:tcW w:w="1067" w:type="dxa"/>
            <w:noWrap/>
            <w:vAlign w:val="bottom"/>
            <w:hideMark/>
          </w:tcPr>
          <w:p w14:paraId="4A1A8CF0" w14:textId="77777777" w:rsidR="006C35F8" w:rsidRPr="00B80429" w:rsidRDefault="006C35F8" w:rsidP="00BF5199">
            <w:pPr>
              <w:pStyle w:val="TabeladesnoUMAR"/>
            </w:pPr>
            <w:r w:rsidRPr="00B80429">
              <w:t>1,0</w:t>
            </w:r>
          </w:p>
        </w:tc>
        <w:tc>
          <w:tcPr>
            <w:tcW w:w="623" w:type="dxa"/>
            <w:noWrap/>
            <w:vAlign w:val="bottom"/>
            <w:hideMark/>
          </w:tcPr>
          <w:p w14:paraId="779D9E90" w14:textId="77777777" w:rsidR="006C35F8" w:rsidRPr="00B80429" w:rsidRDefault="006C35F8" w:rsidP="00BF5199">
            <w:pPr>
              <w:pStyle w:val="TabeladesnoUMAR"/>
            </w:pPr>
            <w:r w:rsidRPr="00B80429">
              <w:t>37,5</w:t>
            </w:r>
          </w:p>
        </w:tc>
        <w:tc>
          <w:tcPr>
            <w:tcW w:w="752" w:type="dxa"/>
            <w:noWrap/>
            <w:vAlign w:val="bottom"/>
            <w:hideMark/>
          </w:tcPr>
          <w:p w14:paraId="74D8F02C" w14:textId="77777777" w:rsidR="006C35F8" w:rsidRPr="00B80429" w:rsidRDefault="006C35F8" w:rsidP="00BF5199">
            <w:pPr>
              <w:pStyle w:val="TabeladesnoUMAR"/>
            </w:pPr>
            <w:r w:rsidRPr="00B80429">
              <w:t>4,4</w:t>
            </w:r>
          </w:p>
        </w:tc>
        <w:tc>
          <w:tcPr>
            <w:tcW w:w="715" w:type="dxa"/>
            <w:noWrap/>
            <w:vAlign w:val="bottom"/>
            <w:hideMark/>
          </w:tcPr>
          <w:p w14:paraId="4182BD8C" w14:textId="77777777" w:rsidR="006C35F8" w:rsidRPr="00B80429" w:rsidRDefault="006C35F8" w:rsidP="00BF5199">
            <w:pPr>
              <w:pStyle w:val="TabeladesnoUMAR"/>
            </w:pPr>
            <w:r w:rsidRPr="00B80429">
              <w:t>32,0</w:t>
            </w:r>
          </w:p>
        </w:tc>
        <w:tc>
          <w:tcPr>
            <w:tcW w:w="752" w:type="dxa"/>
            <w:noWrap/>
            <w:vAlign w:val="bottom"/>
            <w:hideMark/>
          </w:tcPr>
          <w:p w14:paraId="4FAE7D8C" w14:textId="77777777" w:rsidR="006C35F8" w:rsidRPr="00B80429" w:rsidRDefault="006C35F8" w:rsidP="00BF5199">
            <w:pPr>
              <w:pStyle w:val="TabeladesnoUMAR"/>
            </w:pPr>
            <w:r w:rsidRPr="00B80429">
              <w:t>2,7</w:t>
            </w:r>
          </w:p>
        </w:tc>
        <w:tc>
          <w:tcPr>
            <w:tcW w:w="623" w:type="dxa"/>
            <w:noWrap/>
            <w:vAlign w:val="bottom"/>
            <w:hideMark/>
          </w:tcPr>
          <w:p w14:paraId="74134DF4" w14:textId="77777777" w:rsidR="006C35F8" w:rsidRPr="00B80429" w:rsidRDefault="006C35F8" w:rsidP="00BF5199">
            <w:pPr>
              <w:pStyle w:val="TabeladesnoUMAR"/>
            </w:pPr>
            <w:r w:rsidRPr="00B80429">
              <w:t>9,5</w:t>
            </w:r>
          </w:p>
        </w:tc>
        <w:tc>
          <w:tcPr>
            <w:tcW w:w="888" w:type="dxa"/>
            <w:noWrap/>
            <w:vAlign w:val="bottom"/>
            <w:hideMark/>
          </w:tcPr>
          <w:p w14:paraId="23A291A3" w14:textId="77777777" w:rsidR="006C35F8" w:rsidRPr="00B80429" w:rsidRDefault="006C35F8" w:rsidP="00BF5199">
            <w:pPr>
              <w:pStyle w:val="TabeladesnoUMAR"/>
            </w:pPr>
            <w:r w:rsidRPr="00B80429">
              <w:t>1,7</w:t>
            </w:r>
          </w:p>
        </w:tc>
      </w:tr>
      <w:tr w:rsidR="006C35F8" w:rsidRPr="00B80429" w14:paraId="36022B58" w14:textId="77777777" w:rsidTr="00BF5199">
        <w:trPr>
          <w:trHeight w:val="54"/>
        </w:trPr>
        <w:tc>
          <w:tcPr>
            <w:tcW w:w="2122" w:type="dxa"/>
            <w:hideMark/>
          </w:tcPr>
          <w:p w14:paraId="2CFD23F8" w14:textId="77777777" w:rsidR="006C35F8" w:rsidRPr="00B80429" w:rsidRDefault="006C35F8" w:rsidP="009C2105">
            <w:pPr>
              <w:pStyle w:val="TabelalevoUMAR"/>
            </w:pPr>
            <w:r w:rsidRPr="00B80429">
              <w:t>0 Živila in žive živali</w:t>
            </w:r>
          </w:p>
        </w:tc>
        <w:tc>
          <w:tcPr>
            <w:tcW w:w="766" w:type="dxa"/>
            <w:noWrap/>
            <w:vAlign w:val="bottom"/>
            <w:hideMark/>
          </w:tcPr>
          <w:p w14:paraId="0659ABCD" w14:textId="77777777" w:rsidR="006C35F8" w:rsidRPr="00B80429" w:rsidRDefault="006C35F8" w:rsidP="00BF5199">
            <w:pPr>
              <w:pStyle w:val="TabeladesnoUMAR"/>
            </w:pPr>
            <w:r w:rsidRPr="00910588">
              <w:t>30,0</w:t>
            </w:r>
          </w:p>
        </w:tc>
        <w:tc>
          <w:tcPr>
            <w:tcW w:w="752" w:type="dxa"/>
            <w:noWrap/>
            <w:vAlign w:val="bottom"/>
            <w:hideMark/>
          </w:tcPr>
          <w:p w14:paraId="39208E9F" w14:textId="77777777" w:rsidR="006C35F8" w:rsidRPr="00B80429" w:rsidRDefault="006C35F8" w:rsidP="00BF5199">
            <w:pPr>
              <w:pStyle w:val="TabeladesnoUMAR"/>
            </w:pPr>
            <w:r w:rsidRPr="00B80429">
              <w:t>3,6</w:t>
            </w:r>
          </w:p>
        </w:tc>
        <w:tc>
          <w:tcPr>
            <w:tcW w:w="1067" w:type="dxa"/>
            <w:noWrap/>
            <w:vAlign w:val="bottom"/>
            <w:hideMark/>
          </w:tcPr>
          <w:p w14:paraId="310C379D" w14:textId="77777777" w:rsidR="006C35F8" w:rsidRPr="00B80429" w:rsidRDefault="006C35F8" w:rsidP="00BF5199">
            <w:pPr>
              <w:pStyle w:val="TabeladesnoUMAR"/>
            </w:pPr>
            <w:r w:rsidRPr="00B80429">
              <w:t>2,6</w:t>
            </w:r>
          </w:p>
        </w:tc>
        <w:tc>
          <w:tcPr>
            <w:tcW w:w="623" w:type="dxa"/>
            <w:noWrap/>
            <w:vAlign w:val="bottom"/>
            <w:hideMark/>
          </w:tcPr>
          <w:p w14:paraId="3CBE514F" w14:textId="77777777" w:rsidR="006C35F8" w:rsidRPr="00B80429" w:rsidRDefault="006C35F8" w:rsidP="00BF5199">
            <w:pPr>
              <w:pStyle w:val="TabeladesnoUMAR"/>
            </w:pPr>
            <w:r w:rsidRPr="00B80429">
              <w:t>31,6</w:t>
            </w:r>
          </w:p>
        </w:tc>
        <w:tc>
          <w:tcPr>
            <w:tcW w:w="752" w:type="dxa"/>
            <w:noWrap/>
            <w:vAlign w:val="bottom"/>
            <w:hideMark/>
          </w:tcPr>
          <w:p w14:paraId="6C422448" w14:textId="77777777" w:rsidR="006C35F8" w:rsidRPr="00B80429" w:rsidRDefault="006C35F8" w:rsidP="00BF5199">
            <w:pPr>
              <w:pStyle w:val="TabeladesnoUMAR"/>
            </w:pPr>
            <w:r w:rsidRPr="00B80429">
              <w:t>3,7</w:t>
            </w:r>
          </w:p>
        </w:tc>
        <w:tc>
          <w:tcPr>
            <w:tcW w:w="715" w:type="dxa"/>
            <w:noWrap/>
            <w:vAlign w:val="bottom"/>
            <w:hideMark/>
          </w:tcPr>
          <w:p w14:paraId="4076BD2A" w14:textId="77777777" w:rsidR="006C35F8" w:rsidRPr="00B80429" w:rsidRDefault="006C35F8" w:rsidP="00BF5199">
            <w:pPr>
              <w:pStyle w:val="TabeladesnoUMAR"/>
            </w:pPr>
            <w:r w:rsidRPr="00B80429">
              <w:t>20,0</w:t>
            </w:r>
          </w:p>
        </w:tc>
        <w:tc>
          <w:tcPr>
            <w:tcW w:w="752" w:type="dxa"/>
            <w:noWrap/>
            <w:vAlign w:val="bottom"/>
            <w:hideMark/>
          </w:tcPr>
          <w:p w14:paraId="2643DA63" w14:textId="77777777" w:rsidR="006C35F8" w:rsidRPr="00B80429" w:rsidRDefault="006C35F8" w:rsidP="00BF5199">
            <w:pPr>
              <w:pStyle w:val="TabeladesnoUMAR"/>
            </w:pPr>
            <w:r w:rsidRPr="00B80429">
              <w:t>1,7</w:t>
            </w:r>
          </w:p>
        </w:tc>
        <w:tc>
          <w:tcPr>
            <w:tcW w:w="623" w:type="dxa"/>
            <w:noWrap/>
            <w:vAlign w:val="bottom"/>
            <w:hideMark/>
          </w:tcPr>
          <w:p w14:paraId="141DD18C" w14:textId="77777777" w:rsidR="006C35F8" w:rsidRPr="00B80429" w:rsidRDefault="006C35F8" w:rsidP="00BF5199">
            <w:pPr>
              <w:pStyle w:val="TabeladesnoUMAR"/>
            </w:pPr>
            <w:r w:rsidRPr="00B80429">
              <w:t>8,4</w:t>
            </w:r>
          </w:p>
        </w:tc>
        <w:tc>
          <w:tcPr>
            <w:tcW w:w="888" w:type="dxa"/>
            <w:noWrap/>
            <w:vAlign w:val="bottom"/>
            <w:hideMark/>
          </w:tcPr>
          <w:p w14:paraId="56FCA992" w14:textId="77777777" w:rsidR="006C35F8" w:rsidRPr="00B80429" w:rsidRDefault="006C35F8" w:rsidP="00BF5199">
            <w:pPr>
              <w:pStyle w:val="TabeladesnoUMAR"/>
            </w:pPr>
            <w:r w:rsidRPr="00B80429">
              <w:t>1,5</w:t>
            </w:r>
          </w:p>
        </w:tc>
      </w:tr>
      <w:tr w:rsidR="006C35F8" w:rsidRPr="00B80429" w14:paraId="32489A27" w14:textId="77777777" w:rsidTr="00BF5199">
        <w:trPr>
          <w:trHeight w:val="54"/>
        </w:trPr>
        <w:tc>
          <w:tcPr>
            <w:tcW w:w="2122" w:type="dxa"/>
            <w:hideMark/>
          </w:tcPr>
          <w:p w14:paraId="0C4598A0" w14:textId="77777777" w:rsidR="006C35F8" w:rsidRPr="00B80429" w:rsidRDefault="006C35F8" w:rsidP="009C2105">
            <w:pPr>
              <w:pStyle w:val="TabelalevoUMAR"/>
            </w:pPr>
            <w:r w:rsidRPr="00B80429">
              <w:t>1 Pijače in tobak</w:t>
            </w:r>
          </w:p>
        </w:tc>
        <w:tc>
          <w:tcPr>
            <w:tcW w:w="766" w:type="dxa"/>
            <w:noWrap/>
            <w:vAlign w:val="bottom"/>
            <w:hideMark/>
          </w:tcPr>
          <w:p w14:paraId="64FCFACE" w14:textId="77777777" w:rsidR="006C35F8" w:rsidRPr="00B80429" w:rsidRDefault="006C35F8" w:rsidP="00BF5199">
            <w:pPr>
              <w:pStyle w:val="TabeladesnoUMAR"/>
            </w:pPr>
            <w:r w:rsidRPr="00910588">
              <w:t>2,6</w:t>
            </w:r>
          </w:p>
        </w:tc>
        <w:tc>
          <w:tcPr>
            <w:tcW w:w="752" w:type="dxa"/>
            <w:noWrap/>
            <w:vAlign w:val="bottom"/>
            <w:hideMark/>
          </w:tcPr>
          <w:p w14:paraId="582E9204" w14:textId="77777777" w:rsidR="006C35F8" w:rsidRPr="00B80429" w:rsidRDefault="006C35F8" w:rsidP="00BF5199">
            <w:pPr>
              <w:pStyle w:val="TabeladesnoUMAR"/>
            </w:pPr>
            <w:r w:rsidRPr="00B80429">
              <w:t>0,3</w:t>
            </w:r>
          </w:p>
        </w:tc>
        <w:tc>
          <w:tcPr>
            <w:tcW w:w="1067" w:type="dxa"/>
            <w:noWrap/>
            <w:vAlign w:val="bottom"/>
            <w:hideMark/>
          </w:tcPr>
          <w:p w14:paraId="0DA493D9" w14:textId="77777777" w:rsidR="006C35F8" w:rsidRPr="00B80429" w:rsidRDefault="006C35F8" w:rsidP="00BF5199">
            <w:pPr>
              <w:pStyle w:val="TabeladesnoUMAR"/>
            </w:pPr>
            <w:r w:rsidRPr="00B80429">
              <w:t>2,0</w:t>
            </w:r>
          </w:p>
        </w:tc>
        <w:tc>
          <w:tcPr>
            <w:tcW w:w="623" w:type="dxa"/>
            <w:noWrap/>
            <w:vAlign w:val="bottom"/>
            <w:hideMark/>
          </w:tcPr>
          <w:p w14:paraId="7DC8B0FD" w14:textId="77777777" w:rsidR="006C35F8" w:rsidRPr="00B80429" w:rsidRDefault="006C35F8" w:rsidP="00BF5199">
            <w:pPr>
              <w:pStyle w:val="TabeladesnoUMAR"/>
            </w:pPr>
            <w:r w:rsidRPr="00B80429">
              <w:t>3,6</w:t>
            </w:r>
          </w:p>
        </w:tc>
        <w:tc>
          <w:tcPr>
            <w:tcW w:w="752" w:type="dxa"/>
            <w:noWrap/>
            <w:vAlign w:val="bottom"/>
            <w:hideMark/>
          </w:tcPr>
          <w:p w14:paraId="173ACCDA" w14:textId="77777777" w:rsidR="006C35F8" w:rsidRPr="00B80429" w:rsidRDefault="006C35F8" w:rsidP="00BF5199">
            <w:pPr>
              <w:pStyle w:val="TabeladesnoUMAR"/>
            </w:pPr>
            <w:r w:rsidRPr="00B80429">
              <w:t>0,4</w:t>
            </w:r>
          </w:p>
        </w:tc>
        <w:tc>
          <w:tcPr>
            <w:tcW w:w="715" w:type="dxa"/>
            <w:noWrap/>
            <w:vAlign w:val="bottom"/>
            <w:hideMark/>
          </w:tcPr>
          <w:p w14:paraId="45D1933F" w14:textId="77777777" w:rsidR="006C35F8" w:rsidRPr="00B80429" w:rsidRDefault="006C35F8" w:rsidP="00BF5199">
            <w:pPr>
              <w:pStyle w:val="TabeladesnoUMAR"/>
            </w:pPr>
            <w:r w:rsidRPr="00B80429">
              <w:t>3,7</w:t>
            </w:r>
          </w:p>
        </w:tc>
        <w:tc>
          <w:tcPr>
            <w:tcW w:w="752" w:type="dxa"/>
            <w:noWrap/>
            <w:vAlign w:val="bottom"/>
            <w:hideMark/>
          </w:tcPr>
          <w:p w14:paraId="140ABFBE" w14:textId="77777777" w:rsidR="006C35F8" w:rsidRPr="00B80429" w:rsidRDefault="006C35F8" w:rsidP="00BF5199">
            <w:pPr>
              <w:pStyle w:val="TabeladesnoUMAR"/>
            </w:pPr>
            <w:r w:rsidRPr="00B80429">
              <w:t>0,3</w:t>
            </w:r>
          </w:p>
        </w:tc>
        <w:tc>
          <w:tcPr>
            <w:tcW w:w="623" w:type="dxa"/>
            <w:noWrap/>
            <w:vAlign w:val="bottom"/>
            <w:hideMark/>
          </w:tcPr>
          <w:p w14:paraId="7B6A860E" w14:textId="77777777" w:rsidR="006C35F8" w:rsidRPr="00B80429" w:rsidRDefault="006C35F8" w:rsidP="00BF5199">
            <w:pPr>
              <w:pStyle w:val="TabeladesnoUMAR"/>
            </w:pPr>
            <w:r w:rsidRPr="00B80429">
              <w:t>1,9</w:t>
            </w:r>
          </w:p>
        </w:tc>
        <w:tc>
          <w:tcPr>
            <w:tcW w:w="888" w:type="dxa"/>
            <w:noWrap/>
            <w:vAlign w:val="bottom"/>
            <w:hideMark/>
          </w:tcPr>
          <w:p w14:paraId="40A5C378" w14:textId="77777777" w:rsidR="006C35F8" w:rsidRPr="00B80429" w:rsidRDefault="006C35F8" w:rsidP="00BF5199">
            <w:pPr>
              <w:pStyle w:val="TabeladesnoUMAR"/>
            </w:pPr>
            <w:r w:rsidRPr="00B80429">
              <w:t>0,3</w:t>
            </w:r>
          </w:p>
        </w:tc>
      </w:tr>
      <w:tr w:rsidR="006C35F8" w:rsidRPr="00B80429" w14:paraId="3A008AFB" w14:textId="77777777" w:rsidTr="00BF5199">
        <w:trPr>
          <w:trHeight w:val="54"/>
        </w:trPr>
        <w:tc>
          <w:tcPr>
            <w:tcW w:w="2122" w:type="dxa"/>
            <w:hideMark/>
          </w:tcPr>
          <w:p w14:paraId="264E8F8E" w14:textId="77777777" w:rsidR="006C35F8" w:rsidRPr="00B80429" w:rsidRDefault="006C35F8" w:rsidP="009C2105">
            <w:pPr>
              <w:pStyle w:val="TabelalevoUMAR"/>
            </w:pPr>
            <w:r w:rsidRPr="00B80429">
              <w:t>2 Surove snovi, razen goriv</w:t>
            </w:r>
          </w:p>
        </w:tc>
        <w:tc>
          <w:tcPr>
            <w:tcW w:w="766" w:type="dxa"/>
            <w:noWrap/>
            <w:vAlign w:val="bottom"/>
            <w:hideMark/>
          </w:tcPr>
          <w:p w14:paraId="2EE5F5B5" w14:textId="77777777" w:rsidR="006C35F8" w:rsidRPr="00B80429" w:rsidRDefault="006C35F8" w:rsidP="00BF5199">
            <w:pPr>
              <w:pStyle w:val="TabeladesnoUMAR"/>
            </w:pPr>
            <w:r w:rsidRPr="00910588">
              <w:t>1,3</w:t>
            </w:r>
          </w:p>
        </w:tc>
        <w:tc>
          <w:tcPr>
            <w:tcW w:w="752" w:type="dxa"/>
            <w:noWrap/>
            <w:vAlign w:val="bottom"/>
            <w:hideMark/>
          </w:tcPr>
          <w:p w14:paraId="470FE04B" w14:textId="77777777" w:rsidR="006C35F8" w:rsidRPr="00B80429" w:rsidRDefault="006C35F8" w:rsidP="00BF5199">
            <w:pPr>
              <w:pStyle w:val="TabeladesnoUMAR"/>
            </w:pPr>
            <w:r w:rsidRPr="00B80429">
              <w:t>0,2</w:t>
            </w:r>
          </w:p>
        </w:tc>
        <w:tc>
          <w:tcPr>
            <w:tcW w:w="1067" w:type="dxa"/>
            <w:noWrap/>
            <w:vAlign w:val="bottom"/>
            <w:hideMark/>
          </w:tcPr>
          <w:p w14:paraId="471C7849" w14:textId="77777777" w:rsidR="006C35F8" w:rsidRPr="00B80429" w:rsidRDefault="006C35F8" w:rsidP="00BF5199">
            <w:pPr>
              <w:pStyle w:val="TabeladesnoUMAR"/>
            </w:pPr>
            <w:r w:rsidRPr="00B80429">
              <w:t>0,1</w:t>
            </w:r>
          </w:p>
        </w:tc>
        <w:tc>
          <w:tcPr>
            <w:tcW w:w="623" w:type="dxa"/>
            <w:noWrap/>
            <w:vAlign w:val="bottom"/>
            <w:hideMark/>
          </w:tcPr>
          <w:p w14:paraId="2A3F5699" w14:textId="77777777" w:rsidR="006C35F8" w:rsidRPr="00B80429" w:rsidRDefault="006C35F8" w:rsidP="00BF5199">
            <w:pPr>
              <w:pStyle w:val="TabeladesnoUMAR"/>
            </w:pPr>
            <w:r w:rsidRPr="00B80429">
              <w:t>0,5</w:t>
            </w:r>
          </w:p>
        </w:tc>
        <w:tc>
          <w:tcPr>
            <w:tcW w:w="752" w:type="dxa"/>
            <w:noWrap/>
            <w:vAlign w:val="bottom"/>
            <w:hideMark/>
          </w:tcPr>
          <w:p w14:paraId="5AE9E966" w14:textId="77777777" w:rsidR="006C35F8" w:rsidRPr="00B80429" w:rsidRDefault="006C35F8" w:rsidP="00BF5199">
            <w:pPr>
              <w:pStyle w:val="TabeladesnoUMAR"/>
            </w:pPr>
            <w:r w:rsidRPr="00B80429">
              <w:t>0,1</w:t>
            </w:r>
          </w:p>
        </w:tc>
        <w:tc>
          <w:tcPr>
            <w:tcW w:w="715" w:type="dxa"/>
            <w:noWrap/>
            <w:vAlign w:val="bottom"/>
            <w:hideMark/>
          </w:tcPr>
          <w:p w14:paraId="5AABC246" w14:textId="77777777" w:rsidR="006C35F8" w:rsidRPr="00B80429" w:rsidRDefault="006C35F8" w:rsidP="00BF5199">
            <w:pPr>
              <w:pStyle w:val="TabeladesnoUMAR"/>
            </w:pPr>
            <w:r w:rsidRPr="00B80429">
              <w:t>0,7</w:t>
            </w:r>
          </w:p>
        </w:tc>
        <w:tc>
          <w:tcPr>
            <w:tcW w:w="752" w:type="dxa"/>
            <w:noWrap/>
            <w:vAlign w:val="bottom"/>
            <w:hideMark/>
          </w:tcPr>
          <w:p w14:paraId="0A48D791" w14:textId="77777777" w:rsidR="006C35F8" w:rsidRPr="00B80429" w:rsidRDefault="006C35F8" w:rsidP="00BF5199">
            <w:pPr>
              <w:pStyle w:val="TabeladesnoUMAR"/>
            </w:pPr>
            <w:r w:rsidRPr="00B80429">
              <w:t>0,1</w:t>
            </w:r>
          </w:p>
        </w:tc>
        <w:tc>
          <w:tcPr>
            <w:tcW w:w="623" w:type="dxa"/>
            <w:noWrap/>
            <w:vAlign w:val="bottom"/>
            <w:hideMark/>
          </w:tcPr>
          <w:p w14:paraId="27828AE0" w14:textId="77777777" w:rsidR="006C35F8" w:rsidRPr="00B80429" w:rsidRDefault="006C35F8" w:rsidP="00BF5199">
            <w:pPr>
              <w:pStyle w:val="TabeladesnoUMAR"/>
            </w:pPr>
            <w:r w:rsidRPr="00B80429">
              <w:t>0,1</w:t>
            </w:r>
          </w:p>
        </w:tc>
        <w:tc>
          <w:tcPr>
            <w:tcW w:w="888" w:type="dxa"/>
            <w:noWrap/>
            <w:vAlign w:val="bottom"/>
            <w:hideMark/>
          </w:tcPr>
          <w:p w14:paraId="56168BDD" w14:textId="77777777" w:rsidR="006C35F8" w:rsidRPr="00B80429" w:rsidRDefault="006C35F8" w:rsidP="00BF5199">
            <w:pPr>
              <w:pStyle w:val="TabeladesnoUMAR"/>
            </w:pPr>
            <w:r w:rsidRPr="00B80429">
              <w:t>0,0</w:t>
            </w:r>
          </w:p>
        </w:tc>
      </w:tr>
      <w:tr w:rsidR="006C35F8" w:rsidRPr="00B80429" w14:paraId="2604EED6" w14:textId="77777777" w:rsidTr="00BF5199">
        <w:trPr>
          <w:trHeight w:val="54"/>
        </w:trPr>
        <w:tc>
          <w:tcPr>
            <w:tcW w:w="2122" w:type="dxa"/>
            <w:hideMark/>
          </w:tcPr>
          <w:p w14:paraId="41E09607" w14:textId="77777777" w:rsidR="006C35F8" w:rsidRPr="00B80429" w:rsidRDefault="006C35F8" w:rsidP="009C2105">
            <w:pPr>
              <w:pStyle w:val="TabelalevoUMAR"/>
            </w:pPr>
            <w:r w:rsidRPr="00B80429">
              <w:t>9 Proizvodi in transakcije</w:t>
            </w:r>
          </w:p>
        </w:tc>
        <w:tc>
          <w:tcPr>
            <w:tcW w:w="766" w:type="dxa"/>
            <w:noWrap/>
            <w:vAlign w:val="bottom"/>
            <w:hideMark/>
          </w:tcPr>
          <w:p w14:paraId="5FE85206" w14:textId="77777777" w:rsidR="006C35F8" w:rsidRPr="00B80429" w:rsidRDefault="006C35F8" w:rsidP="00BF5199">
            <w:pPr>
              <w:pStyle w:val="TabeladesnoUMAR"/>
            </w:pPr>
            <w:r w:rsidRPr="00910588">
              <w:t>0,5</w:t>
            </w:r>
          </w:p>
        </w:tc>
        <w:tc>
          <w:tcPr>
            <w:tcW w:w="752" w:type="dxa"/>
            <w:noWrap/>
            <w:vAlign w:val="bottom"/>
            <w:hideMark/>
          </w:tcPr>
          <w:p w14:paraId="6E9F94F5" w14:textId="77777777" w:rsidR="006C35F8" w:rsidRPr="00B80429" w:rsidRDefault="006C35F8" w:rsidP="00BF5199">
            <w:pPr>
              <w:pStyle w:val="TabeladesnoUMAR"/>
            </w:pPr>
            <w:r w:rsidRPr="00B80429">
              <w:t>0,1</w:t>
            </w:r>
          </w:p>
        </w:tc>
        <w:tc>
          <w:tcPr>
            <w:tcW w:w="1067" w:type="dxa"/>
            <w:noWrap/>
            <w:vAlign w:val="bottom"/>
            <w:hideMark/>
          </w:tcPr>
          <w:p w14:paraId="7B22609A" w14:textId="77777777" w:rsidR="006C35F8" w:rsidRPr="00B80429" w:rsidRDefault="006C35F8" w:rsidP="00BF5199">
            <w:pPr>
              <w:pStyle w:val="TabeladesnoUMAR"/>
            </w:pPr>
            <w:r w:rsidRPr="00B80429">
              <w:t>1,3</w:t>
            </w:r>
          </w:p>
        </w:tc>
        <w:tc>
          <w:tcPr>
            <w:tcW w:w="623" w:type="dxa"/>
            <w:noWrap/>
            <w:vAlign w:val="bottom"/>
            <w:hideMark/>
          </w:tcPr>
          <w:p w14:paraId="70E0FFD5" w14:textId="77777777" w:rsidR="006C35F8" w:rsidRPr="00B80429" w:rsidRDefault="006C35F8" w:rsidP="00BF5199">
            <w:pPr>
              <w:pStyle w:val="TabeladesnoUMAR"/>
            </w:pPr>
            <w:r w:rsidRPr="00B80429">
              <w:t>0,0</w:t>
            </w:r>
          </w:p>
        </w:tc>
        <w:tc>
          <w:tcPr>
            <w:tcW w:w="752" w:type="dxa"/>
            <w:noWrap/>
            <w:vAlign w:val="bottom"/>
            <w:hideMark/>
          </w:tcPr>
          <w:p w14:paraId="02C39361" w14:textId="77777777" w:rsidR="006C35F8" w:rsidRPr="00B80429" w:rsidRDefault="006C35F8" w:rsidP="00BF5199">
            <w:pPr>
              <w:pStyle w:val="TabeladesnoUMAR"/>
            </w:pPr>
            <w:r w:rsidRPr="00B80429">
              <w:t>0,0</w:t>
            </w:r>
          </w:p>
        </w:tc>
        <w:tc>
          <w:tcPr>
            <w:tcW w:w="715" w:type="dxa"/>
            <w:noWrap/>
            <w:vAlign w:val="bottom"/>
            <w:hideMark/>
          </w:tcPr>
          <w:p w14:paraId="23F9B39A" w14:textId="77777777" w:rsidR="006C35F8" w:rsidRPr="00B80429" w:rsidRDefault="006C35F8" w:rsidP="00BF5199">
            <w:pPr>
              <w:pStyle w:val="TabeladesnoUMAR"/>
            </w:pPr>
            <w:r w:rsidRPr="00B80429">
              <w:t>0,0</w:t>
            </w:r>
          </w:p>
        </w:tc>
        <w:tc>
          <w:tcPr>
            <w:tcW w:w="752" w:type="dxa"/>
            <w:noWrap/>
            <w:vAlign w:val="bottom"/>
            <w:hideMark/>
          </w:tcPr>
          <w:p w14:paraId="3D6BD9BD" w14:textId="77777777" w:rsidR="006C35F8" w:rsidRPr="00B80429" w:rsidRDefault="006C35F8" w:rsidP="00BF5199">
            <w:pPr>
              <w:pStyle w:val="TabeladesnoUMAR"/>
            </w:pPr>
            <w:r w:rsidRPr="00B80429">
              <w:t>0,0</w:t>
            </w:r>
          </w:p>
        </w:tc>
        <w:tc>
          <w:tcPr>
            <w:tcW w:w="623" w:type="dxa"/>
            <w:noWrap/>
            <w:vAlign w:val="bottom"/>
            <w:hideMark/>
          </w:tcPr>
          <w:p w14:paraId="6D8CFA61" w14:textId="77777777" w:rsidR="006C35F8" w:rsidRPr="00B80429" w:rsidRDefault="006C35F8" w:rsidP="00BF5199">
            <w:pPr>
              <w:pStyle w:val="TabeladesnoUMAR"/>
            </w:pPr>
            <w:r w:rsidRPr="00B80429">
              <w:t>0,0</w:t>
            </w:r>
          </w:p>
        </w:tc>
        <w:tc>
          <w:tcPr>
            <w:tcW w:w="888" w:type="dxa"/>
            <w:noWrap/>
            <w:vAlign w:val="bottom"/>
            <w:hideMark/>
          </w:tcPr>
          <w:p w14:paraId="546E4975" w14:textId="77777777" w:rsidR="006C35F8" w:rsidRPr="00B80429" w:rsidRDefault="006C35F8" w:rsidP="00BF5199">
            <w:pPr>
              <w:pStyle w:val="TabeladesnoUMAR"/>
            </w:pPr>
            <w:r w:rsidRPr="00B80429">
              <w:t>0,0</w:t>
            </w:r>
          </w:p>
        </w:tc>
      </w:tr>
      <w:tr w:rsidR="006C35F8" w:rsidRPr="00B80429" w14:paraId="5A0EC028" w14:textId="77777777" w:rsidTr="00BF5199">
        <w:trPr>
          <w:trHeight w:val="54"/>
        </w:trPr>
        <w:tc>
          <w:tcPr>
            <w:tcW w:w="2122" w:type="dxa"/>
            <w:hideMark/>
          </w:tcPr>
          <w:p w14:paraId="264B5FB6" w14:textId="77777777" w:rsidR="006C35F8" w:rsidRPr="00B80429" w:rsidRDefault="006C35F8" w:rsidP="009C2105">
            <w:pPr>
              <w:pStyle w:val="TabelalevoUMAR"/>
            </w:pPr>
            <w:r w:rsidRPr="00B80429">
              <w:t>4 Olja, masti in voski žival. in rastlin. izvora</w:t>
            </w:r>
          </w:p>
        </w:tc>
        <w:tc>
          <w:tcPr>
            <w:tcW w:w="766" w:type="dxa"/>
            <w:noWrap/>
            <w:vAlign w:val="bottom"/>
            <w:hideMark/>
          </w:tcPr>
          <w:p w14:paraId="34A38609" w14:textId="77777777" w:rsidR="006C35F8" w:rsidRPr="00B80429" w:rsidRDefault="006C35F8" w:rsidP="00BF5199">
            <w:pPr>
              <w:pStyle w:val="TabeladesnoUMAR"/>
            </w:pPr>
            <w:r w:rsidRPr="00910588">
              <w:t>0,3</w:t>
            </w:r>
          </w:p>
        </w:tc>
        <w:tc>
          <w:tcPr>
            <w:tcW w:w="752" w:type="dxa"/>
            <w:noWrap/>
            <w:vAlign w:val="bottom"/>
            <w:hideMark/>
          </w:tcPr>
          <w:p w14:paraId="0059D49A" w14:textId="77777777" w:rsidR="006C35F8" w:rsidRPr="00B80429" w:rsidRDefault="006C35F8" w:rsidP="00BF5199">
            <w:pPr>
              <w:pStyle w:val="TabeladesnoUMAR"/>
            </w:pPr>
            <w:r w:rsidRPr="00B80429">
              <w:t>0,0</w:t>
            </w:r>
          </w:p>
        </w:tc>
        <w:tc>
          <w:tcPr>
            <w:tcW w:w="1067" w:type="dxa"/>
            <w:noWrap/>
            <w:vAlign w:val="bottom"/>
            <w:hideMark/>
          </w:tcPr>
          <w:p w14:paraId="113DB672" w14:textId="77777777" w:rsidR="006C35F8" w:rsidRPr="00B80429" w:rsidRDefault="006C35F8" w:rsidP="00BF5199">
            <w:pPr>
              <w:pStyle w:val="TabeladesnoUMAR"/>
            </w:pPr>
            <w:r w:rsidRPr="00B80429">
              <w:t>1,0</w:t>
            </w:r>
          </w:p>
        </w:tc>
        <w:tc>
          <w:tcPr>
            <w:tcW w:w="623" w:type="dxa"/>
            <w:noWrap/>
            <w:vAlign w:val="bottom"/>
            <w:hideMark/>
          </w:tcPr>
          <w:p w14:paraId="078CE41F" w14:textId="77777777" w:rsidR="006C35F8" w:rsidRPr="00B80429" w:rsidRDefault="006C35F8" w:rsidP="00BF5199">
            <w:pPr>
              <w:pStyle w:val="TabeladesnoUMAR"/>
            </w:pPr>
            <w:r w:rsidRPr="00B80429">
              <w:t>0,3</w:t>
            </w:r>
          </w:p>
        </w:tc>
        <w:tc>
          <w:tcPr>
            <w:tcW w:w="752" w:type="dxa"/>
            <w:noWrap/>
            <w:vAlign w:val="bottom"/>
            <w:hideMark/>
          </w:tcPr>
          <w:p w14:paraId="43183DA7" w14:textId="77777777" w:rsidR="006C35F8" w:rsidRPr="00B80429" w:rsidRDefault="006C35F8" w:rsidP="00BF5199">
            <w:pPr>
              <w:pStyle w:val="TabeladesnoUMAR"/>
            </w:pPr>
            <w:r w:rsidRPr="00B80429">
              <w:t>0,0</w:t>
            </w:r>
          </w:p>
        </w:tc>
        <w:tc>
          <w:tcPr>
            <w:tcW w:w="715" w:type="dxa"/>
            <w:noWrap/>
            <w:vAlign w:val="bottom"/>
            <w:hideMark/>
          </w:tcPr>
          <w:p w14:paraId="14020B24" w14:textId="77777777" w:rsidR="006C35F8" w:rsidRPr="00B80429" w:rsidRDefault="006C35F8" w:rsidP="00BF5199">
            <w:pPr>
              <w:pStyle w:val="TabeladesnoUMAR"/>
            </w:pPr>
            <w:r w:rsidRPr="00B80429">
              <w:t>0,3</w:t>
            </w:r>
          </w:p>
        </w:tc>
        <w:tc>
          <w:tcPr>
            <w:tcW w:w="752" w:type="dxa"/>
            <w:noWrap/>
            <w:vAlign w:val="bottom"/>
            <w:hideMark/>
          </w:tcPr>
          <w:p w14:paraId="2D72171B" w14:textId="77777777" w:rsidR="006C35F8" w:rsidRPr="00B80429" w:rsidRDefault="006C35F8" w:rsidP="00BF5199">
            <w:pPr>
              <w:pStyle w:val="TabeladesnoUMAR"/>
            </w:pPr>
            <w:r w:rsidRPr="00B80429">
              <w:t>0,0</w:t>
            </w:r>
          </w:p>
        </w:tc>
        <w:tc>
          <w:tcPr>
            <w:tcW w:w="623" w:type="dxa"/>
            <w:noWrap/>
            <w:vAlign w:val="bottom"/>
            <w:hideMark/>
          </w:tcPr>
          <w:p w14:paraId="0CED350A" w14:textId="77777777" w:rsidR="006C35F8" w:rsidRPr="00B80429" w:rsidRDefault="006C35F8" w:rsidP="00BF5199">
            <w:pPr>
              <w:pStyle w:val="TabeladesnoUMAR"/>
            </w:pPr>
            <w:r w:rsidRPr="00B80429">
              <w:t>0,0</w:t>
            </w:r>
          </w:p>
        </w:tc>
        <w:tc>
          <w:tcPr>
            <w:tcW w:w="888" w:type="dxa"/>
            <w:noWrap/>
            <w:vAlign w:val="bottom"/>
            <w:hideMark/>
          </w:tcPr>
          <w:p w14:paraId="03186607" w14:textId="77777777" w:rsidR="006C35F8" w:rsidRPr="00B80429" w:rsidRDefault="006C35F8" w:rsidP="00BF5199">
            <w:pPr>
              <w:pStyle w:val="TabeladesnoUMAR"/>
            </w:pPr>
            <w:r w:rsidRPr="00B80429">
              <w:t>0,0</w:t>
            </w:r>
          </w:p>
        </w:tc>
      </w:tr>
      <w:tr w:rsidR="006C35F8" w:rsidRPr="00B80429" w14:paraId="55C73AB9" w14:textId="77777777" w:rsidTr="00BF5199">
        <w:trPr>
          <w:trHeight w:val="54"/>
        </w:trPr>
        <w:tc>
          <w:tcPr>
            <w:tcW w:w="2122" w:type="dxa"/>
            <w:hideMark/>
          </w:tcPr>
          <w:p w14:paraId="02EE9F6C" w14:textId="77777777" w:rsidR="006C35F8" w:rsidRPr="00B80429" w:rsidRDefault="006C35F8" w:rsidP="009C2105">
            <w:pPr>
              <w:pStyle w:val="TabelalevoUMAR"/>
            </w:pPr>
            <w:r w:rsidRPr="00B80429">
              <w:t>3 Mineralna goriva in maziva</w:t>
            </w:r>
          </w:p>
        </w:tc>
        <w:tc>
          <w:tcPr>
            <w:tcW w:w="766" w:type="dxa"/>
            <w:noWrap/>
            <w:vAlign w:val="bottom"/>
            <w:hideMark/>
          </w:tcPr>
          <w:p w14:paraId="17669108" w14:textId="77777777" w:rsidR="006C35F8" w:rsidRPr="00B80429" w:rsidRDefault="006C35F8" w:rsidP="00BF5199">
            <w:pPr>
              <w:pStyle w:val="TabeladesnoUMAR"/>
            </w:pPr>
            <w:r w:rsidRPr="00910588">
              <w:t>0,0</w:t>
            </w:r>
          </w:p>
        </w:tc>
        <w:tc>
          <w:tcPr>
            <w:tcW w:w="752" w:type="dxa"/>
            <w:noWrap/>
            <w:vAlign w:val="bottom"/>
            <w:hideMark/>
          </w:tcPr>
          <w:p w14:paraId="54D6AC7C" w14:textId="77777777" w:rsidR="006C35F8" w:rsidRPr="00B80429" w:rsidRDefault="006C35F8" w:rsidP="00BF5199">
            <w:pPr>
              <w:pStyle w:val="TabeladesnoUMAR"/>
            </w:pPr>
            <w:r w:rsidRPr="00B80429">
              <w:t>0,0</w:t>
            </w:r>
          </w:p>
        </w:tc>
        <w:tc>
          <w:tcPr>
            <w:tcW w:w="1067" w:type="dxa"/>
            <w:noWrap/>
            <w:vAlign w:val="bottom"/>
            <w:hideMark/>
          </w:tcPr>
          <w:p w14:paraId="4AA3F3F4" w14:textId="77777777" w:rsidR="006C35F8" w:rsidRPr="00B80429" w:rsidRDefault="006C35F8" w:rsidP="00BF5199">
            <w:pPr>
              <w:pStyle w:val="TabeladesnoUMAR"/>
            </w:pPr>
            <w:r w:rsidRPr="00B80429">
              <w:t>0,0</w:t>
            </w:r>
          </w:p>
        </w:tc>
        <w:tc>
          <w:tcPr>
            <w:tcW w:w="623" w:type="dxa"/>
            <w:noWrap/>
            <w:vAlign w:val="bottom"/>
            <w:hideMark/>
          </w:tcPr>
          <w:p w14:paraId="0ED2A87E" w14:textId="77777777" w:rsidR="006C35F8" w:rsidRPr="00B80429" w:rsidRDefault="006C35F8" w:rsidP="00BF5199">
            <w:pPr>
              <w:pStyle w:val="TabeladesnoUMAR"/>
            </w:pPr>
            <w:r w:rsidRPr="00B80429">
              <w:t>0,0</w:t>
            </w:r>
          </w:p>
        </w:tc>
        <w:tc>
          <w:tcPr>
            <w:tcW w:w="752" w:type="dxa"/>
            <w:noWrap/>
            <w:vAlign w:val="bottom"/>
            <w:hideMark/>
          </w:tcPr>
          <w:p w14:paraId="42969CE0" w14:textId="77777777" w:rsidR="006C35F8" w:rsidRPr="00B80429" w:rsidRDefault="006C35F8" w:rsidP="00BF5199">
            <w:pPr>
              <w:pStyle w:val="TabeladesnoUMAR"/>
            </w:pPr>
            <w:r w:rsidRPr="00B80429">
              <w:t>0,0</w:t>
            </w:r>
          </w:p>
        </w:tc>
        <w:tc>
          <w:tcPr>
            <w:tcW w:w="715" w:type="dxa"/>
            <w:noWrap/>
            <w:vAlign w:val="bottom"/>
            <w:hideMark/>
          </w:tcPr>
          <w:p w14:paraId="270D1292" w14:textId="77777777" w:rsidR="006C35F8" w:rsidRPr="00B80429" w:rsidRDefault="006C35F8" w:rsidP="00BF5199">
            <w:pPr>
              <w:pStyle w:val="TabeladesnoUMAR"/>
            </w:pPr>
            <w:r w:rsidRPr="00B80429">
              <w:t>0,0</w:t>
            </w:r>
          </w:p>
        </w:tc>
        <w:tc>
          <w:tcPr>
            <w:tcW w:w="752" w:type="dxa"/>
            <w:noWrap/>
            <w:vAlign w:val="bottom"/>
            <w:hideMark/>
          </w:tcPr>
          <w:p w14:paraId="3B8E32AC" w14:textId="77777777" w:rsidR="006C35F8" w:rsidRPr="00B80429" w:rsidRDefault="006C35F8" w:rsidP="00BF5199">
            <w:pPr>
              <w:pStyle w:val="TabeladesnoUMAR"/>
            </w:pPr>
            <w:r w:rsidRPr="00B80429">
              <w:t>0,0</w:t>
            </w:r>
          </w:p>
        </w:tc>
        <w:tc>
          <w:tcPr>
            <w:tcW w:w="623" w:type="dxa"/>
            <w:noWrap/>
            <w:vAlign w:val="bottom"/>
            <w:hideMark/>
          </w:tcPr>
          <w:p w14:paraId="593ABCD6" w14:textId="77777777" w:rsidR="006C35F8" w:rsidRPr="00B80429" w:rsidRDefault="006C35F8" w:rsidP="00BF5199">
            <w:pPr>
              <w:pStyle w:val="TabeladesnoUMAR"/>
            </w:pPr>
            <w:r w:rsidRPr="00B80429">
              <w:t>0,0</w:t>
            </w:r>
          </w:p>
        </w:tc>
        <w:tc>
          <w:tcPr>
            <w:tcW w:w="888" w:type="dxa"/>
            <w:noWrap/>
            <w:vAlign w:val="bottom"/>
            <w:hideMark/>
          </w:tcPr>
          <w:p w14:paraId="3D6B3B1A" w14:textId="77777777" w:rsidR="006C35F8" w:rsidRPr="00B80429" w:rsidRDefault="006C35F8" w:rsidP="00BF5199">
            <w:pPr>
              <w:pStyle w:val="TabeladesnoUMAR"/>
            </w:pPr>
            <w:r w:rsidRPr="00B80429">
              <w:t>0,0</w:t>
            </w:r>
          </w:p>
        </w:tc>
      </w:tr>
    </w:tbl>
    <w:p w14:paraId="5724A2B9" w14:textId="21FC777F" w:rsidR="006C35F8" w:rsidRDefault="006C35F8" w:rsidP="006C35F8">
      <w:pPr>
        <w:pStyle w:val="VirUMAR"/>
      </w:pPr>
      <w:r>
        <w:t xml:space="preserve">Vir: SURS </w:t>
      </w:r>
      <w:r>
        <w:fldChar w:fldCharType="begin"/>
      </w:r>
      <w:r>
        <w:instrText xml:space="preserve"> ADDIN ZOTERO_ITEM CSL_CITATION {"citationID":"MkWjVJVI","properties":{"formattedCitation":"(2023)","plainCitation":"(2023)","noteIndex":0},"citationItems":[{"id":2939,"uris":["http://zotero.org/groups/4141114/items/WI7MWBXE"],"itemData":{"id":2939,"type":"report","event-place":"Ljubljana","genre":"Podatkovna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preračuni UMAR. </w:t>
      </w:r>
      <w:r w:rsidRPr="00433380">
        <w:t>Opomba: zunanjetrgovinski podatki za izračun deleža so popravljeni za oplemenitenje blaga.</w:t>
      </w:r>
      <w:r>
        <w:t xml:space="preserve"> Podatki za leto 2023 so za obdobje januar – maj. Razvrščeno po vrednosti izvoza med leti 2016 in 2020. </w:t>
      </w:r>
    </w:p>
    <w:p w14:paraId="6D80FEA1" w14:textId="77777777" w:rsidR="00BF5199" w:rsidRPr="0095661A" w:rsidRDefault="00BF5199" w:rsidP="006C35F8">
      <w:pPr>
        <w:pStyle w:val="VirUMAR"/>
        <w:rPr>
          <w:b/>
          <w:bCs/>
        </w:rPr>
      </w:pPr>
    </w:p>
    <w:p w14:paraId="3383730B" w14:textId="77777777" w:rsidR="006C35F8" w:rsidRDefault="006C35F8" w:rsidP="006C35F8">
      <w:pPr>
        <w:pStyle w:val="Caption"/>
      </w:pPr>
      <w:r w:rsidRPr="00AA79D5">
        <w:t xml:space="preserve">Tabela </w:t>
      </w:r>
      <w:r>
        <w:t>2</w:t>
      </w:r>
      <w:r w:rsidRPr="00AA79D5">
        <w:t xml:space="preserve">: </w:t>
      </w:r>
      <w:r>
        <w:t>Uvoz</w:t>
      </w:r>
      <w:r w:rsidRPr="00AA79D5">
        <w:t xml:space="preserve"> Slovenije </w:t>
      </w:r>
      <w:r>
        <w:t>iz</w:t>
      </w:r>
      <w:r w:rsidRPr="00AA79D5">
        <w:t xml:space="preserve"> Rusij</w:t>
      </w:r>
      <w:r>
        <w:t>e</w:t>
      </w:r>
      <w:r w:rsidRPr="00AA79D5">
        <w:t xml:space="preserve"> po glavnih skupinah proizvodov</w:t>
      </w:r>
      <w:r>
        <w:t>, SMTK klasifikacija</w:t>
      </w:r>
    </w:p>
    <w:tbl>
      <w:tblPr>
        <w:tblStyle w:val="TableGrid"/>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127"/>
        <w:gridCol w:w="745"/>
        <w:gridCol w:w="748"/>
        <w:gridCol w:w="1061"/>
        <w:gridCol w:w="623"/>
        <w:gridCol w:w="749"/>
        <w:gridCol w:w="753"/>
        <w:gridCol w:w="749"/>
        <w:gridCol w:w="621"/>
        <w:gridCol w:w="884"/>
      </w:tblGrid>
      <w:tr w:rsidR="006C35F8" w:rsidRPr="00B80429" w14:paraId="29FD5AA5" w14:textId="77777777" w:rsidTr="0030571A">
        <w:trPr>
          <w:trHeight w:val="300"/>
        </w:trPr>
        <w:tc>
          <w:tcPr>
            <w:tcW w:w="2127" w:type="dxa"/>
            <w:noWrap/>
            <w:vAlign w:val="center"/>
            <w:hideMark/>
          </w:tcPr>
          <w:p w14:paraId="54E12CAF" w14:textId="77777777" w:rsidR="006C35F8" w:rsidRPr="00B80429" w:rsidRDefault="006C35F8" w:rsidP="0030571A">
            <w:pPr>
              <w:pStyle w:val="TabelaglavadesnoUMAR"/>
              <w:jc w:val="center"/>
            </w:pPr>
          </w:p>
        </w:tc>
        <w:tc>
          <w:tcPr>
            <w:tcW w:w="2554" w:type="dxa"/>
            <w:gridSpan w:val="3"/>
            <w:noWrap/>
            <w:vAlign w:val="center"/>
            <w:hideMark/>
          </w:tcPr>
          <w:p w14:paraId="5D7C1E8C" w14:textId="77777777" w:rsidR="006C35F8" w:rsidRPr="00B80429" w:rsidRDefault="006C35F8" w:rsidP="0030571A">
            <w:pPr>
              <w:pStyle w:val="TabelaglavadesnoUMAR"/>
              <w:jc w:val="center"/>
            </w:pPr>
            <w:r>
              <w:t xml:space="preserve">Povprečje </w:t>
            </w:r>
            <w:r w:rsidRPr="00B80429">
              <w:t>2016-2020</w:t>
            </w:r>
          </w:p>
        </w:tc>
        <w:tc>
          <w:tcPr>
            <w:tcW w:w="1372" w:type="dxa"/>
            <w:gridSpan w:val="2"/>
            <w:noWrap/>
            <w:vAlign w:val="center"/>
            <w:hideMark/>
          </w:tcPr>
          <w:p w14:paraId="7DACCD0D" w14:textId="77777777" w:rsidR="006C35F8" w:rsidRPr="00B80429" w:rsidRDefault="006C35F8" w:rsidP="0030571A">
            <w:pPr>
              <w:pStyle w:val="TabelaglavadesnoUMAR"/>
              <w:jc w:val="center"/>
            </w:pPr>
            <w:r w:rsidRPr="00B80429">
              <w:t>2021</w:t>
            </w:r>
          </w:p>
        </w:tc>
        <w:tc>
          <w:tcPr>
            <w:tcW w:w="1502" w:type="dxa"/>
            <w:gridSpan w:val="2"/>
            <w:noWrap/>
            <w:vAlign w:val="center"/>
            <w:hideMark/>
          </w:tcPr>
          <w:p w14:paraId="69437703" w14:textId="77777777" w:rsidR="006C35F8" w:rsidRPr="00B80429" w:rsidRDefault="006C35F8" w:rsidP="0030571A">
            <w:pPr>
              <w:pStyle w:val="TabelaglavadesnoUMAR"/>
              <w:jc w:val="center"/>
            </w:pPr>
            <w:r w:rsidRPr="00B80429">
              <w:t>2022</w:t>
            </w:r>
          </w:p>
        </w:tc>
        <w:tc>
          <w:tcPr>
            <w:tcW w:w="1505" w:type="dxa"/>
            <w:gridSpan w:val="2"/>
            <w:noWrap/>
            <w:vAlign w:val="center"/>
            <w:hideMark/>
          </w:tcPr>
          <w:p w14:paraId="5C39A1B4" w14:textId="77777777" w:rsidR="006C35F8" w:rsidRPr="00B80429" w:rsidRDefault="006C35F8" w:rsidP="0030571A">
            <w:pPr>
              <w:pStyle w:val="TabelaglavadesnoUMAR"/>
              <w:jc w:val="center"/>
            </w:pPr>
            <w:r>
              <w:t>2023 jan-maj</w:t>
            </w:r>
          </w:p>
        </w:tc>
      </w:tr>
      <w:tr w:rsidR="006C35F8" w:rsidRPr="00B80429" w14:paraId="405C03FB" w14:textId="77777777" w:rsidTr="00BF5199">
        <w:trPr>
          <w:trHeight w:val="1043"/>
        </w:trPr>
        <w:tc>
          <w:tcPr>
            <w:tcW w:w="2127" w:type="dxa"/>
            <w:tcBorders>
              <w:bottom w:val="single" w:sz="6" w:space="0" w:color="auto"/>
            </w:tcBorders>
            <w:hideMark/>
          </w:tcPr>
          <w:p w14:paraId="778B4720" w14:textId="77777777" w:rsidR="006C35F8" w:rsidRPr="00B80429" w:rsidRDefault="006C35F8" w:rsidP="009C2105">
            <w:pPr>
              <w:pStyle w:val="TabelaglavadesnoUMAR"/>
            </w:pPr>
          </w:p>
        </w:tc>
        <w:tc>
          <w:tcPr>
            <w:tcW w:w="745" w:type="dxa"/>
            <w:tcBorders>
              <w:bottom w:val="single" w:sz="6" w:space="0" w:color="auto"/>
            </w:tcBorders>
            <w:hideMark/>
          </w:tcPr>
          <w:p w14:paraId="35349900" w14:textId="77777777" w:rsidR="006C35F8" w:rsidRPr="00B80429" w:rsidRDefault="006C35F8" w:rsidP="009C2105">
            <w:pPr>
              <w:pStyle w:val="TabelaglavadesnoUMAR"/>
              <w:rPr>
                <w:sz w:val="16"/>
                <w:szCs w:val="16"/>
              </w:rPr>
            </w:pPr>
            <w:r w:rsidRPr="00B80429">
              <w:rPr>
                <w:sz w:val="16"/>
                <w:szCs w:val="16"/>
              </w:rPr>
              <w:t>v mio EUR</w:t>
            </w:r>
          </w:p>
        </w:tc>
        <w:tc>
          <w:tcPr>
            <w:tcW w:w="748" w:type="dxa"/>
            <w:tcBorders>
              <w:bottom w:val="single" w:sz="6" w:space="0" w:color="auto"/>
            </w:tcBorders>
            <w:hideMark/>
          </w:tcPr>
          <w:p w14:paraId="3DDE70F0" w14:textId="7503D61E" w:rsidR="006C35F8" w:rsidRPr="00B80429" w:rsidRDefault="006C35F8" w:rsidP="009C2105">
            <w:pPr>
              <w:pStyle w:val="TabelaglavadesnoUMAR"/>
              <w:rPr>
                <w:sz w:val="16"/>
                <w:szCs w:val="16"/>
              </w:rPr>
            </w:pPr>
            <w:r w:rsidRPr="00B80429">
              <w:rPr>
                <w:sz w:val="16"/>
                <w:szCs w:val="16"/>
              </w:rPr>
              <w:t xml:space="preserve">delež v </w:t>
            </w:r>
            <w:r>
              <w:rPr>
                <w:sz w:val="16"/>
                <w:szCs w:val="16"/>
              </w:rPr>
              <w:t>uvozu</w:t>
            </w:r>
            <w:r w:rsidR="00C207D8">
              <w:rPr>
                <w:sz w:val="16"/>
                <w:szCs w:val="16"/>
              </w:rPr>
              <w:t xml:space="preserve"> </w:t>
            </w:r>
            <w:r>
              <w:rPr>
                <w:sz w:val="16"/>
                <w:szCs w:val="16"/>
              </w:rPr>
              <w:t>iz</w:t>
            </w:r>
            <w:r w:rsidRPr="00B80429">
              <w:rPr>
                <w:sz w:val="16"/>
                <w:szCs w:val="16"/>
              </w:rPr>
              <w:t xml:space="preserve"> Rusij</w:t>
            </w:r>
            <w:r>
              <w:rPr>
                <w:sz w:val="16"/>
                <w:szCs w:val="16"/>
              </w:rPr>
              <w:t>e</w:t>
            </w:r>
            <w:r w:rsidRPr="00B80429">
              <w:rPr>
                <w:sz w:val="16"/>
                <w:szCs w:val="16"/>
              </w:rPr>
              <w:t xml:space="preserve">, </w:t>
            </w:r>
            <w:r w:rsidR="00BF5199">
              <w:rPr>
                <w:sz w:val="16"/>
                <w:szCs w:val="16"/>
              </w:rPr>
              <w:br/>
            </w:r>
            <w:r w:rsidRPr="00B80429">
              <w:rPr>
                <w:sz w:val="16"/>
                <w:szCs w:val="16"/>
              </w:rPr>
              <w:t>v %</w:t>
            </w:r>
          </w:p>
        </w:tc>
        <w:tc>
          <w:tcPr>
            <w:tcW w:w="1061" w:type="dxa"/>
            <w:tcBorders>
              <w:bottom w:val="single" w:sz="6" w:space="0" w:color="auto"/>
            </w:tcBorders>
            <w:hideMark/>
          </w:tcPr>
          <w:p w14:paraId="199F7C29" w14:textId="2F3A202E" w:rsidR="006C35F8" w:rsidRPr="00B80429" w:rsidRDefault="006C35F8" w:rsidP="009C2105">
            <w:pPr>
              <w:pStyle w:val="TabelaglavadesnoUMAR"/>
              <w:rPr>
                <w:sz w:val="16"/>
                <w:szCs w:val="16"/>
              </w:rPr>
            </w:pPr>
            <w:r w:rsidRPr="00B80429">
              <w:rPr>
                <w:sz w:val="16"/>
                <w:szCs w:val="16"/>
              </w:rPr>
              <w:t xml:space="preserve">delež v skupnem </w:t>
            </w:r>
            <w:r>
              <w:rPr>
                <w:sz w:val="16"/>
                <w:szCs w:val="16"/>
              </w:rPr>
              <w:t>uvozu</w:t>
            </w:r>
            <w:r w:rsidRPr="00B80429">
              <w:rPr>
                <w:sz w:val="16"/>
                <w:szCs w:val="16"/>
              </w:rPr>
              <w:t xml:space="preserve"> proizvoda,</w:t>
            </w:r>
            <w:r w:rsidR="00BF5199">
              <w:rPr>
                <w:sz w:val="16"/>
                <w:szCs w:val="16"/>
              </w:rPr>
              <w:br/>
            </w:r>
            <w:r w:rsidRPr="00B80429">
              <w:rPr>
                <w:sz w:val="16"/>
                <w:szCs w:val="16"/>
              </w:rPr>
              <w:t xml:space="preserve"> v %</w:t>
            </w:r>
          </w:p>
        </w:tc>
        <w:tc>
          <w:tcPr>
            <w:tcW w:w="623" w:type="dxa"/>
            <w:tcBorders>
              <w:bottom w:val="single" w:sz="6" w:space="0" w:color="auto"/>
            </w:tcBorders>
            <w:hideMark/>
          </w:tcPr>
          <w:p w14:paraId="166AE3A0" w14:textId="77777777" w:rsidR="006C35F8" w:rsidRPr="00B80429" w:rsidRDefault="006C35F8" w:rsidP="009C2105">
            <w:pPr>
              <w:pStyle w:val="TabelaglavadesnoUMAR"/>
              <w:rPr>
                <w:sz w:val="16"/>
                <w:szCs w:val="16"/>
              </w:rPr>
            </w:pPr>
            <w:r w:rsidRPr="00B80429">
              <w:rPr>
                <w:sz w:val="16"/>
                <w:szCs w:val="16"/>
              </w:rPr>
              <w:t>v mio EUR</w:t>
            </w:r>
          </w:p>
        </w:tc>
        <w:tc>
          <w:tcPr>
            <w:tcW w:w="749" w:type="dxa"/>
            <w:tcBorders>
              <w:bottom w:val="single" w:sz="6" w:space="0" w:color="auto"/>
            </w:tcBorders>
            <w:hideMark/>
          </w:tcPr>
          <w:p w14:paraId="1DAB237B" w14:textId="63F1521C" w:rsidR="006C35F8" w:rsidRPr="00B80429" w:rsidRDefault="006C35F8" w:rsidP="009C2105">
            <w:pPr>
              <w:pStyle w:val="TabelaglavadesnoUMAR"/>
              <w:rPr>
                <w:sz w:val="16"/>
                <w:szCs w:val="16"/>
              </w:rPr>
            </w:pPr>
            <w:r w:rsidRPr="00B80429">
              <w:rPr>
                <w:sz w:val="16"/>
                <w:szCs w:val="16"/>
              </w:rPr>
              <w:t xml:space="preserve">delež v </w:t>
            </w:r>
            <w:r>
              <w:rPr>
                <w:sz w:val="16"/>
                <w:szCs w:val="16"/>
              </w:rPr>
              <w:t>uvozu</w:t>
            </w:r>
            <w:r w:rsidR="00C207D8">
              <w:rPr>
                <w:sz w:val="16"/>
                <w:szCs w:val="16"/>
              </w:rPr>
              <w:t xml:space="preserve"> </w:t>
            </w:r>
            <w:r>
              <w:rPr>
                <w:sz w:val="16"/>
                <w:szCs w:val="16"/>
              </w:rPr>
              <w:t>iz</w:t>
            </w:r>
            <w:r w:rsidRPr="00B80429">
              <w:rPr>
                <w:sz w:val="16"/>
                <w:szCs w:val="16"/>
              </w:rPr>
              <w:t xml:space="preserve"> Rusij</w:t>
            </w:r>
            <w:r>
              <w:rPr>
                <w:sz w:val="16"/>
                <w:szCs w:val="16"/>
              </w:rPr>
              <w:t>e</w:t>
            </w:r>
            <w:r w:rsidRPr="00B80429">
              <w:rPr>
                <w:sz w:val="16"/>
                <w:szCs w:val="16"/>
              </w:rPr>
              <w:t xml:space="preserve">, </w:t>
            </w:r>
            <w:r w:rsidR="00BF5199">
              <w:rPr>
                <w:sz w:val="16"/>
                <w:szCs w:val="16"/>
              </w:rPr>
              <w:br/>
            </w:r>
            <w:r w:rsidRPr="00B80429">
              <w:rPr>
                <w:sz w:val="16"/>
                <w:szCs w:val="16"/>
              </w:rPr>
              <w:t>v %</w:t>
            </w:r>
          </w:p>
        </w:tc>
        <w:tc>
          <w:tcPr>
            <w:tcW w:w="753" w:type="dxa"/>
            <w:tcBorders>
              <w:bottom w:val="single" w:sz="6" w:space="0" w:color="auto"/>
            </w:tcBorders>
            <w:hideMark/>
          </w:tcPr>
          <w:p w14:paraId="497CDB8F" w14:textId="77777777" w:rsidR="006C35F8" w:rsidRPr="00B80429" w:rsidRDefault="006C35F8" w:rsidP="009C2105">
            <w:pPr>
              <w:pStyle w:val="TabelaglavadesnoUMAR"/>
              <w:rPr>
                <w:sz w:val="16"/>
                <w:szCs w:val="16"/>
              </w:rPr>
            </w:pPr>
            <w:r w:rsidRPr="00B80429">
              <w:rPr>
                <w:sz w:val="16"/>
                <w:szCs w:val="16"/>
              </w:rPr>
              <w:t>v mio EUR</w:t>
            </w:r>
          </w:p>
        </w:tc>
        <w:tc>
          <w:tcPr>
            <w:tcW w:w="749" w:type="dxa"/>
            <w:tcBorders>
              <w:bottom w:val="single" w:sz="6" w:space="0" w:color="auto"/>
            </w:tcBorders>
            <w:hideMark/>
          </w:tcPr>
          <w:p w14:paraId="55FFC76D" w14:textId="3BE7EE5D" w:rsidR="006C35F8" w:rsidRPr="00B80429" w:rsidRDefault="006C35F8" w:rsidP="009C2105">
            <w:pPr>
              <w:pStyle w:val="TabelaglavadesnoUMAR"/>
              <w:rPr>
                <w:sz w:val="16"/>
                <w:szCs w:val="16"/>
              </w:rPr>
            </w:pPr>
            <w:r w:rsidRPr="00B80429">
              <w:rPr>
                <w:sz w:val="16"/>
                <w:szCs w:val="16"/>
              </w:rPr>
              <w:t xml:space="preserve">delež v </w:t>
            </w:r>
            <w:r>
              <w:rPr>
                <w:sz w:val="16"/>
                <w:szCs w:val="16"/>
              </w:rPr>
              <w:t>uvozu iz</w:t>
            </w:r>
            <w:r w:rsidRPr="00B80429">
              <w:rPr>
                <w:sz w:val="16"/>
                <w:szCs w:val="16"/>
              </w:rPr>
              <w:t xml:space="preserve"> Rusij</w:t>
            </w:r>
            <w:r>
              <w:rPr>
                <w:sz w:val="16"/>
                <w:szCs w:val="16"/>
              </w:rPr>
              <w:t>e</w:t>
            </w:r>
            <w:r w:rsidRPr="00B80429">
              <w:rPr>
                <w:sz w:val="16"/>
                <w:szCs w:val="16"/>
              </w:rPr>
              <w:t xml:space="preserve">, </w:t>
            </w:r>
            <w:r w:rsidR="00BF5199">
              <w:rPr>
                <w:sz w:val="16"/>
                <w:szCs w:val="16"/>
              </w:rPr>
              <w:br/>
            </w:r>
            <w:r w:rsidRPr="00B80429">
              <w:rPr>
                <w:sz w:val="16"/>
                <w:szCs w:val="16"/>
              </w:rPr>
              <w:t>v %</w:t>
            </w:r>
          </w:p>
        </w:tc>
        <w:tc>
          <w:tcPr>
            <w:tcW w:w="621" w:type="dxa"/>
            <w:tcBorders>
              <w:bottom w:val="single" w:sz="6" w:space="0" w:color="auto"/>
            </w:tcBorders>
            <w:hideMark/>
          </w:tcPr>
          <w:p w14:paraId="50928F91" w14:textId="77777777" w:rsidR="006C35F8" w:rsidRPr="0095661A" w:rsidRDefault="006C35F8" w:rsidP="009C2105">
            <w:pPr>
              <w:pStyle w:val="TabelaglavadesnoUMAR"/>
              <w:rPr>
                <w:sz w:val="16"/>
                <w:szCs w:val="16"/>
              </w:rPr>
            </w:pPr>
            <w:r w:rsidRPr="0095661A">
              <w:rPr>
                <w:sz w:val="16"/>
                <w:szCs w:val="16"/>
              </w:rPr>
              <w:t>v mio EUR</w:t>
            </w:r>
          </w:p>
        </w:tc>
        <w:tc>
          <w:tcPr>
            <w:tcW w:w="884" w:type="dxa"/>
            <w:tcBorders>
              <w:bottom w:val="single" w:sz="6" w:space="0" w:color="auto"/>
            </w:tcBorders>
            <w:hideMark/>
          </w:tcPr>
          <w:p w14:paraId="219A87E4" w14:textId="4BB038BB" w:rsidR="006C35F8" w:rsidRPr="0095661A" w:rsidRDefault="006C35F8" w:rsidP="00BF5199">
            <w:pPr>
              <w:pStyle w:val="BesediloUMAR"/>
              <w:jc w:val="right"/>
              <w:rPr>
                <w:b/>
                <w:bCs/>
                <w:sz w:val="16"/>
                <w:szCs w:val="16"/>
              </w:rPr>
            </w:pPr>
            <w:r w:rsidRPr="0095661A">
              <w:rPr>
                <w:b/>
                <w:bCs/>
                <w:sz w:val="16"/>
                <w:szCs w:val="16"/>
              </w:rPr>
              <w:t>delež v uvozu</w:t>
            </w:r>
            <w:r w:rsidR="00C207D8">
              <w:rPr>
                <w:b/>
                <w:bCs/>
                <w:sz w:val="16"/>
                <w:szCs w:val="16"/>
              </w:rPr>
              <w:t xml:space="preserve"> </w:t>
            </w:r>
            <w:r w:rsidRPr="0095661A">
              <w:rPr>
                <w:b/>
                <w:bCs/>
                <w:sz w:val="16"/>
                <w:szCs w:val="16"/>
              </w:rPr>
              <w:t xml:space="preserve">iz Rusije, </w:t>
            </w:r>
            <w:r w:rsidR="00BF5199">
              <w:rPr>
                <w:b/>
                <w:bCs/>
                <w:sz w:val="16"/>
                <w:szCs w:val="16"/>
              </w:rPr>
              <w:br/>
            </w:r>
            <w:r w:rsidRPr="0095661A">
              <w:rPr>
                <w:b/>
                <w:bCs/>
                <w:sz w:val="16"/>
                <w:szCs w:val="16"/>
              </w:rPr>
              <w:t>v %</w:t>
            </w:r>
          </w:p>
        </w:tc>
      </w:tr>
      <w:tr w:rsidR="006C35F8" w:rsidRPr="00B80429" w14:paraId="74004397" w14:textId="77777777" w:rsidTr="00BF5199">
        <w:trPr>
          <w:trHeight w:val="263"/>
        </w:trPr>
        <w:tc>
          <w:tcPr>
            <w:tcW w:w="2127" w:type="dxa"/>
            <w:tcBorders>
              <w:top w:val="single" w:sz="6" w:space="0" w:color="auto"/>
            </w:tcBorders>
            <w:hideMark/>
          </w:tcPr>
          <w:p w14:paraId="251178F8" w14:textId="77777777" w:rsidR="006C35F8" w:rsidRPr="00B80429" w:rsidRDefault="006C35F8" w:rsidP="009C2105">
            <w:pPr>
              <w:pStyle w:val="TabelalevoUMAR"/>
            </w:pPr>
            <w:r w:rsidRPr="00D806F7">
              <w:t>Skupaj</w:t>
            </w:r>
          </w:p>
        </w:tc>
        <w:tc>
          <w:tcPr>
            <w:tcW w:w="745" w:type="dxa"/>
            <w:tcBorders>
              <w:top w:val="single" w:sz="6" w:space="0" w:color="auto"/>
            </w:tcBorders>
            <w:noWrap/>
            <w:vAlign w:val="bottom"/>
            <w:hideMark/>
          </w:tcPr>
          <w:p w14:paraId="2A5A9232" w14:textId="77777777" w:rsidR="006C35F8" w:rsidRPr="00B80429" w:rsidRDefault="006C35F8" w:rsidP="00BF5199">
            <w:pPr>
              <w:pStyle w:val="TabeladesnoUMAR"/>
            </w:pPr>
            <w:r w:rsidRPr="00715DC4">
              <w:t>358,4</w:t>
            </w:r>
          </w:p>
        </w:tc>
        <w:tc>
          <w:tcPr>
            <w:tcW w:w="748" w:type="dxa"/>
            <w:tcBorders>
              <w:top w:val="single" w:sz="6" w:space="0" w:color="auto"/>
            </w:tcBorders>
            <w:noWrap/>
            <w:vAlign w:val="bottom"/>
            <w:hideMark/>
          </w:tcPr>
          <w:p w14:paraId="6FA7424E" w14:textId="77777777" w:rsidR="006C35F8" w:rsidRPr="00B80429" w:rsidRDefault="006C35F8" w:rsidP="00BF5199">
            <w:pPr>
              <w:pStyle w:val="TabeladesnoUMAR"/>
            </w:pPr>
            <w:r w:rsidRPr="00801901">
              <w:t>100,0</w:t>
            </w:r>
          </w:p>
        </w:tc>
        <w:tc>
          <w:tcPr>
            <w:tcW w:w="1061" w:type="dxa"/>
            <w:tcBorders>
              <w:top w:val="single" w:sz="6" w:space="0" w:color="auto"/>
            </w:tcBorders>
            <w:noWrap/>
            <w:vAlign w:val="bottom"/>
            <w:hideMark/>
          </w:tcPr>
          <w:p w14:paraId="7EA7A8BD" w14:textId="77777777" w:rsidR="006C35F8" w:rsidRPr="00B80429" w:rsidRDefault="006C35F8" w:rsidP="00BF5199">
            <w:pPr>
              <w:pStyle w:val="TabeladesnoUMAR"/>
            </w:pPr>
            <w:r w:rsidRPr="00801901">
              <w:t>1,3</w:t>
            </w:r>
          </w:p>
        </w:tc>
        <w:tc>
          <w:tcPr>
            <w:tcW w:w="623" w:type="dxa"/>
            <w:tcBorders>
              <w:top w:val="single" w:sz="6" w:space="0" w:color="auto"/>
            </w:tcBorders>
            <w:noWrap/>
            <w:vAlign w:val="bottom"/>
            <w:hideMark/>
          </w:tcPr>
          <w:p w14:paraId="010144FD" w14:textId="77777777" w:rsidR="006C35F8" w:rsidRPr="00B80429" w:rsidRDefault="006C35F8" w:rsidP="00BF5199">
            <w:pPr>
              <w:pStyle w:val="TabeladesnoUMAR"/>
            </w:pPr>
            <w:r w:rsidRPr="00801901">
              <w:t>352,1</w:t>
            </w:r>
          </w:p>
        </w:tc>
        <w:tc>
          <w:tcPr>
            <w:tcW w:w="749" w:type="dxa"/>
            <w:tcBorders>
              <w:top w:val="single" w:sz="6" w:space="0" w:color="auto"/>
            </w:tcBorders>
            <w:noWrap/>
            <w:vAlign w:val="bottom"/>
            <w:hideMark/>
          </w:tcPr>
          <w:p w14:paraId="28C047CC" w14:textId="77777777" w:rsidR="006C35F8" w:rsidRPr="00B80429" w:rsidRDefault="006C35F8" w:rsidP="00BF5199">
            <w:pPr>
              <w:pStyle w:val="TabeladesnoUMAR"/>
            </w:pPr>
            <w:r w:rsidRPr="00801901">
              <w:t>100,0</w:t>
            </w:r>
          </w:p>
        </w:tc>
        <w:tc>
          <w:tcPr>
            <w:tcW w:w="753" w:type="dxa"/>
            <w:tcBorders>
              <w:top w:val="single" w:sz="6" w:space="0" w:color="auto"/>
            </w:tcBorders>
            <w:noWrap/>
            <w:vAlign w:val="bottom"/>
            <w:hideMark/>
          </w:tcPr>
          <w:p w14:paraId="738F2530" w14:textId="77777777" w:rsidR="006C35F8" w:rsidRPr="00B80429" w:rsidRDefault="006C35F8" w:rsidP="00BF5199">
            <w:pPr>
              <w:pStyle w:val="TabeladesnoUMAR"/>
            </w:pPr>
            <w:r w:rsidRPr="00801901">
              <w:t>1.269,0</w:t>
            </w:r>
          </w:p>
        </w:tc>
        <w:tc>
          <w:tcPr>
            <w:tcW w:w="749" w:type="dxa"/>
            <w:tcBorders>
              <w:top w:val="single" w:sz="6" w:space="0" w:color="auto"/>
            </w:tcBorders>
            <w:noWrap/>
            <w:vAlign w:val="bottom"/>
            <w:hideMark/>
          </w:tcPr>
          <w:p w14:paraId="5592A41A" w14:textId="77777777" w:rsidR="006C35F8" w:rsidRPr="00B80429" w:rsidRDefault="006C35F8" w:rsidP="00BF5199">
            <w:pPr>
              <w:pStyle w:val="TabeladesnoUMAR"/>
            </w:pPr>
            <w:r w:rsidRPr="00801901">
              <w:t>100,0</w:t>
            </w:r>
          </w:p>
        </w:tc>
        <w:tc>
          <w:tcPr>
            <w:tcW w:w="621" w:type="dxa"/>
            <w:tcBorders>
              <w:top w:val="single" w:sz="6" w:space="0" w:color="auto"/>
            </w:tcBorders>
            <w:noWrap/>
            <w:vAlign w:val="bottom"/>
            <w:hideMark/>
          </w:tcPr>
          <w:p w14:paraId="75AE4CD6" w14:textId="77777777" w:rsidR="006C35F8" w:rsidRPr="00B80429" w:rsidRDefault="006C35F8" w:rsidP="00BF5199">
            <w:pPr>
              <w:pStyle w:val="TabeladesnoUMAR"/>
            </w:pPr>
            <w:r w:rsidRPr="00801901">
              <w:t>95,6</w:t>
            </w:r>
          </w:p>
        </w:tc>
        <w:tc>
          <w:tcPr>
            <w:tcW w:w="884" w:type="dxa"/>
            <w:tcBorders>
              <w:top w:val="single" w:sz="6" w:space="0" w:color="auto"/>
            </w:tcBorders>
            <w:noWrap/>
            <w:vAlign w:val="bottom"/>
            <w:hideMark/>
          </w:tcPr>
          <w:p w14:paraId="3AC6B450" w14:textId="77777777" w:rsidR="006C35F8" w:rsidRPr="00B80429" w:rsidRDefault="006C35F8" w:rsidP="00BF5199">
            <w:pPr>
              <w:pStyle w:val="TabeladesnoUMAR"/>
            </w:pPr>
            <w:r w:rsidRPr="00801901">
              <w:t>100,0</w:t>
            </w:r>
          </w:p>
        </w:tc>
      </w:tr>
      <w:tr w:rsidR="006C35F8" w:rsidRPr="00B80429" w14:paraId="46167B85" w14:textId="77777777" w:rsidTr="00BF5199">
        <w:trPr>
          <w:trHeight w:val="277"/>
        </w:trPr>
        <w:tc>
          <w:tcPr>
            <w:tcW w:w="2127" w:type="dxa"/>
            <w:hideMark/>
          </w:tcPr>
          <w:p w14:paraId="492DF296" w14:textId="77777777" w:rsidR="006C35F8" w:rsidRPr="00B80429" w:rsidRDefault="006C35F8" w:rsidP="009C2105">
            <w:pPr>
              <w:pStyle w:val="TabelalevoUMAR"/>
            </w:pPr>
            <w:r w:rsidRPr="00D806F7">
              <w:t>3 Mineralna goriva in maziva</w:t>
            </w:r>
          </w:p>
        </w:tc>
        <w:tc>
          <w:tcPr>
            <w:tcW w:w="745" w:type="dxa"/>
            <w:noWrap/>
            <w:vAlign w:val="bottom"/>
            <w:hideMark/>
          </w:tcPr>
          <w:p w14:paraId="02C052B7" w14:textId="77777777" w:rsidR="006C35F8" w:rsidRPr="00B80429" w:rsidRDefault="006C35F8" w:rsidP="00BF5199">
            <w:pPr>
              <w:pStyle w:val="TabeladesnoUMAR"/>
            </w:pPr>
            <w:r w:rsidRPr="00715DC4">
              <w:t>294,5</w:t>
            </w:r>
          </w:p>
        </w:tc>
        <w:tc>
          <w:tcPr>
            <w:tcW w:w="748" w:type="dxa"/>
            <w:noWrap/>
            <w:vAlign w:val="bottom"/>
            <w:hideMark/>
          </w:tcPr>
          <w:p w14:paraId="2731F160" w14:textId="77777777" w:rsidR="006C35F8" w:rsidRPr="00B80429" w:rsidRDefault="006C35F8" w:rsidP="00BF5199">
            <w:pPr>
              <w:pStyle w:val="TabeladesnoUMAR"/>
            </w:pPr>
            <w:r w:rsidRPr="00801901">
              <w:t>82,2</w:t>
            </w:r>
          </w:p>
        </w:tc>
        <w:tc>
          <w:tcPr>
            <w:tcW w:w="1061" w:type="dxa"/>
            <w:noWrap/>
            <w:vAlign w:val="bottom"/>
            <w:hideMark/>
          </w:tcPr>
          <w:p w14:paraId="4205C0E0" w14:textId="77777777" w:rsidR="006C35F8" w:rsidRPr="00B80429" w:rsidRDefault="006C35F8" w:rsidP="00BF5199">
            <w:pPr>
              <w:pStyle w:val="TabeladesnoUMAR"/>
            </w:pPr>
            <w:r w:rsidRPr="00801901">
              <w:t>11,7</w:t>
            </w:r>
          </w:p>
        </w:tc>
        <w:tc>
          <w:tcPr>
            <w:tcW w:w="623" w:type="dxa"/>
            <w:noWrap/>
            <w:vAlign w:val="bottom"/>
            <w:hideMark/>
          </w:tcPr>
          <w:p w14:paraId="71C5296A" w14:textId="77777777" w:rsidR="006C35F8" w:rsidRPr="00B80429" w:rsidRDefault="006C35F8" w:rsidP="00BF5199">
            <w:pPr>
              <w:pStyle w:val="TabeladesnoUMAR"/>
            </w:pPr>
            <w:r w:rsidRPr="00801901">
              <w:t>7,3</w:t>
            </w:r>
          </w:p>
        </w:tc>
        <w:tc>
          <w:tcPr>
            <w:tcW w:w="749" w:type="dxa"/>
            <w:noWrap/>
            <w:vAlign w:val="bottom"/>
            <w:hideMark/>
          </w:tcPr>
          <w:p w14:paraId="33D2B1C2" w14:textId="77777777" w:rsidR="006C35F8" w:rsidRPr="00B80429" w:rsidRDefault="006C35F8" w:rsidP="00BF5199">
            <w:pPr>
              <w:pStyle w:val="TabeladesnoUMAR"/>
            </w:pPr>
            <w:r w:rsidRPr="00801901">
              <w:t>64,5</w:t>
            </w:r>
          </w:p>
        </w:tc>
        <w:tc>
          <w:tcPr>
            <w:tcW w:w="753" w:type="dxa"/>
            <w:noWrap/>
            <w:vAlign w:val="bottom"/>
            <w:hideMark/>
          </w:tcPr>
          <w:p w14:paraId="34FA28D5" w14:textId="77777777" w:rsidR="006C35F8" w:rsidRPr="00B80429" w:rsidRDefault="006C35F8" w:rsidP="00BF5199">
            <w:pPr>
              <w:pStyle w:val="TabeladesnoUMAR"/>
            </w:pPr>
            <w:r w:rsidRPr="00801901">
              <w:t>1.108,5</w:t>
            </w:r>
          </w:p>
        </w:tc>
        <w:tc>
          <w:tcPr>
            <w:tcW w:w="749" w:type="dxa"/>
            <w:noWrap/>
            <w:vAlign w:val="bottom"/>
            <w:hideMark/>
          </w:tcPr>
          <w:p w14:paraId="7BFD468C" w14:textId="77777777" w:rsidR="006C35F8" w:rsidRPr="00B80429" w:rsidRDefault="006C35F8" w:rsidP="00BF5199">
            <w:pPr>
              <w:pStyle w:val="TabeladesnoUMAR"/>
            </w:pPr>
            <w:r w:rsidRPr="00801901">
              <w:t>87,4</w:t>
            </w:r>
          </w:p>
        </w:tc>
        <w:tc>
          <w:tcPr>
            <w:tcW w:w="621" w:type="dxa"/>
            <w:noWrap/>
            <w:vAlign w:val="bottom"/>
            <w:hideMark/>
          </w:tcPr>
          <w:p w14:paraId="3E885A87" w14:textId="77777777" w:rsidR="006C35F8" w:rsidRPr="00B80429" w:rsidRDefault="006C35F8" w:rsidP="00BF5199">
            <w:pPr>
              <w:pStyle w:val="TabeladesnoUMAR"/>
            </w:pPr>
            <w:r w:rsidRPr="00801901">
              <w:t>75,9</w:t>
            </w:r>
          </w:p>
        </w:tc>
        <w:tc>
          <w:tcPr>
            <w:tcW w:w="884" w:type="dxa"/>
            <w:noWrap/>
            <w:vAlign w:val="bottom"/>
            <w:hideMark/>
          </w:tcPr>
          <w:p w14:paraId="1005B5A7" w14:textId="77777777" w:rsidR="006C35F8" w:rsidRPr="00B80429" w:rsidRDefault="006C35F8" w:rsidP="00BF5199">
            <w:pPr>
              <w:pStyle w:val="TabeladesnoUMAR"/>
            </w:pPr>
            <w:r w:rsidRPr="00801901">
              <w:t>79,4</w:t>
            </w:r>
          </w:p>
        </w:tc>
      </w:tr>
      <w:tr w:rsidR="006C35F8" w:rsidRPr="00B80429" w14:paraId="5C596460" w14:textId="77777777" w:rsidTr="00BF5199">
        <w:trPr>
          <w:trHeight w:val="126"/>
        </w:trPr>
        <w:tc>
          <w:tcPr>
            <w:tcW w:w="2127" w:type="dxa"/>
            <w:hideMark/>
          </w:tcPr>
          <w:p w14:paraId="678D6B77" w14:textId="77777777" w:rsidR="006C35F8" w:rsidRPr="00B80429" w:rsidRDefault="006C35F8" w:rsidP="009C2105">
            <w:pPr>
              <w:pStyle w:val="TabelalevoUMAR"/>
            </w:pPr>
            <w:r w:rsidRPr="00D806F7">
              <w:t>6 Izdelki, razvrščeni po materialu</w:t>
            </w:r>
          </w:p>
        </w:tc>
        <w:tc>
          <w:tcPr>
            <w:tcW w:w="745" w:type="dxa"/>
            <w:noWrap/>
            <w:vAlign w:val="bottom"/>
            <w:hideMark/>
          </w:tcPr>
          <w:p w14:paraId="37609F61" w14:textId="77777777" w:rsidR="006C35F8" w:rsidRPr="00B80429" w:rsidRDefault="006C35F8" w:rsidP="00BF5199">
            <w:pPr>
              <w:pStyle w:val="TabeladesnoUMAR"/>
            </w:pPr>
            <w:r w:rsidRPr="00715DC4">
              <w:t>30,4</w:t>
            </w:r>
          </w:p>
        </w:tc>
        <w:tc>
          <w:tcPr>
            <w:tcW w:w="748" w:type="dxa"/>
            <w:noWrap/>
            <w:vAlign w:val="bottom"/>
            <w:hideMark/>
          </w:tcPr>
          <w:p w14:paraId="10CF1C57" w14:textId="77777777" w:rsidR="006C35F8" w:rsidRPr="00B80429" w:rsidRDefault="006C35F8" w:rsidP="00BF5199">
            <w:pPr>
              <w:pStyle w:val="TabeladesnoUMAR"/>
            </w:pPr>
            <w:r w:rsidRPr="00801901">
              <w:t>8,5</w:t>
            </w:r>
          </w:p>
        </w:tc>
        <w:tc>
          <w:tcPr>
            <w:tcW w:w="1061" w:type="dxa"/>
            <w:noWrap/>
            <w:vAlign w:val="bottom"/>
            <w:hideMark/>
          </w:tcPr>
          <w:p w14:paraId="747EEFBF" w14:textId="77777777" w:rsidR="006C35F8" w:rsidRPr="00B80429" w:rsidRDefault="006C35F8" w:rsidP="00BF5199">
            <w:pPr>
              <w:pStyle w:val="TabeladesnoUMAR"/>
            </w:pPr>
            <w:r w:rsidRPr="00801901">
              <w:t>0,6</w:t>
            </w:r>
          </w:p>
        </w:tc>
        <w:tc>
          <w:tcPr>
            <w:tcW w:w="623" w:type="dxa"/>
            <w:noWrap/>
            <w:vAlign w:val="bottom"/>
            <w:hideMark/>
          </w:tcPr>
          <w:p w14:paraId="44C070CA" w14:textId="77777777" w:rsidR="006C35F8" w:rsidRPr="00B80429" w:rsidRDefault="006C35F8" w:rsidP="00BF5199">
            <w:pPr>
              <w:pStyle w:val="TabeladesnoUMAR"/>
            </w:pPr>
            <w:r w:rsidRPr="00801901">
              <w:t>0,6</w:t>
            </w:r>
          </w:p>
        </w:tc>
        <w:tc>
          <w:tcPr>
            <w:tcW w:w="749" w:type="dxa"/>
            <w:noWrap/>
            <w:vAlign w:val="bottom"/>
            <w:hideMark/>
          </w:tcPr>
          <w:p w14:paraId="25B3DFB5" w14:textId="77777777" w:rsidR="006C35F8" w:rsidRPr="00B80429" w:rsidRDefault="006C35F8" w:rsidP="00BF5199">
            <w:pPr>
              <w:pStyle w:val="TabeladesnoUMAR"/>
            </w:pPr>
            <w:r w:rsidRPr="00801901">
              <w:t>11,4</w:t>
            </w:r>
          </w:p>
        </w:tc>
        <w:tc>
          <w:tcPr>
            <w:tcW w:w="753" w:type="dxa"/>
            <w:noWrap/>
            <w:vAlign w:val="bottom"/>
            <w:hideMark/>
          </w:tcPr>
          <w:p w14:paraId="0099F2EE" w14:textId="77777777" w:rsidR="006C35F8" w:rsidRPr="00B80429" w:rsidRDefault="006C35F8" w:rsidP="00BF5199">
            <w:pPr>
              <w:pStyle w:val="TabeladesnoUMAR"/>
            </w:pPr>
            <w:r w:rsidRPr="00801901">
              <w:t>23,0</w:t>
            </w:r>
          </w:p>
        </w:tc>
        <w:tc>
          <w:tcPr>
            <w:tcW w:w="749" w:type="dxa"/>
            <w:noWrap/>
            <w:vAlign w:val="bottom"/>
            <w:hideMark/>
          </w:tcPr>
          <w:p w14:paraId="2D095593" w14:textId="77777777" w:rsidR="006C35F8" w:rsidRPr="00B80429" w:rsidRDefault="006C35F8" w:rsidP="00BF5199">
            <w:pPr>
              <w:pStyle w:val="TabeladesnoUMAR"/>
            </w:pPr>
            <w:r w:rsidRPr="00801901">
              <w:t>1,8</w:t>
            </w:r>
          </w:p>
        </w:tc>
        <w:tc>
          <w:tcPr>
            <w:tcW w:w="621" w:type="dxa"/>
            <w:noWrap/>
            <w:vAlign w:val="bottom"/>
            <w:hideMark/>
          </w:tcPr>
          <w:p w14:paraId="5A24BC52" w14:textId="77777777" w:rsidR="006C35F8" w:rsidRPr="00B80429" w:rsidRDefault="006C35F8" w:rsidP="00BF5199">
            <w:pPr>
              <w:pStyle w:val="TabeladesnoUMAR"/>
            </w:pPr>
            <w:r w:rsidRPr="00801901">
              <w:t>1,4</w:t>
            </w:r>
          </w:p>
        </w:tc>
        <w:tc>
          <w:tcPr>
            <w:tcW w:w="884" w:type="dxa"/>
            <w:noWrap/>
            <w:vAlign w:val="bottom"/>
            <w:hideMark/>
          </w:tcPr>
          <w:p w14:paraId="4E598BEA" w14:textId="77777777" w:rsidR="006C35F8" w:rsidRPr="00B80429" w:rsidRDefault="006C35F8" w:rsidP="00BF5199">
            <w:pPr>
              <w:pStyle w:val="TabeladesnoUMAR"/>
            </w:pPr>
            <w:r w:rsidRPr="00801901">
              <w:t>1,5</w:t>
            </w:r>
          </w:p>
        </w:tc>
      </w:tr>
      <w:tr w:rsidR="006C35F8" w:rsidRPr="00B80429" w14:paraId="7BC36999" w14:textId="77777777" w:rsidTr="00BF5199">
        <w:trPr>
          <w:trHeight w:val="90"/>
        </w:trPr>
        <w:tc>
          <w:tcPr>
            <w:tcW w:w="2127" w:type="dxa"/>
            <w:hideMark/>
          </w:tcPr>
          <w:p w14:paraId="6C6CA4F1" w14:textId="77777777" w:rsidR="006C35F8" w:rsidRPr="00B80429" w:rsidRDefault="006C35F8" w:rsidP="009C2105">
            <w:pPr>
              <w:pStyle w:val="TabelalevoUMAR"/>
            </w:pPr>
            <w:r w:rsidRPr="00D806F7">
              <w:t>5 Kemični proizvodi</w:t>
            </w:r>
          </w:p>
        </w:tc>
        <w:tc>
          <w:tcPr>
            <w:tcW w:w="745" w:type="dxa"/>
            <w:noWrap/>
            <w:vAlign w:val="bottom"/>
            <w:hideMark/>
          </w:tcPr>
          <w:p w14:paraId="1F00AB3D" w14:textId="77777777" w:rsidR="006C35F8" w:rsidRPr="00B80429" w:rsidRDefault="006C35F8" w:rsidP="00BF5199">
            <w:pPr>
              <w:pStyle w:val="TabeladesnoUMAR"/>
            </w:pPr>
            <w:r w:rsidRPr="00715DC4">
              <w:t>16,5</w:t>
            </w:r>
          </w:p>
        </w:tc>
        <w:tc>
          <w:tcPr>
            <w:tcW w:w="748" w:type="dxa"/>
            <w:noWrap/>
            <w:vAlign w:val="bottom"/>
            <w:hideMark/>
          </w:tcPr>
          <w:p w14:paraId="77B5F609" w14:textId="77777777" w:rsidR="006C35F8" w:rsidRPr="00B80429" w:rsidRDefault="006C35F8" w:rsidP="00BF5199">
            <w:pPr>
              <w:pStyle w:val="TabeladesnoUMAR"/>
            </w:pPr>
            <w:r w:rsidRPr="00801901">
              <w:t>4,6</w:t>
            </w:r>
          </w:p>
        </w:tc>
        <w:tc>
          <w:tcPr>
            <w:tcW w:w="1061" w:type="dxa"/>
            <w:noWrap/>
            <w:vAlign w:val="bottom"/>
            <w:hideMark/>
          </w:tcPr>
          <w:p w14:paraId="1AAC9DED" w14:textId="77777777" w:rsidR="006C35F8" w:rsidRPr="00B80429" w:rsidRDefault="006C35F8" w:rsidP="00BF5199">
            <w:pPr>
              <w:pStyle w:val="TabeladesnoUMAR"/>
            </w:pPr>
            <w:r w:rsidRPr="00801901">
              <w:t>0,4</w:t>
            </w:r>
          </w:p>
        </w:tc>
        <w:tc>
          <w:tcPr>
            <w:tcW w:w="623" w:type="dxa"/>
            <w:noWrap/>
            <w:vAlign w:val="bottom"/>
            <w:hideMark/>
          </w:tcPr>
          <w:p w14:paraId="6B333AE0" w14:textId="77777777" w:rsidR="006C35F8" w:rsidRPr="00B80429" w:rsidRDefault="006C35F8" w:rsidP="00BF5199">
            <w:pPr>
              <w:pStyle w:val="TabeladesnoUMAR"/>
            </w:pPr>
            <w:r w:rsidRPr="00801901">
              <w:t>1,2</w:t>
            </w:r>
          </w:p>
        </w:tc>
        <w:tc>
          <w:tcPr>
            <w:tcW w:w="749" w:type="dxa"/>
            <w:noWrap/>
            <w:vAlign w:val="bottom"/>
            <w:hideMark/>
          </w:tcPr>
          <w:p w14:paraId="2766A2E8" w14:textId="77777777" w:rsidR="006C35F8" w:rsidRPr="00B80429" w:rsidRDefault="006C35F8" w:rsidP="00BF5199">
            <w:pPr>
              <w:pStyle w:val="TabeladesnoUMAR"/>
            </w:pPr>
            <w:r w:rsidRPr="00801901">
              <w:t>20,0</w:t>
            </w:r>
          </w:p>
        </w:tc>
        <w:tc>
          <w:tcPr>
            <w:tcW w:w="753" w:type="dxa"/>
            <w:noWrap/>
            <w:vAlign w:val="bottom"/>
            <w:hideMark/>
          </w:tcPr>
          <w:p w14:paraId="278457C1" w14:textId="77777777" w:rsidR="006C35F8" w:rsidRPr="00B80429" w:rsidRDefault="006C35F8" w:rsidP="00BF5199">
            <w:pPr>
              <w:pStyle w:val="TabeladesnoUMAR"/>
            </w:pPr>
            <w:r w:rsidRPr="00801901">
              <w:t>128,1</w:t>
            </w:r>
          </w:p>
        </w:tc>
        <w:tc>
          <w:tcPr>
            <w:tcW w:w="749" w:type="dxa"/>
            <w:noWrap/>
            <w:vAlign w:val="bottom"/>
            <w:hideMark/>
          </w:tcPr>
          <w:p w14:paraId="1B2746CE" w14:textId="77777777" w:rsidR="006C35F8" w:rsidRPr="00B80429" w:rsidRDefault="006C35F8" w:rsidP="00BF5199">
            <w:pPr>
              <w:pStyle w:val="TabeladesnoUMAR"/>
            </w:pPr>
            <w:r w:rsidRPr="00801901">
              <w:t>10,1</w:t>
            </w:r>
          </w:p>
        </w:tc>
        <w:tc>
          <w:tcPr>
            <w:tcW w:w="621" w:type="dxa"/>
            <w:noWrap/>
            <w:vAlign w:val="bottom"/>
            <w:hideMark/>
          </w:tcPr>
          <w:p w14:paraId="4CD40F72" w14:textId="77777777" w:rsidR="006C35F8" w:rsidRPr="00B80429" w:rsidRDefault="006C35F8" w:rsidP="00BF5199">
            <w:pPr>
              <w:pStyle w:val="TabeladesnoUMAR"/>
            </w:pPr>
            <w:r w:rsidRPr="00801901">
              <w:t>15,7</w:t>
            </w:r>
          </w:p>
        </w:tc>
        <w:tc>
          <w:tcPr>
            <w:tcW w:w="884" w:type="dxa"/>
            <w:noWrap/>
            <w:vAlign w:val="bottom"/>
            <w:hideMark/>
          </w:tcPr>
          <w:p w14:paraId="7E61749B" w14:textId="77777777" w:rsidR="006C35F8" w:rsidRPr="00B80429" w:rsidRDefault="006C35F8" w:rsidP="00BF5199">
            <w:pPr>
              <w:pStyle w:val="TabeladesnoUMAR"/>
            </w:pPr>
            <w:r w:rsidRPr="00801901">
              <w:t>16,4</w:t>
            </w:r>
          </w:p>
        </w:tc>
      </w:tr>
      <w:tr w:rsidR="006C35F8" w:rsidRPr="00B80429" w14:paraId="17A8CE21" w14:textId="77777777" w:rsidTr="00BF5199">
        <w:trPr>
          <w:trHeight w:val="54"/>
        </w:trPr>
        <w:tc>
          <w:tcPr>
            <w:tcW w:w="2127" w:type="dxa"/>
            <w:hideMark/>
          </w:tcPr>
          <w:p w14:paraId="12B70633" w14:textId="77777777" w:rsidR="006C35F8" w:rsidRPr="00B80429" w:rsidRDefault="006C35F8" w:rsidP="009C2105">
            <w:pPr>
              <w:pStyle w:val="TabelalevoUMAR"/>
            </w:pPr>
            <w:r w:rsidRPr="00D806F7">
              <w:t>2 Surove snovi, razen goriv</w:t>
            </w:r>
          </w:p>
        </w:tc>
        <w:tc>
          <w:tcPr>
            <w:tcW w:w="745" w:type="dxa"/>
            <w:noWrap/>
            <w:vAlign w:val="bottom"/>
            <w:hideMark/>
          </w:tcPr>
          <w:p w14:paraId="1275907F" w14:textId="77777777" w:rsidR="006C35F8" w:rsidRPr="00B80429" w:rsidRDefault="006C35F8" w:rsidP="00BF5199">
            <w:pPr>
              <w:pStyle w:val="TabeladesnoUMAR"/>
            </w:pPr>
            <w:r w:rsidRPr="00715DC4">
              <w:t>7,7</w:t>
            </w:r>
          </w:p>
        </w:tc>
        <w:tc>
          <w:tcPr>
            <w:tcW w:w="748" w:type="dxa"/>
            <w:noWrap/>
            <w:vAlign w:val="bottom"/>
            <w:hideMark/>
          </w:tcPr>
          <w:p w14:paraId="433513EE" w14:textId="77777777" w:rsidR="006C35F8" w:rsidRPr="00B80429" w:rsidRDefault="006C35F8" w:rsidP="00BF5199">
            <w:pPr>
              <w:pStyle w:val="TabeladesnoUMAR"/>
            </w:pPr>
            <w:r w:rsidRPr="00801901">
              <w:t>2,2</w:t>
            </w:r>
          </w:p>
        </w:tc>
        <w:tc>
          <w:tcPr>
            <w:tcW w:w="1061" w:type="dxa"/>
            <w:noWrap/>
            <w:vAlign w:val="bottom"/>
            <w:hideMark/>
          </w:tcPr>
          <w:p w14:paraId="664A695A" w14:textId="77777777" w:rsidR="006C35F8" w:rsidRPr="00B80429" w:rsidRDefault="006C35F8" w:rsidP="00BF5199">
            <w:pPr>
              <w:pStyle w:val="TabeladesnoUMAR"/>
            </w:pPr>
            <w:r w:rsidRPr="00801901">
              <w:t>0,6</w:t>
            </w:r>
          </w:p>
        </w:tc>
        <w:tc>
          <w:tcPr>
            <w:tcW w:w="623" w:type="dxa"/>
            <w:noWrap/>
            <w:vAlign w:val="bottom"/>
            <w:hideMark/>
          </w:tcPr>
          <w:p w14:paraId="4FB87E02" w14:textId="77777777" w:rsidR="006C35F8" w:rsidRPr="00B80429" w:rsidRDefault="006C35F8" w:rsidP="00BF5199">
            <w:pPr>
              <w:pStyle w:val="TabeladesnoUMAR"/>
            </w:pPr>
            <w:r w:rsidRPr="00801901">
              <w:t>0,5</w:t>
            </w:r>
          </w:p>
        </w:tc>
        <w:tc>
          <w:tcPr>
            <w:tcW w:w="749" w:type="dxa"/>
            <w:noWrap/>
            <w:vAlign w:val="bottom"/>
            <w:hideMark/>
          </w:tcPr>
          <w:p w14:paraId="73C6E42C" w14:textId="77777777" w:rsidR="006C35F8" w:rsidRPr="00B80429" w:rsidRDefault="006C35F8" w:rsidP="00BF5199">
            <w:pPr>
              <w:pStyle w:val="TabeladesnoUMAR"/>
            </w:pPr>
            <w:r w:rsidRPr="00801901">
              <w:t>2,2</w:t>
            </w:r>
          </w:p>
        </w:tc>
        <w:tc>
          <w:tcPr>
            <w:tcW w:w="753" w:type="dxa"/>
            <w:noWrap/>
            <w:vAlign w:val="bottom"/>
            <w:hideMark/>
          </w:tcPr>
          <w:p w14:paraId="302C56D5" w14:textId="77777777" w:rsidR="006C35F8" w:rsidRPr="00B80429" w:rsidRDefault="006C35F8" w:rsidP="00BF5199">
            <w:pPr>
              <w:pStyle w:val="TabeladesnoUMAR"/>
            </w:pPr>
            <w:r w:rsidRPr="00801901">
              <w:t>3,2</w:t>
            </w:r>
          </w:p>
        </w:tc>
        <w:tc>
          <w:tcPr>
            <w:tcW w:w="749" w:type="dxa"/>
            <w:noWrap/>
            <w:vAlign w:val="bottom"/>
            <w:hideMark/>
          </w:tcPr>
          <w:p w14:paraId="300C041E" w14:textId="77777777" w:rsidR="006C35F8" w:rsidRPr="00B80429" w:rsidRDefault="006C35F8" w:rsidP="00BF5199">
            <w:pPr>
              <w:pStyle w:val="TabeladesnoUMAR"/>
            </w:pPr>
            <w:r w:rsidRPr="00801901">
              <w:t>0,3</w:t>
            </w:r>
          </w:p>
        </w:tc>
        <w:tc>
          <w:tcPr>
            <w:tcW w:w="621" w:type="dxa"/>
            <w:noWrap/>
            <w:vAlign w:val="bottom"/>
            <w:hideMark/>
          </w:tcPr>
          <w:p w14:paraId="5806CB76" w14:textId="77777777" w:rsidR="006C35F8" w:rsidRPr="00B80429" w:rsidRDefault="006C35F8" w:rsidP="00BF5199">
            <w:pPr>
              <w:pStyle w:val="TabeladesnoUMAR"/>
            </w:pPr>
            <w:r w:rsidRPr="00801901">
              <w:t>0,2</w:t>
            </w:r>
          </w:p>
        </w:tc>
        <w:tc>
          <w:tcPr>
            <w:tcW w:w="884" w:type="dxa"/>
            <w:noWrap/>
            <w:vAlign w:val="bottom"/>
            <w:hideMark/>
          </w:tcPr>
          <w:p w14:paraId="17B86289" w14:textId="77777777" w:rsidR="006C35F8" w:rsidRPr="00B80429" w:rsidRDefault="006C35F8" w:rsidP="00BF5199">
            <w:pPr>
              <w:pStyle w:val="TabeladesnoUMAR"/>
            </w:pPr>
            <w:r w:rsidRPr="00801901">
              <w:t>0,2</w:t>
            </w:r>
          </w:p>
        </w:tc>
      </w:tr>
      <w:tr w:rsidR="006C35F8" w:rsidRPr="00B80429" w14:paraId="1A06393F" w14:textId="77777777" w:rsidTr="00BF5199">
        <w:trPr>
          <w:trHeight w:val="54"/>
        </w:trPr>
        <w:tc>
          <w:tcPr>
            <w:tcW w:w="2127" w:type="dxa"/>
            <w:hideMark/>
          </w:tcPr>
          <w:p w14:paraId="41F88FD8" w14:textId="77777777" w:rsidR="006C35F8" w:rsidRPr="00B80429" w:rsidRDefault="006C35F8" w:rsidP="009C2105">
            <w:pPr>
              <w:pStyle w:val="TabelalevoUMAR"/>
            </w:pPr>
            <w:r w:rsidRPr="00D806F7">
              <w:t>7 Stroji in transportne naprave</w:t>
            </w:r>
          </w:p>
        </w:tc>
        <w:tc>
          <w:tcPr>
            <w:tcW w:w="745" w:type="dxa"/>
            <w:noWrap/>
            <w:vAlign w:val="bottom"/>
            <w:hideMark/>
          </w:tcPr>
          <w:p w14:paraId="77B332B9" w14:textId="77777777" w:rsidR="006C35F8" w:rsidRPr="00B80429" w:rsidRDefault="006C35F8" w:rsidP="00BF5199">
            <w:pPr>
              <w:pStyle w:val="TabeladesnoUMAR"/>
            </w:pPr>
            <w:r w:rsidRPr="00715DC4">
              <w:t>5,8</w:t>
            </w:r>
          </w:p>
        </w:tc>
        <w:tc>
          <w:tcPr>
            <w:tcW w:w="748" w:type="dxa"/>
            <w:noWrap/>
            <w:vAlign w:val="bottom"/>
            <w:hideMark/>
          </w:tcPr>
          <w:p w14:paraId="30ADDA92" w14:textId="77777777" w:rsidR="006C35F8" w:rsidRPr="00B80429" w:rsidRDefault="006C35F8" w:rsidP="00BF5199">
            <w:pPr>
              <w:pStyle w:val="TabeladesnoUMAR"/>
            </w:pPr>
            <w:r w:rsidRPr="00801901">
              <w:t>1,6</w:t>
            </w:r>
          </w:p>
        </w:tc>
        <w:tc>
          <w:tcPr>
            <w:tcW w:w="1061" w:type="dxa"/>
            <w:noWrap/>
            <w:vAlign w:val="bottom"/>
            <w:hideMark/>
          </w:tcPr>
          <w:p w14:paraId="18A6D428" w14:textId="77777777" w:rsidR="006C35F8" w:rsidRPr="00B80429" w:rsidRDefault="006C35F8" w:rsidP="00BF5199">
            <w:pPr>
              <w:pStyle w:val="TabeladesnoUMAR"/>
            </w:pPr>
            <w:r w:rsidRPr="00801901">
              <w:t>0,1</w:t>
            </w:r>
          </w:p>
        </w:tc>
        <w:tc>
          <w:tcPr>
            <w:tcW w:w="623" w:type="dxa"/>
            <w:noWrap/>
            <w:vAlign w:val="bottom"/>
            <w:hideMark/>
          </w:tcPr>
          <w:p w14:paraId="5325B016" w14:textId="77777777" w:rsidR="006C35F8" w:rsidRPr="00B80429" w:rsidRDefault="006C35F8" w:rsidP="00BF5199">
            <w:pPr>
              <w:pStyle w:val="TabeladesnoUMAR"/>
            </w:pPr>
            <w:r w:rsidRPr="00801901">
              <w:t>0,0</w:t>
            </w:r>
          </w:p>
        </w:tc>
        <w:tc>
          <w:tcPr>
            <w:tcW w:w="749" w:type="dxa"/>
            <w:noWrap/>
            <w:vAlign w:val="bottom"/>
            <w:hideMark/>
          </w:tcPr>
          <w:p w14:paraId="67E1269D" w14:textId="77777777" w:rsidR="006C35F8" w:rsidRPr="00B80429" w:rsidRDefault="006C35F8" w:rsidP="00BF5199">
            <w:pPr>
              <w:pStyle w:val="TabeladesnoUMAR"/>
            </w:pPr>
            <w:r w:rsidRPr="00801901">
              <w:t>1,3</w:t>
            </w:r>
          </w:p>
        </w:tc>
        <w:tc>
          <w:tcPr>
            <w:tcW w:w="753" w:type="dxa"/>
            <w:noWrap/>
            <w:vAlign w:val="bottom"/>
            <w:hideMark/>
          </w:tcPr>
          <w:p w14:paraId="43934115" w14:textId="77777777" w:rsidR="006C35F8" w:rsidRPr="00B80429" w:rsidRDefault="006C35F8" w:rsidP="00BF5199">
            <w:pPr>
              <w:pStyle w:val="TabeladesnoUMAR"/>
            </w:pPr>
            <w:r w:rsidRPr="00801901">
              <w:t>4,7</w:t>
            </w:r>
          </w:p>
        </w:tc>
        <w:tc>
          <w:tcPr>
            <w:tcW w:w="749" w:type="dxa"/>
            <w:noWrap/>
            <w:vAlign w:val="bottom"/>
            <w:hideMark/>
          </w:tcPr>
          <w:p w14:paraId="033499A0" w14:textId="77777777" w:rsidR="006C35F8" w:rsidRPr="00B80429" w:rsidRDefault="006C35F8" w:rsidP="00BF5199">
            <w:pPr>
              <w:pStyle w:val="TabeladesnoUMAR"/>
            </w:pPr>
            <w:r w:rsidRPr="00801901">
              <w:t>0,4</w:t>
            </w:r>
          </w:p>
        </w:tc>
        <w:tc>
          <w:tcPr>
            <w:tcW w:w="621" w:type="dxa"/>
            <w:noWrap/>
            <w:vAlign w:val="bottom"/>
            <w:hideMark/>
          </w:tcPr>
          <w:p w14:paraId="13F63E2F" w14:textId="77777777" w:rsidR="006C35F8" w:rsidRPr="00B80429" w:rsidRDefault="006C35F8" w:rsidP="00BF5199">
            <w:pPr>
              <w:pStyle w:val="TabeladesnoUMAR"/>
            </w:pPr>
            <w:r w:rsidRPr="00801901">
              <w:t>2,3</w:t>
            </w:r>
          </w:p>
        </w:tc>
        <w:tc>
          <w:tcPr>
            <w:tcW w:w="884" w:type="dxa"/>
            <w:noWrap/>
            <w:vAlign w:val="bottom"/>
            <w:hideMark/>
          </w:tcPr>
          <w:p w14:paraId="68BC473F" w14:textId="77777777" w:rsidR="006C35F8" w:rsidRPr="00B80429" w:rsidRDefault="006C35F8" w:rsidP="00BF5199">
            <w:pPr>
              <w:pStyle w:val="TabeladesnoUMAR"/>
            </w:pPr>
            <w:r w:rsidRPr="00801901">
              <w:t>2,4</w:t>
            </w:r>
          </w:p>
        </w:tc>
      </w:tr>
      <w:tr w:rsidR="006C35F8" w:rsidRPr="00B80429" w14:paraId="168D1B6B" w14:textId="77777777" w:rsidTr="00BF5199">
        <w:trPr>
          <w:trHeight w:val="54"/>
        </w:trPr>
        <w:tc>
          <w:tcPr>
            <w:tcW w:w="2127" w:type="dxa"/>
            <w:hideMark/>
          </w:tcPr>
          <w:p w14:paraId="7BCED4F0" w14:textId="77777777" w:rsidR="006C35F8" w:rsidRPr="00B80429" w:rsidRDefault="006C35F8" w:rsidP="009C2105">
            <w:pPr>
              <w:pStyle w:val="TabelalevoUMAR"/>
            </w:pPr>
            <w:r w:rsidRPr="00D806F7">
              <w:t>8 Razni izdelki</w:t>
            </w:r>
          </w:p>
        </w:tc>
        <w:tc>
          <w:tcPr>
            <w:tcW w:w="745" w:type="dxa"/>
            <w:noWrap/>
            <w:vAlign w:val="bottom"/>
            <w:hideMark/>
          </w:tcPr>
          <w:p w14:paraId="48CBFE16" w14:textId="77777777" w:rsidR="006C35F8" w:rsidRPr="00B80429" w:rsidRDefault="006C35F8" w:rsidP="00BF5199">
            <w:pPr>
              <w:pStyle w:val="TabeladesnoUMAR"/>
            </w:pPr>
            <w:r w:rsidRPr="00715DC4">
              <w:t>2,3</w:t>
            </w:r>
          </w:p>
        </w:tc>
        <w:tc>
          <w:tcPr>
            <w:tcW w:w="748" w:type="dxa"/>
            <w:noWrap/>
            <w:vAlign w:val="bottom"/>
            <w:hideMark/>
          </w:tcPr>
          <w:p w14:paraId="54DF786B" w14:textId="77777777" w:rsidR="006C35F8" w:rsidRPr="00B80429" w:rsidRDefault="006C35F8" w:rsidP="00BF5199">
            <w:pPr>
              <w:pStyle w:val="TabeladesnoUMAR"/>
            </w:pPr>
            <w:r w:rsidRPr="00801901">
              <w:t>0,6</w:t>
            </w:r>
          </w:p>
        </w:tc>
        <w:tc>
          <w:tcPr>
            <w:tcW w:w="1061" w:type="dxa"/>
            <w:noWrap/>
            <w:vAlign w:val="bottom"/>
            <w:hideMark/>
          </w:tcPr>
          <w:p w14:paraId="1C1B8654" w14:textId="77777777" w:rsidR="006C35F8" w:rsidRPr="00B80429" w:rsidRDefault="006C35F8" w:rsidP="00BF5199">
            <w:pPr>
              <w:pStyle w:val="TabeladesnoUMAR"/>
            </w:pPr>
            <w:r w:rsidRPr="00801901">
              <w:t>0,1</w:t>
            </w:r>
          </w:p>
        </w:tc>
        <w:tc>
          <w:tcPr>
            <w:tcW w:w="623" w:type="dxa"/>
            <w:noWrap/>
            <w:vAlign w:val="bottom"/>
            <w:hideMark/>
          </w:tcPr>
          <w:p w14:paraId="66FCF5BE" w14:textId="77777777" w:rsidR="006C35F8" w:rsidRPr="00B80429" w:rsidRDefault="006C35F8" w:rsidP="00BF5199">
            <w:pPr>
              <w:pStyle w:val="TabeladesnoUMAR"/>
            </w:pPr>
            <w:r w:rsidRPr="00801901">
              <w:t>0,0</w:t>
            </w:r>
          </w:p>
        </w:tc>
        <w:tc>
          <w:tcPr>
            <w:tcW w:w="749" w:type="dxa"/>
            <w:noWrap/>
            <w:vAlign w:val="bottom"/>
            <w:hideMark/>
          </w:tcPr>
          <w:p w14:paraId="116C60D4" w14:textId="77777777" w:rsidR="006C35F8" w:rsidRPr="00B80429" w:rsidRDefault="006C35F8" w:rsidP="00BF5199">
            <w:pPr>
              <w:pStyle w:val="TabeladesnoUMAR"/>
            </w:pPr>
            <w:r w:rsidRPr="00801901">
              <w:t>0,4</w:t>
            </w:r>
          </w:p>
        </w:tc>
        <w:tc>
          <w:tcPr>
            <w:tcW w:w="753" w:type="dxa"/>
            <w:noWrap/>
            <w:vAlign w:val="bottom"/>
            <w:hideMark/>
          </w:tcPr>
          <w:p w14:paraId="05CB6096" w14:textId="77777777" w:rsidR="006C35F8" w:rsidRPr="00B80429" w:rsidRDefault="006C35F8" w:rsidP="00BF5199">
            <w:pPr>
              <w:pStyle w:val="TabeladesnoUMAR"/>
            </w:pPr>
            <w:r w:rsidRPr="00801901">
              <w:t>1,2</w:t>
            </w:r>
          </w:p>
        </w:tc>
        <w:tc>
          <w:tcPr>
            <w:tcW w:w="749" w:type="dxa"/>
            <w:noWrap/>
            <w:vAlign w:val="bottom"/>
            <w:hideMark/>
          </w:tcPr>
          <w:p w14:paraId="66451D7A" w14:textId="77777777" w:rsidR="006C35F8" w:rsidRPr="00B80429" w:rsidRDefault="006C35F8" w:rsidP="00BF5199">
            <w:pPr>
              <w:pStyle w:val="TabeladesnoUMAR"/>
            </w:pPr>
            <w:r w:rsidRPr="00801901">
              <w:t>0,1</w:t>
            </w:r>
          </w:p>
        </w:tc>
        <w:tc>
          <w:tcPr>
            <w:tcW w:w="621" w:type="dxa"/>
            <w:noWrap/>
            <w:vAlign w:val="bottom"/>
            <w:hideMark/>
          </w:tcPr>
          <w:p w14:paraId="0488BA00" w14:textId="77777777" w:rsidR="006C35F8" w:rsidRPr="00B80429" w:rsidRDefault="006C35F8" w:rsidP="00BF5199">
            <w:pPr>
              <w:pStyle w:val="TabeladesnoUMAR"/>
            </w:pPr>
            <w:r w:rsidRPr="00801901">
              <w:t>0,1</w:t>
            </w:r>
          </w:p>
        </w:tc>
        <w:tc>
          <w:tcPr>
            <w:tcW w:w="884" w:type="dxa"/>
            <w:noWrap/>
            <w:vAlign w:val="bottom"/>
            <w:hideMark/>
          </w:tcPr>
          <w:p w14:paraId="0C543BF7" w14:textId="77777777" w:rsidR="006C35F8" w:rsidRPr="00B80429" w:rsidRDefault="006C35F8" w:rsidP="00BF5199">
            <w:pPr>
              <w:pStyle w:val="TabeladesnoUMAR"/>
            </w:pPr>
            <w:r w:rsidRPr="00801901">
              <w:t>0,1</w:t>
            </w:r>
          </w:p>
        </w:tc>
      </w:tr>
      <w:tr w:rsidR="006C35F8" w:rsidRPr="00B80429" w14:paraId="6C58C036" w14:textId="77777777" w:rsidTr="00BF5199">
        <w:trPr>
          <w:trHeight w:val="54"/>
        </w:trPr>
        <w:tc>
          <w:tcPr>
            <w:tcW w:w="2127" w:type="dxa"/>
            <w:hideMark/>
          </w:tcPr>
          <w:p w14:paraId="3E61A38D" w14:textId="77777777" w:rsidR="006C35F8" w:rsidRPr="00B80429" w:rsidRDefault="006C35F8" w:rsidP="009C2105">
            <w:pPr>
              <w:pStyle w:val="TabelalevoUMAR"/>
            </w:pPr>
            <w:r w:rsidRPr="00D806F7">
              <w:t>0 Živila in žive živali</w:t>
            </w:r>
          </w:p>
        </w:tc>
        <w:tc>
          <w:tcPr>
            <w:tcW w:w="745" w:type="dxa"/>
            <w:noWrap/>
            <w:vAlign w:val="bottom"/>
            <w:hideMark/>
          </w:tcPr>
          <w:p w14:paraId="42CC1D3B" w14:textId="77777777" w:rsidR="006C35F8" w:rsidRPr="00B80429" w:rsidRDefault="006C35F8" w:rsidP="00BF5199">
            <w:pPr>
              <w:pStyle w:val="TabeladesnoUMAR"/>
            </w:pPr>
            <w:r w:rsidRPr="00715DC4">
              <w:t>1,1</w:t>
            </w:r>
          </w:p>
        </w:tc>
        <w:tc>
          <w:tcPr>
            <w:tcW w:w="748" w:type="dxa"/>
            <w:noWrap/>
            <w:vAlign w:val="bottom"/>
            <w:hideMark/>
          </w:tcPr>
          <w:p w14:paraId="2B8A4570" w14:textId="77777777" w:rsidR="006C35F8" w:rsidRPr="00B80429" w:rsidRDefault="006C35F8" w:rsidP="00BF5199">
            <w:pPr>
              <w:pStyle w:val="TabeladesnoUMAR"/>
            </w:pPr>
            <w:r w:rsidRPr="00801901">
              <w:t>0,3</w:t>
            </w:r>
          </w:p>
        </w:tc>
        <w:tc>
          <w:tcPr>
            <w:tcW w:w="1061" w:type="dxa"/>
            <w:noWrap/>
            <w:vAlign w:val="bottom"/>
            <w:hideMark/>
          </w:tcPr>
          <w:p w14:paraId="7296ADD4" w14:textId="77777777" w:rsidR="006C35F8" w:rsidRPr="00B80429" w:rsidRDefault="006C35F8" w:rsidP="00BF5199">
            <w:pPr>
              <w:pStyle w:val="TabeladesnoUMAR"/>
            </w:pPr>
            <w:r w:rsidRPr="00801901">
              <w:t>0,1</w:t>
            </w:r>
          </w:p>
        </w:tc>
        <w:tc>
          <w:tcPr>
            <w:tcW w:w="623" w:type="dxa"/>
            <w:noWrap/>
            <w:vAlign w:val="bottom"/>
            <w:hideMark/>
          </w:tcPr>
          <w:p w14:paraId="19979D8C" w14:textId="77777777" w:rsidR="006C35F8" w:rsidRPr="00B80429" w:rsidRDefault="006C35F8" w:rsidP="00BF5199">
            <w:pPr>
              <w:pStyle w:val="TabeladesnoUMAR"/>
            </w:pPr>
            <w:r w:rsidRPr="00801901">
              <w:t>0,0</w:t>
            </w:r>
          </w:p>
        </w:tc>
        <w:tc>
          <w:tcPr>
            <w:tcW w:w="749" w:type="dxa"/>
            <w:noWrap/>
            <w:vAlign w:val="bottom"/>
            <w:hideMark/>
          </w:tcPr>
          <w:p w14:paraId="6883BD54" w14:textId="77777777" w:rsidR="006C35F8" w:rsidRPr="00B80429" w:rsidRDefault="006C35F8" w:rsidP="00BF5199">
            <w:pPr>
              <w:pStyle w:val="TabeladesnoUMAR"/>
            </w:pPr>
            <w:r w:rsidRPr="00801901">
              <w:t>0,1</w:t>
            </w:r>
          </w:p>
        </w:tc>
        <w:tc>
          <w:tcPr>
            <w:tcW w:w="753" w:type="dxa"/>
            <w:noWrap/>
            <w:vAlign w:val="bottom"/>
            <w:hideMark/>
          </w:tcPr>
          <w:p w14:paraId="21032592" w14:textId="77777777" w:rsidR="006C35F8" w:rsidRPr="00B80429" w:rsidRDefault="006C35F8" w:rsidP="00BF5199">
            <w:pPr>
              <w:pStyle w:val="TabeladesnoUMAR"/>
            </w:pPr>
            <w:r w:rsidRPr="00801901">
              <w:t>0,1</w:t>
            </w:r>
          </w:p>
        </w:tc>
        <w:tc>
          <w:tcPr>
            <w:tcW w:w="749" w:type="dxa"/>
            <w:noWrap/>
            <w:vAlign w:val="bottom"/>
            <w:hideMark/>
          </w:tcPr>
          <w:p w14:paraId="10C514A7" w14:textId="77777777" w:rsidR="006C35F8" w:rsidRPr="00B80429" w:rsidRDefault="006C35F8" w:rsidP="00BF5199">
            <w:pPr>
              <w:pStyle w:val="TabeladesnoUMAR"/>
            </w:pPr>
            <w:r w:rsidRPr="00801901">
              <w:t>0,0</w:t>
            </w:r>
          </w:p>
        </w:tc>
        <w:tc>
          <w:tcPr>
            <w:tcW w:w="621" w:type="dxa"/>
            <w:noWrap/>
            <w:vAlign w:val="bottom"/>
            <w:hideMark/>
          </w:tcPr>
          <w:p w14:paraId="73B61080" w14:textId="77777777" w:rsidR="006C35F8" w:rsidRPr="00B80429" w:rsidRDefault="006C35F8" w:rsidP="00BF5199">
            <w:pPr>
              <w:pStyle w:val="TabeladesnoUMAR"/>
            </w:pPr>
            <w:r w:rsidRPr="00801901">
              <w:t>0,0</w:t>
            </w:r>
          </w:p>
        </w:tc>
        <w:tc>
          <w:tcPr>
            <w:tcW w:w="884" w:type="dxa"/>
            <w:noWrap/>
            <w:vAlign w:val="bottom"/>
            <w:hideMark/>
          </w:tcPr>
          <w:p w14:paraId="2AA3E36E" w14:textId="77777777" w:rsidR="006C35F8" w:rsidRPr="00B80429" w:rsidRDefault="006C35F8" w:rsidP="00BF5199">
            <w:pPr>
              <w:pStyle w:val="TabeladesnoUMAR"/>
            </w:pPr>
            <w:r w:rsidRPr="00801901">
              <w:t>0,0</w:t>
            </w:r>
          </w:p>
        </w:tc>
      </w:tr>
      <w:tr w:rsidR="006C35F8" w:rsidRPr="00B80429" w14:paraId="242F6FC7" w14:textId="77777777" w:rsidTr="00BF5199">
        <w:trPr>
          <w:trHeight w:val="54"/>
        </w:trPr>
        <w:tc>
          <w:tcPr>
            <w:tcW w:w="2127" w:type="dxa"/>
            <w:hideMark/>
          </w:tcPr>
          <w:p w14:paraId="23D2BBE0" w14:textId="77777777" w:rsidR="006C35F8" w:rsidRPr="00B80429" w:rsidRDefault="006C35F8" w:rsidP="009C2105">
            <w:pPr>
              <w:pStyle w:val="TabelalevoUMAR"/>
            </w:pPr>
            <w:r w:rsidRPr="00D806F7">
              <w:t>9 Proizvodi in transakcije</w:t>
            </w:r>
          </w:p>
        </w:tc>
        <w:tc>
          <w:tcPr>
            <w:tcW w:w="745" w:type="dxa"/>
            <w:noWrap/>
            <w:vAlign w:val="bottom"/>
            <w:hideMark/>
          </w:tcPr>
          <w:p w14:paraId="667E3559" w14:textId="77777777" w:rsidR="006C35F8" w:rsidRPr="00B80429" w:rsidRDefault="006C35F8" w:rsidP="00BF5199">
            <w:pPr>
              <w:pStyle w:val="TabeladesnoUMAR"/>
            </w:pPr>
            <w:r w:rsidRPr="00715DC4">
              <w:t>0,0</w:t>
            </w:r>
          </w:p>
        </w:tc>
        <w:tc>
          <w:tcPr>
            <w:tcW w:w="748" w:type="dxa"/>
            <w:noWrap/>
            <w:vAlign w:val="bottom"/>
            <w:hideMark/>
          </w:tcPr>
          <w:p w14:paraId="12D18149" w14:textId="77777777" w:rsidR="006C35F8" w:rsidRPr="00B80429" w:rsidRDefault="006C35F8" w:rsidP="00BF5199">
            <w:pPr>
              <w:pStyle w:val="TabeladesnoUMAR"/>
            </w:pPr>
            <w:r w:rsidRPr="00801901">
              <w:t>0,0</w:t>
            </w:r>
          </w:p>
        </w:tc>
        <w:tc>
          <w:tcPr>
            <w:tcW w:w="1061" w:type="dxa"/>
            <w:noWrap/>
            <w:vAlign w:val="bottom"/>
            <w:hideMark/>
          </w:tcPr>
          <w:p w14:paraId="0A597ADB" w14:textId="77777777" w:rsidR="006C35F8" w:rsidRPr="00B80429" w:rsidRDefault="006C35F8" w:rsidP="00BF5199">
            <w:pPr>
              <w:pStyle w:val="TabeladesnoUMAR"/>
            </w:pPr>
            <w:r w:rsidRPr="00801901">
              <w:t>0,1</w:t>
            </w:r>
          </w:p>
        </w:tc>
        <w:tc>
          <w:tcPr>
            <w:tcW w:w="623" w:type="dxa"/>
            <w:noWrap/>
            <w:vAlign w:val="bottom"/>
            <w:hideMark/>
          </w:tcPr>
          <w:p w14:paraId="25CAD2EA" w14:textId="77777777" w:rsidR="006C35F8" w:rsidRPr="00B80429" w:rsidRDefault="006C35F8" w:rsidP="00BF5199">
            <w:pPr>
              <w:pStyle w:val="TabeladesnoUMAR"/>
            </w:pPr>
            <w:r w:rsidRPr="00801901">
              <w:t>0,0</w:t>
            </w:r>
          </w:p>
        </w:tc>
        <w:tc>
          <w:tcPr>
            <w:tcW w:w="749" w:type="dxa"/>
            <w:noWrap/>
            <w:vAlign w:val="bottom"/>
            <w:hideMark/>
          </w:tcPr>
          <w:p w14:paraId="710A2D0D" w14:textId="77777777" w:rsidR="006C35F8" w:rsidRPr="00B80429" w:rsidRDefault="006C35F8" w:rsidP="00BF5199">
            <w:pPr>
              <w:pStyle w:val="TabeladesnoUMAR"/>
            </w:pPr>
            <w:r w:rsidRPr="00801901">
              <w:t>0,0</w:t>
            </w:r>
          </w:p>
        </w:tc>
        <w:tc>
          <w:tcPr>
            <w:tcW w:w="753" w:type="dxa"/>
            <w:noWrap/>
            <w:vAlign w:val="bottom"/>
            <w:hideMark/>
          </w:tcPr>
          <w:p w14:paraId="2E6F47F5" w14:textId="77777777" w:rsidR="006C35F8" w:rsidRPr="00B80429" w:rsidRDefault="006C35F8" w:rsidP="00BF5199">
            <w:pPr>
              <w:pStyle w:val="TabeladesnoUMAR"/>
            </w:pPr>
            <w:r w:rsidRPr="00801901">
              <w:t>0,0</w:t>
            </w:r>
          </w:p>
        </w:tc>
        <w:tc>
          <w:tcPr>
            <w:tcW w:w="749" w:type="dxa"/>
            <w:noWrap/>
            <w:vAlign w:val="bottom"/>
            <w:hideMark/>
          </w:tcPr>
          <w:p w14:paraId="7E283BC5" w14:textId="77777777" w:rsidR="006C35F8" w:rsidRPr="00B80429" w:rsidRDefault="006C35F8" w:rsidP="00BF5199">
            <w:pPr>
              <w:pStyle w:val="TabeladesnoUMAR"/>
            </w:pPr>
            <w:r w:rsidRPr="00801901">
              <w:t>0,0</w:t>
            </w:r>
          </w:p>
        </w:tc>
        <w:tc>
          <w:tcPr>
            <w:tcW w:w="621" w:type="dxa"/>
            <w:noWrap/>
            <w:vAlign w:val="bottom"/>
            <w:hideMark/>
          </w:tcPr>
          <w:p w14:paraId="6889F67D" w14:textId="77777777" w:rsidR="006C35F8" w:rsidRPr="00B80429" w:rsidRDefault="006C35F8" w:rsidP="00BF5199">
            <w:pPr>
              <w:pStyle w:val="TabeladesnoUMAR"/>
            </w:pPr>
            <w:r w:rsidRPr="00801901">
              <w:t>0,0</w:t>
            </w:r>
          </w:p>
        </w:tc>
        <w:tc>
          <w:tcPr>
            <w:tcW w:w="884" w:type="dxa"/>
            <w:noWrap/>
            <w:vAlign w:val="bottom"/>
            <w:hideMark/>
          </w:tcPr>
          <w:p w14:paraId="0FC2186B" w14:textId="77777777" w:rsidR="006C35F8" w:rsidRPr="00B80429" w:rsidRDefault="006C35F8" w:rsidP="00BF5199">
            <w:pPr>
              <w:pStyle w:val="TabeladesnoUMAR"/>
            </w:pPr>
            <w:r w:rsidRPr="00801901">
              <w:t>0,0</w:t>
            </w:r>
          </w:p>
        </w:tc>
      </w:tr>
      <w:tr w:rsidR="006C35F8" w:rsidRPr="00B80429" w14:paraId="05834B03" w14:textId="77777777" w:rsidTr="00BF5199">
        <w:trPr>
          <w:trHeight w:val="54"/>
        </w:trPr>
        <w:tc>
          <w:tcPr>
            <w:tcW w:w="2127" w:type="dxa"/>
            <w:hideMark/>
          </w:tcPr>
          <w:p w14:paraId="4ADFF3E4" w14:textId="77777777" w:rsidR="006C35F8" w:rsidRPr="00B80429" w:rsidRDefault="006C35F8" w:rsidP="009C2105">
            <w:pPr>
              <w:pStyle w:val="TabelalevoUMAR"/>
            </w:pPr>
            <w:r w:rsidRPr="00D806F7">
              <w:t>1 Pijače in tobak</w:t>
            </w:r>
          </w:p>
        </w:tc>
        <w:tc>
          <w:tcPr>
            <w:tcW w:w="745" w:type="dxa"/>
            <w:noWrap/>
            <w:vAlign w:val="bottom"/>
            <w:hideMark/>
          </w:tcPr>
          <w:p w14:paraId="0C9C606D" w14:textId="77777777" w:rsidR="006C35F8" w:rsidRPr="00B80429" w:rsidRDefault="006C35F8" w:rsidP="00BF5199">
            <w:pPr>
              <w:pStyle w:val="TabeladesnoUMAR"/>
            </w:pPr>
            <w:r w:rsidRPr="00715DC4">
              <w:t>0,0</w:t>
            </w:r>
          </w:p>
        </w:tc>
        <w:tc>
          <w:tcPr>
            <w:tcW w:w="748" w:type="dxa"/>
            <w:noWrap/>
            <w:vAlign w:val="bottom"/>
            <w:hideMark/>
          </w:tcPr>
          <w:p w14:paraId="662BECF8" w14:textId="77777777" w:rsidR="006C35F8" w:rsidRPr="00B80429" w:rsidRDefault="006C35F8" w:rsidP="00BF5199">
            <w:pPr>
              <w:pStyle w:val="TabeladesnoUMAR"/>
            </w:pPr>
            <w:r w:rsidRPr="00801901">
              <w:t>0,0</w:t>
            </w:r>
          </w:p>
        </w:tc>
        <w:tc>
          <w:tcPr>
            <w:tcW w:w="1061" w:type="dxa"/>
            <w:noWrap/>
            <w:vAlign w:val="bottom"/>
            <w:hideMark/>
          </w:tcPr>
          <w:p w14:paraId="3E2EC8DA" w14:textId="77777777" w:rsidR="006C35F8" w:rsidRPr="00B80429" w:rsidRDefault="006C35F8" w:rsidP="00BF5199">
            <w:pPr>
              <w:pStyle w:val="TabeladesnoUMAR"/>
            </w:pPr>
            <w:r w:rsidRPr="00801901">
              <w:t>0,0</w:t>
            </w:r>
          </w:p>
        </w:tc>
        <w:tc>
          <w:tcPr>
            <w:tcW w:w="623" w:type="dxa"/>
            <w:noWrap/>
            <w:vAlign w:val="bottom"/>
            <w:hideMark/>
          </w:tcPr>
          <w:p w14:paraId="23DC161C" w14:textId="77777777" w:rsidR="006C35F8" w:rsidRPr="00B80429" w:rsidRDefault="006C35F8" w:rsidP="00BF5199">
            <w:pPr>
              <w:pStyle w:val="TabeladesnoUMAR"/>
            </w:pPr>
            <w:r w:rsidRPr="00801901">
              <w:t>0,1</w:t>
            </w:r>
          </w:p>
        </w:tc>
        <w:tc>
          <w:tcPr>
            <w:tcW w:w="749" w:type="dxa"/>
            <w:noWrap/>
            <w:vAlign w:val="bottom"/>
            <w:hideMark/>
          </w:tcPr>
          <w:p w14:paraId="4D48EB84" w14:textId="77777777" w:rsidR="006C35F8" w:rsidRPr="00B80429" w:rsidRDefault="006C35F8" w:rsidP="00BF5199">
            <w:pPr>
              <w:pStyle w:val="TabeladesnoUMAR"/>
            </w:pPr>
            <w:r w:rsidRPr="00801901">
              <w:t>0,1</w:t>
            </w:r>
          </w:p>
        </w:tc>
        <w:tc>
          <w:tcPr>
            <w:tcW w:w="753" w:type="dxa"/>
            <w:noWrap/>
            <w:vAlign w:val="bottom"/>
            <w:hideMark/>
          </w:tcPr>
          <w:p w14:paraId="017FFB67" w14:textId="77777777" w:rsidR="006C35F8" w:rsidRPr="00B80429" w:rsidRDefault="006C35F8" w:rsidP="00BF5199">
            <w:pPr>
              <w:pStyle w:val="TabeladesnoUMAR"/>
            </w:pPr>
            <w:r w:rsidRPr="00801901">
              <w:t>0,0</w:t>
            </w:r>
          </w:p>
        </w:tc>
        <w:tc>
          <w:tcPr>
            <w:tcW w:w="749" w:type="dxa"/>
            <w:noWrap/>
            <w:vAlign w:val="bottom"/>
            <w:hideMark/>
          </w:tcPr>
          <w:p w14:paraId="25DC46BB" w14:textId="77777777" w:rsidR="006C35F8" w:rsidRPr="00B80429" w:rsidRDefault="006C35F8" w:rsidP="00BF5199">
            <w:pPr>
              <w:pStyle w:val="TabeladesnoUMAR"/>
            </w:pPr>
            <w:r w:rsidRPr="00801901">
              <w:t>0,0</w:t>
            </w:r>
          </w:p>
        </w:tc>
        <w:tc>
          <w:tcPr>
            <w:tcW w:w="621" w:type="dxa"/>
            <w:noWrap/>
            <w:vAlign w:val="bottom"/>
            <w:hideMark/>
          </w:tcPr>
          <w:p w14:paraId="0E924323" w14:textId="77777777" w:rsidR="006C35F8" w:rsidRPr="00B80429" w:rsidRDefault="006C35F8" w:rsidP="00BF5199">
            <w:pPr>
              <w:pStyle w:val="TabeladesnoUMAR"/>
            </w:pPr>
            <w:r w:rsidRPr="00801901">
              <w:t>0,0</w:t>
            </w:r>
          </w:p>
        </w:tc>
        <w:tc>
          <w:tcPr>
            <w:tcW w:w="884" w:type="dxa"/>
            <w:noWrap/>
            <w:vAlign w:val="bottom"/>
            <w:hideMark/>
          </w:tcPr>
          <w:p w14:paraId="1C265478" w14:textId="77777777" w:rsidR="006C35F8" w:rsidRPr="00B80429" w:rsidRDefault="006C35F8" w:rsidP="00BF5199">
            <w:pPr>
              <w:pStyle w:val="TabeladesnoUMAR"/>
            </w:pPr>
            <w:r w:rsidRPr="00801901">
              <w:t>0,0</w:t>
            </w:r>
          </w:p>
        </w:tc>
      </w:tr>
      <w:tr w:rsidR="006C35F8" w:rsidRPr="00B80429" w14:paraId="6E407F43" w14:textId="77777777" w:rsidTr="00BF5199">
        <w:trPr>
          <w:trHeight w:val="54"/>
        </w:trPr>
        <w:tc>
          <w:tcPr>
            <w:tcW w:w="2127" w:type="dxa"/>
            <w:hideMark/>
          </w:tcPr>
          <w:p w14:paraId="18E171E5" w14:textId="77777777" w:rsidR="006C35F8" w:rsidRPr="00B80429" w:rsidRDefault="006C35F8" w:rsidP="009C2105">
            <w:pPr>
              <w:pStyle w:val="TabelalevoUMAR"/>
            </w:pPr>
            <w:r w:rsidRPr="00D806F7">
              <w:t>4 Olja, masti in voski žival. in rastlin. izvora</w:t>
            </w:r>
          </w:p>
        </w:tc>
        <w:tc>
          <w:tcPr>
            <w:tcW w:w="745" w:type="dxa"/>
            <w:noWrap/>
            <w:vAlign w:val="bottom"/>
            <w:hideMark/>
          </w:tcPr>
          <w:p w14:paraId="1BDB1813" w14:textId="77777777" w:rsidR="006C35F8" w:rsidRPr="00B80429" w:rsidRDefault="006C35F8" w:rsidP="00BF5199">
            <w:pPr>
              <w:pStyle w:val="TabeladesnoUMAR"/>
            </w:pPr>
            <w:r w:rsidRPr="00715DC4">
              <w:t>0,0</w:t>
            </w:r>
          </w:p>
        </w:tc>
        <w:tc>
          <w:tcPr>
            <w:tcW w:w="748" w:type="dxa"/>
            <w:noWrap/>
            <w:vAlign w:val="bottom"/>
            <w:hideMark/>
          </w:tcPr>
          <w:p w14:paraId="3F3763BC" w14:textId="77777777" w:rsidR="006C35F8" w:rsidRPr="00B80429" w:rsidRDefault="006C35F8" w:rsidP="00BF5199">
            <w:pPr>
              <w:pStyle w:val="TabeladesnoUMAR"/>
            </w:pPr>
            <w:r w:rsidRPr="00801901">
              <w:t>0,0</w:t>
            </w:r>
          </w:p>
        </w:tc>
        <w:tc>
          <w:tcPr>
            <w:tcW w:w="1061" w:type="dxa"/>
            <w:noWrap/>
            <w:vAlign w:val="bottom"/>
            <w:hideMark/>
          </w:tcPr>
          <w:p w14:paraId="4AFA08C9" w14:textId="77777777" w:rsidR="006C35F8" w:rsidRPr="00B80429" w:rsidRDefault="006C35F8" w:rsidP="00BF5199">
            <w:pPr>
              <w:pStyle w:val="TabeladesnoUMAR"/>
            </w:pPr>
            <w:r w:rsidRPr="00801901">
              <w:t>0,0</w:t>
            </w:r>
          </w:p>
        </w:tc>
        <w:tc>
          <w:tcPr>
            <w:tcW w:w="623" w:type="dxa"/>
            <w:noWrap/>
            <w:vAlign w:val="bottom"/>
            <w:hideMark/>
          </w:tcPr>
          <w:p w14:paraId="752FF550" w14:textId="77777777" w:rsidR="006C35F8" w:rsidRPr="00B80429" w:rsidRDefault="006C35F8" w:rsidP="00BF5199">
            <w:pPr>
              <w:pStyle w:val="TabeladesnoUMAR"/>
            </w:pPr>
            <w:r w:rsidRPr="00801901">
              <w:t>0,0</w:t>
            </w:r>
          </w:p>
        </w:tc>
        <w:tc>
          <w:tcPr>
            <w:tcW w:w="749" w:type="dxa"/>
            <w:noWrap/>
            <w:vAlign w:val="bottom"/>
            <w:hideMark/>
          </w:tcPr>
          <w:p w14:paraId="4BE2E64A" w14:textId="77777777" w:rsidR="006C35F8" w:rsidRPr="00B80429" w:rsidRDefault="006C35F8" w:rsidP="00BF5199">
            <w:pPr>
              <w:pStyle w:val="TabeladesnoUMAR"/>
            </w:pPr>
            <w:r w:rsidRPr="00801901">
              <w:t>0,0</w:t>
            </w:r>
          </w:p>
        </w:tc>
        <w:tc>
          <w:tcPr>
            <w:tcW w:w="753" w:type="dxa"/>
            <w:noWrap/>
            <w:vAlign w:val="bottom"/>
            <w:hideMark/>
          </w:tcPr>
          <w:p w14:paraId="5AA971D5" w14:textId="77777777" w:rsidR="006C35F8" w:rsidRPr="00B80429" w:rsidRDefault="006C35F8" w:rsidP="00BF5199">
            <w:pPr>
              <w:pStyle w:val="TabeladesnoUMAR"/>
            </w:pPr>
            <w:r w:rsidRPr="00801901">
              <w:t>0,0</w:t>
            </w:r>
          </w:p>
        </w:tc>
        <w:tc>
          <w:tcPr>
            <w:tcW w:w="749" w:type="dxa"/>
            <w:noWrap/>
            <w:vAlign w:val="bottom"/>
            <w:hideMark/>
          </w:tcPr>
          <w:p w14:paraId="3180E720" w14:textId="77777777" w:rsidR="006C35F8" w:rsidRPr="00B80429" w:rsidRDefault="006C35F8" w:rsidP="00BF5199">
            <w:pPr>
              <w:pStyle w:val="TabeladesnoUMAR"/>
            </w:pPr>
            <w:r w:rsidRPr="00801901">
              <w:t>0,0</w:t>
            </w:r>
          </w:p>
        </w:tc>
        <w:tc>
          <w:tcPr>
            <w:tcW w:w="621" w:type="dxa"/>
            <w:noWrap/>
            <w:vAlign w:val="bottom"/>
            <w:hideMark/>
          </w:tcPr>
          <w:p w14:paraId="392F7BEF" w14:textId="77777777" w:rsidR="006C35F8" w:rsidRPr="00B80429" w:rsidRDefault="006C35F8" w:rsidP="00BF5199">
            <w:pPr>
              <w:pStyle w:val="TabeladesnoUMAR"/>
            </w:pPr>
            <w:r w:rsidRPr="00801901">
              <w:t>0,0</w:t>
            </w:r>
          </w:p>
        </w:tc>
        <w:tc>
          <w:tcPr>
            <w:tcW w:w="884" w:type="dxa"/>
            <w:noWrap/>
            <w:vAlign w:val="bottom"/>
            <w:hideMark/>
          </w:tcPr>
          <w:p w14:paraId="6DB25A56" w14:textId="77777777" w:rsidR="006C35F8" w:rsidRPr="00B80429" w:rsidRDefault="006C35F8" w:rsidP="00BF5199">
            <w:pPr>
              <w:pStyle w:val="TabeladesnoUMAR"/>
            </w:pPr>
            <w:r w:rsidRPr="00801901">
              <w:t>0,0</w:t>
            </w:r>
          </w:p>
        </w:tc>
      </w:tr>
    </w:tbl>
    <w:p w14:paraId="3B5F2E71" w14:textId="77777777" w:rsidR="006C35F8" w:rsidRDefault="006C35F8" w:rsidP="006C35F8">
      <w:pPr>
        <w:pStyle w:val="VirUMAR"/>
        <w:rPr>
          <w:b/>
          <w:bCs/>
          <w:noProof/>
          <w:sz w:val="20"/>
          <w:szCs w:val="20"/>
        </w:rPr>
      </w:pPr>
      <w:r>
        <w:t xml:space="preserve">Vir: SURS </w:t>
      </w:r>
      <w:r>
        <w:fldChar w:fldCharType="begin"/>
      </w:r>
      <w:r>
        <w:instrText xml:space="preserve"> ADDIN ZOTERO_ITEM CSL_CITATION {"citationID":"6K9Ugu2r","properties":{"formattedCitation":"(2023)","plainCitation":"(2023)","noteIndex":0},"citationItems":[{"id":2939,"uris":["http://zotero.org/groups/4141114/items/WI7MWBXE"],"itemData":{"id":2939,"type":"report","event-place":"Ljubljana","genre":"Podatkovna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preračuni UMAR. </w:t>
      </w:r>
      <w:r w:rsidRPr="00433380">
        <w:t>Opomba: zunanjetrgovinski podatki za izračun deleža so popravljeni za oplemenitenje blaga.</w:t>
      </w:r>
      <w:r>
        <w:t xml:space="preserve"> Podatki za leto 2023 so za obdobje januar – maj.</w:t>
      </w:r>
      <w:r w:rsidRPr="0095661A">
        <w:t xml:space="preserve"> </w:t>
      </w:r>
      <w:r>
        <w:t xml:space="preserve">Razvrščeno po vrednosti uvoza med leti 2016 in 2020. </w:t>
      </w:r>
      <w:r>
        <w:br w:type="page"/>
      </w:r>
    </w:p>
    <w:p w14:paraId="4D857DB1" w14:textId="77777777" w:rsidR="006C35F8" w:rsidRDefault="006C35F8" w:rsidP="006C35F8">
      <w:pPr>
        <w:pStyle w:val="Caption"/>
      </w:pPr>
      <w:r w:rsidRPr="00AA79D5">
        <w:lastRenderedPageBreak/>
        <w:t xml:space="preserve">Tabela </w:t>
      </w:r>
      <w:r>
        <w:t>3</w:t>
      </w:r>
      <w:r w:rsidRPr="00AA79D5">
        <w:t xml:space="preserve">: Izvoz Slovenije v Rusijo po </w:t>
      </w:r>
      <w:r>
        <w:t>proizvodih, SMTK klasifikacija na drugi ravni</w:t>
      </w:r>
    </w:p>
    <w:tbl>
      <w:tblPr>
        <w:tblStyle w:val="TableGrid"/>
        <w:tblW w:w="9072"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2399"/>
        <w:gridCol w:w="714"/>
        <w:gridCol w:w="715"/>
        <w:gridCol w:w="904"/>
        <w:gridCol w:w="621"/>
        <w:gridCol w:w="749"/>
        <w:gridCol w:w="713"/>
        <w:gridCol w:w="698"/>
        <w:gridCol w:w="731"/>
        <w:gridCol w:w="828"/>
      </w:tblGrid>
      <w:tr w:rsidR="006C35F8" w:rsidRPr="00B80429" w14:paraId="201DAA0B" w14:textId="77777777" w:rsidTr="0030571A">
        <w:trPr>
          <w:trHeight w:val="300"/>
        </w:trPr>
        <w:tc>
          <w:tcPr>
            <w:tcW w:w="2399" w:type="dxa"/>
            <w:noWrap/>
            <w:vAlign w:val="center"/>
            <w:hideMark/>
          </w:tcPr>
          <w:p w14:paraId="1533C492" w14:textId="77777777" w:rsidR="006C35F8" w:rsidRPr="00B80429" w:rsidRDefault="006C35F8" w:rsidP="0030571A">
            <w:pPr>
              <w:pStyle w:val="TabelaglavadesnoUMAR"/>
              <w:jc w:val="center"/>
            </w:pPr>
          </w:p>
        </w:tc>
        <w:tc>
          <w:tcPr>
            <w:tcW w:w="2333" w:type="dxa"/>
            <w:gridSpan w:val="3"/>
            <w:noWrap/>
            <w:vAlign w:val="center"/>
            <w:hideMark/>
          </w:tcPr>
          <w:p w14:paraId="7E08E3A3" w14:textId="77777777" w:rsidR="006C35F8" w:rsidRPr="00B80429" w:rsidRDefault="006C35F8" w:rsidP="0030571A">
            <w:pPr>
              <w:pStyle w:val="TabelaglavadesnoUMAR"/>
              <w:jc w:val="center"/>
            </w:pPr>
            <w:r>
              <w:t xml:space="preserve">Povprečje </w:t>
            </w:r>
            <w:r w:rsidRPr="00B80429">
              <w:t>2016-2020</w:t>
            </w:r>
          </w:p>
        </w:tc>
        <w:tc>
          <w:tcPr>
            <w:tcW w:w="1370" w:type="dxa"/>
            <w:gridSpan w:val="2"/>
            <w:noWrap/>
            <w:vAlign w:val="center"/>
            <w:hideMark/>
          </w:tcPr>
          <w:p w14:paraId="3611D2CF" w14:textId="77777777" w:rsidR="006C35F8" w:rsidRPr="00B80429" w:rsidRDefault="006C35F8" w:rsidP="0030571A">
            <w:pPr>
              <w:pStyle w:val="TabelaglavadesnoUMAR"/>
              <w:jc w:val="center"/>
            </w:pPr>
            <w:r w:rsidRPr="00B80429">
              <w:t>2021</w:t>
            </w:r>
          </w:p>
        </w:tc>
        <w:tc>
          <w:tcPr>
            <w:tcW w:w="1411" w:type="dxa"/>
            <w:gridSpan w:val="2"/>
            <w:noWrap/>
            <w:vAlign w:val="center"/>
            <w:hideMark/>
          </w:tcPr>
          <w:p w14:paraId="64D12CEF" w14:textId="77777777" w:rsidR="006C35F8" w:rsidRPr="00B80429" w:rsidRDefault="006C35F8" w:rsidP="0030571A">
            <w:pPr>
              <w:pStyle w:val="TabelaglavadesnoUMAR"/>
              <w:jc w:val="center"/>
            </w:pPr>
            <w:r w:rsidRPr="00B80429">
              <w:t>2022</w:t>
            </w:r>
          </w:p>
        </w:tc>
        <w:tc>
          <w:tcPr>
            <w:tcW w:w="1559" w:type="dxa"/>
            <w:gridSpan w:val="2"/>
            <w:noWrap/>
            <w:vAlign w:val="center"/>
            <w:hideMark/>
          </w:tcPr>
          <w:p w14:paraId="47B5AF94" w14:textId="77777777" w:rsidR="006C35F8" w:rsidRPr="00B80429" w:rsidRDefault="006C35F8" w:rsidP="0030571A">
            <w:pPr>
              <w:pStyle w:val="TabelaglavadesnoUMAR"/>
              <w:jc w:val="center"/>
            </w:pPr>
            <w:r>
              <w:t>2023 jan-maj</w:t>
            </w:r>
          </w:p>
        </w:tc>
      </w:tr>
      <w:tr w:rsidR="006C35F8" w:rsidRPr="00B80429" w14:paraId="73B7AC43" w14:textId="77777777" w:rsidTr="00BF5199">
        <w:trPr>
          <w:trHeight w:val="1220"/>
        </w:trPr>
        <w:tc>
          <w:tcPr>
            <w:tcW w:w="2399" w:type="dxa"/>
            <w:tcBorders>
              <w:bottom w:val="single" w:sz="6" w:space="0" w:color="auto"/>
            </w:tcBorders>
            <w:hideMark/>
          </w:tcPr>
          <w:p w14:paraId="2D112357" w14:textId="77777777" w:rsidR="006C35F8" w:rsidRPr="00B80429" w:rsidRDefault="006C35F8" w:rsidP="009C2105">
            <w:pPr>
              <w:pStyle w:val="TabelaglavadesnoUMAR"/>
            </w:pPr>
          </w:p>
        </w:tc>
        <w:tc>
          <w:tcPr>
            <w:tcW w:w="714" w:type="dxa"/>
            <w:tcBorders>
              <w:bottom w:val="single" w:sz="6" w:space="0" w:color="auto"/>
            </w:tcBorders>
            <w:hideMark/>
          </w:tcPr>
          <w:p w14:paraId="0585950E" w14:textId="77777777" w:rsidR="006C35F8" w:rsidRPr="00B80429" w:rsidRDefault="006C35F8" w:rsidP="00BF5199">
            <w:pPr>
              <w:pStyle w:val="TabelaglavadesnoUMAR"/>
              <w:rPr>
                <w:sz w:val="16"/>
                <w:szCs w:val="16"/>
              </w:rPr>
            </w:pPr>
            <w:r w:rsidRPr="00B80429">
              <w:rPr>
                <w:sz w:val="16"/>
                <w:szCs w:val="16"/>
              </w:rPr>
              <w:t>v mio EUR</w:t>
            </w:r>
          </w:p>
        </w:tc>
        <w:tc>
          <w:tcPr>
            <w:tcW w:w="715" w:type="dxa"/>
            <w:tcBorders>
              <w:bottom w:val="single" w:sz="6" w:space="0" w:color="auto"/>
            </w:tcBorders>
            <w:hideMark/>
          </w:tcPr>
          <w:p w14:paraId="70B3E265" w14:textId="2EF906E4" w:rsidR="006C35F8" w:rsidRPr="00B80429" w:rsidRDefault="006C35F8" w:rsidP="00BF5199">
            <w:pPr>
              <w:pStyle w:val="TabelaglavadesnoUMAR"/>
              <w:rPr>
                <w:sz w:val="16"/>
                <w:szCs w:val="16"/>
              </w:rPr>
            </w:pPr>
            <w:r w:rsidRPr="00B80429">
              <w:rPr>
                <w:sz w:val="16"/>
                <w:szCs w:val="16"/>
              </w:rPr>
              <w:t xml:space="preserve">delež v izvozu v Rusijo, </w:t>
            </w:r>
            <w:r w:rsidR="00BF5199">
              <w:rPr>
                <w:sz w:val="16"/>
                <w:szCs w:val="16"/>
              </w:rPr>
              <w:br/>
            </w:r>
            <w:r w:rsidRPr="00B80429">
              <w:rPr>
                <w:sz w:val="16"/>
                <w:szCs w:val="16"/>
              </w:rPr>
              <w:t>v %</w:t>
            </w:r>
          </w:p>
        </w:tc>
        <w:tc>
          <w:tcPr>
            <w:tcW w:w="904" w:type="dxa"/>
            <w:tcBorders>
              <w:bottom w:val="single" w:sz="6" w:space="0" w:color="auto"/>
            </w:tcBorders>
            <w:hideMark/>
          </w:tcPr>
          <w:p w14:paraId="40013241" w14:textId="77777777" w:rsidR="006C35F8" w:rsidRPr="00B80429" w:rsidRDefault="006C35F8" w:rsidP="00BF5199">
            <w:pPr>
              <w:pStyle w:val="TabelaglavadesnoUMAR"/>
              <w:rPr>
                <w:sz w:val="16"/>
                <w:szCs w:val="16"/>
              </w:rPr>
            </w:pPr>
            <w:r w:rsidRPr="00B80429">
              <w:rPr>
                <w:sz w:val="16"/>
                <w:szCs w:val="16"/>
              </w:rPr>
              <w:t>delež v skupnem izvozu proizvoda, v %</w:t>
            </w:r>
          </w:p>
        </w:tc>
        <w:tc>
          <w:tcPr>
            <w:tcW w:w="621" w:type="dxa"/>
            <w:tcBorders>
              <w:bottom w:val="single" w:sz="6" w:space="0" w:color="auto"/>
            </w:tcBorders>
            <w:hideMark/>
          </w:tcPr>
          <w:p w14:paraId="08F1C14E" w14:textId="77777777" w:rsidR="006C35F8" w:rsidRPr="00B80429" w:rsidRDefault="006C35F8" w:rsidP="00BF5199">
            <w:pPr>
              <w:pStyle w:val="TabelaglavadesnoUMAR"/>
              <w:rPr>
                <w:sz w:val="16"/>
                <w:szCs w:val="16"/>
              </w:rPr>
            </w:pPr>
            <w:r w:rsidRPr="00B80429">
              <w:rPr>
                <w:sz w:val="16"/>
                <w:szCs w:val="16"/>
              </w:rPr>
              <w:t>v mio EUR</w:t>
            </w:r>
          </w:p>
        </w:tc>
        <w:tc>
          <w:tcPr>
            <w:tcW w:w="749" w:type="dxa"/>
            <w:tcBorders>
              <w:bottom w:val="single" w:sz="6" w:space="0" w:color="auto"/>
            </w:tcBorders>
            <w:hideMark/>
          </w:tcPr>
          <w:p w14:paraId="3D919112" w14:textId="228A1227" w:rsidR="006C35F8" w:rsidRPr="00B80429" w:rsidRDefault="006C35F8" w:rsidP="00BF5199">
            <w:pPr>
              <w:pStyle w:val="TabelaglavadesnoUMAR"/>
              <w:rPr>
                <w:sz w:val="16"/>
                <w:szCs w:val="16"/>
              </w:rPr>
            </w:pPr>
            <w:r w:rsidRPr="00B80429">
              <w:rPr>
                <w:sz w:val="16"/>
                <w:szCs w:val="16"/>
              </w:rPr>
              <w:t xml:space="preserve">delež v izvozu v Rusijo, </w:t>
            </w:r>
            <w:r w:rsidR="00BF5199">
              <w:rPr>
                <w:sz w:val="16"/>
                <w:szCs w:val="16"/>
              </w:rPr>
              <w:br/>
            </w:r>
            <w:r w:rsidRPr="00B80429">
              <w:rPr>
                <w:sz w:val="16"/>
                <w:szCs w:val="16"/>
              </w:rPr>
              <w:t>v %</w:t>
            </w:r>
          </w:p>
        </w:tc>
        <w:tc>
          <w:tcPr>
            <w:tcW w:w="713" w:type="dxa"/>
            <w:tcBorders>
              <w:bottom w:val="single" w:sz="6" w:space="0" w:color="auto"/>
            </w:tcBorders>
            <w:hideMark/>
          </w:tcPr>
          <w:p w14:paraId="1477412C" w14:textId="77777777" w:rsidR="006C35F8" w:rsidRPr="00B80429" w:rsidRDefault="006C35F8" w:rsidP="00BF5199">
            <w:pPr>
              <w:pStyle w:val="TabelaglavadesnoUMAR"/>
              <w:rPr>
                <w:sz w:val="16"/>
                <w:szCs w:val="16"/>
              </w:rPr>
            </w:pPr>
            <w:r w:rsidRPr="00B80429">
              <w:rPr>
                <w:sz w:val="16"/>
                <w:szCs w:val="16"/>
              </w:rPr>
              <w:t>v mio EUR</w:t>
            </w:r>
          </w:p>
        </w:tc>
        <w:tc>
          <w:tcPr>
            <w:tcW w:w="698" w:type="dxa"/>
            <w:tcBorders>
              <w:bottom w:val="single" w:sz="6" w:space="0" w:color="auto"/>
            </w:tcBorders>
            <w:hideMark/>
          </w:tcPr>
          <w:p w14:paraId="3E0C0276" w14:textId="25E713EC" w:rsidR="006C35F8" w:rsidRPr="00B80429" w:rsidRDefault="006C35F8" w:rsidP="00BF5199">
            <w:pPr>
              <w:pStyle w:val="TabelaglavadesnoUMAR"/>
              <w:rPr>
                <w:sz w:val="16"/>
                <w:szCs w:val="16"/>
              </w:rPr>
            </w:pPr>
            <w:r w:rsidRPr="00B80429">
              <w:rPr>
                <w:sz w:val="16"/>
                <w:szCs w:val="16"/>
              </w:rPr>
              <w:t xml:space="preserve">delež v izvozu v Rusijo, </w:t>
            </w:r>
            <w:r w:rsidR="00BF5199">
              <w:rPr>
                <w:sz w:val="16"/>
                <w:szCs w:val="16"/>
              </w:rPr>
              <w:br/>
            </w:r>
            <w:r w:rsidRPr="00B80429">
              <w:rPr>
                <w:sz w:val="16"/>
                <w:szCs w:val="16"/>
              </w:rPr>
              <w:t>v %</w:t>
            </w:r>
          </w:p>
        </w:tc>
        <w:tc>
          <w:tcPr>
            <w:tcW w:w="731" w:type="dxa"/>
            <w:tcBorders>
              <w:bottom w:val="single" w:sz="6" w:space="0" w:color="auto"/>
            </w:tcBorders>
            <w:hideMark/>
          </w:tcPr>
          <w:p w14:paraId="6DC73BA9" w14:textId="77777777" w:rsidR="006C35F8" w:rsidRPr="00B80429" w:rsidRDefault="006C35F8" w:rsidP="00BF5199">
            <w:pPr>
              <w:pStyle w:val="TabelaglavadesnoUMAR"/>
              <w:rPr>
                <w:sz w:val="16"/>
                <w:szCs w:val="16"/>
              </w:rPr>
            </w:pPr>
            <w:r w:rsidRPr="00B80429">
              <w:rPr>
                <w:sz w:val="16"/>
                <w:szCs w:val="16"/>
              </w:rPr>
              <w:t>v mio EUR</w:t>
            </w:r>
          </w:p>
        </w:tc>
        <w:tc>
          <w:tcPr>
            <w:tcW w:w="828" w:type="dxa"/>
            <w:tcBorders>
              <w:bottom w:val="single" w:sz="6" w:space="0" w:color="auto"/>
            </w:tcBorders>
            <w:hideMark/>
          </w:tcPr>
          <w:p w14:paraId="0F48B796" w14:textId="1641DE5C" w:rsidR="006C35F8" w:rsidRPr="00B80429" w:rsidRDefault="006C35F8" w:rsidP="00BF5199">
            <w:pPr>
              <w:pStyle w:val="BesediloUMAR"/>
              <w:jc w:val="right"/>
              <w:rPr>
                <w:b/>
                <w:bCs/>
                <w:sz w:val="16"/>
                <w:szCs w:val="16"/>
              </w:rPr>
            </w:pPr>
            <w:r w:rsidRPr="00B80429">
              <w:rPr>
                <w:b/>
                <w:bCs/>
                <w:sz w:val="16"/>
                <w:szCs w:val="16"/>
              </w:rPr>
              <w:t xml:space="preserve">delež v izvozu v Rusijo, </w:t>
            </w:r>
            <w:r w:rsidR="00BF5199">
              <w:rPr>
                <w:b/>
                <w:bCs/>
                <w:sz w:val="16"/>
                <w:szCs w:val="16"/>
              </w:rPr>
              <w:br/>
            </w:r>
            <w:r w:rsidRPr="00B80429">
              <w:rPr>
                <w:b/>
                <w:bCs/>
                <w:sz w:val="16"/>
                <w:szCs w:val="16"/>
              </w:rPr>
              <w:t>v %</w:t>
            </w:r>
          </w:p>
        </w:tc>
      </w:tr>
      <w:tr w:rsidR="006C35F8" w:rsidRPr="00B80429" w14:paraId="6A3DBA1A" w14:textId="77777777" w:rsidTr="00BF5199">
        <w:trPr>
          <w:trHeight w:val="263"/>
        </w:trPr>
        <w:tc>
          <w:tcPr>
            <w:tcW w:w="2399" w:type="dxa"/>
            <w:tcBorders>
              <w:top w:val="single" w:sz="6" w:space="0" w:color="auto"/>
            </w:tcBorders>
            <w:hideMark/>
          </w:tcPr>
          <w:p w14:paraId="68587E13" w14:textId="77777777" w:rsidR="006C35F8" w:rsidRPr="00B80429" w:rsidRDefault="006C35F8" w:rsidP="009C2105">
            <w:pPr>
              <w:pStyle w:val="TabelalevoUMAR"/>
            </w:pPr>
            <w:r w:rsidRPr="00B80429">
              <w:t>Skupaj</w:t>
            </w:r>
          </w:p>
        </w:tc>
        <w:tc>
          <w:tcPr>
            <w:tcW w:w="714" w:type="dxa"/>
            <w:tcBorders>
              <w:top w:val="single" w:sz="6" w:space="0" w:color="auto"/>
            </w:tcBorders>
            <w:noWrap/>
            <w:vAlign w:val="bottom"/>
            <w:hideMark/>
          </w:tcPr>
          <w:p w14:paraId="25E982EF" w14:textId="77777777" w:rsidR="006C35F8" w:rsidRPr="00B80429" w:rsidRDefault="006C35F8" w:rsidP="00BF5199">
            <w:pPr>
              <w:pStyle w:val="TabeladesnoUMAR"/>
            </w:pPr>
            <w:r w:rsidRPr="00910588">
              <w:t>826,5</w:t>
            </w:r>
          </w:p>
        </w:tc>
        <w:tc>
          <w:tcPr>
            <w:tcW w:w="715" w:type="dxa"/>
            <w:tcBorders>
              <w:top w:val="single" w:sz="6" w:space="0" w:color="auto"/>
            </w:tcBorders>
            <w:noWrap/>
            <w:vAlign w:val="bottom"/>
            <w:hideMark/>
          </w:tcPr>
          <w:p w14:paraId="0A50D11C" w14:textId="77777777" w:rsidR="006C35F8" w:rsidRPr="00B80429" w:rsidRDefault="006C35F8" w:rsidP="00BF5199">
            <w:pPr>
              <w:pStyle w:val="TabeladesnoUMAR"/>
            </w:pPr>
            <w:r w:rsidRPr="00B80429">
              <w:t>100</w:t>
            </w:r>
          </w:p>
        </w:tc>
        <w:tc>
          <w:tcPr>
            <w:tcW w:w="904" w:type="dxa"/>
            <w:tcBorders>
              <w:top w:val="single" w:sz="6" w:space="0" w:color="auto"/>
            </w:tcBorders>
            <w:noWrap/>
            <w:vAlign w:val="bottom"/>
            <w:hideMark/>
          </w:tcPr>
          <w:p w14:paraId="5972E12F" w14:textId="77777777" w:rsidR="006C35F8" w:rsidRPr="00B80429" w:rsidRDefault="006C35F8" w:rsidP="00BF5199">
            <w:pPr>
              <w:pStyle w:val="TabeladesnoUMAR"/>
            </w:pPr>
            <w:r w:rsidRPr="00B80429">
              <w:t>2,9</w:t>
            </w:r>
          </w:p>
        </w:tc>
        <w:tc>
          <w:tcPr>
            <w:tcW w:w="621" w:type="dxa"/>
            <w:tcBorders>
              <w:top w:val="single" w:sz="6" w:space="0" w:color="auto"/>
            </w:tcBorders>
            <w:noWrap/>
            <w:vAlign w:val="bottom"/>
            <w:hideMark/>
          </w:tcPr>
          <w:p w14:paraId="2735A2E4" w14:textId="77777777" w:rsidR="006C35F8" w:rsidRPr="00B80429" w:rsidRDefault="006C35F8" w:rsidP="00BF5199">
            <w:pPr>
              <w:pStyle w:val="TabeladesnoUMAR"/>
            </w:pPr>
            <w:r w:rsidRPr="00B80429">
              <w:t>854,1</w:t>
            </w:r>
          </w:p>
        </w:tc>
        <w:tc>
          <w:tcPr>
            <w:tcW w:w="749" w:type="dxa"/>
            <w:tcBorders>
              <w:top w:val="single" w:sz="6" w:space="0" w:color="auto"/>
            </w:tcBorders>
            <w:noWrap/>
            <w:vAlign w:val="bottom"/>
            <w:hideMark/>
          </w:tcPr>
          <w:p w14:paraId="4FB6BDFF" w14:textId="77777777" w:rsidR="006C35F8" w:rsidRPr="00B80429" w:rsidRDefault="006C35F8" w:rsidP="00BF5199">
            <w:pPr>
              <w:pStyle w:val="TabeladesnoUMAR"/>
            </w:pPr>
            <w:r w:rsidRPr="00B80429">
              <w:t>100</w:t>
            </w:r>
          </w:p>
        </w:tc>
        <w:tc>
          <w:tcPr>
            <w:tcW w:w="713" w:type="dxa"/>
            <w:tcBorders>
              <w:top w:val="single" w:sz="6" w:space="0" w:color="auto"/>
            </w:tcBorders>
            <w:noWrap/>
            <w:vAlign w:val="bottom"/>
            <w:hideMark/>
          </w:tcPr>
          <w:p w14:paraId="30A3D02E" w14:textId="77777777" w:rsidR="006C35F8" w:rsidRPr="00B80429" w:rsidRDefault="006C35F8" w:rsidP="00BF5199">
            <w:pPr>
              <w:pStyle w:val="TabeladesnoUMAR"/>
            </w:pPr>
            <w:r w:rsidRPr="00B80429">
              <w:t>1180,3</w:t>
            </w:r>
          </w:p>
        </w:tc>
        <w:tc>
          <w:tcPr>
            <w:tcW w:w="698" w:type="dxa"/>
            <w:tcBorders>
              <w:top w:val="single" w:sz="6" w:space="0" w:color="auto"/>
            </w:tcBorders>
            <w:noWrap/>
            <w:vAlign w:val="bottom"/>
            <w:hideMark/>
          </w:tcPr>
          <w:p w14:paraId="177647CF" w14:textId="77777777" w:rsidR="006C35F8" w:rsidRPr="00B80429" w:rsidRDefault="006C35F8" w:rsidP="00BF5199">
            <w:pPr>
              <w:pStyle w:val="TabeladesnoUMAR"/>
            </w:pPr>
            <w:r w:rsidRPr="00B80429">
              <w:t>100</w:t>
            </w:r>
          </w:p>
        </w:tc>
        <w:tc>
          <w:tcPr>
            <w:tcW w:w="731" w:type="dxa"/>
            <w:tcBorders>
              <w:top w:val="single" w:sz="6" w:space="0" w:color="auto"/>
            </w:tcBorders>
            <w:noWrap/>
            <w:vAlign w:val="bottom"/>
            <w:hideMark/>
          </w:tcPr>
          <w:p w14:paraId="2FAD9489" w14:textId="77777777" w:rsidR="006C35F8" w:rsidRPr="00B80429" w:rsidRDefault="006C35F8" w:rsidP="00BF5199">
            <w:pPr>
              <w:pStyle w:val="TabeladesnoUMAR"/>
            </w:pPr>
            <w:r w:rsidRPr="00B80429">
              <w:t>555,6</w:t>
            </w:r>
          </w:p>
        </w:tc>
        <w:tc>
          <w:tcPr>
            <w:tcW w:w="828" w:type="dxa"/>
            <w:tcBorders>
              <w:top w:val="single" w:sz="6" w:space="0" w:color="auto"/>
            </w:tcBorders>
            <w:noWrap/>
            <w:vAlign w:val="bottom"/>
            <w:hideMark/>
          </w:tcPr>
          <w:p w14:paraId="3128186C" w14:textId="77777777" w:rsidR="006C35F8" w:rsidRPr="00B80429" w:rsidRDefault="006C35F8" w:rsidP="00BF5199">
            <w:pPr>
              <w:pStyle w:val="TabeladesnoUMAR"/>
            </w:pPr>
            <w:r w:rsidRPr="00B80429">
              <w:t>100</w:t>
            </w:r>
          </w:p>
        </w:tc>
      </w:tr>
      <w:tr w:rsidR="006C35F8" w:rsidRPr="00B80429" w14:paraId="21D8FA1B" w14:textId="77777777" w:rsidTr="00BF5199">
        <w:trPr>
          <w:trHeight w:val="277"/>
        </w:trPr>
        <w:tc>
          <w:tcPr>
            <w:tcW w:w="2399" w:type="dxa"/>
            <w:hideMark/>
          </w:tcPr>
          <w:p w14:paraId="5D19739A" w14:textId="323AF33F" w:rsidR="006C35F8" w:rsidRPr="00B80429" w:rsidRDefault="006C35F8" w:rsidP="009C2105">
            <w:pPr>
              <w:pStyle w:val="TabelalevoUMAR"/>
            </w:pPr>
            <w:r w:rsidRPr="008028A6">
              <w:t xml:space="preserve">54 Medicinski in </w:t>
            </w:r>
            <w:r w:rsidR="0030571A">
              <w:br/>
            </w:r>
            <w:r w:rsidRPr="008028A6">
              <w:t>farmacevtski proizvodi</w:t>
            </w:r>
          </w:p>
        </w:tc>
        <w:tc>
          <w:tcPr>
            <w:tcW w:w="714" w:type="dxa"/>
            <w:noWrap/>
            <w:vAlign w:val="bottom"/>
            <w:hideMark/>
          </w:tcPr>
          <w:p w14:paraId="3474B3F6" w14:textId="77777777" w:rsidR="006C35F8" w:rsidRPr="00B80429" w:rsidRDefault="006C35F8" w:rsidP="00BF5199">
            <w:pPr>
              <w:pStyle w:val="TabeladesnoUMAR"/>
            </w:pPr>
            <w:r w:rsidRPr="008028A6">
              <w:t>331,9</w:t>
            </w:r>
          </w:p>
        </w:tc>
        <w:tc>
          <w:tcPr>
            <w:tcW w:w="715" w:type="dxa"/>
            <w:noWrap/>
            <w:vAlign w:val="bottom"/>
            <w:hideMark/>
          </w:tcPr>
          <w:p w14:paraId="7C28B61C" w14:textId="77777777" w:rsidR="006C35F8" w:rsidRPr="00B80429" w:rsidRDefault="006C35F8" w:rsidP="00BF5199">
            <w:pPr>
              <w:pStyle w:val="TabeladesnoUMAR"/>
            </w:pPr>
            <w:r w:rsidRPr="008028A6">
              <w:t>40,2</w:t>
            </w:r>
          </w:p>
        </w:tc>
        <w:tc>
          <w:tcPr>
            <w:tcW w:w="904" w:type="dxa"/>
            <w:noWrap/>
            <w:vAlign w:val="bottom"/>
            <w:hideMark/>
          </w:tcPr>
          <w:p w14:paraId="40DF56E5" w14:textId="77777777" w:rsidR="006C35F8" w:rsidRPr="00B80429" w:rsidRDefault="006C35F8" w:rsidP="00BF5199">
            <w:pPr>
              <w:pStyle w:val="TabeladesnoUMAR"/>
            </w:pPr>
            <w:r w:rsidRPr="008028A6">
              <w:t>12,0</w:t>
            </w:r>
          </w:p>
        </w:tc>
        <w:tc>
          <w:tcPr>
            <w:tcW w:w="621" w:type="dxa"/>
            <w:noWrap/>
            <w:vAlign w:val="bottom"/>
            <w:hideMark/>
          </w:tcPr>
          <w:p w14:paraId="53155972" w14:textId="77777777" w:rsidR="006C35F8" w:rsidRPr="00B80429" w:rsidRDefault="006C35F8" w:rsidP="00BF5199">
            <w:pPr>
              <w:pStyle w:val="TabeladesnoUMAR"/>
            </w:pPr>
            <w:r w:rsidRPr="008028A6">
              <w:t>335,4</w:t>
            </w:r>
          </w:p>
        </w:tc>
        <w:tc>
          <w:tcPr>
            <w:tcW w:w="749" w:type="dxa"/>
            <w:noWrap/>
            <w:vAlign w:val="bottom"/>
            <w:hideMark/>
          </w:tcPr>
          <w:p w14:paraId="7515447A" w14:textId="77777777" w:rsidR="006C35F8" w:rsidRPr="00B80429" w:rsidRDefault="006C35F8" w:rsidP="00BF5199">
            <w:pPr>
              <w:pStyle w:val="TabeladesnoUMAR"/>
            </w:pPr>
            <w:r w:rsidRPr="008028A6">
              <w:t>39,3</w:t>
            </w:r>
          </w:p>
        </w:tc>
        <w:tc>
          <w:tcPr>
            <w:tcW w:w="713" w:type="dxa"/>
            <w:noWrap/>
            <w:vAlign w:val="bottom"/>
            <w:hideMark/>
          </w:tcPr>
          <w:p w14:paraId="4BF0E2E6" w14:textId="77777777" w:rsidR="006C35F8" w:rsidRPr="00B80429" w:rsidRDefault="006C35F8" w:rsidP="00BF5199">
            <w:pPr>
              <w:pStyle w:val="TabeladesnoUMAR"/>
            </w:pPr>
            <w:r w:rsidRPr="008028A6">
              <w:t>635,5</w:t>
            </w:r>
          </w:p>
        </w:tc>
        <w:tc>
          <w:tcPr>
            <w:tcW w:w="698" w:type="dxa"/>
            <w:noWrap/>
            <w:vAlign w:val="bottom"/>
            <w:hideMark/>
          </w:tcPr>
          <w:p w14:paraId="733D5EA7" w14:textId="77777777" w:rsidR="006C35F8" w:rsidRPr="00B80429" w:rsidRDefault="006C35F8" w:rsidP="00BF5199">
            <w:pPr>
              <w:pStyle w:val="TabeladesnoUMAR"/>
            </w:pPr>
            <w:r w:rsidRPr="008028A6">
              <w:t>53,8</w:t>
            </w:r>
          </w:p>
        </w:tc>
        <w:tc>
          <w:tcPr>
            <w:tcW w:w="731" w:type="dxa"/>
            <w:noWrap/>
            <w:vAlign w:val="bottom"/>
            <w:hideMark/>
          </w:tcPr>
          <w:p w14:paraId="1465295A" w14:textId="77777777" w:rsidR="006C35F8" w:rsidRPr="00B80429" w:rsidRDefault="006C35F8" w:rsidP="00BF5199">
            <w:pPr>
              <w:pStyle w:val="TabeladesnoUMAR"/>
            </w:pPr>
            <w:r w:rsidRPr="008028A6">
              <w:t>341,0</w:t>
            </w:r>
          </w:p>
        </w:tc>
        <w:tc>
          <w:tcPr>
            <w:tcW w:w="828" w:type="dxa"/>
            <w:noWrap/>
            <w:vAlign w:val="bottom"/>
            <w:hideMark/>
          </w:tcPr>
          <w:p w14:paraId="07F01EC4" w14:textId="77777777" w:rsidR="006C35F8" w:rsidRPr="00B80429" w:rsidRDefault="006C35F8" w:rsidP="00BF5199">
            <w:pPr>
              <w:pStyle w:val="TabeladesnoUMAR"/>
            </w:pPr>
            <w:r w:rsidRPr="008028A6">
              <w:t>61,4</w:t>
            </w:r>
          </w:p>
        </w:tc>
      </w:tr>
      <w:tr w:rsidR="006C35F8" w:rsidRPr="00B80429" w14:paraId="102E9788" w14:textId="77777777" w:rsidTr="00BF5199">
        <w:trPr>
          <w:trHeight w:val="277"/>
        </w:trPr>
        <w:tc>
          <w:tcPr>
            <w:tcW w:w="2399" w:type="dxa"/>
          </w:tcPr>
          <w:p w14:paraId="1BFF9A6E" w14:textId="77777777" w:rsidR="006C35F8" w:rsidRPr="008028A6" w:rsidRDefault="006C35F8" w:rsidP="009C2105">
            <w:pPr>
              <w:pStyle w:val="TabelalevoUMAR"/>
            </w:pPr>
            <w:r w:rsidRPr="008028A6">
              <w:t>77 Električni stroji, naprave</w:t>
            </w:r>
          </w:p>
        </w:tc>
        <w:tc>
          <w:tcPr>
            <w:tcW w:w="714" w:type="dxa"/>
            <w:noWrap/>
            <w:vAlign w:val="bottom"/>
          </w:tcPr>
          <w:p w14:paraId="37D41F6A" w14:textId="77777777" w:rsidR="006C35F8" w:rsidRPr="008028A6" w:rsidRDefault="006C35F8" w:rsidP="00BF5199">
            <w:pPr>
              <w:pStyle w:val="TabeladesnoUMAR"/>
            </w:pPr>
            <w:r w:rsidRPr="008028A6">
              <w:t>95,3</w:t>
            </w:r>
          </w:p>
        </w:tc>
        <w:tc>
          <w:tcPr>
            <w:tcW w:w="715" w:type="dxa"/>
            <w:noWrap/>
            <w:vAlign w:val="bottom"/>
          </w:tcPr>
          <w:p w14:paraId="5FC5FAD9" w14:textId="77777777" w:rsidR="006C35F8" w:rsidRPr="008028A6" w:rsidRDefault="006C35F8" w:rsidP="00BF5199">
            <w:pPr>
              <w:pStyle w:val="TabeladesnoUMAR"/>
            </w:pPr>
            <w:r w:rsidRPr="008028A6">
              <w:t>11,5</w:t>
            </w:r>
          </w:p>
        </w:tc>
        <w:tc>
          <w:tcPr>
            <w:tcW w:w="904" w:type="dxa"/>
            <w:noWrap/>
            <w:vAlign w:val="bottom"/>
          </w:tcPr>
          <w:p w14:paraId="493552C3" w14:textId="77777777" w:rsidR="006C35F8" w:rsidRPr="008028A6" w:rsidRDefault="006C35F8" w:rsidP="00BF5199">
            <w:pPr>
              <w:pStyle w:val="TabeladesnoUMAR"/>
            </w:pPr>
            <w:r w:rsidRPr="008028A6">
              <w:t>3,4</w:t>
            </w:r>
          </w:p>
        </w:tc>
        <w:tc>
          <w:tcPr>
            <w:tcW w:w="621" w:type="dxa"/>
            <w:noWrap/>
            <w:vAlign w:val="bottom"/>
          </w:tcPr>
          <w:p w14:paraId="1DB4ED51" w14:textId="77777777" w:rsidR="006C35F8" w:rsidRPr="008028A6" w:rsidRDefault="006C35F8" w:rsidP="00BF5199">
            <w:pPr>
              <w:pStyle w:val="TabeladesnoUMAR"/>
            </w:pPr>
            <w:r w:rsidRPr="008028A6">
              <w:t>111,2</w:t>
            </w:r>
          </w:p>
        </w:tc>
        <w:tc>
          <w:tcPr>
            <w:tcW w:w="749" w:type="dxa"/>
            <w:noWrap/>
            <w:vAlign w:val="bottom"/>
          </w:tcPr>
          <w:p w14:paraId="4100F42C" w14:textId="77777777" w:rsidR="006C35F8" w:rsidRPr="008028A6" w:rsidRDefault="006C35F8" w:rsidP="00BF5199">
            <w:pPr>
              <w:pStyle w:val="TabeladesnoUMAR"/>
            </w:pPr>
            <w:r w:rsidRPr="008028A6">
              <w:t>13,0</w:t>
            </w:r>
          </w:p>
        </w:tc>
        <w:tc>
          <w:tcPr>
            <w:tcW w:w="713" w:type="dxa"/>
            <w:noWrap/>
            <w:vAlign w:val="bottom"/>
          </w:tcPr>
          <w:p w14:paraId="5CA41B38" w14:textId="77777777" w:rsidR="006C35F8" w:rsidRPr="008028A6" w:rsidRDefault="006C35F8" w:rsidP="00BF5199">
            <w:pPr>
              <w:pStyle w:val="TabeladesnoUMAR"/>
            </w:pPr>
            <w:r w:rsidRPr="008028A6">
              <w:t>137,0</w:t>
            </w:r>
          </w:p>
        </w:tc>
        <w:tc>
          <w:tcPr>
            <w:tcW w:w="698" w:type="dxa"/>
            <w:noWrap/>
            <w:vAlign w:val="bottom"/>
          </w:tcPr>
          <w:p w14:paraId="1EB50804" w14:textId="77777777" w:rsidR="006C35F8" w:rsidRPr="008028A6" w:rsidRDefault="006C35F8" w:rsidP="00BF5199">
            <w:pPr>
              <w:pStyle w:val="TabeladesnoUMAR"/>
            </w:pPr>
            <w:r w:rsidRPr="008028A6">
              <w:t>11,6</w:t>
            </w:r>
          </w:p>
        </w:tc>
        <w:tc>
          <w:tcPr>
            <w:tcW w:w="731" w:type="dxa"/>
            <w:noWrap/>
            <w:vAlign w:val="bottom"/>
          </w:tcPr>
          <w:p w14:paraId="22013EAC" w14:textId="77777777" w:rsidR="006C35F8" w:rsidRPr="008028A6" w:rsidRDefault="006C35F8" w:rsidP="00BF5199">
            <w:pPr>
              <w:pStyle w:val="TabeladesnoUMAR"/>
            </w:pPr>
            <w:r w:rsidRPr="008028A6">
              <w:t>59,1</w:t>
            </w:r>
          </w:p>
        </w:tc>
        <w:tc>
          <w:tcPr>
            <w:tcW w:w="828" w:type="dxa"/>
            <w:noWrap/>
            <w:vAlign w:val="bottom"/>
          </w:tcPr>
          <w:p w14:paraId="24CE0F53" w14:textId="77777777" w:rsidR="006C35F8" w:rsidRPr="008028A6" w:rsidRDefault="006C35F8" w:rsidP="00BF5199">
            <w:pPr>
              <w:pStyle w:val="TabeladesnoUMAR"/>
            </w:pPr>
            <w:r w:rsidRPr="008028A6">
              <w:t>10,6</w:t>
            </w:r>
          </w:p>
        </w:tc>
      </w:tr>
      <w:tr w:rsidR="006C35F8" w:rsidRPr="00B80429" w14:paraId="1E550B2C" w14:textId="77777777" w:rsidTr="00BF5199">
        <w:trPr>
          <w:trHeight w:val="277"/>
        </w:trPr>
        <w:tc>
          <w:tcPr>
            <w:tcW w:w="2399" w:type="dxa"/>
          </w:tcPr>
          <w:p w14:paraId="6677EE9B" w14:textId="77777777" w:rsidR="006C35F8" w:rsidRPr="008028A6" w:rsidRDefault="006C35F8" w:rsidP="009C2105">
            <w:pPr>
              <w:pStyle w:val="TabelalevoUMAR"/>
            </w:pPr>
            <w:r w:rsidRPr="008028A6">
              <w:t>51 Organski kemični proizvodi</w:t>
            </w:r>
          </w:p>
        </w:tc>
        <w:tc>
          <w:tcPr>
            <w:tcW w:w="714" w:type="dxa"/>
            <w:noWrap/>
            <w:vAlign w:val="bottom"/>
          </w:tcPr>
          <w:p w14:paraId="2209A4F9" w14:textId="77777777" w:rsidR="006C35F8" w:rsidRPr="008028A6" w:rsidRDefault="006C35F8" w:rsidP="00BF5199">
            <w:pPr>
              <w:pStyle w:val="TabeladesnoUMAR"/>
            </w:pPr>
            <w:r w:rsidRPr="008028A6">
              <w:t>85,9</w:t>
            </w:r>
          </w:p>
        </w:tc>
        <w:tc>
          <w:tcPr>
            <w:tcW w:w="715" w:type="dxa"/>
            <w:noWrap/>
            <w:vAlign w:val="bottom"/>
          </w:tcPr>
          <w:p w14:paraId="670AB72D" w14:textId="77777777" w:rsidR="006C35F8" w:rsidRPr="008028A6" w:rsidRDefault="006C35F8" w:rsidP="00BF5199">
            <w:pPr>
              <w:pStyle w:val="TabeladesnoUMAR"/>
            </w:pPr>
            <w:r w:rsidRPr="008028A6">
              <w:t>10,4</w:t>
            </w:r>
          </w:p>
        </w:tc>
        <w:tc>
          <w:tcPr>
            <w:tcW w:w="904" w:type="dxa"/>
            <w:noWrap/>
            <w:vAlign w:val="bottom"/>
          </w:tcPr>
          <w:p w14:paraId="21222792" w14:textId="77777777" w:rsidR="006C35F8" w:rsidRPr="008028A6" w:rsidRDefault="006C35F8" w:rsidP="00BF5199">
            <w:pPr>
              <w:pStyle w:val="TabeladesnoUMAR"/>
            </w:pPr>
            <w:r w:rsidRPr="008028A6">
              <w:t>31,7</w:t>
            </w:r>
          </w:p>
        </w:tc>
        <w:tc>
          <w:tcPr>
            <w:tcW w:w="621" w:type="dxa"/>
            <w:noWrap/>
            <w:vAlign w:val="bottom"/>
          </w:tcPr>
          <w:p w14:paraId="3654C6EF" w14:textId="77777777" w:rsidR="006C35F8" w:rsidRPr="008028A6" w:rsidRDefault="006C35F8" w:rsidP="00BF5199">
            <w:pPr>
              <w:pStyle w:val="TabeladesnoUMAR"/>
            </w:pPr>
            <w:r w:rsidRPr="008028A6">
              <w:t>99,6</w:t>
            </w:r>
          </w:p>
        </w:tc>
        <w:tc>
          <w:tcPr>
            <w:tcW w:w="749" w:type="dxa"/>
            <w:noWrap/>
            <w:vAlign w:val="bottom"/>
          </w:tcPr>
          <w:p w14:paraId="6D608FD2" w14:textId="77777777" w:rsidR="006C35F8" w:rsidRPr="008028A6" w:rsidRDefault="006C35F8" w:rsidP="00BF5199">
            <w:pPr>
              <w:pStyle w:val="TabeladesnoUMAR"/>
            </w:pPr>
            <w:r w:rsidRPr="008028A6">
              <w:t>11,7</w:t>
            </w:r>
          </w:p>
        </w:tc>
        <w:tc>
          <w:tcPr>
            <w:tcW w:w="713" w:type="dxa"/>
            <w:noWrap/>
            <w:vAlign w:val="bottom"/>
          </w:tcPr>
          <w:p w14:paraId="2C7A52B1" w14:textId="77777777" w:rsidR="006C35F8" w:rsidRPr="008028A6" w:rsidRDefault="006C35F8" w:rsidP="00BF5199">
            <w:pPr>
              <w:pStyle w:val="TabeladesnoUMAR"/>
            </w:pPr>
            <w:r w:rsidRPr="008028A6">
              <w:t>120,6</w:t>
            </w:r>
          </w:p>
        </w:tc>
        <w:tc>
          <w:tcPr>
            <w:tcW w:w="698" w:type="dxa"/>
            <w:noWrap/>
            <w:vAlign w:val="bottom"/>
          </w:tcPr>
          <w:p w14:paraId="6BC31D40" w14:textId="77777777" w:rsidR="006C35F8" w:rsidRPr="008028A6" w:rsidRDefault="006C35F8" w:rsidP="00BF5199">
            <w:pPr>
              <w:pStyle w:val="TabeladesnoUMAR"/>
            </w:pPr>
            <w:r w:rsidRPr="008028A6">
              <w:t>10,2</w:t>
            </w:r>
          </w:p>
        </w:tc>
        <w:tc>
          <w:tcPr>
            <w:tcW w:w="731" w:type="dxa"/>
            <w:noWrap/>
            <w:vAlign w:val="bottom"/>
          </w:tcPr>
          <w:p w14:paraId="37460EFF" w14:textId="77777777" w:rsidR="006C35F8" w:rsidRPr="008028A6" w:rsidRDefault="006C35F8" w:rsidP="00BF5199">
            <w:pPr>
              <w:pStyle w:val="TabeladesnoUMAR"/>
            </w:pPr>
            <w:r w:rsidRPr="008028A6">
              <w:t>68,9</w:t>
            </w:r>
          </w:p>
        </w:tc>
        <w:tc>
          <w:tcPr>
            <w:tcW w:w="828" w:type="dxa"/>
            <w:noWrap/>
            <w:vAlign w:val="bottom"/>
          </w:tcPr>
          <w:p w14:paraId="15BA1219" w14:textId="77777777" w:rsidR="006C35F8" w:rsidRPr="008028A6" w:rsidRDefault="006C35F8" w:rsidP="00BF5199">
            <w:pPr>
              <w:pStyle w:val="TabeladesnoUMAR"/>
            </w:pPr>
            <w:r w:rsidRPr="008028A6">
              <w:t>12,4</w:t>
            </w:r>
          </w:p>
        </w:tc>
      </w:tr>
      <w:tr w:rsidR="006C35F8" w:rsidRPr="00B80429" w14:paraId="0F7985AC" w14:textId="77777777" w:rsidTr="00BF5199">
        <w:trPr>
          <w:trHeight w:val="277"/>
        </w:trPr>
        <w:tc>
          <w:tcPr>
            <w:tcW w:w="2399" w:type="dxa"/>
          </w:tcPr>
          <w:p w14:paraId="3F9A5267" w14:textId="767644D1" w:rsidR="006C35F8" w:rsidRPr="008028A6" w:rsidRDefault="006C35F8" w:rsidP="009C2105">
            <w:pPr>
              <w:pStyle w:val="TabelalevoUMAR"/>
            </w:pPr>
            <w:r w:rsidRPr="008028A6">
              <w:t xml:space="preserve">74 Industrijski stroji za </w:t>
            </w:r>
            <w:r w:rsidR="0030571A">
              <w:br/>
            </w:r>
            <w:r w:rsidRPr="008028A6">
              <w:t>splošno uporabo</w:t>
            </w:r>
          </w:p>
        </w:tc>
        <w:tc>
          <w:tcPr>
            <w:tcW w:w="714" w:type="dxa"/>
            <w:noWrap/>
            <w:vAlign w:val="bottom"/>
          </w:tcPr>
          <w:p w14:paraId="1E5814D5" w14:textId="77777777" w:rsidR="006C35F8" w:rsidRPr="008028A6" w:rsidRDefault="006C35F8" w:rsidP="00BF5199">
            <w:pPr>
              <w:pStyle w:val="TabeladesnoUMAR"/>
            </w:pPr>
            <w:r w:rsidRPr="008028A6">
              <w:t>48,1</w:t>
            </w:r>
          </w:p>
        </w:tc>
        <w:tc>
          <w:tcPr>
            <w:tcW w:w="715" w:type="dxa"/>
            <w:noWrap/>
            <w:vAlign w:val="bottom"/>
          </w:tcPr>
          <w:p w14:paraId="3423F9EF" w14:textId="77777777" w:rsidR="006C35F8" w:rsidRPr="008028A6" w:rsidRDefault="006C35F8" w:rsidP="00BF5199">
            <w:pPr>
              <w:pStyle w:val="TabeladesnoUMAR"/>
            </w:pPr>
            <w:r w:rsidRPr="008028A6">
              <w:t>5,8</w:t>
            </w:r>
          </w:p>
        </w:tc>
        <w:tc>
          <w:tcPr>
            <w:tcW w:w="904" w:type="dxa"/>
            <w:noWrap/>
            <w:vAlign w:val="bottom"/>
          </w:tcPr>
          <w:p w14:paraId="63381565" w14:textId="77777777" w:rsidR="006C35F8" w:rsidRPr="008028A6" w:rsidRDefault="006C35F8" w:rsidP="00BF5199">
            <w:pPr>
              <w:pStyle w:val="TabeladesnoUMAR"/>
            </w:pPr>
            <w:r w:rsidRPr="008028A6">
              <w:t>3,2</w:t>
            </w:r>
          </w:p>
        </w:tc>
        <w:tc>
          <w:tcPr>
            <w:tcW w:w="621" w:type="dxa"/>
            <w:noWrap/>
            <w:vAlign w:val="bottom"/>
          </w:tcPr>
          <w:p w14:paraId="7999C025" w14:textId="77777777" w:rsidR="006C35F8" w:rsidRPr="008028A6" w:rsidRDefault="006C35F8" w:rsidP="00BF5199">
            <w:pPr>
              <w:pStyle w:val="TabeladesnoUMAR"/>
            </w:pPr>
            <w:r w:rsidRPr="008028A6">
              <w:t>49,0</w:t>
            </w:r>
          </w:p>
        </w:tc>
        <w:tc>
          <w:tcPr>
            <w:tcW w:w="749" w:type="dxa"/>
            <w:noWrap/>
            <w:vAlign w:val="bottom"/>
          </w:tcPr>
          <w:p w14:paraId="1A6D4055" w14:textId="77777777" w:rsidR="006C35F8" w:rsidRPr="008028A6" w:rsidRDefault="006C35F8" w:rsidP="00BF5199">
            <w:pPr>
              <w:pStyle w:val="TabeladesnoUMAR"/>
            </w:pPr>
            <w:r w:rsidRPr="008028A6">
              <w:t>5,7</w:t>
            </w:r>
          </w:p>
        </w:tc>
        <w:tc>
          <w:tcPr>
            <w:tcW w:w="713" w:type="dxa"/>
            <w:noWrap/>
            <w:vAlign w:val="bottom"/>
          </w:tcPr>
          <w:p w14:paraId="6C49BE24" w14:textId="77777777" w:rsidR="006C35F8" w:rsidRPr="008028A6" w:rsidRDefault="006C35F8" w:rsidP="00BF5199">
            <w:pPr>
              <w:pStyle w:val="TabeladesnoUMAR"/>
            </w:pPr>
            <w:r w:rsidRPr="008028A6">
              <w:t>48,6</w:t>
            </w:r>
          </w:p>
        </w:tc>
        <w:tc>
          <w:tcPr>
            <w:tcW w:w="698" w:type="dxa"/>
            <w:noWrap/>
            <w:vAlign w:val="bottom"/>
          </w:tcPr>
          <w:p w14:paraId="64104CEF" w14:textId="77777777" w:rsidR="006C35F8" w:rsidRPr="008028A6" w:rsidRDefault="006C35F8" w:rsidP="00BF5199">
            <w:pPr>
              <w:pStyle w:val="TabeladesnoUMAR"/>
            </w:pPr>
            <w:r w:rsidRPr="008028A6">
              <w:t>4,1</w:t>
            </w:r>
          </w:p>
        </w:tc>
        <w:tc>
          <w:tcPr>
            <w:tcW w:w="731" w:type="dxa"/>
            <w:noWrap/>
            <w:vAlign w:val="bottom"/>
          </w:tcPr>
          <w:p w14:paraId="60644F5A" w14:textId="77777777" w:rsidR="006C35F8" w:rsidRPr="008028A6" w:rsidRDefault="006C35F8" w:rsidP="00BF5199">
            <w:pPr>
              <w:pStyle w:val="TabeladesnoUMAR"/>
            </w:pPr>
            <w:r w:rsidRPr="008028A6">
              <w:t>17,1</w:t>
            </w:r>
          </w:p>
        </w:tc>
        <w:tc>
          <w:tcPr>
            <w:tcW w:w="828" w:type="dxa"/>
            <w:noWrap/>
            <w:vAlign w:val="bottom"/>
          </w:tcPr>
          <w:p w14:paraId="03452A6F" w14:textId="77777777" w:rsidR="006C35F8" w:rsidRPr="008028A6" w:rsidRDefault="006C35F8" w:rsidP="00BF5199">
            <w:pPr>
              <w:pStyle w:val="TabeladesnoUMAR"/>
            </w:pPr>
            <w:r w:rsidRPr="008028A6">
              <w:t>3,1</w:t>
            </w:r>
          </w:p>
        </w:tc>
      </w:tr>
      <w:tr w:rsidR="006C35F8" w:rsidRPr="00B80429" w14:paraId="1A84E206" w14:textId="77777777" w:rsidTr="00BF5199">
        <w:trPr>
          <w:trHeight w:val="277"/>
        </w:trPr>
        <w:tc>
          <w:tcPr>
            <w:tcW w:w="2399" w:type="dxa"/>
          </w:tcPr>
          <w:p w14:paraId="4409C472" w14:textId="77777777" w:rsidR="006C35F8" w:rsidRPr="008028A6" w:rsidRDefault="006C35F8" w:rsidP="009C2105">
            <w:pPr>
              <w:pStyle w:val="TabelalevoUMAR"/>
            </w:pPr>
            <w:r w:rsidRPr="008028A6">
              <w:t>09 Druga živila</w:t>
            </w:r>
          </w:p>
        </w:tc>
        <w:tc>
          <w:tcPr>
            <w:tcW w:w="714" w:type="dxa"/>
            <w:noWrap/>
            <w:vAlign w:val="bottom"/>
          </w:tcPr>
          <w:p w14:paraId="45C2134B" w14:textId="77777777" w:rsidR="006C35F8" w:rsidRPr="008028A6" w:rsidRDefault="006C35F8" w:rsidP="00BF5199">
            <w:pPr>
              <w:pStyle w:val="TabeladesnoUMAR"/>
            </w:pPr>
            <w:r w:rsidRPr="008028A6">
              <w:t>25,1</w:t>
            </w:r>
          </w:p>
        </w:tc>
        <w:tc>
          <w:tcPr>
            <w:tcW w:w="715" w:type="dxa"/>
            <w:noWrap/>
            <w:vAlign w:val="bottom"/>
          </w:tcPr>
          <w:p w14:paraId="416B01D5" w14:textId="77777777" w:rsidR="006C35F8" w:rsidRPr="008028A6" w:rsidRDefault="006C35F8" w:rsidP="00BF5199">
            <w:pPr>
              <w:pStyle w:val="TabeladesnoUMAR"/>
            </w:pPr>
            <w:r w:rsidRPr="008028A6">
              <w:t>3,0</w:t>
            </w:r>
          </w:p>
        </w:tc>
        <w:tc>
          <w:tcPr>
            <w:tcW w:w="904" w:type="dxa"/>
            <w:noWrap/>
            <w:vAlign w:val="bottom"/>
          </w:tcPr>
          <w:p w14:paraId="41321D33" w14:textId="77777777" w:rsidR="006C35F8" w:rsidRPr="008028A6" w:rsidRDefault="006C35F8" w:rsidP="00BF5199">
            <w:pPr>
              <w:pStyle w:val="TabeladesnoUMAR"/>
            </w:pPr>
            <w:r w:rsidRPr="008028A6">
              <w:t>14,2</w:t>
            </w:r>
          </w:p>
        </w:tc>
        <w:tc>
          <w:tcPr>
            <w:tcW w:w="621" w:type="dxa"/>
            <w:noWrap/>
            <w:vAlign w:val="bottom"/>
          </w:tcPr>
          <w:p w14:paraId="3A96F8AE" w14:textId="77777777" w:rsidR="006C35F8" w:rsidRPr="008028A6" w:rsidRDefault="006C35F8" w:rsidP="00BF5199">
            <w:pPr>
              <w:pStyle w:val="TabeladesnoUMAR"/>
            </w:pPr>
            <w:r w:rsidRPr="008028A6">
              <w:t>24,5</w:t>
            </w:r>
          </w:p>
        </w:tc>
        <w:tc>
          <w:tcPr>
            <w:tcW w:w="749" w:type="dxa"/>
            <w:noWrap/>
            <w:vAlign w:val="bottom"/>
          </w:tcPr>
          <w:p w14:paraId="4CCF0C2B" w14:textId="77777777" w:rsidR="006C35F8" w:rsidRPr="008028A6" w:rsidRDefault="006C35F8" w:rsidP="00BF5199">
            <w:pPr>
              <w:pStyle w:val="TabeladesnoUMAR"/>
            </w:pPr>
            <w:r w:rsidRPr="008028A6">
              <w:t>2,9</w:t>
            </w:r>
          </w:p>
        </w:tc>
        <w:tc>
          <w:tcPr>
            <w:tcW w:w="713" w:type="dxa"/>
            <w:noWrap/>
            <w:vAlign w:val="bottom"/>
          </w:tcPr>
          <w:p w14:paraId="3E12A91C" w14:textId="77777777" w:rsidR="006C35F8" w:rsidRPr="008028A6" w:rsidRDefault="006C35F8" w:rsidP="00BF5199">
            <w:pPr>
              <w:pStyle w:val="TabeladesnoUMAR"/>
            </w:pPr>
            <w:r w:rsidRPr="008028A6">
              <w:t>13,7</w:t>
            </w:r>
          </w:p>
        </w:tc>
        <w:tc>
          <w:tcPr>
            <w:tcW w:w="698" w:type="dxa"/>
            <w:noWrap/>
            <w:vAlign w:val="bottom"/>
          </w:tcPr>
          <w:p w14:paraId="6CEE68B1" w14:textId="77777777" w:rsidR="006C35F8" w:rsidRPr="008028A6" w:rsidRDefault="006C35F8" w:rsidP="00BF5199">
            <w:pPr>
              <w:pStyle w:val="TabeladesnoUMAR"/>
            </w:pPr>
            <w:r w:rsidRPr="008028A6">
              <w:t>1,2</w:t>
            </w:r>
          </w:p>
        </w:tc>
        <w:tc>
          <w:tcPr>
            <w:tcW w:w="731" w:type="dxa"/>
            <w:noWrap/>
            <w:vAlign w:val="bottom"/>
          </w:tcPr>
          <w:p w14:paraId="1133401F" w14:textId="77777777" w:rsidR="006C35F8" w:rsidRPr="008028A6" w:rsidRDefault="006C35F8" w:rsidP="00BF5199">
            <w:pPr>
              <w:pStyle w:val="TabeladesnoUMAR"/>
            </w:pPr>
            <w:r w:rsidRPr="008028A6">
              <w:t>4,9</w:t>
            </w:r>
          </w:p>
        </w:tc>
        <w:tc>
          <w:tcPr>
            <w:tcW w:w="828" w:type="dxa"/>
            <w:noWrap/>
            <w:vAlign w:val="bottom"/>
          </w:tcPr>
          <w:p w14:paraId="762F9570" w14:textId="77777777" w:rsidR="006C35F8" w:rsidRPr="008028A6" w:rsidRDefault="006C35F8" w:rsidP="00BF5199">
            <w:pPr>
              <w:pStyle w:val="TabeladesnoUMAR"/>
            </w:pPr>
            <w:r w:rsidRPr="008028A6">
              <w:t>0,9</w:t>
            </w:r>
          </w:p>
        </w:tc>
      </w:tr>
      <w:tr w:rsidR="006C35F8" w:rsidRPr="00B80429" w14:paraId="4C5F09E8" w14:textId="77777777" w:rsidTr="00BF5199">
        <w:trPr>
          <w:trHeight w:val="277"/>
        </w:trPr>
        <w:tc>
          <w:tcPr>
            <w:tcW w:w="2399" w:type="dxa"/>
          </w:tcPr>
          <w:p w14:paraId="76DFCF3A" w14:textId="44DE470C" w:rsidR="006C35F8" w:rsidRPr="008028A6" w:rsidRDefault="006C35F8" w:rsidP="009C2105">
            <w:pPr>
              <w:pStyle w:val="TabelalevoUMAR"/>
            </w:pPr>
            <w:r w:rsidRPr="008028A6">
              <w:t xml:space="preserve">69 Kovinski izdelki, drugi, </w:t>
            </w:r>
            <w:r w:rsidR="00BF5199">
              <w:br/>
            </w:r>
            <w:r w:rsidRPr="008028A6">
              <w:t>še neomen</w:t>
            </w:r>
            <w:r>
              <w:t>j.</w:t>
            </w:r>
          </w:p>
        </w:tc>
        <w:tc>
          <w:tcPr>
            <w:tcW w:w="714" w:type="dxa"/>
            <w:noWrap/>
            <w:vAlign w:val="bottom"/>
          </w:tcPr>
          <w:p w14:paraId="031DD61D" w14:textId="77777777" w:rsidR="006C35F8" w:rsidRPr="008028A6" w:rsidRDefault="006C35F8" w:rsidP="00BF5199">
            <w:pPr>
              <w:pStyle w:val="TabeladesnoUMAR"/>
            </w:pPr>
            <w:r w:rsidRPr="008028A6">
              <w:t>23,8</w:t>
            </w:r>
          </w:p>
        </w:tc>
        <w:tc>
          <w:tcPr>
            <w:tcW w:w="715" w:type="dxa"/>
            <w:noWrap/>
            <w:vAlign w:val="bottom"/>
          </w:tcPr>
          <w:p w14:paraId="2AABDBB2" w14:textId="77777777" w:rsidR="006C35F8" w:rsidRPr="008028A6" w:rsidRDefault="006C35F8" w:rsidP="00BF5199">
            <w:pPr>
              <w:pStyle w:val="TabeladesnoUMAR"/>
            </w:pPr>
            <w:r w:rsidRPr="008028A6">
              <w:t>2,9</w:t>
            </w:r>
          </w:p>
        </w:tc>
        <w:tc>
          <w:tcPr>
            <w:tcW w:w="904" w:type="dxa"/>
            <w:noWrap/>
            <w:vAlign w:val="bottom"/>
          </w:tcPr>
          <w:p w14:paraId="1E18083F" w14:textId="77777777" w:rsidR="006C35F8" w:rsidRPr="008028A6" w:rsidRDefault="006C35F8" w:rsidP="00BF5199">
            <w:pPr>
              <w:pStyle w:val="TabeladesnoUMAR"/>
            </w:pPr>
            <w:r w:rsidRPr="008028A6">
              <w:t>1,8</w:t>
            </w:r>
          </w:p>
        </w:tc>
        <w:tc>
          <w:tcPr>
            <w:tcW w:w="621" w:type="dxa"/>
            <w:noWrap/>
            <w:vAlign w:val="bottom"/>
          </w:tcPr>
          <w:p w14:paraId="1B01156E" w14:textId="77777777" w:rsidR="006C35F8" w:rsidRPr="008028A6" w:rsidRDefault="006C35F8" w:rsidP="00BF5199">
            <w:pPr>
              <w:pStyle w:val="TabeladesnoUMAR"/>
            </w:pPr>
            <w:r w:rsidRPr="008028A6">
              <w:t>21,9</w:t>
            </w:r>
          </w:p>
        </w:tc>
        <w:tc>
          <w:tcPr>
            <w:tcW w:w="749" w:type="dxa"/>
            <w:noWrap/>
            <w:vAlign w:val="bottom"/>
          </w:tcPr>
          <w:p w14:paraId="139FEDD0" w14:textId="77777777" w:rsidR="006C35F8" w:rsidRPr="008028A6" w:rsidRDefault="006C35F8" w:rsidP="00BF5199">
            <w:pPr>
              <w:pStyle w:val="TabeladesnoUMAR"/>
            </w:pPr>
            <w:r w:rsidRPr="008028A6">
              <w:t>2,6</w:t>
            </w:r>
          </w:p>
        </w:tc>
        <w:tc>
          <w:tcPr>
            <w:tcW w:w="713" w:type="dxa"/>
            <w:noWrap/>
            <w:vAlign w:val="bottom"/>
          </w:tcPr>
          <w:p w14:paraId="7972F7A9" w14:textId="77777777" w:rsidR="006C35F8" w:rsidRPr="008028A6" w:rsidRDefault="006C35F8" w:rsidP="00BF5199">
            <w:pPr>
              <w:pStyle w:val="TabeladesnoUMAR"/>
            </w:pPr>
            <w:r w:rsidRPr="008028A6">
              <w:t>20,5</w:t>
            </w:r>
          </w:p>
        </w:tc>
        <w:tc>
          <w:tcPr>
            <w:tcW w:w="698" w:type="dxa"/>
            <w:noWrap/>
            <w:vAlign w:val="bottom"/>
          </w:tcPr>
          <w:p w14:paraId="4A9409F3" w14:textId="77777777" w:rsidR="006C35F8" w:rsidRPr="008028A6" w:rsidRDefault="006C35F8" w:rsidP="00BF5199">
            <w:pPr>
              <w:pStyle w:val="TabeladesnoUMAR"/>
            </w:pPr>
            <w:r w:rsidRPr="008028A6">
              <w:t>1,7</w:t>
            </w:r>
          </w:p>
        </w:tc>
        <w:tc>
          <w:tcPr>
            <w:tcW w:w="731" w:type="dxa"/>
            <w:noWrap/>
            <w:vAlign w:val="bottom"/>
          </w:tcPr>
          <w:p w14:paraId="2C4E9D59" w14:textId="77777777" w:rsidR="006C35F8" w:rsidRPr="008028A6" w:rsidRDefault="006C35F8" w:rsidP="00BF5199">
            <w:pPr>
              <w:pStyle w:val="TabeladesnoUMAR"/>
            </w:pPr>
            <w:r w:rsidRPr="008028A6">
              <w:t>7,0</w:t>
            </w:r>
          </w:p>
        </w:tc>
        <w:tc>
          <w:tcPr>
            <w:tcW w:w="828" w:type="dxa"/>
            <w:noWrap/>
            <w:vAlign w:val="bottom"/>
          </w:tcPr>
          <w:p w14:paraId="5EF732A7" w14:textId="77777777" w:rsidR="006C35F8" w:rsidRPr="008028A6" w:rsidRDefault="006C35F8" w:rsidP="00BF5199">
            <w:pPr>
              <w:pStyle w:val="TabeladesnoUMAR"/>
            </w:pPr>
            <w:r w:rsidRPr="008028A6">
              <w:t>1,3</w:t>
            </w:r>
          </w:p>
        </w:tc>
      </w:tr>
      <w:tr w:rsidR="006C35F8" w:rsidRPr="00B80429" w14:paraId="722B3966" w14:textId="77777777" w:rsidTr="00BF5199">
        <w:trPr>
          <w:trHeight w:val="277"/>
        </w:trPr>
        <w:tc>
          <w:tcPr>
            <w:tcW w:w="2399" w:type="dxa"/>
          </w:tcPr>
          <w:p w14:paraId="750BEFEE" w14:textId="77777777" w:rsidR="006C35F8" w:rsidRPr="008028A6" w:rsidRDefault="006C35F8" w:rsidP="009C2105">
            <w:pPr>
              <w:pStyle w:val="TabelalevoUMAR"/>
            </w:pPr>
            <w:r w:rsidRPr="008028A6">
              <w:t>72 Spec. stroji za posebne vrste industrije</w:t>
            </w:r>
          </w:p>
        </w:tc>
        <w:tc>
          <w:tcPr>
            <w:tcW w:w="714" w:type="dxa"/>
            <w:noWrap/>
            <w:vAlign w:val="bottom"/>
          </w:tcPr>
          <w:p w14:paraId="660077D1" w14:textId="77777777" w:rsidR="006C35F8" w:rsidRPr="008028A6" w:rsidRDefault="006C35F8" w:rsidP="00BF5199">
            <w:pPr>
              <w:pStyle w:val="TabeladesnoUMAR"/>
            </w:pPr>
            <w:r w:rsidRPr="008028A6">
              <w:t>19,9</w:t>
            </w:r>
          </w:p>
        </w:tc>
        <w:tc>
          <w:tcPr>
            <w:tcW w:w="715" w:type="dxa"/>
            <w:noWrap/>
            <w:vAlign w:val="bottom"/>
          </w:tcPr>
          <w:p w14:paraId="3B017E98" w14:textId="77777777" w:rsidR="006C35F8" w:rsidRPr="008028A6" w:rsidRDefault="006C35F8" w:rsidP="00BF5199">
            <w:pPr>
              <w:pStyle w:val="TabeladesnoUMAR"/>
            </w:pPr>
            <w:r w:rsidRPr="008028A6">
              <w:t>2,4</w:t>
            </w:r>
          </w:p>
        </w:tc>
        <w:tc>
          <w:tcPr>
            <w:tcW w:w="904" w:type="dxa"/>
            <w:noWrap/>
            <w:vAlign w:val="bottom"/>
          </w:tcPr>
          <w:p w14:paraId="436255C0" w14:textId="77777777" w:rsidR="006C35F8" w:rsidRPr="008028A6" w:rsidRDefault="006C35F8" w:rsidP="00BF5199">
            <w:pPr>
              <w:pStyle w:val="TabeladesnoUMAR"/>
            </w:pPr>
            <w:r w:rsidRPr="008028A6">
              <w:t>2,4</w:t>
            </w:r>
          </w:p>
        </w:tc>
        <w:tc>
          <w:tcPr>
            <w:tcW w:w="621" w:type="dxa"/>
            <w:noWrap/>
            <w:vAlign w:val="bottom"/>
          </w:tcPr>
          <w:p w14:paraId="2E8079FF" w14:textId="77777777" w:rsidR="006C35F8" w:rsidRPr="008028A6" w:rsidRDefault="006C35F8" w:rsidP="00BF5199">
            <w:pPr>
              <w:pStyle w:val="TabeladesnoUMAR"/>
            </w:pPr>
            <w:r w:rsidRPr="008028A6">
              <w:t>13,4</w:t>
            </w:r>
          </w:p>
        </w:tc>
        <w:tc>
          <w:tcPr>
            <w:tcW w:w="749" w:type="dxa"/>
            <w:noWrap/>
            <w:vAlign w:val="bottom"/>
          </w:tcPr>
          <w:p w14:paraId="11D4FDE9" w14:textId="77777777" w:rsidR="006C35F8" w:rsidRPr="008028A6" w:rsidRDefault="006C35F8" w:rsidP="00BF5199">
            <w:pPr>
              <w:pStyle w:val="TabeladesnoUMAR"/>
            </w:pPr>
            <w:r w:rsidRPr="008028A6">
              <w:t>1,6</w:t>
            </w:r>
          </w:p>
        </w:tc>
        <w:tc>
          <w:tcPr>
            <w:tcW w:w="713" w:type="dxa"/>
            <w:noWrap/>
            <w:vAlign w:val="bottom"/>
          </w:tcPr>
          <w:p w14:paraId="331D980E" w14:textId="77777777" w:rsidR="006C35F8" w:rsidRPr="008028A6" w:rsidRDefault="006C35F8" w:rsidP="00BF5199">
            <w:pPr>
              <w:pStyle w:val="TabeladesnoUMAR"/>
            </w:pPr>
            <w:r w:rsidRPr="008028A6">
              <w:t>16,9</w:t>
            </w:r>
          </w:p>
        </w:tc>
        <w:tc>
          <w:tcPr>
            <w:tcW w:w="698" w:type="dxa"/>
            <w:noWrap/>
            <w:vAlign w:val="bottom"/>
          </w:tcPr>
          <w:p w14:paraId="115F24B6" w14:textId="77777777" w:rsidR="006C35F8" w:rsidRPr="008028A6" w:rsidRDefault="006C35F8" w:rsidP="00BF5199">
            <w:pPr>
              <w:pStyle w:val="TabeladesnoUMAR"/>
            </w:pPr>
            <w:r w:rsidRPr="008028A6">
              <w:t>1,4</w:t>
            </w:r>
          </w:p>
        </w:tc>
        <w:tc>
          <w:tcPr>
            <w:tcW w:w="731" w:type="dxa"/>
            <w:noWrap/>
            <w:vAlign w:val="bottom"/>
          </w:tcPr>
          <w:p w14:paraId="0A100282" w14:textId="77777777" w:rsidR="006C35F8" w:rsidRPr="008028A6" w:rsidRDefault="006C35F8" w:rsidP="00BF5199">
            <w:pPr>
              <w:pStyle w:val="TabeladesnoUMAR"/>
            </w:pPr>
            <w:r w:rsidRPr="008028A6">
              <w:t>6,9</w:t>
            </w:r>
          </w:p>
        </w:tc>
        <w:tc>
          <w:tcPr>
            <w:tcW w:w="828" w:type="dxa"/>
            <w:noWrap/>
            <w:vAlign w:val="bottom"/>
          </w:tcPr>
          <w:p w14:paraId="233CE508" w14:textId="77777777" w:rsidR="006C35F8" w:rsidRPr="008028A6" w:rsidRDefault="006C35F8" w:rsidP="00BF5199">
            <w:pPr>
              <w:pStyle w:val="TabeladesnoUMAR"/>
            </w:pPr>
            <w:r w:rsidRPr="008028A6">
              <w:t>1,2</w:t>
            </w:r>
          </w:p>
        </w:tc>
      </w:tr>
      <w:tr w:rsidR="006C35F8" w:rsidRPr="00B80429" w14:paraId="0E9576D1" w14:textId="77777777" w:rsidTr="00BF5199">
        <w:trPr>
          <w:trHeight w:val="277"/>
        </w:trPr>
        <w:tc>
          <w:tcPr>
            <w:tcW w:w="2399" w:type="dxa"/>
          </w:tcPr>
          <w:p w14:paraId="7F45E18E" w14:textId="77777777" w:rsidR="006C35F8" w:rsidRPr="008028A6" w:rsidRDefault="006C35F8" w:rsidP="009C2105">
            <w:pPr>
              <w:pStyle w:val="TabelalevoUMAR"/>
            </w:pPr>
            <w:r w:rsidRPr="008028A6">
              <w:t>67 Železo in jeklo</w:t>
            </w:r>
          </w:p>
        </w:tc>
        <w:tc>
          <w:tcPr>
            <w:tcW w:w="714" w:type="dxa"/>
            <w:noWrap/>
            <w:vAlign w:val="bottom"/>
          </w:tcPr>
          <w:p w14:paraId="36EB0D2E" w14:textId="77777777" w:rsidR="006C35F8" w:rsidRPr="008028A6" w:rsidRDefault="006C35F8" w:rsidP="00BF5199">
            <w:pPr>
              <w:pStyle w:val="TabeladesnoUMAR"/>
            </w:pPr>
            <w:r w:rsidRPr="008028A6">
              <w:t>19,2</w:t>
            </w:r>
          </w:p>
        </w:tc>
        <w:tc>
          <w:tcPr>
            <w:tcW w:w="715" w:type="dxa"/>
            <w:noWrap/>
            <w:vAlign w:val="bottom"/>
          </w:tcPr>
          <w:p w14:paraId="72657CA4" w14:textId="77777777" w:rsidR="006C35F8" w:rsidRPr="008028A6" w:rsidRDefault="006C35F8" w:rsidP="00BF5199">
            <w:pPr>
              <w:pStyle w:val="TabeladesnoUMAR"/>
            </w:pPr>
            <w:r w:rsidRPr="008028A6">
              <w:t>2,3</w:t>
            </w:r>
          </w:p>
        </w:tc>
        <w:tc>
          <w:tcPr>
            <w:tcW w:w="904" w:type="dxa"/>
            <w:noWrap/>
            <w:vAlign w:val="bottom"/>
          </w:tcPr>
          <w:p w14:paraId="3A6BA51A" w14:textId="77777777" w:rsidR="006C35F8" w:rsidRPr="008028A6" w:rsidRDefault="006C35F8" w:rsidP="00BF5199">
            <w:pPr>
              <w:pStyle w:val="TabeladesnoUMAR"/>
            </w:pPr>
            <w:r w:rsidRPr="008028A6">
              <w:t>2,1</w:t>
            </w:r>
          </w:p>
        </w:tc>
        <w:tc>
          <w:tcPr>
            <w:tcW w:w="621" w:type="dxa"/>
            <w:noWrap/>
            <w:vAlign w:val="bottom"/>
          </w:tcPr>
          <w:p w14:paraId="4EA9A44C" w14:textId="77777777" w:rsidR="006C35F8" w:rsidRPr="008028A6" w:rsidRDefault="006C35F8" w:rsidP="00BF5199">
            <w:pPr>
              <w:pStyle w:val="TabeladesnoUMAR"/>
            </w:pPr>
            <w:r w:rsidRPr="008028A6">
              <w:t>21,2</w:t>
            </w:r>
          </w:p>
        </w:tc>
        <w:tc>
          <w:tcPr>
            <w:tcW w:w="749" w:type="dxa"/>
            <w:noWrap/>
            <w:vAlign w:val="bottom"/>
          </w:tcPr>
          <w:p w14:paraId="5D10C6E2" w14:textId="77777777" w:rsidR="006C35F8" w:rsidRPr="008028A6" w:rsidRDefault="006C35F8" w:rsidP="00BF5199">
            <w:pPr>
              <w:pStyle w:val="TabeladesnoUMAR"/>
            </w:pPr>
            <w:r w:rsidRPr="008028A6">
              <w:t>2,5</w:t>
            </w:r>
          </w:p>
        </w:tc>
        <w:tc>
          <w:tcPr>
            <w:tcW w:w="713" w:type="dxa"/>
            <w:noWrap/>
            <w:vAlign w:val="bottom"/>
          </w:tcPr>
          <w:p w14:paraId="67AAACAF" w14:textId="77777777" w:rsidR="006C35F8" w:rsidRPr="008028A6" w:rsidRDefault="006C35F8" w:rsidP="00BF5199">
            <w:pPr>
              <w:pStyle w:val="TabeladesnoUMAR"/>
            </w:pPr>
            <w:r w:rsidRPr="008028A6">
              <w:t>36,3</w:t>
            </w:r>
          </w:p>
        </w:tc>
        <w:tc>
          <w:tcPr>
            <w:tcW w:w="698" w:type="dxa"/>
            <w:noWrap/>
            <w:vAlign w:val="bottom"/>
          </w:tcPr>
          <w:p w14:paraId="19AF9496" w14:textId="77777777" w:rsidR="006C35F8" w:rsidRPr="008028A6" w:rsidRDefault="006C35F8" w:rsidP="00BF5199">
            <w:pPr>
              <w:pStyle w:val="TabeladesnoUMAR"/>
            </w:pPr>
            <w:r w:rsidRPr="008028A6">
              <w:t>3,1</w:t>
            </w:r>
          </w:p>
        </w:tc>
        <w:tc>
          <w:tcPr>
            <w:tcW w:w="731" w:type="dxa"/>
            <w:noWrap/>
            <w:vAlign w:val="bottom"/>
          </w:tcPr>
          <w:p w14:paraId="7FE3FE41" w14:textId="77777777" w:rsidR="006C35F8" w:rsidRPr="008028A6" w:rsidRDefault="006C35F8" w:rsidP="00BF5199">
            <w:pPr>
              <w:pStyle w:val="TabeladesnoUMAR"/>
            </w:pPr>
            <w:r w:rsidRPr="008028A6">
              <w:t>10,0</w:t>
            </w:r>
          </w:p>
        </w:tc>
        <w:tc>
          <w:tcPr>
            <w:tcW w:w="828" w:type="dxa"/>
            <w:noWrap/>
            <w:vAlign w:val="bottom"/>
          </w:tcPr>
          <w:p w14:paraId="689DF38E" w14:textId="77777777" w:rsidR="006C35F8" w:rsidRPr="008028A6" w:rsidRDefault="006C35F8" w:rsidP="00BF5199">
            <w:pPr>
              <w:pStyle w:val="TabeladesnoUMAR"/>
            </w:pPr>
            <w:r w:rsidRPr="008028A6">
              <w:t>1,8</w:t>
            </w:r>
          </w:p>
        </w:tc>
      </w:tr>
      <w:tr w:rsidR="006C35F8" w:rsidRPr="00B80429" w14:paraId="065ACF0D" w14:textId="77777777" w:rsidTr="00BF5199">
        <w:trPr>
          <w:trHeight w:val="277"/>
        </w:trPr>
        <w:tc>
          <w:tcPr>
            <w:tcW w:w="2399" w:type="dxa"/>
          </w:tcPr>
          <w:p w14:paraId="16FBD671" w14:textId="79D6EA0F" w:rsidR="006C35F8" w:rsidRPr="008028A6" w:rsidRDefault="006C35F8" w:rsidP="009C2105">
            <w:pPr>
              <w:pStyle w:val="TabelalevoUMAR"/>
            </w:pPr>
            <w:r w:rsidRPr="008028A6">
              <w:t xml:space="preserve">53 Proizvodi za barvanje </w:t>
            </w:r>
            <w:r w:rsidR="00BF5199">
              <w:br/>
            </w:r>
            <w:r w:rsidRPr="008028A6">
              <w:t>in strojenje</w:t>
            </w:r>
          </w:p>
        </w:tc>
        <w:tc>
          <w:tcPr>
            <w:tcW w:w="714" w:type="dxa"/>
            <w:noWrap/>
            <w:vAlign w:val="bottom"/>
          </w:tcPr>
          <w:p w14:paraId="565E6E76" w14:textId="77777777" w:rsidR="006C35F8" w:rsidRPr="008028A6" w:rsidRDefault="006C35F8" w:rsidP="00BF5199">
            <w:pPr>
              <w:pStyle w:val="TabeladesnoUMAR"/>
            </w:pPr>
            <w:r w:rsidRPr="008028A6">
              <w:t>19,0</w:t>
            </w:r>
          </w:p>
        </w:tc>
        <w:tc>
          <w:tcPr>
            <w:tcW w:w="715" w:type="dxa"/>
            <w:noWrap/>
            <w:vAlign w:val="bottom"/>
          </w:tcPr>
          <w:p w14:paraId="7FC094A8" w14:textId="77777777" w:rsidR="006C35F8" w:rsidRPr="008028A6" w:rsidRDefault="006C35F8" w:rsidP="00BF5199">
            <w:pPr>
              <w:pStyle w:val="TabeladesnoUMAR"/>
            </w:pPr>
            <w:r w:rsidRPr="008028A6">
              <w:t>2,3</w:t>
            </w:r>
          </w:p>
        </w:tc>
        <w:tc>
          <w:tcPr>
            <w:tcW w:w="904" w:type="dxa"/>
            <w:noWrap/>
            <w:vAlign w:val="bottom"/>
          </w:tcPr>
          <w:p w14:paraId="1A13F189" w14:textId="77777777" w:rsidR="006C35F8" w:rsidRPr="008028A6" w:rsidRDefault="006C35F8" w:rsidP="00BF5199">
            <w:pPr>
              <w:pStyle w:val="TabeladesnoUMAR"/>
            </w:pPr>
            <w:r w:rsidRPr="008028A6">
              <w:t>5,0</w:t>
            </w:r>
          </w:p>
        </w:tc>
        <w:tc>
          <w:tcPr>
            <w:tcW w:w="621" w:type="dxa"/>
            <w:noWrap/>
            <w:vAlign w:val="bottom"/>
          </w:tcPr>
          <w:p w14:paraId="0A25DC08" w14:textId="77777777" w:rsidR="006C35F8" w:rsidRPr="008028A6" w:rsidRDefault="006C35F8" w:rsidP="00BF5199">
            <w:pPr>
              <w:pStyle w:val="TabeladesnoUMAR"/>
            </w:pPr>
            <w:r w:rsidRPr="008028A6">
              <w:t>16,9</w:t>
            </w:r>
          </w:p>
        </w:tc>
        <w:tc>
          <w:tcPr>
            <w:tcW w:w="749" w:type="dxa"/>
            <w:noWrap/>
            <w:vAlign w:val="bottom"/>
          </w:tcPr>
          <w:p w14:paraId="6976C86A" w14:textId="77777777" w:rsidR="006C35F8" w:rsidRPr="008028A6" w:rsidRDefault="006C35F8" w:rsidP="00BF5199">
            <w:pPr>
              <w:pStyle w:val="TabeladesnoUMAR"/>
            </w:pPr>
            <w:r w:rsidRPr="008028A6">
              <w:t>2,0</w:t>
            </w:r>
          </w:p>
        </w:tc>
        <w:tc>
          <w:tcPr>
            <w:tcW w:w="713" w:type="dxa"/>
            <w:noWrap/>
            <w:vAlign w:val="bottom"/>
          </w:tcPr>
          <w:p w14:paraId="0CF37C7A" w14:textId="77777777" w:rsidR="006C35F8" w:rsidRPr="008028A6" w:rsidRDefault="006C35F8" w:rsidP="00BF5199">
            <w:pPr>
              <w:pStyle w:val="TabeladesnoUMAR"/>
            </w:pPr>
            <w:r w:rsidRPr="008028A6">
              <w:t>15,1</w:t>
            </w:r>
          </w:p>
        </w:tc>
        <w:tc>
          <w:tcPr>
            <w:tcW w:w="698" w:type="dxa"/>
            <w:noWrap/>
            <w:vAlign w:val="bottom"/>
          </w:tcPr>
          <w:p w14:paraId="73FB125C" w14:textId="77777777" w:rsidR="006C35F8" w:rsidRPr="008028A6" w:rsidRDefault="006C35F8" w:rsidP="00BF5199">
            <w:pPr>
              <w:pStyle w:val="TabeladesnoUMAR"/>
            </w:pPr>
            <w:r w:rsidRPr="008028A6">
              <w:t>1,3</w:t>
            </w:r>
          </w:p>
        </w:tc>
        <w:tc>
          <w:tcPr>
            <w:tcW w:w="731" w:type="dxa"/>
            <w:noWrap/>
            <w:vAlign w:val="bottom"/>
          </w:tcPr>
          <w:p w14:paraId="01FC3C8D" w14:textId="77777777" w:rsidR="006C35F8" w:rsidRPr="008028A6" w:rsidRDefault="006C35F8" w:rsidP="00BF5199">
            <w:pPr>
              <w:pStyle w:val="TabeladesnoUMAR"/>
            </w:pPr>
            <w:r w:rsidRPr="008028A6">
              <w:t>0,0</w:t>
            </w:r>
          </w:p>
        </w:tc>
        <w:tc>
          <w:tcPr>
            <w:tcW w:w="828" w:type="dxa"/>
            <w:noWrap/>
            <w:vAlign w:val="bottom"/>
          </w:tcPr>
          <w:p w14:paraId="44AB9AB4" w14:textId="77777777" w:rsidR="006C35F8" w:rsidRPr="008028A6" w:rsidRDefault="006C35F8" w:rsidP="00BF5199">
            <w:pPr>
              <w:pStyle w:val="TabeladesnoUMAR"/>
            </w:pPr>
            <w:r w:rsidRPr="008028A6">
              <w:t>0,0</w:t>
            </w:r>
          </w:p>
        </w:tc>
      </w:tr>
      <w:tr w:rsidR="006C35F8" w:rsidRPr="00B80429" w14:paraId="0B11CA7B" w14:textId="77777777" w:rsidTr="00BF5199">
        <w:trPr>
          <w:trHeight w:val="277"/>
        </w:trPr>
        <w:tc>
          <w:tcPr>
            <w:tcW w:w="2399" w:type="dxa"/>
          </w:tcPr>
          <w:p w14:paraId="64C5E02A" w14:textId="77777777" w:rsidR="006C35F8" w:rsidRPr="008028A6" w:rsidRDefault="006C35F8" w:rsidP="009C2105">
            <w:pPr>
              <w:pStyle w:val="TabelalevoUMAR"/>
            </w:pPr>
            <w:r w:rsidRPr="008028A6">
              <w:t>66 Mineralni proizvodi</w:t>
            </w:r>
          </w:p>
        </w:tc>
        <w:tc>
          <w:tcPr>
            <w:tcW w:w="714" w:type="dxa"/>
            <w:noWrap/>
            <w:vAlign w:val="bottom"/>
          </w:tcPr>
          <w:p w14:paraId="16359F2D" w14:textId="77777777" w:rsidR="006C35F8" w:rsidRPr="008028A6" w:rsidRDefault="006C35F8" w:rsidP="00BF5199">
            <w:pPr>
              <w:pStyle w:val="TabeladesnoUMAR"/>
            </w:pPr>
            <w:r w:rsidRPr="008028A6">
              <w:t>18,9</w:t>
            </w:r>
          </w:p>
        </w:tc>
        <w:tc>
          <w:tcPr>
            <w:tcW w:w="715" w:type="dxa"/>
            <w:noWrap/>
            <w:vAlign w:val="bottom"/>
          </w:tcPr>
          <w:p w14:paraId="222834C0" w14:textId="77777777" w:rsidR="006C35F8" w:rsidRPr="008028A6" w:rsidRDefault="006C35F8" w:rsidP="00BF5199">
            <w:pPr>
              <w:pStyle w:val="TabeladesnoUMAR"/>
            </w:pPr>
            <w:r w:rsidRPr="008028A6">
              <w:t>2,3</w:t>
            </w:r>
          </w:p>
        </w:tc>
        <w:tc>
          <w:tcPr>
            <w:tcW w:w="904" w:type="dxa"/>
            <w:noWrap/>
            <w:vAlign w:val="bottom"/>
          </w:tcPr>
          <w:p w14:paraId="7B7C7473" w14:textId="77777777" w:rsidR="006C35F8" w:rsidRPr="008028A6" w:rsidRDefault="006C35F8" w:rsidP="00BF5199">
            <w:pPr>
              <w:pStyle w:val="TabeladesnoUMAR"/>
            </w:pPr>
            <w:r w:rsidRPr="008028A6">
              <w:t>3,8</w:t>
            </w:r>
          </w:p>
        </w:tc>
        <w:tc>
          <w:tcPr>
            <w:tcW w:w="621" w:type="dxa"/>
            <w:noWrap/>
            <w:vAlign w:val="bottom"/>
          </w:tcPr>
          <w:p w14:paraId="708C63A6" w14:textId="77777777" w:rsidR="006C35F8" w:rsidRPr="008028A6" w:rsidRDefault="006C35F8" w:rsidP="00BF5199">
            <w:pPr>
              <w:pStyle w:val="TabeladesnoUMAR"/>
            </w:pPr>
            <w:r w:rsidRPr="008028A6">
              <w:t>21,5</w:t>
            </w:r>
          </w:p>
        </w:tc>
        <w:tc>
          <w:tcPr>
            <w:tcW w:w="749" w:type="dxa"/>
            <w:noWrap/>
            <w:vAlign w:val="bottom"/>
          </w:tcPr>
          <w:p w14:paraId="54D7CB84" w14:textId="77777777" w:rsidR="006C35F8" w:rsidRPr="008028A6" w:rsidRDefault="006C35F8" w:rsidP="00BF5199">
            <w:pPr>
              <w:pStyle w:val="TabeladesnoUMAR"/>
            </w:pPr>
            <w:r w:rsidRPr="008028A6">
              <w:t>2,5</w:t>
            </w:r>
          </w:p>
        </w:tc>
        <w:tc>
          <w:tcPr>
            <w:tcW w:w="713" w:type="dxa"/>
            <w:noWrap/>
            <w:vAlign w:val="bottom"/>
          </w:tcPr>
          <w:p w14:paraId="75A77CAA" w14:textId="77777777" w:rsidR="006C35F8" w:rsidRPr="008028A6" w:rsidRDefault="006C35F8" w:rsidP="00BF5199">
            <w:pPr>
              <w:pStyle w:val="TabeladesnoUMAR"/>
            </w:pPr>
            <w:r w:rsidRPr="008028A6">
              <w:t>14,2</w:t>
            </w:r>
          </w:p>
        </w:tc>
        <w:tc>
          <w:tcPr>
            <w:tcW w:w="698" w:type="dxa"/>
            <w:noWrap/>
            <w:vAlign w:val="bottom"/>
          </w:tcPr>
          <w:p w14:paraId="35666D4F" w14:textId="77777777" w:rsidR="006C35F8" w:rsidRPr="008028A6" w:rsidRDefault="006C35F8" w:rsidP="00BF5199">
            <w:pPr>
              <w:pStyle w:val="TabeladesnoUMAR"/>
            </w:pPr>
            <w:r w:rsidRPr="008028A6">
              <w:t>1,2</w:t>
            </w:r>
          </w:p>
        </w:tc>
        <w:tc>
          <w:tcPr>
            <w:tcW w:w="731" w:type="dxa"/>
            <w:noWrap/>
            <w:vAlign w:val="bottom"/>
          </w:tcPr>
          <w:p w14:paraId="357C4ABD" w14:textId="77777777" w:rsidR="006C35F8" w:rsidRPr="008028A6" w:rsidRDefault="006C35F8" w:rsidP="00BF5199">
            <w:pPr>
              <w:pStyle w:val="TabeladesnoUMAR"/>
            </w:pPr>
            <w:r w:rsidRPr="008028A6">
              <w:t>3,4</w:t>
            </w:r>
          </w:p>
        </w:tc>
        <w:tc>
          <w:tcPr>
            <w:tcW w:w="828" w:type="dxa"/>
            <w:noWrap/>
            <w:vAlign w:val="bottom"/>
          </w:tcPr>
          <w:p w14:paraId="7C4C02BB" w14:textId="77777777" w:rsidR="006C35F8" w:rsidRPr="008028A6" w:rsidRDefault="006C35F8" w:rsidP="00BF5199">
            <w:pPr>
              <w:pStyle w:val="TabeladesnoUMAR"/>
            </w:pPr>
            <w:r w:rsidRPr="008028A6">
              <w:t>0,6</w:t>
            </w:r>
          </w:p>
        </w:tc>
      </w:tr>
      <w:tr w:rsidR="006C35F8" w:rsidRPr="00B80429" w14:paraId="0F45B034" w14:textId="77777777" w:rsidTr="00BF5199">
        <w:trPr>
          <w:trHeight w:val="277"/>
        </w:trPr>
        <w:tc>
          <w:tcPr>
            <w:tcW w:w="2399" w:type="dxa"/>
          </w:tcPr>
          <w:p w14:paraId="44917E9D" w14:textId="77777777" w:rsidR="006C35F8" w:rsidRPr="008028A6" w:rsidRDefault="006C35F8" w:rsidP="009C2105">
            <w:pPr>
              <w:pStyle w:val="TabelalevoUMAR"/>
            </w:pPr>
            <w:r w:rsidRPr="008028A6">
              <w:t>89 Razni gotovi izdelki</w:t>
            </w:r>
          </w:p>
        </w:tc>
        <w:tc>
          <w:tcPr>
            <w:tcW w:w="714" w:type="dxa"/>
            <w:noWrap/>
            <w:vAlign w:val="bottom"/>
          </w:tcPr>
          <w:p w14:paraId="1CB33424" w14:textId="77777777" w:rsidR="006C35F8" w:rsidRPr="008028A6" w:rsidRDefault="006C35F8" w:rsidP="00BF5199">
            <w:pPr>
              <w:pStyle w:val="TabeladesnoUMAR"/>
            </w:pPr>
            <w:r w:rsidRPr="008028A6">
              <w:t>16,6</w:t>
            </w:r>
          </w:p>
        </w:tc>
        <w:tc>
          <w:tcPr>
            <w:tcW w:w="715" w:type="dxa"/>
            <w:noWrap/>
            <w:vAlign w:val="bottom"/>
          </w:tcPr>
          <w:p w14:paraId="21E3FA29" w14:textId="77777777" w:rsidR="006C35F8" w:rsidRPr="008028A6" w:rsidRDefault="006C35F8" w:rsidP="00BF5199">
            <w:pPr>
              <w:pStyle w:val="TabeladesnoUMAR"/>
            </w:pPr>
            <w:r w:rsidRPr="008028A6">
              <w:t>2,0</w:t>
            </w:r>
          </w:p>
        </w:tc>
        <w:tc>
          <w:tcPr>
            <w:tcW w:w="904" w:type="dxa"/>
            <w:noWrap/>
            <w:vAlign w:val="bottom"/>
          </w:tcPr>
          <w:p w14:paraId="4200A965" w14:textId="77777777" w:rsidR="006C35F8" w:rsidRPr="008028A6" w:rsidRDefault="006C35F8" w:rsidP="00BF5199">
            <w:pPr>
              <w:pStyle w:val="TabeladesnoUMAR"/>
            </w:pPr>
            <w:r w:rsidRPr="008028A6">
              <w:t>1,4</w:t>
            </w:r>
          </w:p>
        </w:tc>
        <w:tc>
          <w:tcPr>
            <w:tcW w:w="621" w:type="dxa"/>
            <w:noWrap/>
            <w:vAlign w:val="bottom"/>
          </w:tcPr>
          <w:p w14:paraId="2E6F71DE" w14:textId="77777777" w:rsidR="006C35F8" w:rsidRPr="008028A6" w:rsidRDefault="006C35F8" w:rsidP="00BF5199">
            <w:pPr>
              <w:pStyle w:val="TabeladesnoUMAR"/>
            </w:pPr>
            <w:r w:rsidRPr="008028A6">
              <w:t>23,1</w:t>
            </w:r>
          </w:p>
        </w:tc>
        <w:tc>
          <w:tcPr>
            <w:tcW w:w="749" w:type="dxa"/>
            <w:noWrap/>
            <w:vAlign w:val="bottom"/>
          </w:tcPr>
          <w:p w14:paraId="047013E4" w14:textId="77777777" w:rsidR="006C35F8" w:rsidRPr="008028A6" w:rsidRDefault="006C35F8" w:rsidP="00BF5199">
            <w:pPr>
              <w:pStyle w:val="TabeladesnoUMAR"/>
            </w:pPr>
            <w:r w:rsidRPr="008028A6">
              <w:t>2,7</w:t>
            </w:r>
          </w:p>
        </w:tc>
        <w:tc>
          <w:tcPr>
            <w:tcW w:w="713" w:type="dxa"/>
            <w:noWrap/>
            <w:vAlign w:val="bottom"/>
          </w:tcPr>
          <w:p w14:paraId="5AB7B4D1" w14:textId="77777777" w:rsidR="006C35F8" w:rsidRPr="008028A6" w:rsidRDefault="006C35F8" w:rsidP="00BF5199">
            <w:pPr>
              <w:pStyle w:val="TabeladesnoUMAR"/>
            </w:pPr>
            <w:r w:rsidRPr="008028A6">
              <w:t>19,1</w:t>
            </w:r>
          </w:p>
        </w:tc>
        <w:tc>
          <w:tcPr>
            <w:tcW w:w="698" w:type="dxa"/>
            <w:noWrap/>
            <w:vAlign w:val="bottom"/>
          </w:tcPr>
          <w:p w14:paraId="54A0AF75" w14:textId="77777777" w:rsidR="006C35F8" w:rsidRPr="008028A6" w:rsidRDefault="006C35F8" w:rsidP="00BF5199">
            <w:pPr>
              <w:pStyle w:val="TabeladesnoUMAR"/>
            </w:pPr>
            <w:r w:rsidRPr="008028A6">
              <w:t>1,6</w:t>
            </w:r>
          </w:p>
        </w:tc>
        <w:tc>
          <w:tcPr>
            <w:tcW w:w="731" w:type="dxa"/>
            <w:noWrap/>
            <w:vAlign w:val="bottom"/>
          </w:tcPr>
          <w:p w14:paraId="33780D2C" w14:textId="77777777" w:rsidR="006C35F8" w:rsidRPr="008028A6" w:rsidRDefault="006C35F8" w:rsidP="00BF5199">
            <w:pPr>
              <w:pStyle w:val="TabeladesnoUMAR"/>
            </w:pPr>
            <w:r w:rsidRPr="008028A6">
              <w:t>5,0</w:t>
            </w:r>
          </w:p>
        </w:tc>
        <w:tc>
          <w:tcPr>
            <w:tcW w:w="828" w:type="dxa"/>
            <w:noWrap/>
            <w:vAlign w:val="bottom"/>
          </w:tcPr>
          <w:p w14:paraId="1F9E1984" w14:textId="77777777" w:rsidR="006C35F8" w:rsidRPr="008028A6" w:rsidRDefault="006C35F8" w:rsidP="00BF5199">
            <w:pPr>
              <w:pStyle w:val="TabeladesnoUMAR"/>
            </w:pPr>
            <w:r w:rsidRPr="008028A6">
              <w:t>0,9</w:t>
            </w:r>
          </w:p>
        </w:tc>
      </w:tr>
      <w:tr w:rsidR="006C35F8" w:rsidRPr="00B80429" w14:paraId="2D0B9192" w14:textId="77777777" w:rsidTr="00BF5199">
        <w:trPr>
          <w:trHeight w:val="277"/>
        </w:trPr>
        <w:tc>
          <w:tcPr>
            <w:tcW w:w="2399" w:type="dxa"/>
          </w:tcPr>
          <w:p w14:paraId="7F8566CC" w14:textId="77777777" w:rsidR="006C35F8" w:rsidRPr="008028A6" w:rsidRDefault="006C35F8" w:rsidP="009C2105">
            <w:pPr>
              <w:pStyle w:val="TabelalevoUMAR"/>
            </w:pPr>
            <w:r w:rsidRPr="008028A6">
              <w:t>55 Eterična olja, parfumerijski, toaletni izdelki</w:t>
            </w:r>
          </w:p>
        </w:tc>
        <w:tc>
          <w:tcPr>
            <w:tcW w:w="714" w:type="dxa"/>
            <w:noWrap/>
            <w:vAlign w:val="bottom"/>
          </w:tcPr>
          <w:p w14:paraId="3BC58AE2" w14:textId="77777777" w:rsidR="006C35F8" w:rsidRPr="008028A6" w:rsidRDefault="006C35F8" w:rsidP="00BF5199">
            <w:pPr>
              <w:pStyle w:val="TabeladesnoUMAR"/>
            </w:pPr>
            <w:r w:rsidRPr="008028A6">
              <w:t>14,8</w:t>
            </w:r>
          </w:p>
        </w:tc>
        <w:tc>
          <w:tcPr>
            <w:tcW w:w="715" w:type="dxa"/>
            <w:noWrap/>
            <w:vAlign w:val="bottom"/>
          </w:tcPr>
          <w:p w14:paraId="246DD3CC" w14:textId="77777777" w:rsidR="006C35F8" w:rsidRPr="008028A6" w:rsidRDefault="006C35F8" w:rsidP="00BF5199">
            <w:pPr>
              <w:pStyle w:val="TabeladesnoUMAR"/>
            </w:pPr>
            <w:r w:rsidRPr="008028A6">
              <w:t>1,8</w:t>
            </w:r>
          </w:p>
        </w:tc>
        <w:tc>
          <w:tcPr>
            <w:tcW w:w="904" w:type="dxa"/>
            <w:noWrap/>
            <w:vAlign w:val="bottom"/>
          </w:tcPr>
          <w:p w14:paraId="24630ED4" w14:textId="77777777" w:rsidR="006C35F8" w:rsidRPr="008028A6" w:rsidRDefault="006C35F8" w:rsidP="00BF5199">
            <w:pPr>
              <w:pStyle w:val="TabeladesnoUMAR"/>
            </w:pPr>
            <w:r w:rsidRPr="008028A6">
              <w:t>4,0</w:t>
            </w:r>
          </w:p>
        </w:tc>
        <w:tc>
          <w:tcPr>
            <w:tcW w:w="621" w:type="dxa"/>
            <w:noWrap/>
            <w:vAlign w:val="bottom"/>
          </w:tcPr>
          <w:p w14:paraId="073CAD11" w14:textId="77777777" w:rsidR="006C35F8" w:rsidRPr="008028A6" w:rsidRDefault="006C35F8" w:rsidP="00BF5199">
            <w:pPr>
              <w:pStyle w:val="TabeladesnoUMAR"/>
            </w:pPr>
            <w:r w:rsidRPr="008028A6">
              <w:t>14,1</w:t>
            </w:r>
          </w:p>
        </w:tc>
        <w:tc>
          <w:tcPr>
            <w:tcW w:w="749" w:type="dxa"/>
            <w:noWrap/>
            <w:vAlign w:val="bottom"/>
          </w:tcPr>
          <w:p w14:paraId="3DC814AE" w14:textId="77777777" w:rsidR="006C35F8" w:rsidRPr="008028A6" w:rsidRDefault="006C35F8" w:rsidP="00BF5199">
            <w:pPr>
              <w:pStyle w:val="TabeladesnoUMAR"/>
            </w:pPr>
            <w:r w:rsidRPr="008028A6">
              <w:t>1,6</w:t>
            </w:r>
          </w:p>
        </w:tc>
        <w:tc>
          <w:tcPr>
            <w:tcW w:w="713" w:type="dxa"/>
            <w:noWrap/>
            <w:vAlign w:val="bottom"/>
          </w:tcPr>
          <w:p w14:paraId="3FCE3732" w14:textId="77777777" w:rsidR="006C35F8" w:rsidRPr="008028A6" w:rsidRDefault="006C35F8" w:rsidP="00BF5199">
            <w:pPr>
              <w:pStyle w:val="TabeladesnoUMAR"/>
            </w:pPr>
            <w:r w:rsidRPr="008028A6">
              <w:t>17,1</w:t>
            </w:r>
          </w:p>
        </w:tc>
        <w:tc>
          <w:tcPr>
            <w:tcW w:w="698" w:type="dxa"/>
            <w:noWrap/>
            <w:vAlign w:val="bottom"/>
          </w:tcPr>
          <w:p w14:paraId="652846CA" w14:textId="77777777" w:rsidR="006C35F8" w:rsidRPr="008028A6" w:rsidRDefault="006C35F8" w:rsidP="00BF5199">
            <w:pPr>
              <w:pStyle w:val="TabeladesnoUMAR"/>
            </w:pPr>
            <w:r w:rsidRPr="008028A6">
              <w:t>1,4</w:t>
            </w:r>
          </w:p>
        </w:tc>
        <w:tc>
          <w:tcPr>
            <w:tcW w:w="731" w:type="dxa"/>
            <w:noWrap/>
            <w:vAlign w:val="bottom"/>
          </w:tcPr>
          <w:p w14:paraId="5530941D" w14:textId="77777777" w:rsidR="006C35F8" w:rsidRPr="008028A6" w:rsidRDefault="006C35F8" w:rsidP="00BF5199">
            <w:pPr>
              <w:pStyle w:val="TabeladesnoUMAR"/>
            </w:pPr>
            <w:r w:rsidRPr="008028A6">
              <w:t>4,9</w:t>
            </w:r>
          </w:p>
        </w:tc>
        <w:tc>
          <w:tcPr>
            <w:tcW w:w="828" w:type="dxa"/>
            <w:noWrap/>
            <w:vAlign w:val="bottom"/>
          </w:tcPr>
          <w:p w14:paraId="43AF097B" w14:textId="77777777" w:rsidR="006C35F8" w:rsidRPr="008028A6" w:rsidRDefault="006C35F8" w:rsidP="00BF5199">
            <w:pPr>
              <w:pStyle w:val="TabeladesnoUMAR"/>
            </w:pPr>
            <w:r w:rsidRPr="008028A6">
              <w:t>0,9</w:t>
            </w:r>
          </w:p>
        </w:tc>
      </w:tr>
      <w:tr w:rsidR="006C35F8" w:rsidRPr="00B80429" w14:paraId="06B780DB" w14:textId="77777777" w:rsidTr="00BF5199">
        <w:trPr>
          <w:trHeight w:val="277"/>
        </w:trPr>
        <w:tc>
          <w:tcPr>
            <w:tcW w:w="2399" w:type="dxa"/>
          </w:tcPr>
          <w:p w14:paraId="2FDC585F" w14:textId="77777777" w:rsidR="006C35F8" w:rsidRPr="008028A6" w:rsidRDefault="006C35F8" w:rsidP="009C2105">
            <w:pPr>
              <w:pStyle w:val="TabelalevoUMAR"/>
            </w:pPr>
            <w:r w:rsidRPr="000D41E7">
              <w:t>73 Stroji za obdelavo kovin</w:t>
            </w:r>
          </w:p>
        </w:tc>
        <w:tc>
          <w:tcPr>
            <w:tcW w:w="714" w:type="dxa"/>
            <w:noWrap/>
            <w:vAlign w:val="bottom"/>
          </w:tcPr>
          <w:p w14:paraId="3336EF2F" w14:textId="77777777" w:rsidR="006C35F8" w:rsidRPr="008028A6" w:rsidRDefault="006C35F8" w:rsidP="00BF5199">
            <w:pPr>
              <w:pStyle w:val="TabeladesnoUMAR"/>
            </w:pPr>
            <w:r w:rsidRPr="000D41E7">
              <w:t>12,2</w:t>
            </w:r>
          </w:p>
        </w:tc>
        <w:tc>
          <w:tcPr>
            <w:tcW w:w="715" w:type="dxa"/>
            <w:noWrap/>
            <w:vAlign w:val="bottom"/>
          </w:tcPr>
          <w:p w14:paraId="5D829A2A" w14:textId="77777777" w:rsidR="006C35F8" w:rsidRPr="008028A6" w:rsidRDefault="006C35F8" w:rsidP="00BF5199">
            <w:pPr>
              <w:pStyle w:val="TabeladesnoUMAR"/>
            </w:pPr>
            <w:r w:rsidRPr="000D41E7">
              <w:t>1,5</w:t>
            </w:r>
          </w:p>
        </w:tc>
        <w:tc>
          <w:tcPr>
            <w:tcW w:w="904" w:type="dxa"/>
            <w:noWrap/>
            <w:vAlign w:val="bottom"/>
          </w:tcPr>
          <w:p w14:paraId="76613105" w14:textId="77777777" w:rsidR="006C35F8" w:rsidRPr="008028A6" w:rsidRDefault="006C35F8" w:rsidP="00BF5199">
            <w:pPr>
              <w:pStyle w:val="TabeladesnoUMAR"/>
            </w:pPr>
            <w:r w:rsidRPr="000D41E7">
              <w:t>5,3</w:t>
            </w:r>
          </w:p>
        </w:tc>
        <w:tc>
          <w:tcPr>
            <w:tcW w:w="621" w:type="dxa"/>
            <w:noWrap/>
            <w:vAlign w:val="bottom"/>
          </w:tcPr>
          <w:p w14:paraId="09A27F03" w14:textId="77777777" w:rsidR="006C35F8" w:rsidRPr="008028A6" w:rsidRDefault="006C35F8" w:rsidP="00BF5199">
            <w:pPr>
              <w:pStyle w:val="TabeladesnoUMAR"/>
            </w:pPr>
            <w:r w:rsidRPr="000D41E7">
              <w:t>7,2</w:t>
            </w:r>
          </w:p>
        </w:tc>
        <w:tc>
          <w:tcPr>
            <w:tcW w:w="749" w:type="dxa"/>
            <w:noWrap/>
            <w:vAlign w:val="bottom"/>
          </w:tcPr>
          <w:p w14:paraId="39EF42AC" w14:textId="77777777" w:rsidR="006C35F8" w:rsidRPr="008028A6" w:rsidRDefault="006C35F8" w:rsidP="00BF5199">
            <w:pPr>
              <w:pStyle w:val="TabeladesnoUMAR"/>
            </w:pPr>
            <w:r w:rsidRPr="000D41E7">
              <w:t>0,8</w:t>
            </w:r>
          </w:p>
        </w:tc>
        <w:tc>
          <w:tcPr>
            <w:tcW w:w="713" w:type="dxa"/>
            <w:noWrap/>
            <w:vAlign w:val="bottom"/>
          </w:tcPr>
          <w:p w14:paraId="2ADD9D3F" w14:textId="77777777" w:rsidR="006C35F8" w:rsidRPr="008028A6" w:rsidRDefault="006C35F8" w:rsidP="00BF5199">
            <w:pPr>
              <w:pStyle w:val="TabeladesnoUMAR"/>
            </w:pPr>
            <w:r w:rsidRPr="000D41E7">
              <w:t>4,4</w:t>
            </w:r>
          </w:p>
        </w:tc>
        <w:tc>
          <w:tcPr>
            <w:tcW w:w="698" w:type="dxa"/>
            <w:noWrap/>
            <w:vAlign w:val="bottom"/>
          </w:tcPr>
          <w:p w14:paraId="12E64EC9" w14:textId="77777777" w:rsidR="006C35F8" w:rsidRPr="008028A6" w:rsidRDefault="006C35F8" w:rsidP="00BF5199">
            <w:pPr>
              <w:pStyle w:val="TabeladesnoUMAR"/>
            </w:pPr>
            <w:r w:rsidRPr="000D41E7">
              <w:t>0,4</w:t>
            </w:r>
          </w:p>
        </w:tc>
        <w:tc>
          <w:tcPr>
            <w:tcW w:w="731" w:type="dxa"/>
            <w:noWrap/>
            <w:vAlign w:val="bottom"/>
          </w:tcPr>
          <w:p w14:paraId="286920C8" w14:textId="77777777" w:rsidR="006C35F8" w:rsidRPr="008028A6" w:rsidRDefault="006C35F8" w:rsidP="00BF5199">
            <w:pPr>
              <w:pStyle w:val="TabeladesnoUMAR"/>
            </w:pPr>
            <w:r w:rsidRPr="000D41E7">
              <w:t>1,6</w:t>
            </w:r>
          </w:p>
        </w:tc>
        <w:tc>
          <w:tcPr>
            <w:tcW w:w="828" w:type="dxa"/>
            <w:noWrap/>
            <w:vAlign w:val="bottom"/>
          </w:tcPr>
          <w:p w14:paraId="641B4F21" w14:textId="77777777" w:rsidR="006C35F8" w:rsidRPr="008028A6" w:rsidRDefault="006C35F8" w:rsidP="00BF5199">
            <w:pPr>
              <w:pStyle w:val="TabeladesnoUMAR"/>
            </w:pPr>
            <w:r w:rsidRPr="000D41E7">
              <w:t>0,3</w:t>
            </w:r>
          </w:p>
        </w:tc>
      </w:tr>
      <w:tr w:rsidR="006C35F8" w:rsidRPr="00B80429" w14:paraId="4DB7F08D" w14:textId="77777777" w:rsidTr="00BF5199">
        <w:trPr>
          <w:trHeight w:val="277"/>
        </w:trPr>
        <w:tc>
          <w:tcPr>
            <w:tcW w:w="2399" w:type="dxa"/>
          </w:tcPr>
          <w:p w14:paraId="48D6F932" w14:textId="413B093E" w:rsidR="006C35F8" w:rsidRPr="000D41E7" w:rsidRDefault="006C35F8" w:rsidP="009C2105">
            <w:pPr>
              <w:pStyle w:val="TabelalevoUMAR"/>
            </w:pPr>
            <w:r w:rsidRPr="000D41E7">
              <w:t xml:space="preserve">64 Papir in karton ter </w:t>
            </w:r>
            <w:r w:rsidR="0030571A">
              <w:br/>
            </w:r>
            <w:r w:rsidRPr="000D41E7">
              <w:t>izdelki iz celuloze</w:t>
            </w:r>
          </w:p>
        </w:tc>
        <w:tc>
          <w:tcPr>
            <w:tcW w:w="714" w:type="dxa"/>
            <w:noWrap/>
            <w:vAlign w:val="bottom"/>
          </w:tcPr>
          <w:p w14:paraId="7A22D05F" w14:textId="77777777" w:rsidR="006C35F8" w:rsidRPr="000D41E7" w:rsidRDefault="006C35F8" w:rsidP="00BF5199">
            <w:pPr>
              <w:pStyle w:val="TabeladesnoUMAR"/>
            </w:pPr>
            <w:r w:rsidRPr="000D41E7">
              <w:t>11,1</w:t>
            </w:r>
          </w:p>
        </w:tc>
        <w:tc>
          <w:tcPr>
            <w:tcW w:w="715" w:type="dxa"/>
            <w:noWrap/>
            <w:vAlign w:val="bottom"/>
          </w:tcPr>
          <w:p w14:paraId="24A0CB38" w14:textId="77777777" w:rsidR="006C35F8" w:rsidRPr="000D41E7" w:rsidRDefault="006C35F8" w:rsidP="00BF5199">
            <w:pPr>
              <w:pStyle w:val="TabeladesnoUMAR"/>
            </w:pPr>
            <w:r w:rsidRPr="000D41E7">
              <w:t>1,3</w:t>
            </w:r>
          </w:p>
        </w:tc>
        <w:tc>
          <w:tcPr>
            <w:tcW w:w="904" w:type="dxa"/>
            <w:noWrap/>
            <w:vAlign w:val="bottom"/>
          </w:tcPr>
          <w:p w14:paraId="47A0DCD0" w14:textId="77777777" w:rsidR="006C35F8" w:rsidRPr="000D41E7" w:rsidRDefault="006C35F8" w:rsidP="00BF5199">
            <w:pPr>
              <w:pStyle w:val="TabeladesnoUMAR"/>
            </w:pPr>
            <w:r w:rsidRPr="000D41E7">
              <w:t>1,7</w:t>
            </w:r>
          </w:p>
        </w:tc>
        <w:tc>
          <w:tcPr>
            <w:tcW w:w="621" w:type="dxa"/>
            <w:noWrap/>
            <w:vAlign w:val="bottom"/>
          </w:tcPr>
          <w:p w14:paraId="0143FD9E" w14:textId="77777777" w:rsidR="006C35F8" w:rsidRPr="000D41E7" w:rsidRDefault="006C35F8" w:rsidP="00BF5199">
            <w:pPr>
              <w:pStyle w:val="TabeladesnoUMAR"/>
            </w:pPr>
            <w:r w:rsidRPr="000D41E7">
              <w:t>16,4</w:t>
            </w:r>
          </w:p>
        </w:tc>
        <w:tc>
          <w:tcPr>
            <w:tcW w:w="749" w:type="dxa"/>
            <w:noWrap/>
            <w:vAlign w:val="bottom"/>
          </w:tcPr>
          <w:p w14:paraId="28655903" w14:textId="77777777" w:rsidR="006C35F8" w:rsidRPr="000D41E7" w:rsidRDefault="006C35F8" w:rsidP="00BF5199">
            <w:pPr>
              <w:pStyle w:val="TabeladesnoUMAR"/>
            </w:pPr>
            <w:r w:rsidRPr="000D41E7">
              <w:t>1,9</w:t>
            </w:r>
          </w:p>
        </w:tc>
        <w:tc>
          <w:tcPr>
            <w:tcW w:w="713" w:type="dxa"/>
            <w:noWrap/>
            <w:vAlign w:val="bottom"/>
          </w:tcPr>
          <w:p w14:paraId="53148DEC" w14:textId="77777777" w:rsidR="006C35F8" w:rsidRPr="000D41E7" w:rsidRDefault="006C35F8" w:rsidP="00BF5199">
            <w:pPr>
              <w:pStyle w:val="TabeladesnoUMAR"/>
            </w:pPr>
            <w:r w:rsidRPr="000D41E7">
              <w:t>12,4</w:t>
            </w:r>
          </w:p>
        </w:tc>
        <w:tc>
          <w:tcPr>
            <w:tcW w:w="698" w:type="dxa"/>
            <w:noWrap/>
            <w:vAlign w:val="bottom"/>
          </w:tcPr>
          <w:p w14:paraId="5695872A" w14:textId="77777777" w:rsidR="006C35F8" w:rsidRPr="000D41E7" w:rsidRDefault="006C35F8" w:rsidP="00BF5199">
            <w:pPr>
              <w:pStyle w:val="TabeladesnoUMAR"/>
            </w:pPr>
            <w:r w:rsidRPr="000D41E7">
              <w:t>1,1</w:t>
            </w:r>
          </w:p>
        </w:tc>
        <w:tc>
          <w:tcPr>
            <w:tcW w:w="731" w:type="dxa"/>
            <w:noWrap/>
            <w:vAlign w:val="bottom"/>
          </w:tcPr>
          <w:p w14:paraId="416F321F" w14:textId="77777777" w:rsidR="006C35F8" w:rsidRPr="000D41E7" w:rsidRDefault="006C35F8" w:rsidP="00BF5199">
            <w:pPr>
              <w:pStyle w:val="TabeladesnoUMAR"/>
            </w:pPr>
            <w:r w:rsidRPr="000D41E7">
              <w:t>1,1</w:t>
            </w:r>
          </w:p>
        </w:tc>
        <w:tc>
          <w:tcPr>
            <w:tcW w:w="828" w:type="dxa"/>
            <w:noWrap/>
            <w:vAlign w:val="bottom"/>
          </w:tcPr>
          <w:p w14:paraId="61E29D43" w14:textId="77777777" w:rsidR="006C35F8" w:rsidRPr="000D41E7" w:rsidRDefault="006C35F8" w:rsidP="00BF5199">
            <w:pPr>
              <w:pStyle w:val="TabeladesnoUMAR"/>
            </w:pPr>
            <w:r w:rsidRPr="000D41E7">
              <w:t>0,2</w:t>
            </w:r>
          </w:p>
        </w:tc>
      </w:tr>
      <w:tr w:rsidR="006C35F8" w:rsidRPr="00B80429" w14:paraId="4C07352E" w14:textId="77777777" w:rsidTr="00BF5199">
        <w:trPr>
          <w:trHeight w:val="277"/>
        </w:trPr>
        <w:tc>
          <w:tcPr>
            <w:tcW w:w="2399" w:type="dxa"/>
          </w:tcPr>
          <w:p w14:paraId="24942991" w14:textId="77777777" w:rsidR="006C35F8" w:rsidRPr="000D41E7" w:rsidRDefault="006C35F8" w:rsidP="009C2105">
            <w:pPr>
              <w:pStyle w:val="TabelalevoUMAR"/>
            </w:pPr>
            <w:r w:rsidRPr="000D41E7">
              <w:t>87 Znanstveni, kontrolni instrumenti</w:t>
            </w:r>
          </w:p>
        </w:tc>
        <w:tc>
          <w:tcPr>
            <w:tcW w:w="714" w:type="dxa"/>
            <w:noWrap/>
            <w:vAlign w:val="bottom"/>
          </w:tcPr>
          <w:p w14:paraId="630B5912" w14:textId="77777777" w:rsidR="006C35F8" w:rsidRPr="000D41E7" w:rsidRDefault="006C35F8" w:rsidP="00BF5199">
            <w:pPr>
              <w:pStyle w:val="TabeladesnoUMAR"/>
            </w:pPr>
            <w:r w:rsidRPr="000D41E7">
              <w:t>10,9</w:t>
            </w:r>
          </w:p>
        </w:tc>
        <w:tc>
          <w:tcPr>
            <w:tcW w:w="715" w:type="dxa"/>
            <w:noWrap/>
            <w:vAlign w:val="bottom"/>
          </w:tcPr>
          <w:p w14:paraId="4564E6A0" w14:textId="77777777" w:rsidR="006C35F8" w:rsidRPr="000D41E7" w:rsidRDefault="006C35F8" w:rsidP="00BF5199">
            <w:pPr>
              <w:pStyle w:val="TabeladesnoUMAR"/>
            </w:pPr>
            <w:r w:rsidRPr="000D41E7">
              <w:t>1,3</w:t>
            </w:r>
          </w:p>
        </w:tc>
        <w:tc>
          <w:tcPr>
            <w:tcW w:w="904" w:type="dxa"/>
            <w:noWrap/>
            <w:vAlign w:val="bottom"/>
          </w:tcPr>
          <w:p w14:paraId="4AF04EDB" w14:textId="77777777" w:rsidR="006C35F8" w:rsidRPr="000D41E7" w:rsidRDefault="006C35F8" w:rsidP="00BF5199">
            <w:pPr>
              <w:pStyle w:val="TabeladesnoUMAR"/>
            </w:pPr>
            <w:r w:rsidRPr="000D41E7">
              <w:t>1,9</w:t>
            </w:r>
          </w:p>
        </w:tc>
        <w:tc>
          <w:tcPr>
            <w:tcW w:w="621" w:type="dxa"/>
            <w:noWrap/>
            <w:vAlign w:val="bottom"/>
          </w:tcPr>
          <w:p w14:paraId="000E1362" w14:textId="77777777" w:rsidR="006C35F8" w:rsidRPr="000D41E7" w:rsidRDefault="006C35F8" w:rsidP="00BF5199">
            <w:pPr>
              <w:pStyle w:val="TabeladesnoUMAR"/>
            </w:pPr>
            <w:r w:rsidRPr="000D41E7">
              <w:t>10,0</w:t>
            </w:r>
          </w:p>
        </w:tc>
        <w:tc>
          <w:tcPr>
            <w:tcW w:w="749" w:type="dxa"/>
            <w:noWrap/>
            <w:vAlign w:val="bottom"/>
          </w:tcPr>
          <w:p w14:paraId="370A58B0" w14:textId="77777777" w:rsidR="006C35F8" w:rsidRPr="000D41E7" w:rsidRDefault="006C35F8" w:rsidP="00BF5199">
            <w:pPr>
              <w:pStyle w:val="TabeladesnoUMAR"/>
            </w:pPr>
            <w:r w:rsidRPr="000D41E7">
              <w:t>1,2</w:t>
            </w:r>
          </w:p>
        </w:tc>
        <w:tc>
          <w:tcPr>
            <w:tcW w:w="713" w:type="dxa"/>
            <w:noWrap/>
            <w:vAlign w:val="bottom"/>
          </w:tcPr>
          <w:p w14:paraId="22F939B9" w14:textId="77777777" w:rsidR="006C35F8" w:rsidRPr="000D41E7" w:rsidRDefault="006C35F8" w:rsidP="00BF5199">
            <w:pPr>
              <w:pStyle w:val="TabeladesnoUMAR"/>
            </w:pPr>
            <w:r w:rsidRPr="000D41E7">
              <w:t>10,4</w:t>
            </w:r>
          </w:p>
        </w:tc>
        <w:tc>
          <w:tcPr>
            <w:tcW w:w="698" w:type="dxa"/>
            <w:noWrap/>
            <w:vAlign w:val="bottom"/>
          </w:tcPr>
          <w:p w14:paraId="4E2830E5" w14:textId="77777777" w:rsidR="006C35F8" w:rsidRPr="000D41E7" w:rsidRDefault="006C35F8" w:rsidP="00BF5199">
            <w:pPr>
              <w:pStyle w:val="TabeladesnoUMAR"/>
            </w:pPr>
            <w:r w:rsidRPr="000D41E7">
              <w:t>0,9</w:t>
            </w:r>
          </w:p>
        </w:tc>
        <w:tc>
          <w:tcPr>
            <w:tcW w:w="731" w:type="dxa"/>
            <w:noWrap/>
            <w:vAlign w:val="bottom"/>
          </w:tcPr>
          <w:p w14:paraId="76E88DFD" w14:textId="77777777" w:rsidR="006C35F8" w:rsidRPr="000D41E7" w:rsidRDefault="006C35F8" w:rsidP="00BF5199">
            <w:pPr>
              <w:pStyle w:val="TabeladesnoUMAR"/>
            </w:pPr>
            <w:r w:rsidRPr="000D41E7">
              <w:t>3,5</w:t>
            </w:r>
          </w:p>
        </w:tc>
        <w:tc>
          <w:tcPr>
            <w:tcW w:w="828" w:type="dxa"/>
            <w:noWrap/>
            <w:vAlign w:val="bottom"/>
          </w:tcPr>
          <w:p w14:paraId="529C2A14" w14:textId="77777777" w:rsidR="006C35F8" w:rsidRPr="000D41E7" w:rsidRDefault="006C35F8" w:rsidP="00BF5199">
            <w:pPr>
              <w:pStyle w:val="TabeladesnoUMAR"/>
            </w:pPr>
            <w:r w:rsidRPr="000D41E7">
              <w:t>0,6</w:t>
            </w:r>
          </w:p>
        </w:tc>
      </w:tr>
      <w:tr w:rsidR="006C35F8" w:rsidRPr="00B80429" w14:paraId="64DF59D1" w14:textId="77777777" w:rsidTr="00BF5199">
        <w:trPr>
          <w:trHeight w:val="277"/>
        </w:trPr>
        <w:tc>
          <w:tcPr>
            <w:tcW w:w="2399" w:type="dxa"/>
          </w:tcPr>
          <w:p w14:paraId="4B8FFF7A" w14:textId="77777777" w:rsidR="006C35F8" w:rsidRPr="000D41E7" w:rsidRDefault="006C35F8" w:rsidP="009C2105">
            <w:pPr>
              <w:pStyle w:val="TabelalevoUMAR"/>
            </w:pPr>
            <w:r w:rsidRPr="000D41E7">
              <w:t>76 Naprave za telekomunikacijo</w:t>
            </w:r>
          </w:p>
        </w:tc>
        <w:tc>
          <w:tcPr>
            <w:tcW w:w="714" w:type="dxa"/>
            <w:noWrap/>
            <w:vAlign w:val="bottom"/>
          </w:tcPr>
          <w:p w14:paraId="6E48B605" w14:textId="77777777" w:rsidR="006C35F8" w:rsidRPr="000D41E7" w:rsidRDefault="006C35F8" w:rsidP="00BF5199">
            <w:pPr>
              <w:pStyle w:val="TabeladesnoUMAR"/>
            </w:pPr>
            <w:r w:rsidRPr="000D41E7">
              <w:t>9,8</w:t>
            </w:r>
          </w:p>
        </w:tc>
        <w:tc>
          <w:tcPr>
            <w:tcW w:w="715" w:type="dxa"/>
            <w:noWrap/>
            <w:vAlign w:val="bottom"/>
          </w:tcPr>
          <w:p w14:paraId="767BE1B0" w14:textId="77777777" w:rsidR="006C35F8" w:rsidRPr="000D41E7" w:rsidRDefault="006C35F8" w:rsidP="00BF5199">
            <w:pPr>
              <w:pStyle w:val="TabeladesnoUMAR"/>
            </w:pPr>
            <w:r w:rsidRPr="000D41E7">
              <w:t>1,2</w:t>
            </w:r>
          </w:p>
        </w:tc>
        <w:tc>
          <w:tcPr>
            <w:tcW w:w="904" w:type="dxa"/>
            <w:noWrap/>
            <w:vAlign w:val="bottom"/>
          </w:tcPr>
          <w:p w14:paraId="098E1128" w14:textId="77777777" w:rsidR="006C35F8" w:rsidRPr="000D41E7" w:rsidRDefault="006C35F8" w:rsidP="00BF5199">
            <w:pPr>
              <w:pStyle w:val="TabeladesnoUMAR"/>
            </w:pPr>
            <w:r w:rsidRPr="000D41E7">
              <w:t>3,5</w:t>
            </w:r>
          </w:p>
        </w:tc>
        <w:tc>
          <w:tcPr>
            <w:tcW w:w="621" w:type="dxa"/>
            <w:noWrap/>
            <w:vAlign w:val="bottom"/>
          </w:tcPr>
          <w:p w14:paraId="2A34D485" w14:textId="77777777" w:rsidR="006C35F8" w:rsidRPr="000D41E7" w:rsidRDefault="006C35F8" w:rsidP="00BF5199">
            <w:pPr>
              <w:pStyle w:val="TabeladesnoUMAR"/>
            </w:pPr>
            <w:r w:rsidRPr="000D41E7">
              <w:t>3,8</w:t>
            </w:r>
          </w:p>
        </w:tc>
        <w:tc>
          <w:tcPr>
            <w:tcW w:w="749" w:type="dxa"/>
            <w:noWrap/>
            <w:vAlign w:val="bottom"/>
          </w:tcPr>
          <w:p w14:paraId="47C9B381" w14:textId="77777777" w:rsidR="006C35F8" w:rsidRPr="000D41E7" w:rsidRDefault="006C35F8" w:rsidP="00BF5199">
            <w:pPr>
              <w:pStyle w:val="TabeladesnoUMAR"/>
            </w:pPr>
            <w:r w:rsidRPr="000D41E7">
              <w:t>0,4</w:t>
            </w:r>
          </w:p>
        </w:tc>
        <w:tc>
          <w:tcPr>
            <w:tcW w:w="713" w:type="dxa"/>
            <w:noWrap/>
            <w:vAlign w:val="bottom"/>
          </w:tcPr>
          <w:p w14:paraId="1FF836C1" w14:textId="77777777" w:rsidR="006C35F8" w:rsidRPr="000D41E7" w:rsidRDefault="006C35F8" w:rsidP="00BF5199">
            <w:pPr>
              <w:pStyle w:val="TabeladesnoUMAR"/>
            </w:pPr>
            <w:r w:rsidRPr="000D41E7">
              <w:t>1,4</w:t>
            </w:r>
          </w:p>
        </w:tc>
        <w:tc>
          <w:tcPr>
            <w:tcW w:w="698" w:type="dxa"/>
            <w:noWrap/>
            <w:vAlign w:val="bottom"/>
          </w:tcPr>
          <w:p w14:paraId="10594A41" w14:textId="77777777" w:rsidR="006C35F8" w:rsidRPr="000D41E7" w:rsidRDefault="006C35F8" w:rsidP="00BF5199">
            <w:pPr>
              <w:pStyle w:val="TabeladesnoUMAR"/>
            </w:pPr>
            <w:r w:rsidRPr="000D41E7">
              <w:t>0,1</w:t>
            </w:r>
          </w:p>
        </w:tc>
        <w:tc>
          <w:tcPr>
            <w:tcW w:w="731" w:type="dxa"/>
            <w:noWrap/>
            <w:vAlign w:val="bottom"/>
          </w:tcPr>
          <w:p w14:paraId="4C8265AC" w14:textId="77777777" w:rsidR="006C35F8" w:rsidRPr="000D41E7" w:rsidRDefault="006C35F8" w:rsidP="00BF5199">
            <w:pPr>
              <w:pStyle w:val="TabeladesnoUMAR"/>
            </w:pPr>
            <w:r w:rsidRPr="000D41E7">
              <w:t>1,8</w:t>
            </w:r>
          </w:p>
        </w:tc>
        <w:tc>
          <w:tcPr>
            <w:tcW w:w="828" w:type="dxa"/>
            <w:noWrap/>
            <w:vAlign w:val="bottom"/>
          </w:tcPr>
          <w:p w14:paraId="41834AF4" w14:textId="77777777" w:rsidR="006C35F8" w:rsidRPr="000D41E7" w:rsidRDefault="006C35F8" w:rsidP="00BF5199">
            <w:pPr>
              <w:pStyle w:val="TabeladesnoUMAR"/>
            </w:pPr>
            <w:r w:rsidRPr="000D41E7">
              <w:t>0,3</w:t>
            </w:r>
          </w:p>
        </w:tc>
      </w:tr>
      <w:tr w:rsidR="006C35F8" w:rsidRPr="00B80429" w14:paraId="733B5CAD" w14:textId="77777777" w:rsidTr="00BF5199">
        <w:trPr>
          <w:trHeight w:val="277"/>
        </w:trPr>
        <w:tc>
          <w:tcPr>
            <w:tcW w:w="2399" w:type="dxa"/>
          </w:tcPr>
          <w:p w14:paraId="67858555" w14:textId="10DE6F96" w:rsidR="006C35F8" w:rsidRPr="000D41E7" w:rsidRDefault="006C35F8" w:rsidP="009C2105">
            <w:pPr>
              <w:pStyle w:val="TabelalevoUMAR"/>
            </w:pPr>
            <w:r w:rsidRPr="000D41E7">
              <w:t xml:space="preserve">65 Preja, tkanine in </w:t>
            </w:r>
            <w:r w:rsidR="0030571A">
              <w:br/>
            </w:r>
            <w:r w:rsidRPr="000D41E7">
              <w:t>tekstilni izdelki</w:t>
            </w:r>
          </w:p>
        </w:tc>
        <w:tc>
          <w:tcPr>
            <w:tcW w:w="714" w:type="dxa"/>
            <w:noWrap/>
            <w:vAlign w:val="bottom"/>
          </w:tcPr>
          <w:p w14:paraId="085908FD" w14:textId="77777777" w:rsidR="006C35F8" w:rsidRPr="000D41E7" w:rsidRDefault="006C35F8" w:rsidP="00BF5199">
            <w:pPr>
              <w:pStyle w:val="TabeladesnoUMAR"/>
            </w:pPr>
            <w:r w:rsidRPr="000D41E7">
              <w:t>8,8</w:t>
            </w:r>
          </w:p>
        </w:tc>
        <w:tc>
          <w:tcPr>
            <w:tcW w:w="715" w:type="dxa"/>
            <w:noWrap/>
            <w:vAlign w:val="bottom"/>
          </w:tcPr>
          <w:p w14:paraId="5ABA9618" w14:textId="77777777" w:rsidR="006C35F8" w:rsidRPr="000D41E7" w:rsidRDefault="006C35F8" w:rsidP="00BF5199">
            <w:pPr>
              <w:pStyle w:val="TabeladesnoUMAR"/>
            </w:pPr>
            <w:r w:rsidRPr="000D41E7">
              <w:t>1,1</w:t>
            </w:r>
          </w:p>
        </w:tc>
        <w:tc>
          <w:tcPr>
            <w:tcW w:w="904" w:type="dxa"/>
            <w:noWrap/>
            <w:vAlign w:val="bottom"/>
          </w:tcPr>
          <w:p w14:paraId="431CFBCC" w14:textId="77777777" w:rsidR="006C35F8" w:rsidRPr="000D41E7" w:rsidRDefault="006C35F8" w:rsidP="00BF5199">
            <w:pPr>
              <w:pStyle w:val="TabeladesnoUMAR"/>
            </w:pPr>
            <w:r w:rsidRPr="000D41E7">
              <w:t>1,7</w:t>
            </w:r>
          </w:p>
        </w:tc>
        <w:tc>
          <w:tcPr>
            <w:tcW w:w="621" w:type="dxa"/>
            <w:noWrap/>
            <w:vAlign w:val="bottom"/>
          </w:tcPr>
          <w:p w14:paraId="49F49C39" w14:textId="77777777" w:rsidR="006C35F8" w:rsidRPr="000D41E7" w:rsidRDefault="006C35F8" w:rsidP="00BF5199">
            <w:pPr>
              <w:pStyle w:val="TabeladesnoUMAR"/>
            </w:pPr>
            <w:r w:rsidRPr="000D41E7">
              <w:t>8,3</w:t>
            </w:r>
          </w:p>
        </w:tc>
        <w:tc>
          <w:tcPr>
            <w:tcW w:w="749" w:type="dxa"/>
            <w:noWrap/>
            <w:vAlign w:val="bottom"/>
          </w:tcPr>
          <w:p w14:paraId="481A0BC0" w14:textId="77777777" w:rsidR="006C35F8" w:rsidRPr="000D41E7" w:rsidRDefault="006C35F8" w:rsidP="00BF5199">
            <w:pPr>
              <w:pStyle w:val="TabeladesnoUMAR"/>
            </w:pPr>
            <w:r w:rsidRPr="000D41E7">
              <w:t>1,0</w:t>
            </w:r>
          </w:p>
        </w:tc>
        <w:tc>
          <w:tcPr>
            <w:tcW w:w="713" w:type="dxa"/>
            <w:noWrap/>
            <w:vAlign w:val="bottom"/>
          </w:tcPr>
          <w:p w14:paraId="2A41A4CF" w14:textId="77777777" w:rsidR="006C35F8" w:rsidRPr="000D41E7" w:rsidRDefault="006C35F8" w:rsidP="00BF5199">
            <w:pPr>
              <w:pStyle w:val="TabeladesnoUMAR"/>
            </w:pPr>
            <w:r w:rsidRPr="000D41E7">
              <w:t>5,2</w:t>
            </w:r>
          </w:p>
        </w:tc>
        <w:tc>
          <w:tcPr>
            <w:tcW w:w="698" w:type="dxa"/>
            <w:noWrap/>
            <w:vAlign w:val="bottom"/>
          </w:tcPr>
          <w:p w14:paraId="335C6DCB" w14:textId="77777777" w:rsidR="006C35F8" w:rsidRPr="000D41E7" w:rsidRDefault="006C35F8" w:rsidP="00BF5199">
            <w:pPr>
              <w:pStyle w:val="TabeladesnoUMAR"/>
            </w:pPr>
            <w:r w:rsidRPr="000D41E7">
              <w:t>0,4</w:t>
            </w:r>
          </w:p>
        </w:tc>
        <w:tc>
          <w:tcPr>
            <w:tcW w:w="731" w:type="dxa"/>
            <w:noWrap/>
            <w:vAlign w:val="bottom"/>
          </w:tcPr>
          <w:p w14:paraId="7BECE15B" w14:textId="77777777" w:rsidR="006C35F8" w:rsidRPr="000D41E7" w:rsidRDefault="006C35F8" w:rsidP="00BF5199">
            <w:pPr>
              <w:pStyle w:val="TabeladesnoUMAR"/>
            </w:pPr>
            <w:r w:rsidRPr="000D41E7">
              <w:t>2,3</w:t>
            </w:r>
          </w:p>
        </w:tc>
        <w:tc>
          <w:tcPr>
            <w:tcW w:w="828" w:type="dxa"/>
            <w:noWrap/>
            <w:vAlign w:val="bottom"/>
          </w:tcPr>
          <w:p w14:paraId="498E4D61" w14:textId="77777777" w:rsidR="006C35F8" w:rsidRPr="000D41E7" w:rsidRDefault="006C35F8" w:rsidP="00BF5199">
            <w:pPr>
              <w:pStyle w:val="TabeladesnoUMAR"/>
            </w:pPr>
            <w:r w:rsidRPr="000D41E7">
              <w:t>0,4</w:t>
            </w:r>
          </w:p>
        </w:tc>
      </w:tr>
      <w:tr w:rsidR="006C35F8" w:rsidRPr="00B80429" w14:paraId="05AF81BC" w14:textId="77777777" w:rsidTr="00BF5199">
        <w:trPr>
          <w:trHeight w:val="277"/>
        </w:trPr>
        <w:tc>
          <w:tcPr>
            <w:tcW w:w="2399" w:type="dxa"/>
          </w:tcPr>
          <w:p w14:paraId="475F3BE7" w14:textId="77777777" w:rsidR="006C35F8" w:rsidRPr="000D41E7" w:rsidRDefault="006C35F8" w:rsidP="009C2105">
            <w:pPr>
              <w:pStyle w:val="TabelalevoUMAR"/>
            </w:pPr>
            <w:r w:rsidRPr="000D41E7">
              <w:t>62 Izdelki iz kavčuka</w:t>
            </w:r>
          </w:p>
        </w:tc>
        <w:tc>
          <w:tcPr>
            <w:tcW w:w="714" w:type="dxa"/>
            <w:noWrap/>
            <w:vAlign w:val="bottom"/>
          </w:tcPr>
          <w:p w14:paraId="2B89EBDB" w14:textId="77777777" w:rsidR="006C35F8" w:rsidRPr="000D41E7" w:rsidRDefault="006C35F8" w:rsidP="00BF5199">
            <w:pPr>
              <w:pStyle w:val="TabeladesnoUMAR"/>
            </w:pPr>
            <w:r w:rsidRPr="000D41E7">
              <w:t>6,4</w:t>
            </w:r>
          </w:p>
        </w:tc>
        <w:tc>
          <w:tcPr>
            <w:tcW w:w="715" w:type="dxa"/>
            <w:noWrap/>
            <w:vAlign w:val="bottom"/>
          </w:tcPr>
          <w:p w14:paraId="6529E95A" w14:textId="77777777" w:rsidR="006C35F8" w:rsidRPr="000D41E7" w:rsidRDefault="006C35F8" w:rsidP="00BF5199">
            <w:pPr>
              <w:pStyle w:val="TabeladesnoUMAR"/>
            </w:pPr>
            <w:r w:rsidRPr="000D41E7">
              <w:t>0,8</w:t>
            </w:r>
          </w:p>
        </w:tc>
        <w:tc>
          <w:tcPr>
            <w:tcW w:w="904" w:type="dxa"/>
            <w:noWrap/>
            <w:vAlign w:val="bottom"/>
          </w:tcPr>
          <w:p w14:paraId="13EA15C3" w14:textId="77777777" w:rsidR="006C35F8" w:rsidRPr="000D41E7" w:rsidRDefault="006C35F8" w:rsidP="00BF5199">
            <w:pPr>
              <w:pStyle w:val="TabeladesnoUMAR"/>
            </w:pPr>
            <w:r w:rsidRPr="000D41E7">
              <w:t>1,1</w:t>
            </w:r>
          </w:p>
        </w:tc>
        <w:tc>
          <w:tcPr>
            <w:tcW w:w="621" w:type="dxa"/>
            <w:noWrap/>
            <w:vAlign w:val="bottom"/>
          </w:tcPr>
          <w:p w14:paraId="16519B2E" w14:textId="77777777" w:rsidR="006C35F8" w:rsidRPr="000D41E7" w:rsidRDefault="006C35F8" w:rsidP="00BF5199">
            <w:pPr>
              <w:pStyle w:val="TabeladesnoUMAR"/>
            </w:pPr>
            <w:r w:rsidRPr="000D41E7">
              <w:t>6,9</w:t>
            </w:r>
          </w:p>
        </w:tc>
        <w:tc>
          <w:tcPr>
            <w:tcW w:w="749" w:type="dxa"/>
            <w:noWrap/>
            <w:vAlign w:val="bottom"/>
          </w:tcPr>
          <w:p w14:paraId="53BAF62C" w14:textId="77777777" w:rsidR="006C35F8" w:rsidRPr="000D41E7" w:rsidRDefault="006C35F8" w:rsidP="00BF5199">
            <w:pPr>
              <w:pStyle w:val="TabeladesnoUMAR"/>
            </w:pPr>
            <w:r w:rsidRPr="000D41E7">
              <w:t>0,8</w:t>
            </w:r>
          </w:p>
        </w:tc>
        <w:tc>
          <w:tcPr>
            <w:tcW w:w="713" w:type="dxa"/>
            <w:noWrap/>
            <w:vAlign w:val="bottom"/>
          </w:tcPr>
          <w:p w14:paraId="4682D43E" w14:textId="77777777" w:rsidR="006C35F8" w:rsidRPr="000D41E7" w:rsidRDefault="006C35F8" w:rsidP="00BF5199">
            <w:pPr>
              <w:pStyle w:val="TabeladesnoUMAR"/>
            </w:pPr>
            <w:r w:rsidRPr="000D41E7">
              <w:t>2,2</w:t>
            </w:r>
          </w:p>
        </w:tc>
        <w:tc>
          <w:tcPr>
            <w:tcW w:w="698" w:type="dxa"/>
            <w:noWrap/>
            <w:vAlign w:val="bottom"/>
          </w:tcPr>
          <w:p w14:paraId="24153BB2" w14:textId="77777777" w:rsidR="006C35F8" w:rsidRPr="000D41E7" w:rsidRDefault="006C35F8" w:rsidP="00BF5199">
            <w:pPr>
              <w:pStyle w:val="TabeladesnoUMAR"/>
            </w:pPr>
            <w:r w:rsidRPr="000D41E7">
              <w:t>0,2</w:t>
            </w:r>
          </w:p>
        </w:tc>
        <w:tc>
          <w:tcPr>
            <w:tcW w:w="731" w:type="dxa"/>
            <w:noWrap/>
            <w:vAlign w:val="bottom"/>
          </w:tcPr>
          <w:p w14:paraId="5D9FE817" w14:textId="77777777" w:rsidR="006C35F8" w:rsidRPr="000D41E7" w:rsidRDefault="006C35F8" w:rsidP="00BF5199">
            <w:pPr>
              <w:pStyle w:val="TabeladesnoUMAR"/>
            </w:pPr>
            <w:r w:rsidRPr="000D41E7">
              <w:t>0,5</w:t>
            </w:r>
          </w:p>
        </w:tc>
        <w:tc>
          <w:tcPr>
            <w:tcW w:w="828" w:type="dxa"/>
            <w:noWrap/>
            <w:vAlign w:val="bottom"/>
          </w:tcPr>
          <w:p w14:paraId="5A979EAF" w14:textId="77777777" w:rsidR="006C35F8" w:rsidRPr="000D41E7" w:rsidRDefault="006C35F8" w:rsidP="00BF5199">
            <w:pPr>
              <w:pStyle w:val="TabeladesnoUMAR"/>
            </w:pPr>
            <w:r w:rsidRPr="000D41E7">
              <w:t>0,1</w:t>
            </w:r>
          </w:p>
        </w:tc>
      </w:tr>
      <w:tr w:rsidR="006C35F8" w:rsidRPr="00B80429" w14:paraId="1EABDC2B" w14:textId="77777777" w:rsidTr="00BF5199">
        <w:trPr>
          <w:trHeight w:val="277"/>
        </w:trPr>
        <w:tc>
          <w:tcPr>
            <w:tcW w:w="2399" w:type="dxa"/>
          </w:tcPr>
          <w:p w14:paraId="3910BAD3" w14:textId="406B7BB9" w:rsidR="006C35F8" w:rsidRPr="000D41E7" w:rsidRDefault="006C35F8" w:rsidP="009C2105">
            <w:pPr>
              <w:pStyle w:val="TabelalevoUMAR"/>
            </w:pPr>
            <w:r w:rsidRPr="000D41E7">
              <w:t xml:space="preserve">59 Razni proizvodi </w:t>
            </w:r>
            <w:r w:rsidR="0030571A">
              <w:br/>
            </w:r>
            <w:r w:rsidRPr="000D41E7">
              <w:t>kemične industrije</w:t>
            </w:r>
          </w:p>
        </w:tc>
        <w:tc>
          <w:tcPr>
            <w:tcW w:w="714" w:type="dxa"/>
            <w:noWrap/>
            <w:vAlign w:val="bottom"/>
          </w:tcPr>
          <w:p w14:paraId="51DC0CF7" w14:textId="77777777" w:rsidR="006C35F8" w:rsidRPr="000D41E7" w:rsidRDefault="006C35F8" w:rsidP="00BF5199">
            <w:pPr>
              <w:pStyle w:val="TabeladesnoUMAR"/>
            </w:pPr>
            <w:r w:rsidRPr="000D41E7">
              <w:t>5,9</w:t>
            </w:r>
          </w:p>
        </w:tc>
        <w:tc>
          <w:tcPr>
            <w:tcW w:w="715" w:type="dxa"/>
            <w:noWrap/>
            <w:vAlign w:val="bottom"/>
          </w:tcPr>
          <w:p w14:paraId="01EA312E" w14:textId="77777777" w:rsidR="006C35F8" w:rsidRPr="000D41E7" w:rsidRDefault="006C35F8" w:rsidP="00BF5199">
            <w:pPr>
              <w:pStyle w:val="TabeladesnoUMAR"/>
            </w:pPr>
            <w:r w:rsidRPr="000D41E7">
              <w:t>0,7</w:t>
            </w:r>
          </w:p>
        </w:tc>
        <w:tc>
          <w:tcPr>
            <w:tcW w:w="904" w:type="dxa"/>
            <w:noWrap/>
            <w:vAlign w:val="bottom"/>
          </w:tcPr>
          <w:p w14:paraId="106D7633" w14:textId="77777777" w:rsidR="006C35F8" w:rsidRPr="000D41E7" w:rsidRDefault="006C35F8" w:rsidP="00BF5199">
            <w:pPr>
              <w:pStyle w:val="TabeladesnoUMAR"/>
            </w:pPr>
            <w:r w:rsidRPr="000D41E7">
              <w:t>2,5</w:t>
            </w:r>
          </w:p>
        </w:tc>
        <w:tc>
          <w:tcPr>
            <w:tcW w:w="621" w:type="dxa"/>
            <w:noWrap/>
            <w:vAlign w:val="bottom"/>
          </w:tcPr>
          <w:p w14:paraId="525C36C1" w14:textId="77777777" w:rsidR="006C35F8" w:rsidRPr="000D41E7" w:rsidRDefault="006C35F8" w:rsidP="00BF5199">
            <w:pPr>
              <w:pStyle w:val="TabeladesnoUMAR"/>
            </w:pPr>
            <w:r w:rsidRPr="000D41E7">
              <w:t>7,1</w:t>
            </w:r>
          </w:p>
        </w:tc>
        <w:tc>
          <w:tcPr>
            <w:tcW w:w="749" w:type="dxa"/>
            <w:noWrap/>
            <w:vAlign w:val="bottom"/>
          </w:tcPr>
          <w:p w14:paraId="36AD6BBF" w14:textId="77777777" w:rsidR="006C35F8" w:rsidRPr="000D41E7" w:rsidRDefault="006C35F8" w:rsidP="00BF5199">
            <w:pPr>
              <w:pStyle w:val="TabeladesnoUMAR"/>
            </w:pPr>
            <w:r w:rsidRPr="000D41E7">
              <w:t>0,8</w:t>
            </w:r>
          </w:p>
        </w:tc>
        <w:tc>
          <w:tcPr>
            <w:tcW w:w="713" w:type="dxa"/>
            <w:noWrap/>
            <w:vAlign w:val="bottom"/>
          </w:tcPr>
          <w:p w14:paraId="360B4BDD" w14:textId="77777777" w:rsidR="006C35F8" w:rsidRPr="000D41E7" w:rsidRDefault="006C35F8" w:rsidP="00BF5199">
            <w:pPr>
              <w:pStyle w:val="TabeladesnoUMAR"/>
            </w:pPr>
            <w:r w:rsidRPr="000D41E7">
              <w:t>12,6</w:t>
            </w:r>
          </w:p>
        </w:tc>
        <w:tc>
          <w:tcPr>
            <w:tcW w:w="698" w:type="dxa"/>
            <w:noWrap/>
            <w:vAlign w:val="bottom"/>
          </w:tcPr>
          <w:p w14:paraId="6A6A3014" w14:textId="77777777" w:rsidR="006C35F8" w:rsidRPr="000D41E7" w:rsidRDefault="006C35F8" w:rsidP="00BF5199">
            <w:pPr>
              <w:pStyle w:val="TabeladesnoUMAR"/>
            </w:pPr>
            <w:r w:rsidRPr="000D41E7">
              <w:t>1,1</w:t>
            </w:r>
          </w:p>
        </w:tc>
        <w:tc>
          <w:tcPr>
            <w:tcW w:w="731" w:type="dxa"/>
            <w:noWrap/>
            <w:vAlign w:val="bottom"/>
          </w:tcPr>
          <w:p w14:paraId="06C36475" w14:textId="77777777" w:rsidR="006C35F8" w:rsidRPr="000D41E7" w:rsidRDefault="006C35F8" w:rsidP="00BF5199">
            <w:pPr>
              <w:pStyle w:val="TabeladesnoUMAR"/>
            </w:pPr>
            <w:r w:rsidRPr="000D41E7">
              <w:t>5,2</w:t>
            </w:r>
          </w:p>
        </w:tc>
        <w:tc>
          <w:tcPr>
            <w:tcW w:w="828" w:type="dxa"/>
            <w:noWrap/>
            <w:vAlign w:val="bottom"/>
          </w:tcPr>
          <w:p w14:paraId="10F19348" w14:textId="77777777" w:rsidR="006C35F8" w:rsidRPr="000D41E7" w:rsidRDefault="006C35F8" w:rsidP="00BF5199">
            <w:pPr>
              <w:pStyle w:val="TabeladesnoUMAR"/>
            </w:pPr>
            <w:r w:rsidRPr="000D41E7">
              <w:t>0,9</w:t>
            </w:r>
          </w:p>
        </w:tc>
      </w:tr>
      <w:tr w:rsidR="006C35F8" w:rsidRPr="00B80429" w14:paraId="413DE2D2" w14:textId="77777777" w:rsidTr="00BF5199">
        <w:trPr>
          <w:trHeight w:val="277"/>
        </w:trPr>
        <w:tc>
          <w:tcPr>
            <w:tcW w:w="2399" w:type="dxa"/>
          </w:tcPr>
          <w:p w14:paraId="422A1B23" w14:textId="77777777" w:rsidR="006C35F8" w:rsidRPr="000D41E7" w:rsidRDefault="006C35F8" w:rsidP="009C2105">
            <w:pPr>
              <w:pStyle w:val="TabelalevoUMAR"/>
            </w:pPr>
            <w:r w:rsidRPr="000D41E7">
              <w:t>71 Pogonski stroji in naprave</w:t>
            </w:r>
          </w:p>
        </w:tc>
        <w:tc>
          <w:tcPr>
            <w:tcW w:w="714" w:type="dxa"/>
            <w:noWrap/>
            <w:vAlign w:val="bottom"/>
          </w:tcPr>
          <w:p w14:paraId="645FEC6C" w14:textId="77777777" w:rsidR="006C35F8" w:rsidRPr="000D41E7" w:rsidRDefault="006C35F8" w:rsidP="00BF5199">
            <w:pPr>
              <w:pStyle w:val="TabeladesnoUMAR"/>
            </w:pPr>
            <w:r w:rsidRPr="000D41E7">
              <w:t>5,0</w:t>
            </w:r>
          </w:p>
        </w:tc>
        <w:tc>
          <w:tcPr>
            <w:tcW w:w="715" w:type="dxa"/>
            <w:noWrap/>
            <w:vAlign w:val="bottom"/>
          </w:tcPr>
          <w:p w14:paraId="4EFDDBDA" w14:textId="77777777" w:rsidR="006C35F8" w:rsidRPr="000D41E7" w:rsidRDefault="006C35F8" w:rsidP="00BF5199">
            <w:pPr>
              <w:pStyle w:val="TabeladesnoUMAR"/>
            </w:pPr>
            <w:r w:rsidRPr="000D41E7">
              <w:t>0,6</w:t>
            </w:r>
          </w:p>
        </w:tc>
        <w:tc>
          <w:tcPr>
            <w:tcW w:w="904" w:type="dxa"/>
            <w:noWrap/>
            <w:vAlign w:val="bottom"/>
          </w:tcPr>
          <w:p w14:paraId="7BE81441" w14:textId="77777777" w:rsidR="006C35F8" w:rsidRPr="000D41E7" w:rsidRDefault="006C35F8" w:rsidP="00BF5199">
            <w:pPr>
              <w:pStyle w:val="TabeladesnoUMAR"/>
            </w:pPr>
            <w:r w:rsidRPr="000D41E7">
              <w:t>0,7</w:t>
            </w:r>
          </w:p>
        </w:tc>
        <w:tc>
          <w:tcPr>
            <w:tcW w:w="621" w:type="dxa"/>
            <w:noWrap/>
            <w:vAlign w:val="bottom"/>
          </w:tcPr>
          <w:p w14:paraId="115E0E8E" w14:textId="77777777" w:rsidR="006C35F8" w:rsidRPr="000D41E7" w:rsidRDefault="006C35F8" w:rsidP="00BF5199">
            <w:pPr>
              <w:pStyle w:val="TabeladesnoUMAR"/>
            </w:pPr>
            <w:r w:rsidRPr="000D41E7">
              <w:t>6,1</w:t>
            </w:r>
          </w:p>
        </w:tc>
        <w:tc>
          <w:tcPr>
            <w:tcW w:w="749" w:type="dxa"/>
            <w:noWrap/>
            <w:vAlign w:val="bottom"/>
          </w:tcPr>
          <w:p w14:paraId="60612AAF" w14:textId="77777777" w:rsidR="006C35F8" w:rsidRPr="000D41E7" w:rsidRDefault="006C35F8" w:rsidP="00BF5199">
            <w:pPr>
              <w:pStyle w:val="TabeladesnoUMAR"/>
            </w:pPr>
            <w:r w:rsidRPr="000D41E7">
              <w:t>0,7</w:t>
            </w:r>
          </w:p>
        </w:tc>
        <w:tc>
          <w:tcPr>
            <w:tcW w:w="713" w:type="dxa"/>
            <w:noWrap/>
            <w:vAlign w:val="bottom"/>
          </w:tcPr>
          <w:p w14:paraId="0AAF7842" w14:textId="77777777" w:rsidR="006C35F8" w:rsidRPr="000D41E7" w:rsidRDefault="006C35F8" w:rsidP="00BF5199">
            <w:pPr>
              <w:pStyle w:val="TabeladesnoUMAR"/>
            </w:pPr>
            <w:r w:rsidRPr="000D41E7">
              <w:t>2,7</w:t>
            </w:r>
          </w:p>
        </w:tc>
        <w:tc>
          <w:tcPr>
            <w:tcW w:w="698" w:type="dxa"/>
            <w:noWrap/>
            <w:vAlign w:val="bottom"/>
          </w:tcPr>
          <w:p w14:paraId="08A5390C" w14:textId="77777777" w:rsidR="006C35F8" w:rsidRPr="000D41E7" w:rsidRDefault="006C35F8" w:rsidP="00BF5199">
            <w:pPr>
              <w:pStyle w:val="TabeladesnoUMAR"/>
            </w:pPr>
            <w:r w:rsidRPr="000D41E7">
              <w:t>0,2</w:t>
            </w:r>
          </w:p>
        </w:tc>
        <w:tc>
          <w:tcPr>
            <w:tcW w:w="731" w:type="dxa"/>
            <w:noWrap/>
            <w:vAlign w:val="bottom"/>
          </w:tcPr>
          <w:p w14:paraId="458A3642" w14:textId="77777777" w:rsidR="006C35F8" w:rsidRPr="000D41E7" w:rsidRDefault="006C35F8" w:rsidP="00BF5199">
            <w:pPr>
              <w:pStyle w:val="TabeladesnoUMAR"/>
            </w:pPr>
            <w:r w:rsidRPr="000D41E7">
              <w:t>0,7</w:t>
            </w:r>
          </w:p>
        </w:tc>
        <w:tc>
          <w:tcPr>
            <w:tcW w:w="828" w:type="dxa"/>
            <w:noWrap/>
            <w:vAlign w:val="bottom"/>
          </w:tcPr>
          <w:p w14:paraId="625064F4" w14:textId="77777777" w:rsidR="006C35F8" w:rsidRPr="000D41E7" w:rsidRDefault="006C35F8" w:rsidP="00BF5199">
            <w:pPr>
              <w:pStyle w:val="TabeladesnoUMAR"/>
            </w:pPr>
            <w:r w:rsidRPr="000D41E7">
              <w:t>0,1</w:t>
            </w:r>
          </w:p>
        </w:tc>
      </w:tr>
      <w:tr w:rsidR="006C35F8" w:rsidRPr="00B80429" w14:paraId="1733BA62" w14:textId="77777777" w:rsidTr="00BF5199">
        <w:trPr>
          <w:trHeight w:val="277"/>
        </w:trPr>
        <w:tc>
          <w:tcPr>
            <w:tcW w:w="2399" w:type="dxa"/>
          </w:tcPr>
          <w:p w14:paraId="7E3367A1" w14:textId="77777777" w:rsidR="006C35F8" w:rsidRPr="000D41E7" w:rsidRDefault="006C35F8" w:rsidP="009C2105">
            <w:pPr>
              <w:pStyle w:val="TabelalevoUMAR"/>
            </w:pPr>
            <w:r>
              <w:t>Ostalo</w:t>
            </w:r>
          </w:p>
        </w:tc>
        <w:tc>
          <w:tcPr>
            <w:tcW w:w="714" w:type="dxa"/>
            <w:noWrap/>
            <w:vAlign w:val="bottom"/>
          </w:tcPr>
          <w:p w14:paraId="151B876C" w14:textId="77777777" w:rsidR="006C35F8" w:rsidRPr="000D41E7" w:rsidRDefault="006C35F8" w:rsidP="00BF5199">
            <w:pPr>
              <w:pStyle w:val="TabeladesnoUMAR"/>
            </w:pPr>
            <w:r w:rsidRPr="00FB78E9">
              <w:t>37,8</w:t>
            </w:r>
          </w:p>
        </w:tc>
        <w:tc>
          <w:tcPr>
            <w:tcW w:w="715" w:type="dxa"/>
            <w:noWrap/>
            <w:vAlign w:val="bottom"/>
          </w:tcPr>
          <w:p w14:paraId="5C26FE7E" w14:textId="77777777" w:rsidR="006C35F8" w:rsidRPr="000D41E7" w:rsidRDefault="006C35F8" w:rsidP="00BF5199">
            <w:pPr>
              <w:pStyle w:val="TabeladesnoUMAR"/>
            </w:pPr>
            <w:r w:rsidRPr="00FB78E9">
              <w:t>4,6</w:t>
            </w:r>
          </w:p>
        </w:tc>
        <w:tc>
          <w:tcPr>
            <w:tcW w:w="904" w:type="dxa"/>
            <w:noWrap/>
            <w:vAlign w:val="bottom"/>
          </w:tcPr>
          <w:p w14:paraId="5EFE13D2" w14:textId="77777777" w:rsidR="006C35F8" w:rsidRPr="000D41E7" w:rsidRDefault="006C35F8" w:rsidP="00BF5199">
            <w:pPr>
              <w:pStyle w:val="TabeladesnoUMAR"/>
            </w:pPr>
            <w:r w:rsidRPr="00FB78E9">
              <w:t>-</w:t>
            </w:r>
          </w:p>
        </w:tc>
        <w:tc>
          <w:tcPr>
            <w:tcW w:w="621" w:type="dxa"/>
            <w:noWrap/>
            <w:vAlign w:val="bottom"/>
          </w:tcPr>
          <w:p w14:paraId="544B3648" w14:textId="77777777" w:rsidR="006C35F8" w:rsidRPr="000D41E7" w:rsidRDefault="006C35F8" w:rsidP="00BF5199">
            <w:pPr>
              <w:pStyle w:val="TabeladesnoUMAR"/>
            </w:pPr>
            <w:r w:rsidRPr="00FB78E9">
              <w:t>36,4</w:t>
            </w:r>
          </w:p>
        </w:tc>
        <w:tc>
          <w:tcPr>
            <w:tcW w:w="749" w:type="dxa"/>
            <w:noWrap/>
            <w:vAlign w:val="bottom"/>
          </w:tcPr>
          <w:p w14:paraId="646E3D93" w14:textId="77777777" w:rsidR="006C35F8" w:rsidRPr="000D41E7" w:rsidRDefault="006C35F8" w:rsidP="00BF5199">
            <w:pPr>
              <w:pStyle w:val="TabeladesnoUMAR"/>
            </w:pPr>
            <w:r w:rsidRPr="00FB78E9">
              <w:t>4,3</w:t>
            </w:r>
          </w:p>
        </w:tc>
        <w:tc>
          <w:tcPr>
            <w:tcW w:w="713" w:type="dxa"/>
            <w:noWrap/>
            <w:vAlign w:val="bottom"/>
          </w:tcPr>
          <w:p w14:paraId="743D0CF0" w14:textId="77777777" w:rsidR="006C35F8" w:rsidRPr="000D41E7" w:rsidRDefault="006C35F8" w:rsidP="00BF5199">
            <w:pPr>
              <w:pStyle w:val="TabeladesnoUMAR"/>
            </w:pPr>
            <w:r w:rsidRPr="00FB78E9">
              <w:t>34,4</w:t>
            </w:r>
          </w:p>
        </w:tc>
        <w:tc>
          <w:tcPr>
            <w:tcW w:w="698" w:type="dxa"/>
            <w:noWrap/>
            <w:vAlign w:val="bottom"/>
          </w:tcPr>
          <w:p w14:paraId="6526398A" w14:textId="77777777" w:rsidR="006C35F8" w:rsidRPr="000D41E7" w:rsidRDefault="006C35F8" w:rsidP="00BF5199">
            <w:pPr>
              <w:pStyle w:val="TabeladesnoUMAR"/>
            </w:pPr>
            <w:r w:rsidRPr="00FB78E9">
              <w:t>2,9</w:t>
            </w:r>
          </w:p>
        </w:tc>
        <w:tc>
          <w:tcPr>
            <w:tcW w:w="731" w:type="dxa"/>
            <w:noWrap/>
            <w:vAlign w:val="bottom"/>
          </w:tcPr>
          <w:p w14:paraId="067A41C5" w14:textId="77777777" w:rsidR="006C35F8" w:rsidRPr="000D41E7" w:rsidRDefault="006C35F8" w:rsidP="00BF5199">
            <w:pPr>
              <w:pStyle w:val="TabeladesnoUMAR"/>
            </w:pPr>
            <w:r w:rsidRPr="00FB78E9">
              <w:t>10,7</w:t>
            </w:r>
          </w:p>
        </w:tc>
        <w:tc>
          <w:tcPr>
            <w:tcW w:w="828" w:type="dxa"/>
            <w:noWrap/>
            <w:vAlign w:val="bottom"/>
          </w:tcPr>
          <w:p w14:paraId="1B39E5DB" w14:textId="77777777" w:rsidR="006C35F8" w:rsidRPr="000D41E7" w:rsidRDefault="006C35F8" w:rsidP="00BF5199">
            <w:pPr>
              <w:pStyle w:val="TabeladesnoUMAR"/>
            </w:pPr>
            <w:r w:rsidRPr="00FB78E9">
              <w:t>1,9</w:t>
            </w:r>
          </w:p>
        </w:tc>
      </w:tr>
    </w:tbl>
    <w:p w14:paraId="36820171" w14:textId="77777777" w:rsidR="006C35F8" w:rsidRPr="0095661A" w:rsidRDefault="006C35F8" w:rsidP="006C35F8">
      <w:pPr>
        <w:pStyle w:val="VirUMAR"/>
        <w:rPr>
          <w:b/>
          <w:bCs/>
        </w:rPr>
      </w:pPr>
      <w:r>
        <w:t xml:space="preserve">Vir: SURS </w:t>
      </w:r>
      <w:r>
        <w:fldChar w:fldCharType="begin"/>
      </w:r>
      <w:r>
        <w:instrText xml:space="preserve"> ADDIN ZOTERO_ITEM CSL_CITATION {"citationID":"LKEjVzN1","properties":{"formattedCitation":"(2023)","plainCitation":"(2023)","noteIndex":0},"citationItems":[{"id":2939,"uris":["http://zotero.org/groups/4141114/items/WI7MWBXE"],"itemData":{"id":2939,"type":"report","event-place":"Ljubljana","genre":"Podatkovna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preračuni UMAR. </w:t>
      </w:r>
      <w:r w:rsidRPr="00433380">
        <w:t>Opomb</w:t>
      </w:r>
      <w:r>
        <w:t>e</w:t>
      </w:r>
      <w:r w:rsidRPr="00433380">
        <w:t>: zunanjetrgovinski podatki za izračun deleža so popravljeni za oplemenitenje blaga.</w:t>
      </w:r>
      <w:r>
        <w:t xml:space="preserve"> Podatki za leto 2023 so za obdobje januar – maj. Razvrščeno po vrednosti izvoza med leti 2016 in 2020. </w:t>
      </w:r>
    </w:p>
    <w:p w14:paraId="347E1C9A" w14:textId="77777777" w:rsidR="006C35F8" w:rsidRDefault="006C35F8" w:rsidP="006C35F8">
      <w:pPr>
        <w:spacing w:after="0" w:line="240" w:lineRule="auto"/>
        <w:rPr>
          <w:rFonts w:ascii="Myriad Pro" w:hAnsi="Myriad Pro"/>
          <w:sz w:val="20"/>
        </w:rPr>
      </w:pPr>
      <w:r>
        <w:br w:type="page"/>
      </w:r>
    </w:p>
    <w:p w14:paraId="651BFD89" w14:textId="77777777" w:rsidR="006C35F8" w:rsidRDefault="006C35F8" w:rsidP="006C35F8">
      <w:pPr>
        <w:pStyle w:val="Caption"/>
      </w:pPr>
      <w:r w:rsidRPr="00AA79D5">
        <w:lastRenderedPageBreak/>
        <w:t xml:space="preserve">Tabela </w:t>
      </w:r>
      <w:r>
        <w:t>4</w:t>
      </w:r>
      <w:r w:rsidRPr="00AA79D5">
        <w:t xml:space="preserve">: </w:t>
      </w:r>
      <w:r>
        <w:t>Uvoz</w:t>
      </w:r>
      <w:r w:rsidRPr="00AA79D5">
        <w:t xml:space="preserve"> Slovenije </w:t>
      </w:r>
      <w:r>
        <w:t>iz</w:t>
      </w:r>
      <w:r w:rsidRPr="00AA79D5">
        <w:t xml:space="preserve"> Rusij</w:t>
      </w:r>
      <w:r>
        <w:t>e</w:t>
      </w:r>
      <w:r w:rsidRPr="00AA79D5">
        <w:t xml:space="preserve"> po </w:t>
      </w:r>
      <w:r>
        <w:t>proizvodih, SMTK klasifikacija na drugi ravni</w:t>
      </w:r>
    </w:p>
    <w:tbl>
      <w:tblPr>
        <w:tblStyle w:val="TableGrid"/>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268"/>
        <w:gridCol w:w="620"/>
        <w:gridCol w:w="752"/>
        <w:gridCol w:w="1067"/>
        <w:gridCol w:w="623"/>
        <w:gridCol w:w="752"/>
        <w:gridCol w:w="715"/>
        <w:gridCol w:w="752"/>
        <w:gridCol w:w="673"/>
        <w:gridCol w:w="838"/>
      </w:tblGrid>
      <w:tr w:rsidR="006C35F8" w:rsidRPr="00B80429" w14:paraId="3062E2A5" w14:textId="77777777" w:rsidTr="0030571A">
        <w:trPr>
          <w:trHeight w:val="300"/>
        </w:trPr>
        <w:tc>
          <w:tcPr>
            <w:tcW w:w="2268" w:type="dxa"/>
            <w:noWrap/>
            <w:vAlign w:val="center"/>
            <w:hideMark/>
          </w:tcPr>
          <w:p w14:paraId="7DDA5672" w14:textId="77777777" w:rsidR="006C35F8" w:rsidRPr="00B80429" w:rsidRDefault="006C35F8" w:rsidP="0030571A">
            <w:pPr>
              <w:pStyle w:val="TabelaglavadesnoUMAR"/>
              <w:jc w:val="center"/>
            </w:pPr>
          </w:p>
        </w:tc>
        <w:tc>
          <w:tcPr>
            <w:tcW w:w="2439" w:type="dxa"/>
            <w:gridSpan w:val="3"/>
            <w:noWrap/>
            <w:vAlign w:val="center"/>
            <w:hideMark/>
          </w:tcPr>
          <w:p w14:paraId="3C333FE9" w14:textId="77777777" w:rsidR="006C35F8" w:rsidRPr="00B80429" w:rsidRDefault="006C35F8" w:rsidP="0030571A">
            <w:pPr>
              <w:pStyle w:val="TabelaglavadesnoUMAR"/>
              <w:jc w:val="center"/>
            </w:pPr>
            <w:r>
              <w:t xml:space="preserve">Povprečje </w:t>
            </w:r>
            <w:r w:rsidRPr="00B80429">
              <w:t>2016-2020</w:t>
            </w:r>
          </w:p>
        </w:tc>
        <w:tc>
          <w:tcPr>
            <w:tcW w:w="1375" w:type="dxa"/>
            <w:gridSpan w:val="2"/>
            <w:noWrap/>
            <w:vAlign w:val="center"/>
            <w:hideMark/>
          </w:tcPr>
          <w:p w14:paraId="1527A816" w14:textId="77777777" w:rsidR="006C35F8" w:rsidRPr="00B80429" w:rsidRDefault="006C35F8" w:rsidP="0030571A">
            <w:pPr>
              <w:pStyle w:val="TabelaglavadesnoUMAR"/>
              <w:jc w:val="center"/>
            </w:pPr>
            <w:r w:rsidRPr="00B80429">
              <w:t>2021</w:t>
            </w:r>
          </w:p>
        </w:tc>
        <w:tc>
          <w:tcPr>
            <w:tcW w:w="1467" w:type="dxa"/>
            <w:gridSpan w:val="2"/>
            <w:noWrap/>
            <w:vAlign w:val="center"/>
            <w:hideMark/>
          </w:tcPr>
          <w:p w14:paraId="2D6810B0" w14:textId="77777777" w:rsidR="006C35F8" w:rsidRPr="00B80429" w:rsidRDefault="006C35F8" w:rsidP="0030571A">
            <w:pPr>
              <w:pStyle w:val="TabelaglavadesnoUMAR"/>
              <w:jc w:val="center"/>
            </w:pPr>
            <w:r w:rsidRPr="00B80429">
              <w:t>2022</w:t>
            </w:r>
          </w:p>
        </w:tc>
        <w:tc>
          <w:tcPr>
            <w:tcW w:w="1511" w:type="dxa"/>
            <w:gridSpan w:val="2"/>
            <w:noWrap/>
            <w:vAlign w:val="center"/>
            <w:hideMark/>
          </w:tcPr>
          <w:p w14:paraId="0C54E85D" w14:textId="77777777" w:rsidR="006C35F8" w:rsidRPr="00B80429" w:rsidRDefault="006C35F8" w:rsidP="0030571A">
            <w:pPr>
              <w:pStyle w:val="TabelaglavadesnoUMAR"/>
              <w:jc w:val="center"/>
            </w:pPr>
            <w:r>
              <w:t>2023 jan-maj</w:t>
            </w:r>
          </w:p>
        </w:tc>
      </w:tr>
      <w:tr w:rsidR="006C35F8" w:rsidRPr="00B80429" w14:paraId="3596558D" w14:textId="77777777" w:rsidTr="0062274D">
        <w:trPr>
          <w:trHeight w:val="1220"/>
        </w:trPr>
        <w:tc>
          <w:tcPr>
            <w:tcW w:w="2268" w:type="dxa"/>
            <w:hideMark/>
          </w:tcPr>
          <w:p w14:paraId="5C9DA9E2" w14:textId="77777777" w:rsidR="006C35F8" w:rsidRPr="00B80429" w:rsidRDefault="006C35F8" w:rsidP="009C2105">
            <w:pPr>
              <w:pStyle w:val="TabelaglavadesnoUMAR"/>
            </w:pPr>
          </w:p>
        </w:tc>
        <w:tc>
          <w:tcPr>
            <w:tcW w:w="620" w:type="dxa"/>
            <w:hideMark/>
          </w:tcPr>
          <w:p w14:paraId="278B2A0E" w14:textId="77777777" w:rsidR="006C35F8" w:rsidRPr="00B80429" w:rsidRDefault="006C35F8" w:rsidP="0030571A">
            <w:pPr>
              <w:pStyle w:val="TabelaglavadesnoUMAR"/>
              <w:rPr>
                <w:sz w:val="16"/>
                <w:szCs w:val="16"/>
              </w:rPr>
            </w:pPr>
            <w:r w:rsidRPr="00B80429">
              <w:rPr>
                <w:sz w:val="16"/>
                <w:szCs w:val="16"/>
              </w:rPr>
              <w:t>v mio EUR</w:t>
            </w:r>
          </w:p>
        </w:tc>
        <w:tc>
          <w:tcPr>
            <w:tcW w:w="752" w:type="dxa"/>
            <w:hideMark/>
          </w:tcPr>
          <w:p w14:paraId="20D92498" w14:textId="1A929254" w:rsidR="006C35F8" w:rsidRPr="00B80429" w:rsidRDefault="006C35F8" w:rsidP="0030571A">
            <w:pPr>
              <w:pStyle w:val="TabelaglavadesnoUMAR"/>
              <w:rPr>
                <w:sz w:val="16"/>
                <w:szCs w:val="16"/>
              </w:rPr>
            </w:pPr>
            <w:r w:rsidRPr="00B80429">
              <w:rPr>
                <w:sz w:val="16"/>
                <w:szCs w:val="16"/>
              </w:rPr>
              <w:t xml:space="preserve">delež v </w:t>
            </w:r>
            <w:r>
              <w:rPr>
                <w:sz w:val="16"/>
                <w:szCs w:val="16"/>
              </w:rPr>
              <w:t>uvozu</w:t>
            </w:r>
            <w:r w:rsidRPr="00B80429">
              <w:rPr>
                <w:sz w:val="16"/>
                <w:szCs w:val="16"/>
              </w:rPr>
              <w:t xml:space="preserve"> </w:t>
            </w:r>
            <w:r>
              <w:rPr>
                <w:sz w:val="16"/>
                <w:szCs w:val="16"/>
              </w:rPr>
              <w:t>iz</w:t>
            </w:r>
            <w:r w:rsidRPr="00B80429">
              <w:rPr>
                <w:sz w:val="16"/>
                <w:szCs w:val="16"/>
              </w:rPr>
              <w:t xml:space="preserve"> Rusij</w:t>
            </w:r>
            <w:r>
              <w:rPr>
                <w:sz w:val="16"/>
                <w:szCs w:val="16"/>
              </w:rPr>
              <w:t>e</w:t>
            </w:r>
            <w:r w:rsidRPr="00B80429">
              <w:rPr>
                <w:sz w:val="16"/>
                <w:szCs w:val="16"/>
              </w:rPr>
              <w:t xml:space="preserve">, </w:t>
            </w:r>
            <w:r w:rsidR="0030571A">
              <w:rPr>
                <w:sz w:val="16"/>
                <w:szCs w:val="16"/>
              </w:rPr>
              <w:br/>
            </w:r>
            <w:r w:rsidRPr="00B80429">
              <w:rPr>
                <w:sz w:val="16"/>
                <w:szCs w:val="16"/>
              </w:rPr>
              <w:t>v %</w:t>
            </w:r>
          </w:p>
        </w:tc>
        <w:tc>
          <w:tcPr>
            <w:tcW w:w="1067" w:type="dxa"/>
            <w:hideMark/>
          </w:tcPr>
          <w:p w14:paraId="455D95F6" w14:textId="04045D36" w:rsidR="006C35F8" w:rsidRPr="00B80429" w:rsidRDefault="006C35F8" w:rsidP="0030571A">
            <w:pPr>
              <w:pStyle w:val="TabelaglavadesnoUMAR"/>
              <w:rPr>
                <w:sz w:val="16"/>
                <w:szCs w:val="16"/>
              </w:rPr>
            </w:pPr>
            <w:r w:rsidRPr="00B80429">
              <w:rPr>
                <w:sz w:val="16"/>
                <w:szCs w:val="16"/>
              </w:rPr>
              <w:t xml:space="preserve">delež v skupnem </w:t>
            </w:r>
            <w:r>
              <w:rPr>
                <w:sz w:val="16"/>
                <w:szCs w:val="16"/>
              </w:rPr>
              <w:t>uvozu</w:t>
            </w:r>
            <w:r w:rsidRPr="00B80429">
              <w:rPr>
                <w:sz w:val="16"/>
                <w:szCs w:val="16"/>
              </w:rPr>
              <w:t xml:space="preserve"> proizvoda, </w:t>
            </w:r>
            <w:r w:rsidR="0030571A">
              <w:rPr>
                <w:sz w:val="16"/>
                <w:szCs w:val="16"/>
              </w:rPr>
              <w:br/>
            </w:r>
            <w:r w:rsidRPr="00B80429">
              <w:rPr>
                <w:sz w:val="16"/>
                <w:szCs w:val="16"/>
              </w:rPr>
              <w:t>v %</w:t>
            </w:r>
          </w:p>
        </w:tc>
        <w:tc>
          <w:tcPr>
            <w:tcW w:w="623" w:type="dxa"/>
            <w:hideMark/>
          </w:tcPr>
          <w:p w14:paraId="324EE7CB" w14:textId="77777777" w:rsidR="006C35F8" w:rsidRPr="00B80429" w:rsidRDefault="006C35F8" w:rsidP="0030571A">
            <w:pPr>
              <w:pStyle w:val="TabelaglavadesnoUMAR"/>
              <w:rPr>
                <w:sz w:val="16"/>
                <w:szCs w:val="16"/>
              </w:rPr>
            </w:pPr>
            <w:r w:rsidRPr="00B80429">
              <w:rPr>
                <w:sz w:val="16"/>
                <w:szCs w:val="16"/>
              </w:rPr>
              <w:t>v mio EUR</w:t>
            </w:r>
          </w:p>
        </w:tc>
        <w:tc>
          <w:tcPr>
            <w:tcW w:w="752" w:type="dxa"/>
            <w:hideMark/>
          </w:tcPr>
          <w:p w14:paraId="181F2007" w14:textId="3678990A" w:rsidR="006C35F8" w:rsidRPr="00B80429" w:rsidRDefault="006C35F8" w:rsidP="0030571A">
            <w:pPr>
              <w:pStyle w:val="TabelaglavadesnoUMAR"/>
              <w:rPr>
                <w:sz w:val="16"/>
                <w:szCs w:val="16"/>
              </w:rPr>
            </w:pPr>
            <w:r w:rsidRPr="00B80429">
              <w:rPr>
                <w:sz w:val="16"/>
                <w:szCs w:val="16"/>
              </w:rPr>
              <w:t xml:space="preserve">delež v </w:t>
            </w:r>
            <w:r>
              <w:rPr>
                <w:sz w:val="16"/>
                <w:szCs w:val="16"/>
              </w:rPr>
              <w:t>uvozu</w:t>
            </w:r>
            <w:r w:rsidR="00C207D8">
              <w:rPr>
                <w:sz w:val="16"/>
                <w:szCs w:val="16"/>
              </w:rPr>
              <w:t xml:space="preserve"> </w:t>
            </w:r>
            <w:r>
              <w:rPr>
                <w:sz w:val="16"/>
                <w:szCs w:val="16"/>
              </w:rPr>
              <w:t>iz</w:t>
            </w:r>
            <w:r w:rsidRPr="00B80429">
              <w:rPr>
                <w:sz w:val="16"/>
                <w:szCs w:val="16"/>
              </w:rPr>
              <w:t xml:space="preserve"> Rusij</w:t>
            </w:r>
            <w:r>
              <w:rPr>
                <w:sz w:val="16"/>
                <w:szCs w:val="16"/>
              </w:rPr>
              <w:t>e</w:t>
            </w:r>
            <w:r w:rsidRPr="00B80429">
              <w:rPr>
                <w:sz w:val="16"/>
                <w:szCs w:val="16"/>
              </w:rPr>
              <w:t xml:space="preserve">, </w:t>
            </w:r>
            <w:r w:rsidR="0030571A">
              <w:rPr>
                <w:sz w:val="16"/>
                <w:szCs w:val="16"/>
              </w:rPr>
              <w:br/>
            </w:r>
            <w:r w:rsidRPr="00B80429">
              <w:rPr>
                <w:sz w:val="16"/>
                <w:szCs w:val="16"/>
              </w:rPr>
              <w:t>v %</w:t>
            </w:r>
          </w:p>
        </w:tc>
        <w:tc>
          <w:tcPr>
            <w:tcW w:w="715" w:type="dxa"/>
            <w:hideMark/>
          </w:tcPr>
          <w:p w14:paraId="7D1C78BE" w14:textId="77777777" w:rsidR="006C35F8" w:rsidRPr="00B80429" w:rsidRDefault="006C35F8" w:rsidP="0030571A">
            <w:pPr>
              <w:pStyle w:val="TabelaglavadesnoUMAR"/>
              <w:rPr>
                <w:sz w:val="16"/>
                <w:szCs w:val="16"/>
              </w:rPr>
            </w:pPr>
            <w:r w:rsidRPr="00B80429">
              <w:rPr>
                <w:sz w:val="16"/>
                <w:szCs w:val="16"/>
              </w:rPr>
              <w:t>v mio EUR</w:t>
            </w:r>
          </w:p>
        </w:tc>
        <w:tc>
          <w:tcPr>
            <w:tcW w:w="752" w:type="dxa"/>
            <w:hideMark/>
          </w:tcPr>
          <w:p w14:paraId="485106CF" w14:textId="4B93E5DB" w:rsidR="006C35F8" w:rsidRPr="00B80429" w:rsidRDefault="006C35F8" w:rsidP="0030571A">
            <w:pPr>
              <w:pStyle w:val="TabelaglavadesnoUMAR"/>
              <w:rPr>
                <w:sz w:val="16"/>
                <w:szCs w:val="16"/>
              </w:rPr>
            </w:pPr>
            <w:r w:rsidRPr="00B80429">
              <w:rPr>
                <w:sz w:val="16"/>
                <w:szCs w:val="16"/>
              </w:rPr>
              <w:t xml:space="preserve">delež v </w:t>
            </w:r>
            <w:r>
              <w:rPr>
                <w:sz w:val="16"/>
                <w:szCs w:val="16"/>
              </w:rPr>
              <w:t>uvozu</w:t>
            </w:r>
            <w:r w:rsidRPr="00B80429">
              <w:rPr>
                <w:sz w:val="16"/>
                <w:szCs w:val="16"/>
              </w:rPr>
              <w:t xml:space="preserve"> </w:t>
            </w:r>
            <w:r>
              <w:rPr>
                <w:sz w:val="16"/>
                <w:szCs w:val="16"/>
              </w:rPr>
              <w:t>iz</w:t>
            </w:r>
            <w:r w:rsidRPr="00B80429">
              <w:rPr>
                <w:sz w:val="16"/>
                <w:szCs w:val="16"/>
              </w:rPr>
              <w:t xml:space="preserve"> Rusij</w:t>
            </w:r>
            <w:r>
              <w:rPr>
                <w:sz w:val="16"/>
                <w:szCs w:val="16"/>
              </w:rPr>
              <w:t>e</w:t>
            </w:r>
            <w:r w:rsidRPr="00B80429">
              <w:rPr>
                <w:sz w:val="16"/>
                <w:szCs w:val="16"/>
              </w:rPr>
              <w:t xml:space="preserve">, </w:t>
            </w:r>
            <w:r w:rsidR="0030571A">
              <w:rPr>
                <w:sz w:val="16"/>
                <w:szCs w:val="16"/>
              </w:rPr>
              <w:br/>
            </w:r>
            <w:r w:rsidRPr="00B80429">
              <w:rPr>
                <w:sz w:val="16"/>
                <w:szCs w:val="16"/>
              </w:rPr>
              <w:t>v %</w:t>
            </w:r>
          </w:p>
        </w:tc>
        <w:tc>
          <w:tcPr>
            <w:tcW w:w="673" w:type="dxa"/>
            <w:hideMark/>
          </w:tcPr>
          <w:p w14:paraId="677F21B7" w14:textId="77777777" w:rsidR="006C35F8" w:rsidRPr="00B80429" w:rsidRDefault="006C35F8" w:rsidP="0030571A">
            <w:pPr>
              <w:pStyle w:val="TabelaglavadesnoUMAR"/>
              <w:rPr>
                <w:sz w:val="16"/>
                <w:szCs w:val="16"/>
              </w:rPr>
            </w:pPr>
            <w:r w:rsidRPr="0095661A">
              <w:rPr>
                <w:sz w:val="16"/>
                <w:szCs w:val="16"/>
              </w:rPr>
              <w:t>v mio EUR</w:t>
            </w:r>
          </w:p>
        </w:tc>
        <w:tc>
          <w:tcPr>
            <w:tcW w:w="838" w:type="dxa"/>
            <w:hideMark/>
          </w:tcPr>
          <w:p w14:paraId="133D669D" w14:textId="03E5D881" w:rsidR="006C35F8" w:rsidRPr="00B80429" w:rsidRDefault="006C35F8" w:rsidP="0030571A">
            <w:pPr>
              <w:pStyle w:val="BesediloUMAR"/>
              <w:jc w:val="right"/>
              <w:rPr>
                <w:b/>
                <w:bCs/>
                <w:sz w:val="16"/>
                <w:szCs w:val="16"/>
              </w:rPr>
            </w:pPr>
            <w:r w:rsidRPr="0095661A">
              <w:rPr>
                <w:b/>
                <w:bCs/>
                <w:sz w:val="16"/>
                <w:szCs w:val="16"/>
              </w:rPr>
              <w:t xml:space="preserve">delež v uvozu iz Rusije, </w:t>
            </w:r>
            <w:r w:rsidR="0030571A">
              <w:rPr>
                <w:b/>
                <w:bCs/>
                <w:sz w:val="16"/>
                <w:szCs w:val="16"/>
              </w:rPr>
              <w:br/>
            </w:r>
            <w:r w:rsidRPr="0095661A">
              <w:rPr>
                <w:b/>
                <w:bCs/>
                <w:sz w:val="16"/>
                <w:szCs w:val="16"/>
              </w:rPr>
              <w:t>v %</w:t>
            </w:r>
          </w:p>
        </w:tc>
      </w:tr>
      <w:tr w:rsidR="006C35F8" w:rsidRPr="00B80429" w14:paraId="1655F966" w14:textId="77777777" w:rsidTr="0062274D">
        <w:trPr>
          <w:trHeight w:val="263"/>
        </w:trPr>
        <w:tc>
          <w:tcPr>
            <w:tcW w:w="2268" w:type="dxa"/>
            <w:tcBorders>
              <w:top w:val="single" w:sz="6" w:space="0" w:color="auto"/>
            </w:tcBorders>
            <w:hideMark/>
          </w:tcPr>
          <w:p w14:paraId="635CC4C2" w14:textId="77777777" w:rsidR="006C35F8" w:rsidRPr="00B80429" w:rsidRDefault="006C35F8" w:rsidP="009C2105">
            <w:pPr>
              <w:pStyle w:val="TabelalevoUMAR"/>
            </w:pPr>
            <w:r w:rsidRPr="002E5B20">
              <w:t>Skupaj</w:t>
            </w:r>
          </w:p>
        </w:tc>
        <w:tc>
          <w:tcPr>
            <w:tcW w:w="620" w:type="dxa"/>
            <w:tcBorders>
              <w:top w:val="single" w:sz="6" w:space="0" w:color="auto"/>
            </w:tcBorders>
            <w:noWrap/>
            <w:vAlign w:val="bottom"/>
            <w:hideMark/>
          </w:tcPr>
          <w:p w14:paraId="78F52BB4" w14:textId="77777777" w:rsidR="006C35F8" w:rsidRPr="00B80429" w:rsidRDefault="006C35F8" w:rsidP="0030571A">
            <w:pPr>
              <w:pStyle w:val="TabeladesnoUMAR"/>
            </w:pPr>
            <w:r w:rsidRPr="002E5B20">
              <w:t>358,4</w:t>
            </w:r>
          </w:p>
        </w:tc>
        <w:tc>
          <w:tcPr>
            <w:tcW w:w="752" w:type="dxa"/>
            <w:tcBorders>
              <w:top w:val="single" w:sz="6" w:space="0" w:color="auto"/>
            </w:tcBorders>
            <w:noWrap/>
            <w:vAlign w:val="bottom"/>
            <w:hideMark/>
          </w:tcPr>
          <w:p w14:paraId="709A8170" w14:textId="77777777" w:rsidR="006C35F8" w:rsidRPr="00B80429" w:rsidRDefault="006C35F8" w:rsidP="0030571A">
            <w:pPr>
              <w:pStyle w:val="TabeladesnoUMAR"/>
            </w:pPr>
            <w:r w:rsidRPr="002E5B20">
              <w:t>100,0</w:t>
            </w:r>
          </w:p>
        </w:tc>
        <w:tc>
          <w:tcPr>
            <w:tcW w:w="1067" w:type="dxa"/>
            <w:tcBorders>
              <w:top w:val="single" w:sz="6" w:space="0" w:color="auto"/>
            </w:tcBorders>
            <w:noWrap/>
            <w:vAlign w:val="bottom"/>
            <w:hideMark/>
          </w:tcPr>
          <w:p w14:paraId="72649900" w14:textId="77777777" w:rsidR="006C35F8" w:rsidRPr="00B80429" w:rsidRDefault="006C35F8" w:rsidP="0030571A">
            <w:pPr>
              <w:pStyle w:val="TabeladesnoUMAR"/>
            </w:pPr>
            <w:r w:rsidRPr="002E5B20">
              <w:t>1,3</w:t>
            </w:r>
          </w:p>
        </w:tc>
        <w:tc>
          <w:tcPr>
            <w:tcW w:w="623" w:type="dxa"/>
            <w:tcBorders>
              <w:top w:val="single" w:sz="6" w:space="0" w:color="auto"/>
            </w:tcBorders>
            <w:noWrap/>
            <w:vAlign w:val="bottom"/>
            <w:hideMark/>
          </w:tcPr>
          <w:p w14:paraId="184E83D2" w14:textId="77777777" w:rsidR="006C35F8" w:rsidRPr="00B80429" w:rsidRDefault="006C35F8" w:rsidP="0030571A">
            <w:pPr>
              <w:pStyle w:val="TabeladesnoUMAR"/>
            </w:pPr>
            <w:r w:rsidRPr="002E5B20">
              <w:t>352,1</w:t>
            </w:r>
          </w:p>
        </w:tc>
        <w:tc>
          <w:tcPr>
            <w:tcW w:w="752" w:type="dxa"/>
            <w:tcBorders>
              <w:top w:val="single" w:sz="6" w:space="0" w:color="auto"/>
            </w:tcBorders>
            <w:noWrap/>
            <w:vAlign w:val="bottom"/>
            <w:hideMark/>
          </w:tcPr>
          <w:p w14:paraId="1723DBA5" w14:textId="77777777" w:rsidR="006C35F8" w:rsidRPr="00B80429" w:rsidRDefault="006C35F8" w:rsidP="0030571A">
            <w:pPr>
              <w:pStyle w:val="TabeladesnoUMAR"/>
            </w:pPr>
            <w:r w:rsidRPr="002E5B20">
              <w:t>100,0</w:t>
            </w:r>
          </w:p>
        </w:tc>
        <w:tc>
          <w:tcPr>
            <w:tcW w:w="715" w:type="dxa"/>
            <w:tcBorders>
              <w:top w:val="single" w:sz="6" w:space="0" w:color="auto"/>
            </w:tcBorders>
            <w:noWrap/>
            <w:vAlign w:val="bottom"/>
            <w:hideMark/>
          </w:tcPr>
          <w:p w14:paraId="55ADFFF0" w14:textId="77777777" w:rsidR="006C35F8" w:rsidRPr="00B80429" w:rsidRDefault="006C35F8" w:rsidP="0030571A">
            <w:pPr>
              <w:pStyle w:val="TabeladesnoUMAR"/>
            </w:pPr>
            <w:r w:rsidRPr="002E5B20">
              <w:t>1269,0</w:t>
            </w:r>
          </w:p>
        </w:tc>
        <w:tc>
          <w:tcPr>
            <w:tcW w:w="752" w:type="dxa"/>
            <w:tcBorders>
              <w:top w:val="single" w:sz="6" w:space="0" w:color="auto"/>
            </w:tcBorders>
            <w:noWrap/>
            <w:vAlign w:val="bottom"/>
            <w:hideMark/>
          </w:tcPr>
          <w:p w14:paraId="0F408078" w14:textId="77777777" w:rsidR="006C35F8" w:rsidRPr="00B80429" w:rsidRDefault="006C35F8" w:rsidP="0030571A">
            <w:pPr>
              <w:pStyle w:val="TabeladesnoUMAR"/>
            </w:pPr>
            <w:r w:rsidRPr="002E5B20">
              <w:t>100,0</w:t>
            </w:r>
          </w:p>
        </w:tc>
        <w:tc>
          <w:tcPr>
            <w:tcW w:w="673" w:type="dxa"/>
            <w:tcBorders>
              <w:top w:val="single" w:sz="6" w:space="0" w:color="auto"/>
            </w:tcBorders>
            <w:noWrap/>
            <w:vAlign w:val="bottom"/>
            <w:hideMark/>
          </w:tcPr>
          <w:p w14:paraId="388D2CBF" w14:textId="77777777" w:rsidR="006C35F8" w:rsidRPr="00B80429" w:rsidRDefault="006C35F8" w:rsidP="0030571A">
            <w:pPr>
              <w:pStyle w:val="TabeladesnoUMAR"/>
            </w:pPr>
            <w:r w:rsidRPr="002E5B20">
              <w:t>95,6</w:t>
            </w:r>
          </w:p>
        </w:tc>
        <w:tc>
          <w:tcPr>
            <w:tcW w:w="838" w:type="dxa"/>
            <w:tcBorders>
              <w:top w:val="single" w:sz="6" w:space="0" w:color="auto"/>
            </w:tcBorders>
            <w:noWrap/>
            <w:vAlign w:val="bottom"/>
            <w:hideMark/>
          </w:tcPr>
          <w:p w14:paraId="1AFA7B39" w14:textId="77777777" w:rsidR="006C35F8" w:rsidRPr="00B80429" w:rsidRDefault="006C35F8" w:rsidP="0030571A">
            <w:pPr>
              <w:pStyle w:val="TabeladesnoUMAR"/>
            </w:pPr>
            <w:r w:rsidRPr="002E5B20">
              <w:t>100,0</w:t>
            </w:r>
          </w:p>
        </w:tc>
      </w:tr>
      <w:tr w:rsidR="006C35F8" w:rsidRPr="00B80429" w14:paraId="016F2EDD" w14:textId="77777777" w:rsidTr="0062274D">
        <w:trPr>
          <w:trHeight w:val="277"/>
        </w:trPr>
        <w:tc>
          <w:tcPr>
            <w:tcW w:w="2268" w:type="dxa"/>
            <w:hideMark/>
          </w:tcPr>
          <w:p w14:paraId="7B4D80AA" w14:textId="77777777" w:rsidR="006C35F8" w:rsidRPr="00B80429" w:rsidRDefault="006C35F8" w:rsidP="009C2105">
            <w:pPr>
              <w:pStyle w:val="TabelalevoUMAR"/>
            </w:pPr>
            <w:r w:rsidRPr="002E5B20">
              <w:t>33 Nafta in naftni derivati</w:t>
            </w:r>
          </w:p>
        </w:tc>
        <w:tc>
          <w:tcPr>
            <w:tcW w:w="620" w:type="dxa"/>
            <w:noWrap/>
            <w:vAlign w:val="bottom"/>
            <w:hideMark/>
          </w:tcPr>
          <w:p w14:paraId="674DE5F4" w14:textId="77777777" w:rsidR="006C35F8" w:rsidRPr="00B80429" w:rsidRDefault="006C35F8" w:rsidP="0030571A">
            <w:pPr>
              <w:pStyle w:val="TabeladesnoUMAR"/>
            </w:pPr>
            <w:r w:rsidRPr="002E5B20">
              <w:t>209,2</w:t>
            </w:r>
          </w:p>
        </w:tc>
        <w:tc>
          <w:tcPr>
            <w:tcW w:w="752" w:type="dxa"/>
            <w:noWrap/>
            <w:vAlign w:val="bottom"/>
            <w:hideMark/>
          </w:tcPr>
          <w:p w14:paraId="327BA692" w14:textId="77777777" w:rsidR="006C35F8" w:rsidRPr="00B80429" w:rsidRDefault="006C35F8" w:rsidP="0030571A">
            <w:pPr>
              <w:pStyle w:val="TabeladesnoUMAR"/>
            </w:pPr>
            <w:r w:rsidRPr="002E5B20">
              <w:t>58,4</w:t>
            </w:r>
          </w:p>
        </w:tc>
        <w:tc>
          <w:tcPr>
            <w:tcW w:w="1067" w:type="dxa"/>
            <w:noWrap/>
            <w:vAlign w:val="bottom"/>
            <w:hideMark/>
          </w:tcPr>
          <w:p w14:paraId="4CB1FC37" w14:textId="77777777" w:rsidR="006C35F8" w:rsidRPr="00B80429" w:rsidRDefault="006C35F8" w:rsidP="0030571A">
            <w:pPr>
              <w:pStyle w:val="TabeladesnoUMAR"/>
            </w:pPr>
            <w:r w:rsidRPr="002E5B20">
              <w:t>11,3</w:t>
            </w:r>
          </w:p>
        </w:tc>
        <w:tc>
          <w:tcPr>
            <w:tcW w:w="623" w:type="dxa"/>
            <w:noWrap/>
            <w:vAlign w:val="bottom"/>
            <w:hideMark/>
          </w:tcPr>
          <w:p w14:paraId="6325A744" w14:textId="77777777" w:rsidR="006C35F8" w:rsidRPr="00B80429" w:rsidRDefault="006C35F8" w:rsidP="0030571A">
            <w:pPr>
              <w:pStyle w:val="TabeladesnoUMAR"/>
            </w:pPr>
            <w:r w:rsidRPr="002E5B20">
              <w:t>92,8</w:t>
            </w:r>
          </w:p>
        </w:tc>
        <w:tc>
          <w:tcPr>
            <w:tcW w:w="752" w:type="dxa"/>
            <w:noWrap/>
            <w:vAlign w:val="bottom"/>
            <w:hideMark/>
          </w:tcPr>
          <w:p w14:paraId="368EBB03" w14:textId="77777777" w:rsidR="006C35F8" w:rsidRPr="00B80429" w:rsidRDefault="006C35F8" w:rsidP="0030571A">
            <w:pPr>
              <w:pStyle w:val="TabeladesnoUMAR"/>
            </w:pPr>
            <w:r w:rsidRPr="002E5B20">
              <w:t>26,4</w:t>
            </w:r>
          </w:p>
        </w:tc>
        <w:tc>
          <w:tcPr>
            <w:tcW w:w="715" w:type="dxa"/>
            <w:noWrap/>
            <w:vAlign w:val="bottom"/>
            <w:hideMark/>
          </w:tcPr>
          <w:p w14:paraId="1CA93DBB" w14:textId="77777777" w:rsidR="006C35F8" w:rsidRPr="00B80429" w:rsidRDefault="006C35F8" w:rsidP="0030571A">
            <w:pPr>
              <w:pStyle w:val="TabeladesnoUMAR"/>
            </w:pPr>
            <w:r w:rsidRPr="002E5B20">
              <w:t>609,7</w:t>
            </w:r>
          </w:p>
        </w:tc>
        <w:tc>
          <w:tcPr>
            <w:tcW w:w="752" w:type="dxa"/>
            <w:noWrap/>
            <w:vAlign w:val="bottom"/>
            <w:hideMark/>
          </w:tcPr>
          <w:p w14:paraId="23B1E808" w14:textId="77777777" w:rsidR="006C35F8" w:rsidRPr="00B80429" w:rsidRDefault="006C35F8" w:rsidP="0030571A">
            <w:pPr>
              <w:pStyle w:val="TabeladesnoUMAR"/>
            </w:pPr>
            <w:r w:rsidRPr="002E5B20">
              <w:t>48,0</w:t>
            </w:r>
          </w:p>
        </w:tc>
        <w:tc>
          <w:tcPr>
            <w:tcW w:w="673" w:type="dxa"/>
            <w:noWrap/>
            <w:vAlign w:val="bottom"/>
            <w:hideMark/>
          </w:tcPr>
          <w:p w14:paraId="7B1F3E1D" w14:textId="77777777" w:rsidR="006C35F8" w:rsidRPr="00B80429" w:rsidRDefault="006C35F8" w:rsidP="0030571A">
            <w:pPr>
              <w:pStyle w:val="TabeladesnoUMAR"/>
            </w:pPr>
            <w:r w:rsidRPr="002E5B20">
              <w:t>58,5</w:t>
            </w:r>
          </w:p>
        </w:tc>
        <w:tc>
          <w:tcPr>
            <w:tcW w:w="838" w:type="dxa"/>
            <w:noWrap/>
            <w:vAlign w:val="bottom"/>
            <w:hideMark/>
          </w:tcPr>
          <w:p w14:paraId="789EDC1D" w14:textId="77777777" w:rsidR="006C35F8" w:rsidRPr="00B80429" w:rsidRDefault="006C35F8" w:rsidP="0030571A">
            <w:pPr>
              <w:pStyle w:val="TabeladesnoUMAR"/>
            </w:pPr>
            <w:r w:rsidRPr="002E5B20">
              <w:t>61,3</w:t>
            </w:r>
          </w:p>
        </w:tc>
      </w:tr>
      <w:tr w:rsidR="006C35F8" w:rsidRPr="00B80429" w14:paraId="57801254" w14:textId="77777777" w:rsidTr="0062274D">
        <w:trPr>
          <w:trHeight w:val="277"/>
        </w:trPr>
        <w:tc>
          <w:tcPr>
            <w:tcW w:w="2268" w:type="dxa"/>
          </w:tcPr>
          <w:p w14:paraId="21657E2C" w14:textId="77777777" w:rsidR="006C35F8" w:rsidRPr="008028A6" w:rsidRDefault="006C35F8" w:rsidP="009C2105">
            <w:pPr>
              <w:pStyle w:val="TabelalevoUMAR"/>
            </w:pPr>
            <w:r w:rsidRPr="002E5B20">
              <w:t>34 Plin, naravni in industrijski</w:t>
            </w:r>
          </w:p>
        </w:tc>
        <w:tc>
          <w:tcPr>
            <w:tcW w:w="620" w:type="dxa"/>
            <w:noWrap/>
            <w:vAlign w:val="bottom"/>
          </w:tcPr>
          <w:p w14:paraId="4DA62611" w14:textId="77777777" w:rsidR="006C35F8" w:rsidRPr="008028A6" w:rsidRDefault="006C35F8" w:rsidP="0030571A">
            <w:pPr>
              <w:pStyle w:val="TabeladesnoUMAR"/>
            </w:pPr>
            <w:r w:rsidRPr="002E5B20">
              <w:t>85,1</w:t>
            </w:r>
          </w:p>
        </w:tc>
        <w:tc>
          <w:tcPr>
            <w:tcW w:w="752" w:type="dxa"/>
            <w:noWrap/>
            <w:vAlign w:val="bottom"/>
          </w:tcPr>
          <w:p w14:paraId="7A0F3579" w14:textId="77777777" w:rsidR="006C35F8" w:rsidRPr="008028A6" w:rsidRDefault="006C35F8" w:rsidP="0030571A">
            <w:pPr>
              <w:pStyle w:val="TabeladesnoUMAR"/>
            </w:pPr>
            <w:r w:rsidRPr="002E5B20">
              <w:t>23,7</w:t>
            </w:r>
          </w:p>
        </w:tc>
        <w:tc>
          <w:tcPr>
            <w:tcW w:w="1067" w:type="dxa"/>
            <w:noWrap/>
            <w:vAlign w:val="bottom"/>
          </w:tcPr>
          <w:p w14:paraId="34835CA4" w14:textId="77777777" w:rsidR="006C35F8" w:rsidRPr="008028A6" w:rsidRDefault="006C35F8" w:rsidP="0030571A">
            <w:pPr>
              <w:pStyle w:val="TabeladesnoUMAR"/>
            </w:pPr>
            <w:r w:rsidRPr="002E5B20">
              <w:t>31,1</w:t>
            </w:r>
          </w:p>
        </w:tc>
        <w:tc>
          <w:tcPr>
            <w:tcW w:w="623" w:type="dxa"/>
            <w:noWrap/>
            <w:vAlign w:val="bottom"/>
          </w:tcPr>
          <w:p w14:paraId="2E85D8D2" w14:textId="77777777" w:rsidR="006C35F8" w:rsidRPr="008028A6" w:rsidRDefault="006C35F8" w:rsidP="0030571A">
            <w:pPr>
              <w:pStyle w:val="TabeladesnoUMAR"/>
            </w:pPr>
            <w:r w:rsidRPr="002E5B20">
              <w:t>134,2</w:t>
            </w:r>
          </w:p>
        </w:tc>
        <w:tc>
          <w:tcPr>
            <w:tcW w:w="752" w:type="dxa"/>
            <w:noWrap/>
            <w:vAlign w:val="bottom"/>
          </w:tcPr>
          <w:p w14:paraId="5FDBB093" w14:textId="77777777" w:rsidR="006C35F8" w:rsidRPr="008028A6" w:rsidRDefault="006C35F8" w:rsidP="0030571A">
            <w:pPr>
              <w:pStyle w:val="TabeladesnoUMAR"/>
            </w:pPr>
            <w:r w:rsidRPr="002E5B20">
              <w:t>38,1</w:t>
            </w:r>
          </w:p>
        </w:tc>
        <w:tc>
          <w:tcPr>
            <w:tcW w:w="715" w:type="dxa"/>
            <w:noWrap/>
            <w:vAlign w:val="bottom"/>
          </w:tcPr>
          <w:p w14:paraId="0A11F1C4" w14:textId="77777777" w:rsidR="006C35F8" w:rsidRPr="008028A6" w:rsidRDefault="006C35F8" w:rsidP="0030571A">
            <w:pPr>
              <w:pStyle w:val="TabeladesnoUMAR"/>
            </w:pPr>
            <w:r w:rsidRPr="002E5B20">
              <w:t>498,6</w:t>
            </w:r>
          </w:p>
        </w:tc>
        <w:tc>
          <w:tcPr>
            <w:tcW w:w="752" w:type="dxa"/>
            <w:noWrap/>
            <w:vAlign w:val="bottom"/>
          </w:tcPr>
          <w:p w14:paraId="6D749111" w14:textId="77777777" w:rsidR="006C35F8" w:rsidRPr="008028A6" w:rsidRDefault="006C35F8" w:rsidP="0030571A">
            <w:pPr>
              <w:pStyle w:val="TabeladesnoUMAR"/>
            </w:pPr>
            <w:r w:rsidRPr="002E5B20">
              <w:t>39,3</w:t>
            </w:r>
          </w:p>
        </w:tc>
        <w:tc>
          <w:tcPr>
            <w:tcW w:w="673" w:type="dxa"/>
            <w:noWrap/>
            <w:vAlign w:val="bottom"/>
          </w:tcPr>
          <w:p w14:paraId="2BEE211A" w14:textId="77777777" w:rsidR="006C35F8" w:rsidRPr="008028A6" w:rsidRDefault="006C35F8" w:rsidP="0030571A">
            <w:pPr>
              <w:pStyle w:val="TabeladesnoUMAR"/>
            </w:pPr>
            <w:r w:rsidRPr="002E5B20">
              <w:t>17,3</w:t>
            </w:r>
          </w:p>
        </w:tc>
        <w:tc>
          <w:tcPr>
            <w:tcW w:w="838" w:type="dxa"/>
            <w:noWrap/>
            <w:vAlign w:val="bottom"/>
          </w:tcPr>
          <w:p w14:paraId="6978B9E2" w14:textId="77777777" w:rsidR="006C35F8" w:rsidRPr="008028A6" w:rsidRDefault="006C35F8" w:rsidP="0030571A">
            <w:pPr>
              <w:pStyle w:val="TabeladesnoUMAR"/>
            </w:pPr>
            <w:r w:rsidRPr="002E5B20">
              <w:t>18,2</w:t>
            </w:r>
          </w:p>
        </w:tc>
      </w:tr>
      <w:tr w:rsidR="006C35F8" w:rsidRPr="00B80429" w14:paraId="59B72681" w14:textId="77777777" w:rsidTr="0062274D">
        <w:trPr>
          <w:trHeight w:val="277"/>
        </w:trPr>
        <w:tc>
          <w:tcPr>
            <w:tcW w:w="2268" w:type="dxa"/>
          </w:tcPr>
          <w:p w14:paraId="674C0AB0" w14:textId="77777777" w:rsidR="006C35F8" w:rsidRPr="008028A6" w:rsidRDefault="006C35F8" w:rsidP="009C2105">
            <w:pPr>
              <w:pStyle w:val="TabelalevoUMAR"/>
            </w:pPr>
            <w:r w:rsidRPr="002E5B20">
              <w:t>68 Barvne kovine</w:t>
            </w:r>
          </w:p>
        </w:tc>
        <w:tc>
          <w:tcPr>
            <w:tcW w:w="620" w:type="dxa"/>
            <w:noWrap/>
            <w:vAlign w:val="bottom"/>
          </w:tcPr>
          <w:p w14:paraId="6B42EA89" w14:textId="77777777" w:rsidR="006C35F8" w:rsidRPr="008028A6" w:rsidRDefault="006C35F8" w:rsidP="0030571A">
            <w:pPr>
              <w:pStyle w:val="TabeladesnoUMAR"/>
            </w:pPr>
            <w:r w:rsidRPr="002E5B20">
              <w:t>17,5</w:t>
            </w:r>
          </w:p>
        </w:tc>
        <w:tc>
          <w:tcPr>
            <w:tcW w:w="752" w:type="dxa"/>
            <w:noWrap/>
            <w:vAlign w:val="bottom"/>
          </w:tcPr>
          <w:p w14:paraId="012C797E" w14:textId="77777777" w:rsidR="006C35F8" w:rsidRPr="008028A6" w:rsidRDefault="006C35F8" w:rsidP="0030571A">
            <w:pPr>
              <w:pStyle w:val="TabeladesnoUMAR"/>
            </w:pPr>
            <w:r w:rsidRPr="002E5B20">
              <w:t>4,9</w:t>
            </w:r>
          </w:p>
        </w:tc>
        <w:tc>
          <w:tcPr>
            <w:tcW w:w="1067" w:type="dxa"/>
            <w:noWrap/>
            <w:vAlign w:val="bottom"/>
          </w:tcPr>
          <w:p w14:paraId="223D83A8" w14:textId="77777777" w:rsidR="006C35F8" w:rsidRPr="008028A6" w:rsidRDefault="006C35F8" w:rsidP="0030571A">
            <w:pPr>
              <w:pStyle w:val="TabeladesnoUMAR"/>
            </w:pPr>
            <w:r w:rsidRPr="002E5B20">
              <w:t>1,8</w:t>
            </w:r>
          </w:p>
        </w:tc>
        <w:tc>
          <w:tcPr>
            <w:tcW w:w="623" w:type="dxa"/>
            <w:noWrap/>
            <w:vAlign w:val="bottom"/>
          </w:tcPr>
          <w:p w14:paraId="2CF0964E" w14:textId="77777777" w:rsidR="006C35F8" w:rsidRPr="008028A6" w:rsidRDefault="006C35F8" w:rsidP="0030571A">
            <w:pPr>
              <w:pStyle w:val="TabeladesnoUMAR"/>
            </w:pPr>
            <w:r w:rsidRPr="002E5B20">
              <w:t>4,4</w:t>
            </w:r>
          </w:p>
        </w:tc>
        <w:tc>
          <w:tcPr>
            <w:tcW w:w="752" w:type="dxa"/>
            <w:noWrap/>
            <w:vAlign w:val="bottom"/>
          </w:tcPr>
          <w:p w14:paraId="24C2FE40" w14:textId="77777777" w:rsidR="006C35F8" w:rsidRPr="008028A6" w:rsidRDefault="006C35F8" w:rsidP="0030571A">
            <w:pPr>
              <w:pStyle w:val="TabeladesnoUMAR"/>
            </w:pPr>
            <w:r w:rsidRPr="002E5B20">
              <w:t>1,2</w:t>
            </w:r>
          </w:p>
        </w:tc>
        <w:tc>
          <w:tcPr>
            <w:tcW w:w="715" w:type="dxa"/>
            <w:noWrap/>
            <w:vAlign w:val="bottom"/>
          </w:tcPr>
          <w:p w14:paraId="67A09927" w14:textId="77777777" w:rsidR="006C35F8" w:rsidRPr="008028A6" w:rsidRDefault="006C35F8" w:rsidP="0030571A">
            <w:pPr>
              <w:pStyle w:val="TabeladesnoUMAR"/>
            </w:pPr>
            <w:r w:rsidRPr="002E5B20">
              <w:t>5,8</w:t>
            </w:r>
          </w:p>
        </w:tc>
        <w:tc>
          <w:tcPr>
            <w:tcW w:w="752" w:type="dxa"/>
            <w:noWrap/>
            <w:vAlign w:val="bottom"/>
          </w:tcPr>
          <w:p w14:paraId="172062B2" w14:textId="77777777" w:rsidR="006C35F8" w:rsidRPr="008028A6" w:rsidRDefault="006C35F8" w:rsidP="0030571A">
            <w:pPr>
              <w:pStyle w:val="TabeladesnoUMAR"/>
            </w:pPr>
            <w:r w:rsidRPr="002E5B20">
              <w:t>0,5</w:t>
            </w:r>
          </w:p>
        </w:tc>
        <w:tc>
          <w:tcPr>
            <w:tcW w:w="673" w:type="dxa"/>
            <w:noWrap/>
            <w:vAlign w:val="bottom"/>
          </w:tcPr>
          <w:p w14:paraId="507709A6" w14:textId="77777777" w:rsidR="006C35F8" w:rsidRPr="008028A6" w:rsidRDefault="006C35F8" w:rsidP="0030571A">
            <w:pPr>
              <w:pStyle w:val="TabeladesnoUMAR"/>
            </w:pPr>
            <w:r w:rsidRPr="002E5B20">
              <w:t>0,1</w:t>
            </w:r>
          </w:p>
        </w:tc>
        <w:tc>
          <w:tcPr>
            <w:tcW w:w="838" w:type="dxa"/>
            <w:noWrap/>
            <w:vAlign w:val="bottom"/>
          </w:tcPr>
          <w:p w14:paraId="01BA0DFC" w14:textId="77777777" w:rsidR="006C35F8" w:rsidRPr="008028A6" w:rsidRDefault="006C35F8" w:rsidP="0030571A">
            <w:pPr>
              <w:pStyle w:val="TabeladesnoUMAR"/>
            </w:pPr>
            <w:r w:rsidRPr="002E5B20">
              <w:t>0,1</w:t>
            </w:r>
          </w:p>
        </w:tc>
      </w:tr>
      <w:tr w:rsidR="006C35F8" w:rsidRPr="00B80429" w14:paraId="4E70B52E" w14:textId="77777777" w:rsidTr="0062274D">
        <w:trPr>
          <w:trHeight w:val="277"/>
        </w:trPr>
        <w:tc>
          <w:tcPr>
            <w:tcW w:w="2268" w:type="dxa"/>
          </w:tcPr>
          <w:p w14:paraId="624D1847" w14:textId="77777777" w:rsidR="006C35F8" w:rsidRPr="008028A6" w:rsidRDefault="006C35F8" w:rsidP="009C2105">
            <w:pPr>
              <w:pStyle w:val="TabelalevoUMAR"/>
            </w:pPr>
            <w:r w:rsidRPr="002E5B20">
              <w:t>54 Medicinski in farmacevtski proizvodi</w:t>
            </w:r>
          </w:p>
        </w:tc>
        <w:tc>
          <w:tcPr>
            <w:tcW w:w="620" w:type="dxa"/>
            <w:noWrap/>
            <w:vAlign w:val="bottom"/>
          </w:tcPr>
          <w:p w14:paraId="42A93E79" w14:textId="77777777" w:rsidR="006C35F8" w:rsidRPr="008028A6" w:rsidRDefault="006C35F8" w:rsidP="0030571A">
            <w:pPr>
              <w:pStyle w:val="TabeladesnoUMAR"/>
            </w:pPr>
            <w:r w:rsidRPr="002E5B20">
              <w:t>4,6</w:t>
            </w:r>
          </w:p>
        </w:tc>
        <w:tc>
          <w:tcPr>
            <w:tcW w:w="752" w:type="dxa"/>
            <w:noWrap/>
            <w:vAlign w:val="bottom"/>
          </w:tcPr>
          <w:p w14:paraId="71CE8A43" w14:textId="77777777" w:rsidR="006C35F8" w:rsidRPr="008028A6" w:rsidRDefault="006C35F8" w:rsidP="0030571A">
            <w:pPr>
              <w:pStyle w:val="TabeladesnoUMAR"/>
            </w:pPr>
            <w:r w:rsidRPr="002E5B20">
              <w:t>1,3</w:t>
            </w:r>
          </w:p>
        </w:tc>
        <w:tc>
          <w:tcPr>
            <w:tcW w:w="1067" w:type="dxa"/>
            <w:noWrap/>
            <w:vAlign w:val="bottom"/>
          </w:tcPr>
          <w:p w14:paraId="1B9B122C" w14:textId="77777777" w:rsidR="006C35F8" w:rsidRPr="008028A6" w:rsidRDefault="006C35F8" w:rsidP="0030571A">
            <w:pPr>
              <w:pStyle w:val="TabeladesnoUMAR"/>
            </w:pPr>
            <w:r w:rsidRPr="002E5B20">
              <w:t>0,4</w:t>
            </w:r>
          </w:p>
        </w:tc>
        <w:tc>
          <w:tcPr>
            <w:tcW w:w="623" w:type="dxa"/>
            <w:noWrap/>
            <w:vAlign w:val="bottom"/>
          </w:tcPr>
          <w:p w14:paraId="2714CFC4" w14:textId="77777777" w:rsidR="006C35F8" w:rsidRPr="008028A6" w:rsidRDefault="006C35F8" w:rsidP="0030571A">
            <w:pPr>
              <w:pStyle w:val="TabeladesnoUMAR"/>
            </w:pPr>
            <w:r w:rsidRPr="002E5B20">
              <w:t>7,1</w:t>
            </w:r>
          </w:p>
        </w:tc>
        <w:tc>
          <w:tcPr>
            <w:tcW w:w="752" w:type="dxa"/>
            <w:noWrap/>
            <w:vAlign w:val="bottom"/>
          </w:tcPr>
          <w:p w14:paraId="64736B5E" w14:textId="77777777" w:rsidR="006C35F8" w:rsidRPr="008028A6" w:rsidRDefault="006C35F8" w:rsidP="0030571A">
            <w:pPr>
              <w:pStyle w:val="TabeladesnoUMAR"/>
            </w:pPr>
            <w:r w:rsidRPr="002E5B20">
              <w:t>2,0</w:t>
            </w:r>
          </w:p>
        </w:tc>
        <w:tc>
          <w:tcPr>
            <w:tcW w:w="715" w:type="dxa"/>
            <w:noWrap/>
            <w:vAlign w:val="bottom"/>
          </w:tcPr>
          <w:p w14:paraId="3AEAD4D5" w14:textId="77777777" w:rsidR="006C35F8" w:rsidRPr="008028A6" w:rsidRDefault="006C35F8" w:rsidP="0030571A">
            <w:pPr>
              <w:pStyle w:val="TabeladesnoUMAR"/>
            </w:pPr>
            <w:r w:rsidRPr="002E5B20">
              <w:t>9,3</w:t>
            </w:r>
          </w:p>
        </w:tc>
        <w:tc>
          <w:tcPr>
            <w:tcW w:w="752" w:type="dxa"/>
            <w:noWrap/>
            <w:vAlign w:val="bottom"/>
          </w:tcPr>
          <w:p w14:paraId="5DF3C77E" w14:textId="77777777" w:rsidR="006C35F8" w:rsidRPr="008028A6" w:rsidRDefault="006C35F8" w:rsidP="0030571A">
            <w:pPr>
              <w:pStyle w:val="TabeladesnoUMAR"/>
            </w:pPr>
            <w:r w:rsidRPr="002E5B20">
              <w:t>0,7</w:t>
            </w:r>
          </w:p>
        </w:tc>
        <w:tc>
          <w:tcPr>
            <w:tcW w:w="673" w:type="dxa"/>
            <w:noWrap/>
            <w:vAlign w:val="bottom"/>
          </w:tcPr>
          <w:p w14:paraId="6C391DFD" w14:textId="77777777" w:rsidR="006C35F8" w:rsidRPr="008028A6" w:rsidRDefault="006C35F8" w:rsidP="0030571A">
            <w:pPr>
              <w:pStyle w:val="TabeladesnoUMAR"/>
            </w:pPr>
            <w:r w:rsidRPr="002E5B20">
              <w:t>3,9</w:t>
            </w:r>
          </w:p>
        </w:tc>
        <w:tc>
          <w:tcPr>
            <w:tcW w:w="838" w:type="dxa"/>
            <w:noWrap/>
            <w:vAlign w:val="bottom"/>
          </w:tcPr>
          <w:p w14:paraId="66405E5B" w14:textId="77777777" w:rsidR="006C35F8" w:rsidRPr="008028A6" w:rsidRDefault="006C35F8" w:rsidP="0030571A">
            <w:pPr>
              <w:pStyle w:val="TabeladesnoUMAR"/>
            </w:pPr>
            <w:r w:rsidRPr="002E5B20">
              <w:t>4,1</w:t>
            </w:r>
          </w:p>
        </w:tc>
      </w:tr>
      <w:tr w:rsidR="006C35F8" w:rsidRPr="00B80429" w14:paraId="12C59DA0" w14:textId="77777777" w:rsidTr="0062274D">
        <w:trPr>
          <w:trHeight w:val="277"/>
        </w:trPr>
        <w:tc>
          <w:tcPr>
            <w:tcW w:w="2268" w:type="dxa"/>
          </w:tcPr>
          <w:p w14:paraId="54E383AC" w14:textId="77777777" w:rsidR="006C35F8" w:rsidRPr="008028A6" w:rsidRDefault="006C35F8" w:rsidP="009C2105">
            <w:pPr>
              <w:pStyle w:val="TabelalevoUMAR"/>
            </w:pPr>
            <w:r w:rsidRPr="002E5B20">
              <w:t>56 Gnojila (razen surovih)</w:t>
            </w:r>
          </w:p>
        </w:tc>
        <w:tc>
          <w:tcPr>
            <w:tcW w:w="620" w:type="dxa"/>
            <w:noWrap/>
            <w:vAlign w:val="bottom"/>
          </w:tcPr>
          <w:p w14:paraId="373F2EC8" w14:textId="77777777" w:rsidR="006C35F8" w:rsidRPr="008028A6" w:rsidRDefault="006C35F8" w:rsidP="0030571A">
            <w:pPr>
              <w:pStyle w:val="TabeladesnoUMAR"/>
            </w:pPr>
            <w:r w:rsidRPr="002E5B20">
              <w:t>4,3</w:t>
            </w:r>
          </w:p>
        </w:tc>
        <w:tc>
          <w:tcPr>
            <w:tcW w:w="752" w:type="dxa"/>
            <w:noWrap/>
            <w:vAlign w:val="bottom"/>
          </w:tcPr>
          <w:p w14:paraId="0DF28B92" w14:textId="77777777" w:rsidR="006C35F8" w:rsidRPr="008028A6" w:rsidRDefault="006C35F8" w:rsidP="0030571A">
            <w:pPr>
              <w:pStyle w:val="TabeladesnoUMAR"/>
            </w:pPr>
            <w:r w:rsidRPr="002E5B20">
              <w:t>1,2</w:t>
            </w:r>
          </w:p>
        </w:tc>
        <w:tc>
          <w:tcPr>
            <w:tcW w:w="1067" w:type="dxa"/>
            <w:noWrap/>
            <w:vAlign w:val="bottom"/>
          </w:tcPr>
          <w:p w14:paraId="2CE11C82" w14:textId="77777777" w:rsidR="006C35F8" w:rsidRPr="008028A6" w:rsidRDefault="006C35F8" w:rsidP="0030571A">
            <w:pPr>
              <w:pStyle w:val="TabeladesnoUMAR"/>
            </w:pPr>
            <w:r w:rsidRPr="002E5B20">
              <w:t>7,9</w:t>
            </w:r>
          </w:p>
        </w:tc>
        <w:tc>
          <w:tcPr>
            <w:tcW w:w="623" w:type="dxa"/>
            <w:noWrap/>
            <w:vAlign w:val="bottom"/>
          </w:tcPr>
          <w:p w14:paraId="530F711B" w14:textId="77777777" w:rsidR="006C35F8" w:rsidRPr="008028A6" w:rsidRDefault="006C35F8" w:rsidP="0030571A">
            <w:pPr>
              <w:pStyle w:val="TabeladesnoUMAR"/>
            </w:pPr>
            <w:r w:rsidRPr="002E5B20">
              <w:t>28,4</w:t>
            </w:r>
          </w:p>
        </w:tc>
        <w:tc>
          <w:tcPr>
            <w:tcW w:w="752" w:type="dxa"/>
            <w:noWrap/>
            <w:vAlign w:val="bottom"/>
          </w:tcPr>
          <w:p w14:paraId="1272F666" w14:textId="77777777" w:rsidR="006C35F8" w:rsidRPr="008028A6" w:rsidRDefault="006C35F8" w:rsidP="0030571A">
            <w:pPr>
              <w:pStyle w:val="TabeladesnoUMAR"/>
            </w:pPr>
            <w:r w:rsidRPr="002E5B20">
              <w:t>8,1</w:t>
            </w:r>
          </w:p>
        </w:tc>
        <w:tc>
          <w:tcPr>
            <w:tcW w:w="715" w:type="dxa"/>
            <w:noWrap/>
            <w:vAlign w:val="bottom"/>
          </w:tcPr>
          <w:p w14:paraId="5F635582" w14:textId="77777777" w:rsidR="006C35F8" w:rsidRPr="008028A6" w:rsidRDefault="006C35F8" w:rsidP="0030571A">
            <w:pPr>
              <w:pStyle w:val="TabeladesnoUMAR"/>
            </w:pPr>
            <w:r w:rsidRPr="002E5B20">
              <w:t>84,9</w:t>
            </w:r>
          </w:p>
        </w:tc>
        <w:tc>
          <w:tcPr>
            <w:tcW w:w="752" w:type="dxa"/>
            <w:noWrap/>
            <w:vAlign w:val="bottom"/>
          </w:tcPr>
          <w:p w14:paraId="00D44DBF" w14:textId="77777777" w:rsidR="006C35F8" w:rsidRPr="008028A6" w:rsidRDefault="006C35F8" w:rsidP="0030571A">
            <w:pPr>
              <w:pStyle w:val="TabeladesnoUMAR"/>
            </w:pPr>
            <w:r w:rsidRPr="002E5B20">
              <w:t>6,7</w:t>
            </w:r>
          </w:p>
        </w:tc>
        <w:tc>
          <w:tcPr>
            <w:tcW w:w="673" w:type="dxa"/>
            <w:noWrap/>
            <w:vAlign w:val="bottom"/>
          </w:tcPr>
          <w:p w14:paraId="6BB752FA" w14:textId="77777777" w:rsidR="006C35F8" w:rsidRPr="008028A6" w:rsidRDefault="006C35F8" w:rsidP="0030571A">
            <w:pPr>
              <w:pStyle w:val="TabeladesnoUMAR"/>
            </w:pPr>
            <w:r w:rsidRPr="002E5B20">
              <w:t>9,7</w:t>
            </w:r>
          </w:p>
        </w:tc>
        <w:tc>
          <w:tcPr>
            <w:tcW w:w="838" w:type="dxa"/>
            <w:noWrap/>
            <w:vAlign w:val="bottom"/>
          </w:tcPr>
          <w:p w14:paraId="72F742AB" w14:textId="77777777" w:rsidR="006C35F8" w:rsidRPr="008028A6" w:rsidRDefault="006C35F8" w:rsidP="0030571A">
            <w:pPr>
              <w:pStyle w:val="TabeladesnoUMAR"/>
            </w:pPr>
            <w:r w:rsidRPr="002E5B20">
              <w:t>10,2</w:t>
            </w:r>
          </w:p>
        </w:tc>
      </w:tr>
      <w:tr w:rsidR="006C35F8" w:rsidRPr="00B80429" w14:paraId="03D76D51" w14:textId="77777777" w:rsidTr="0062274D">
        <w:trPr>
          <w:trHeight w:val="277"/>
        </w:trPr>
        <w:tc>
          <w:tcPr>
            <w:tcW w:w="2268" w:type="dxa"/>
          </w:tcPr>
          <w:p w14:paraId="423CAE35" w14:textId="77777777" w:rsidR="006C35F8" w:rsidRPr="008028A6" w:rsidRDefault="006C35F8" w:rsidP="009C2105">
            <w:pPr>
              <w:pStyle w:val="TabelalevoUMAR"/>
            </w:pPr>
            <w:r w:rsidRPr="002E5B20">
              <w:t>67 Železo in jeklo</w:t>
            </w:r>
          </w:p>
        </w:tc>
        <w:tc>
          <w:tcPr>
            <w:tcW w:w="620" w:type="dxa"/>
            <w:noWrap/>
            <w:vAlign w:val="bottom"/>
          </w:tcPr>
          <w:p w14:paraId="2CF4121A" w14:textId="77777777" w:rsidR="006C35F8" w:rsidRPr="008028A6" w:rsidRDefault="006C35F8" w:rsidP="0030571A">
            <w:pPr>
              <w:pStyle w:val="TabeladesnoUMAR"/>
            </w:pPr>
            <w:r w:rsidRPr="002E5B20">
              <w:t>4,1</w:t>
            </w:r>
          </w:p>
        </w:tc>
        <w:tc>
          <w:tcPr>
            <w:tcW w:w="752" w:type="dxa"/>
            <w:noWrap/>
            <w:vAlign w:val="bottom"/>
          </w:tcPr>
          <w:p w14:paraId="2A674A09" w14:textId="77777777" w:rsidR="006C35F8" w:rsidRPr="008028A6" w:rsidRDefault="006C35F8" w:rsidP="0030571A">
            <w:pPr>
              <w:pStyle w:val="TabeladesnoUMAR"/>
            </w:pPr>
            <w:r w:rsidRPr="002E5B20">
              <w:t>1,1</w:t>
            </w:r>
          </w:p>
        </w:tc>
        <w:tc>
          <w:tcPr>
            <w:tcW w:w="1067" w:type="dxa"/>
            <w:noWrap/>
            <w:vAlign w:val="bottom"/>
          </w:tcPr>
          <w:p w14:paraId="579005E6" w14:textId="77777777" w:rsidR="006C35F8" w:rsidRPr="008028A6" w:rsidRDefault="006C35F8" w:rsidP="0030571A">
            <w:pPr>
              <w:pStyle w:val="TabeladesnoUMAR"/>
            </w:pPr>
            <w:r w:rsidRPr="002E5B20">
              <w:t>0,3</w:t>
            </w:r>
          </w:p>
        </w:tc>
        <w:tc>
          <w:tcPr>
            <w:tcW w:w="623" w:type="dxa"/>
            <w:noWrap/>
            <w:vAlign w:val="bottom"/>
          </w:tcPr>
          <w:p w14:paraId="4B3F1F19" w14:textId="77777777" w:rsidR="006C35F8" w:rsidRPr="008028A6" w:rsidRDefault="006C35F8" w:rsidP="0030571A">
            <w:pPr>
              <w:pStyle w:val="TabeladesnoUMAR"/>
            </w:pPr>
            <w:r w:rsidRPr="002E5B20">
              <w:t>22,6</w:t>
            </w:r>
          </w:p>
        </w:tc>
        <w:tc>
          <w:tcPr>
            <w:tcW w:w="752" w:type="dxa"/>
            <w:noWrap/>
            <w:vAlign w:val="bottom"/>
          </w:tcPr>
          <w:p w14:paraId="4F98D40E" w14:textId="77777777" w:rsidR="006C35F8" w:rsidRPr="008028A6" w:rsidRDefault="006C35F8" w:rsidP="0030571A">
            <w:pPr>
              <w:pStyle w:val="TabeladesnoUMAR"/>
            </w:pPr>
            <w:r w:rsidRPr="002E5B20">
              <w:t>6,4</w:t>
            </w:r>
          </w:p>
        </w:tc>
        <w:tc>
          <w:tcPr>
            <w:tcW w:w="715" w:type="dxa"/>
            <w:noWrap/>
            <w:vAlign w:val="bottom"/>
          </w:tcPr>
          <w:p w14:paraId="350BEBFD" w14:textId="77777777" w:rsidR="006C35F8" w:rsidRPr="008028A6" w:rsidRDefault="006C35F8" w:rsidP="0030571A">
            <w:pPr>
              <w:pStyle w:val="TabeladesnoUMAR"/>
            </w:pPr>
            <w:r w:rsidRPr="002E5B20">
              <w:t>6,8</w:t>
            </w:r>
          </w:p>
        </w:tc>
        <w:tc>
          <w:tcPr>
            <w:tcW w:w="752" w:type="dxa"/>
            <w:noWrap/>
            <w:vAlign w:val="bottom"/>
          </w:tcPr>
          <w:p w14:paraId="256906A7" w14:textId="77777777" w:rsidR="006C35F8" w:rsidRPr="008028A6" w:rsidRDefault="006C35F8" w:rsidP="0030571A">
            <w:pPr>
              <w:pStyle w:val="TabeladesnoUMAR"/>
            </w:pPr>
            <w:r w:rsidRPr="002E5B20">
              <w:t>0,5</w:t>
            </w:r>
          </w:p>
        </w:tc>
        <w:tc>
          <w:tcPr>
            <w:tcW w:w="673" w:type="dxa"/>
            <w:noWrap/>
            <w:vAlign w:val="bottom"/>
          </w:tcPr>
          <w:p w14:paraId="493101EB" w14:textId="77777777" w:rsidR="006C35F8" w:rsidRPr="008028A6" w:rsidRDefault="006C35F8" w:rsidP="0030571A">
            <w:pPr>
              <w:pStyle w:val="TabeladesnoUMAR"/>
            </w:pPr>
            <w:r w:rsidRPr="002E5B20">
              <w:t>1,1</w:t>
            </w:r>
          </w:p>
        </w:tc>
        <w:tc>
          <w:tcPr>
            <w:tcW w:w="838" w:type="dxa"/>
            <w:noWrap/>
            <w:vAlign w:val="bottom"/>
          </w:tcPr>
          <w:p w14:paraId="7823789F" w14:textId="77777777" w:rsidR="006C35F8" w:rsidRPr="008028A6" w:rsidRDefault="006C35F8" w:rsidP="0030571A">
            <w:pPr>
              <w:pStyle w:val="TabeladesnoUMAR"/>
            </w:pPr>
            <w:r w:rsidRPr="002E5B20">
              <w:t>1,2</w:t>
            </w:r>
          </w:p>
        </w:tc>
      </w:tr>
      <w:tr w:rsidR="006C35F8" w:rsidRPr="00B80429" w14:paraId="37DCB448" w14:textId="77777777" w:rsidTr="0062274D">
        <w:trPr>
          <w:trHeight w:val="277"/>
        </w:trPr>
        <w:tc>
          <w:tcPr>
            <w:tcW w:w="2268" w:type="dxa"/>
          </w:tcPr>
          <w:p w14:paraId="7A897225" w14:textId="77777777" w:rsidR="006C35F8" w:rsidRPr="008028A6" w:rsidRDefault="006C35F8" w:rsidP="009C2105">
            <w:pPr>
              <w:pStyle w:val="TabelalevoUMAR"/>
            </w:pPr>
            <w:r w:rsidRPr="002E5B20">
              <w:t>51 Organski kemični proizvodi</w:t>
            </w:r>
          </w:p>
        </w:tc>
        <w:tc>
          <w:tcPr>
            <w:tcW w:w="620" w:type="dxa"/>
            <w:noWrap/>
            <w:vAlign w:val="bottom"/>
          </w:tcPr>
          <w:p w14:paraId="05ECFEB7" w14:textId="77777777" w:rsidR="006C35F8" w:rsidRPr="008028A6" w:rsidRDefault="006C35F8" w:rsidP="0030571A">
            <w:pPr>
              <w:pStyle w:val="TabeladesnoUMAR"/>
            </w:pPr>
            <w:r w:rsidRPr="002E5B20">
              <w:t>3,9</w:t>
            </w:r>
          </w:p>
        </w:tc>
        <w:tc>
          <w:tcPr>
            <w:tcW w:w="752" w:type="dxa"/>
            <w:noWrap/>
            <w:vAlign w:val="bottom"/>
          </w:tcPr>
          <w:p w14:paraId="6FF45CF6" w14:textId="77777777" w:rsidR="006C35F8" w:rsidRPr="008028A6" w:rsidRDefault="006C35F8" w:rsidP="0030571A">
            <w:pPr>
              <w:pStyle w:val="TabeladesnoUMAR"/>
            </w:pPr>
            <w:r w:rsidRPr="002E5B20">
              <w:t>1,1</w:t>
            </w:r>
          </w:p>
        </w:tc>
        <w:tc>
          <w:tcPr>
            <w:tcW w:w="1067" w:type="dxa"/>
            <w:noWrap/>
            <w:vAlign w:val="bottom"/>
          </w:tcPr>
          <w:p w14:paraId="0C9F4933" w14:textId="77777777" w:rsidR="006C35F8" w:rsidRPr="008028A6" w:rsidRDefault="006C35F8" w:rsidP="0030571A">
            <w:pPr>
              <w:pStyle w:val="TabeladesnoUMAR"/>
            </w:pPr>
            <w:r w:rsidRPr="002E5B20">
              <w:t>0,5</w:t>
            </w:r>
          </w:p>
        </w:tc>
        <w:tc>
          <w:tcPr>
            <w:tcW w:w="623" w:type="dxa"/>
            <w:noWrap/>
            <w:vAlign w:val="bottom"/>
          </w:tcPr>
          <w:p w14:paraId="55C7D882" w14:textId="77777777" w:rsidR="006C35F8" w:rsidRPr="008028A6" w:rsidRDefault="006C35F8" w:rsidP="0030571A">
            <w:pPr>
              <w:pStyle w:val="TabeladesnoUMAR"/>
            </w:pPr>
            <w:r w:rsidRPr="002E5B20">
              <w:t>27,7</w:t>
            </w:r>
          </w:p>
        </w:tc>
        <w:tc>
          <w:tcPr>
            <w:tcW w:w="752" w:type="dxa"/>
            <w:noWrap/>
            <w:vAlign w:val="bottom"/>
          </w:tcPr>
          <w:p w14:paraId="6EC9C8CB" w14:textId="77777777" w:rsidR="006C35F8" w:rsidRPr="008028A6" w:rsidRDefault="006C35F8" w:rsidP="0030571A">
            <w:pPr>
              <w:pStyle w:val="TabeladesnoUMAR"/>
            </w:pPr>
            <w:r w:rsidRPr="002E5B20">
              <w:t>7,9</w:t>
            </w:r>
          </w:p>
        </w:tc>
        <w:tc>
          <w:tcPr>
            <w:tcW w:w="715" w:type="dxa"/>
            <w:noWrap/>
            <w:vAlign w:val="bottom"/>
          </w:tcPr>
          <w:p w14:paraId="4E28FE38" w14:textId="77777777" w:rsidR="006C35F8" w:rsidRPr="008028A6" w:rsidRDefault="006C35F8" w:rsidP="0030571A">
            <w:pPr>
              <w:pStyle w:val="TabeladesnoUMAR"/>
            </w:pPr>
            <w:r w:rsidRPr="002E5B20">
              <w:t>24,1</w:t>
            </w:r>
          </w:p>
        </w:tc>
        <w:tc>
          <w:tcPr>
            <w:tcW w:w="752" w:type="dxa"/>
            <w:noWrap/>
            <w:vAlign w:val="bottom"/>
          </w:tcPr>
          <w:p w14:paraId="15AD8888" w14:textId="77777777" w:rsidR="006C35F8" w:rsidRPr="008028A6" w:rsidRDefault="006C35F8" w:rsidP="0030571A">
            <w:pPr>
              <w:pStyle w:val="TabeladesnoUMAR"/>
            </w:pPr>
            <w:r w:rsidRPr="002E5B20">
              <w:t>1,9</w:t>
            </w:r>
          </w:p>
        </w:tc>
        <w:tc>
          <w:tcPr>
            <w:tcW w:w="673" w:type="dxa"/>
            <w:noWrap/>
            <w:vAlign w:val="bottom"/>
          </w:tcPr>
          <w:p w14:paraId="3D5B893F" w14:textId="77777777" w:rsidR="006C35F8" w:rsidRPr="008028A6" w:rsidRDefault="006C35F8" w:rsidP="0030571A">
            <w:pPr>
              <w:pStyle w:val="TabeladesnoUMAR"/>
            </w:pPr>
            <w:r w:rsidRPr="002E5B20">
              <w:t>0,2</w:t>
            </w:r>
          </w:p>
        </w:tc>
        <w:tc>
          <w:tcPr>
            <w:tcW w:w="838" w:type="dxa"/>
            <w:noWrap/>
            <w:vAlign w:val="bottom"/>
          </w:tcPr>
          <w:p w14:paraId="7BAD066E" w14:textId="77777777" w:rsidR="006C35F8" w:rsidRPr="008028A6" w:rsidRDefault="006C35F8" w:rsidP="0030571A">
            <w:pPr>
              <w:pStyle w:val="TabeladesnoUMAR"/>
            </w:pPr>
            <w:r w:rsidRPr="002E5B20">
              <w:t>0,2</w:t>
            </w:r>
          </w:p>
        </w:tc>
      </w:tr>
      <w:tr w:rsidR="006C35F8" w:rsidRPr="00B80429" w14:paraId="7CD31D22" w14:textId="77777777" w:rsidTr="0062274D">
        <w:trPr>
          <w:trHeight w:val="277"/>
        </w:trPr>
        <w:tc>
          <w:tcPr>
            <w:tcW w:w="2268" w:type="dxa"/>
          </w:tcPr>
          <w:p w14:paraId="28FCED9F" w14:textId="37CA0F96" w:rsidR="006C35F8" w:rsidRPr="008028A6" w:rsidRDefault="006C35F8" w:rsidP="009C2105">
            <w:pPr>
              <w:pStyle w:val="TabelalevoUMAR"/>
            </w:pPr>
            <w:r w:rsidRPr="002E5B20">
              <w:t xml:space="preserve">69 Kovinski izdelki, </w:t>
            </w:r>
            <w:r w:rsidR="0030571A">
              <w:br/>
            </w:r>
            <w:r w:rsidRPr="002E5B20">
              <w:t>drugi, še neomenjeni</w:t>
            </w:r>
          </w:p>
        </w:tc>
        <w:tc>
          <w:tcPr>
            <w:tcW w:w="620" w:type="dxa"/>
            <w:noWrap/>
            <w:vAlign w:val="bottom"/>
          </w:tcPr>
          <w:p w14:paraId="0A34C0D6" w14:textId="77777777" w:rsidR="006C35F8" w:rsidRPr="008028A6" w:rsidRDefault="006C35F8" w:rsidP="0030571A">
            <w:pPr>
              <w:pStyle w:val="TabeladesnoUMAR"/>
            </w:pPr>
            <w:r w:rsidRPr="002E5B20">
              <w:t>3,2</w:t>
            </w:r>
          </w:p>
        </w:tc>
        <w:tc>
          <w:tcPr>
            <w:tcW w:w="752" w:type="dxa"/>
            <w:noWrap/>
            <w:vAlign w:val="bottom"/>
          </w:tcPr>
          <w:p w14:paraId="24D67D94" w14:textId="77777777" w:rsidR="006C35F8" w:rsidRPr="008028A6" w:rsidRDefault="006C35F8" w:rsidP="0030571A">
            <w:pPr>
              <w:pStyle w:val="TabeladesnoUMAR"/>
            </w:pPr>
            <w:r w:rsidRPr="002E5B20">
              <w:t>0,9</w:t>
            </w:r>
          </w:p>
        </w:tc>
        <w:tc>
          <w:tcPr>
            <w:tcW w:w="1067" w:type="dxa"/>
            <w:noWrap/>
            <w:vAlign w:val="bottom"/>
          </w:tcPr>
          <w:p w14:paraId="539C5435" w14:textId="77777777" w:rsidR="006C35F8" w:rsidRPr="008028A6" w:rsidRDefault="006C35F8" w:rsidP="0030571A">
            <w:pPr>
              <w:pStyle w:val="TabeladesnoUMAR"/>
            </w:pPr>
            <w:r w:rsidRPr="002E5B20">
              <w:t>0,3</w:t>
            </w:r>
          </w:p>
        </w:tc>
        <w:tc>
          <w:tcPr>
            <w:tcW w:w="623" w:type="dxa"/>
            <w:noWrap/>
            <w:vAlign w:val="bottom"/>
          </w:tcPr>
          <w:p w14:paraId="2F574CFF" w14:textId="77777777" w:rsidR="006C35F8" w:rsidRPr="008028A6" w:rsidRDefault="006C35F8" w:rsidP="0030571A">
            <w:pPr>
              <w:pStyle w:val="TabeladesnoUMAR"/>
            </w:pPr>
            <w:r w:rsidRPr="002E5B20">
              <w:t>2,4</w:t>
            </w:r>
          </w:p>
        </w:tc>
        <w:tc>
          <w:tcPr>
            <w:tcW w:w="752" w:type="dxa"/>
            <w:noWrap/>
            <w:vAlign w:val="bottom"/>
          </w:tcPr>
          <w:p w14:paraId="4331A103" w14:textId="77777777" w:rsidR="006C35F8" w:rsidRPr="008028A6" w:rsidRDefault="006C35F8" w:rsidP="0030571A">
            <w:pPr>
              <w:pStyle w:val="TabeladesnoUMAR"/>
            </w:pPr>
            <w:r w:rsidRPr="002E5B20">
              <w:t>0,7</w:t>
            </w:r>
          </w:p>
        </w:tc>
        <w:tc>
          <w:tcPr>
            <w:tcW w:w="715" w:type="dxa"/>
            <w:noWrap/>
            <w:vAlign w:val="bottom"/>
          </w:tcPr>
          <w:p w14:paraId="61FAC9C7" w14:textId="77777777" w:rsidR="006C35F8" w:rsidRPr="008028A6" w:rsidRDefault="006C35F8" w:rsidP="0030571A">
            <w:pPr>
              <w:pStyle w:val="TabeladesnoUMAR"/>
            </w:pPr>
            <w:r w:rsidRPr="002E5B20">
              <w:t>3,9</w:t>
            </w:r>
          </w:p>
        </w:tc>
        <w:tc>
          <w:tcPr>
            <w:tcW w:w="752" w:type="dxa"/>
            <w:noWrap/>
            <w:vAlign w:val="bottom"/>
          </w:tcPr>
          <w:p w14:paraId="6D1BC164" w14:textId="77777777" w:rsidR="006C35F8" w:rsidRPr="008028A6" w:rsidRDefault="006C35F8" w:rsidP="0030571A">
            <w:pPr>
              <w:pStyle w:val="TabeladesnoUMAR"/>
            </w:pPr>
            <w:r w:rsidRPr="002E5B20">
              <w:t>0,3</w:t>
            </w:r>
          </w:p>
        </w:tc>
        <w:tc>
          <w:tcPr>
            <w:tcW w:w="673" w:type="dxa"/>
            <w:noWrap/>
            <w:vAlign w:val="bottom"/>
          </w:tcPr>
          <w:p w14:paraId="5CD6FAF5" w14:textId="77777777" w:rsidR="006C35F8" w:rsidRPr="008028A6" w:rsidRDefault="006C35F8" w:rsidP="0030571A">
            <w:pPr>
              <w:pStyle w:val="TabeladesnoUMAR"/>
            </w:pPr>
            <w:r w:rsidRPr="002E5B20">
              <w:t>0,1</w:t>
            </w:r>
          </w:p>
        </w:tc>
        <w:tc>
          <w:tcPr>
            <w:tcW w:w="838" w:type="dxa"/>
            <w:noWrap/>
            <w:vAlign w:val="bottom"/>
          </w:tcPr>
          <w:p w14:paraId="3E667CEB" w14:textId="77777777" w:rsidR="006C35F8" w:rsidRPr="008028A6" w:rsidRDefault="006C35F8" w:rsidP="0030571A">
            <w:pPr>
              <w:pStyle w:val="TabeladesnoUMAR"/>
            </w:pPr>
            <w:r w:rsidRPr="002E5B20">
              <w:t>0,1</w:t>
            </w:r>
          </w:p>
        </w:tc>
      </w:tr>
      <w:tr w:rsidR="006C35F8" w:rsidRPr="00B80429" w14:paraId="0C265335" w14:textId="77777777" w:rsidTr="0062274D">
        <w:trPr>
          <w:trHeight w:val="277"/>
        </w:trPr>
        <w:tc>
          <w:tcPr>
            <w:tcW w:w="2268" w:type="dxa"/>
          </w:tcPr>
          <w:p w14:paraId="4A11926B" w14:textId="77777777" w:rsidR="006C35F8" w:rsidRPr="008028A6" w:rsidRDefault="006C35F8" w:rsidP="009C2105">
            <w:pPr>
              <w:pStyle w:val="TabelalevoUMAR"/>
            </w:pPr>
            <w:r w:rsidRPr="002E5B20">
              <w:t>24 Pluta in les</w:t>
            </w:r>
          </w:p>
        </w:tc>
        <w:tc>
          <w:tcPr>
            <w:tcW w:w="620" w:type="dxa"/>
            <w:noWrap/>
            <w:vAlign w:val="bottom"/>
          </w:tcPr>
          <w:p w14:paraId="1F2AF075" w14:textId="77777777" w:rsidR="006C35F8" w:rsidRPr="008028A6" w:rsidRDefault="006C35F8" w:rsidP="0030571A">
            <w:pPr>
              <w:pStyle w:val="TabeladesnoUMAR"/>
            </w:pPr>
            <w:r w:rsidRPr="002E5B20">
              <w:t>3,1</w:t>
            </w:r>
          </w:p>
        </w:tc>
        <w:tc>
          <w:tcPr>
            <w:tcW w:w="752" w:type="dxa"/>
            <w:noWrap/>
            <w:vAlign w:val="bottom"/>
          </w:tcPr>
          <w:p w14:paraId="4D578D52" w14:textId="77777777" w:rsidR="006C35F8" w:rsidRPr="008028A6" w:rsidRDefault="006C35F8" w:rsidP="0030571A">
            <w:pPr>
              <w:pStyle w:val="TabeladesnoUMAR"/>
            </w:pPr>
            <w:r w:rsidRPr="002E5B20">
              <w:t>0,9</w:t>
            </w:r>
          </w:p>
        </w:tc>
        <w:tc>
          <w:tcPr>
            <w:tcW w:w="1067" w:type="dxa"/>
            <w:noWrap/>
            <w:vAlign w:val="bottom"/>
          </w:tcPr>
          <w:p w14:paraId="32D5744E" w14:textId="77777777" w:rsidR="006C35F8" w:rsidRPr="008028A6" w:rsidRDefault="006C35F8" w:rsidP="0030571A">
            <w:pPr>
              <w:pStyle w:val="TabeladesnoUMAR"/>
            </w:pPr>
            <w:r w:rsidRPr="002E5B20">
              <w:t>1,1</w:t>
            </w:r>
          </w:p>
        </w:tc>
        <w:tc>
          <w:tcPr>
            <w:tcW w:w="623" w:type="dxa"/>
            <w:noWrap/>
            <w:vAlign w:val="bottom"/>
          </w:tcPr>
          <w:p w14:paraId="41DBB54B" w14:textId="77777777" w:rsidR="006C35F8" w:rsidRPr="008028A6" w:rsidRDefault="006C35F8" w:rsidP="0030571A">
            <w:pPr>
              <w:pStyle w:val="TabeladesnoUMAR"/>
            </w:pPr>
            <w:r w:rsidRPr="002E5B20">
              <w:t>4,2</w:t>
            </w:r>
          </w:p>
        </w:tc>
        <w:tc>
          <w:tcPr>
            <w:tcW w:w="752" w:type="dxa"/>
            <w:noWrap/>
            <w:vAlign w:val="bottom"/>
          </w:tcPr>
          <w:p w14:paraId="24C6D9BC" w14:textId="77777777" w:rsidR="006C35F8" w:rsidRPr="008028A6" w:rsidRDefault="006C35F8" w:rsidP="0030571A">
            <w:pPr>
              <w:pStyle w:val="TabeladesnoUMAR"/>
            </w:pPr>
            <w:r w:rsidRPr="002E5B20">
              <w:t>1,2</w:t>
            </w:r>
          </w:p>
        </w:tc>
        <w:tc>
          <w:tcPr>
            <w:tcW w:w="715" w:type="dxa"/>
            <w:noWrap/>
            <w:vAlign w:val="bottom"/>
          </w:tcPr>
          <w:p w14:paraId="7B9BD2D1" w14:textId="77777777" w:rsidR="006C35F8" w:rsidRPr="008028A6" w:rsidRDefault="006C35F8" w:rsidP="0030571A">
            <w:pPr>
              <w:pStyle w:val="TabeladesnoUMAR"/>
            </w:pPr>
            <w:r w:rsidRPr="002E5B20">
              <w:t>2,2</w:t>
            </w:r>
          </w:p>
        </w:tc>
        <w:tc>
          <w:tcPr>
            <w:tcW w:w="752" w:type="dxa"/>
            <w:noWrap/>
            <w:vAlign w:val="bottom"/>
          </w:tcPr>
          <w:p w14:paraId="23F38DBE" w14:textId="77777777" w:rsidR="006C35F8" w:rsidRPr="008028A6" w:rsidRDefault="006C35F8" w:rsidP="0030571A">
            <w:pPr>
              <w:pStyle w:val="TabeladesnoUMAR"/>
            </w:pPr>
            <w:r w:rsidRPr="002E5B20">
              <w:t>0,2</w:t>
            </w:r>
          </w:p>
        </w:tc>
        <w:tc>
          <w:tcPr>
            <w:tcW w:w="673" w:type="dxa"/>
            <w:noWrap/>
            <w:vAlign w:val="bottom"/>
          </w:tcPr>
          <w:p w14:paraId="51918891" w14:textId="77777777" w:rsidR="006C35F8" w:rsidRPr="008028A6" w:rsidRDefault="006C35F8" w:rsidP="0030571A">
            <w:pPr>
              <w:pStyle w:val="TabeladesnoUMAR"/>
            </w:pPr>
            <w:r w:rsidRPr="002E5B20">
              <w:t>0,0</w:t>
            </w:r>
          </w:p>
        </w:tc>
        <w:tc>
          <w:tcPr>
            <w:tcW w:w="838" w:type="dxa"/>
            <w:noWrap/>
            <w:vAlign w:val="bottom"/>
          </w:tcPr>
          <w:p w14:paraId="5730F4A5" w14:textId="77777777" w:rsidR="006C35F8" w:rsidRPr="008028A6" w:rsidRDefault="006C35F8" w:rsidP="0030571A">
            <w:pPr>
              <w:pStyle w:val="TabeladesnoUMAR"/>
            </w:pPr>
            <w:r w:rsidRPr="002E5B20">
              <w:t>0,0</w:t>
            </w:r>
          </w:p>
        </w:tc>
      </w:tr>
      <w:tr w:rsidR="006C35F8" w:rsidRPr="00B80429" w14:paraId="5F7503D0" w14:textId="77777777" w:rsidTr="0062274D">
        <w:trPr>
          <w:trHeight w:val="277"/>
        </w:trPr>
        <w:tc>
          <w:tcPr>
            <w:tcW w:w="2268" w:type="dxa"/>
          </w:tcPr>
          <w:p w14:paraId="3552D5FF" w14:textId="77777777" w:rsidR="006C35F8" w:rsidRPr="008028A6" w:rsidRDefault="006C35F8" w:rsidP="009C2105">
            <w:pPr>
              <w:pStyle w:val="TabelalevoUMAR"/>
            </w:pPr>
            <w:r w:rsidRPr="002E5B20">
              <w:t>52 Anorganski kemični proizvodi</w:t>
            </w:r>
          </w:p>
        </w:tc>
        <w:tc>
          <w:tcPr>
            <w:tcW w:w="620" w:type="dxa"/>
            <w:noWrap/>
            <w:vAlign w:val="bottom"/>
          </w:tcPr>
          <w:p w14:paraId="45E864E3" w14:textId="77777777" w:rsidR="006C35F8" w:rsidRPr="008028A6" w:rsidRDefault="006C35F8" w:rsidP="0030571A">
            <w:pPr>
              <w:pStyle w:val="TabeladesnoUMAR"/>
            </w:pPr>
            <w:r w:rsidRPr="002E5B20">
              <w:t>3,0</w:t>
            </w:r>
          </w:p>
        </w:tc>
        <w:tc>
          <w:tcPr>
            <w:tcW w:w="752" w:type="dxa"/>
            <w:noWrap/>
            <w:vAlign w:val="bottom"/>
          </w:tcPr>
          <w:p w14:paraId="7F733CB7" w14:textId="77777777" w:rsidR="006C35F8" w:rsidRPr="008028A6" w:rsidRDefault="006C35F8" w:rsidP="0030571A">
            <w:pPr>
              <w:pStyle w:val="TabeladesnoUMAR"/>
            </w:pPr>
            <w:r w:rsidRPr="002E5B20">
              <w:t>0,8</w:t>
            </w:r>
          </w:p>
        </w:tc>
        <w:tc>
          <w:tcPr>
            <w:tcW w:w="1067" w:type="dxa"/>
            <w:noWrap/>
            <w:vAlign w:val="bottom"/>
          </w:tcPr>
          <w:p w14:paraId="02ED3A09" w14:textId="77777777" w:rsidR="006C35F8" w:rsidRPr="008028A6" w:rsidRDefault="006C35F8" w:rsidP="0030571A">
            <w:pPr>
              <w:pStyle w:val="TabeladesnoUMAR"/>
            </w:pPr>
            <w:r w:rsidRPr="002E5B20">
              <w:t>1,6</w:t>
            </w:r>
          </w:p>
        </w:tc>
        <w:tc>
          <w:tcPr>
            <w:tcW w:w="623" w:type="dxa"/>
            <w:noWrap/>
            <w:vAlign w:val="bottom"/>
          </w:tcPr>
          <w:p w14:paraId="61D820FE" w14:textId="77777777" w:rsidR="006C35F8" w:rsidRPr="008028A6" w:rsidRDefault="006C35F8" w:rsidP="0030571A">
            <w:pPr>
              <w:pStyle w:val="TabeladesnoUMAR"/>
            </w:pPr>
            <w:r w:rsidRPr="002E5B20">
              <w:t>5,0</w:t>
            </w:r>
          </w:p>
        </w:tc>
        <w:tc>
          <w:tcPr>
            <w:tcW w:w="752" w:type="dxa"/>
            <w:noWrap/>
            <w:vAlign w:val="bottom"/>
          </w:tcPr>
          <w:p w14:paraId="3B76932F" w14:textId="77777777" w:rsidR="006C35F8" w:rsidRPr="008028A6" w:rsidRDefault="006C35F8" w:rsidP="0030571A">
            <w:pPr>
              <w:pStyle w:val="TabeladesnoUMAR"/>
            </w:pPr>
            <w:r w:rsidRPr="002E5B20">
              <w:t>1,4</w:t>
            </w:r>
          </w:p>
        </w:tc>
        <w:tc>
          <w:tcPr>
            <w:tcW w:w="715" w:type="dxa"/>
            <w:noWrap/>
            <w:vAlign w:val="bottom"/>
          </w:tcPr>
          <w:p w14:paraId="4EF93390" w14:textId="77777777" w:rsidR="006C35F8" w:rsidRPr="008028A6" w:rsidRDefault="006C35F8" w:rsidP="0030571A">
            <w:pPr>
              <w:pStyle w:val="TabeladesnoUMAR"/>
            </w:pPr>
            <w:r w:rsidRPr="002E5B20">
              <w:t>8,5</w:t>
            </w:r>
          </w:p>
        </w:tc>
        <w:tc>
          <w:tcPr>
            <w:tcW w:w="752" w:type="dxa"/>
            <w:noWrap/>
            <w:vAlign w:val="bottom"/>
          </w:tcPr>
          <w:p w14:paraId="493BEBB6" w14:textId="77777777" w:rsidR="006C35F8" w:rsidRPr="008028A6" w:rsidRDefault="006C35F8" w:rsidP="0030571A">
            <w:pPr>
              <w:pStyle w:val="TabeladesnoUMAR"/>
            </w:pPr>
            <w:r w:rsidRPr="002E5B20">
              <w:t>0,7</w:t>
            </w:r>
          </w:p>
        </w:tc>
        <w:tc>
          <w:tcPr>
            <w:tcW w:w="673" w:type="dxa"/>
            <w:noWrap/>
            <w:vAlign w:val="bottom"/>
          </w:tcPr>
          <w:p w14:paraId="1ACE7B23" w14:textId="77777777" w:rsidR="006C35F8" w:rsidRPr="008028A6" w:rsidRDefault="006C35F8" w:rsidP="0030571A">
            <w:pPr>
              <w:pStyle w:val="TabeladesnoUMAR"/>
            </w:pPr>
            <w:r w:rsidRPr="002E5B20">
              <w:t>1,4</w:t>
            </w:r>
          </w:p>
        </w:tc>
        <w:tc>
          <w:tcPr>
            <w:tcW w:w="838" w:type="dxa"/>
            <w:noWrap/>
            <w:vAlign w:val="bottom"/>
          </w:tcPr>
          <w:p w14:paraId="7E56B545" w14:textId="77777777" w:rsidR="006C35F8" w:rsidRPr="008028A6" w:rsidRDefault="006C35F8" w:rsidP="0030571A">
            <w:pPr>
              <w:pStyle w:val="TabeladesnoUMAR"/>
            </w:pPr>
            <w:r w:rsidRPr="002E5B20">
              <w:t>1,5</w:t>
            </w:r>
          </w:p>
        </w:tc>
      </w:tr>
      <w:tr w:rsidR="006C35F8" w:rsidRPr="00B80429" w14:paraId="4EC8DEB9" w14:textId="77777777" w:rsidTr="0062274D">
        <w:trPr>
          <w:trHeight w:val="277"/>
        </w:trPr>
        <w:tc>
          <w:tcPr>
            <w:tcW w:w="2268" w:type="dxa"/>
          </w:tcPr>
          <w:p w14:paraId="27202432" w14:textId="77777777" w:rsidR="006C35F8" w:rsidRPr="008028A6" w:rsidRDefault="006C35F8" w:rsidP="009C2105">
            <w:pPr>
              <w:pStyle w:val="TabelalevoUMAR"/>
            </w:pPr>
            <w:r w:rsidRPr="002E5B20">
              <w:t>77 Električni stroji, naprave</w:t>
            </w:r>
          </w:p>
        </w:tc>
        <w:tc>
          <w:tcPr>
            <w:tcW w:w="620" w:type="dxa"/>
            <w:noWrap/>
            <w:vAlign w:val="bottom"/>
          </w:tcPr>
          <w:p w14:paraId="17195FA5" w14:textId="77777777" w:rsidR="006C35F8" w:rsidRPr="008028A6" w:rsidRDefault="006C35F8" w:rsidP="0030571A">
            <w:pPr>
              <w:pStyle w:val="TabeladesnoUMAR"/>
            </w:pPr>
            <w:r w:rsidRPr="002E5B20">
              <w:t>3,0</w:t>
            </w:r>
          </w:p>
        </w:tc>
        <w:tc>
          <w:tcPr>
            <w:tcW w:w="752" w:type="dxa"/>
            <w:noWrap/>
            <w:vAlign w:val="bottom"/>
          </w:tcPr>
          <w:p w14:paraId="4376E960" w14:textId="77777777" w:rsidR="006C35F8" w:rsidRPr="008028A6" w:rsidRDefault="006C35F8" w:rsidP="0030571A">
            <w:pPr>
              <w:pStyle w:val="TabeladesnoUMAR"/>
            </w:pPr>
            <w:r w:rsidRPr="002E5B20">
              <w:t>0,8</w:t>
            </w:r>
          </w:p>
        </w:tc>
        <w:tc>
          <w:tcPr>
            <w:tcW w:w="1067" w:type="dxa"/>
            <w:noWrap/>
            <w:vAlign w:val="bottom"/>
          </w:tcPr>
          <w:p w14:paraId="43E3D6B3" w14:textId="77777777" w:rsidR="006C35F8" w:rsidRPr="008028A6" w:rsidRDefault="006C35F8" w:rsidP="0030571A">
            <w:pPr>
              <w:pStyle w:val="TabeladesnoUMAR"/>
            </w:pPr>
            <w:r w:rsidRPr="002E5B20">
              <w:t>0,1</w:t>
            </w:r>
          </w:p>
        </w:tc>
        <w:tc>
          <w:tcPr>
            <w:tcW w:w="623" w:type="dxa"/>
            <w:noWrap/>
            <w:vAlign w:val="bottom"/>
          </w:tcPr>
          <w:p w14:paraId="16B06E2B" w14:textId="77777777" w:rsidR="006C35F8" w:rsidRPr="008028A6" w:rsidRDefault="006C35F8" w:rsidP="0030571A">
            <w:pPr>
              <w:pStyle w:val="TabeladesnoUMAR"/>
            </w:pPr>
            <w:r w:rsidRPr="002E5B20">
              <w:t>1,3</w:t>
            </w:r>
          </w:p>
        </w:tc>
        <w:tc>
          <w:tcPr>
            <w:tcW w:w="752" w:type="dxa"/>
            <w:noWrap/>
            <w:vAlign w:val="bottom"/>
          </w:tcPr>
          <w:p w14:paraId="097F12A2" w14:textId="77777777" w:rsidR="006C35F8" w:rsidRPr="008028A6" w:rsidRDefault="006C35F8" w:rsidP="0030571A">
            <w:pPr>
              <w:pStyle w:val="TabeladesnoUMAR"/>
            </w:pPr>
            <w:r w:rsidRPr="002E5B20">
              <w:t>0,4</w:t>
            </w:r>
          </w:p>
        </w:tc>
        <w:tc>
          <w:tcPr>
            <w:tcW w:w="715" w:type="dxa"/>
            <w:noWrap/>
            <w:vAlign w:val="bottom"/>
          </w:tcPr>
          <w:p w14:paraId="6AFA8E5E" w14:textId="77777777" w:rsidR="006C35F8" w:rsidRPr="008028A6" w:rsidRDefault="006C35F8" w:rsidP="0030571A">
            <w:pPr>
              <w:pStyle w:val="TabeladesnoUMAR"/>
            </w:pPr>
            <w:r w:rsidRPr="002E5B20">
              <w:t>1,2</w:t>
            </w:r>
          </w:p>
        </w:tc>
        <w:tc>
          <w:tcPr>
            <w:tcW w:w="752" w:type="dxa"/>
            <w:noWrap/>
            <w:vAlign w:val="bottom"/>
          </w:tcPr>
          <w:p w14:paraId="29348ADC" w14:textId="77777777" w:rsidR="006C35F8" w:rsidRPr="008028A6" w:rsidRDefault="006C35F8" w:rsidP="0030571A">
            <w:pPr>
              <w:pStyle w:val="TabeladesnoUMAR"/>
            </w:pPr>
            <w:r w:rsidRPr="002E5B20">
              <w:t>0,1</w:t>
            </w:r>
          </w:p>
        </w:tc>
        <w:tc>
          <w:tcPr>
            <w:tcW w:w="673" w:type="dxa"/>
            <w:noWrap/>
            <w:vAlign w:val="bottom"/>
          </w:tcPr>
          <w:p w14:paraId="5FBFE42D" w14:textId="77777777" w:rsidR="006C35F8" w:rsidRPr="008028A6" w:rsidRDefault="006C35F8" w:rsidP="0030571A">
            <w:pPr>
              <w:pStyle w:val="TabeladesnoUMAR"/>
            </w:pPr>
            <w:r w:rsidRPr="002E5B20">
              <w:t>2,0</w:t>
            </w:r>
          </w:p>
        </w:tc>
        <w:tc>
          <w:tcPr>
            <w:tcW w:w="838" w:type="dxa"/>
            <w:noWrap/>
            <w:vAlign w:val="bottom"/>
          </w:tcPr>
          <w:p w14:paraId="5FA16C69" w14:textId="77777777" w:rsidR="006C35F8" w:rsidRPr="008028A6" w:rsidRDefault="006C35F8" w:rsidP="0030571A">
            <w:pPr>
              <w:pStyle w:val="TabeladesnoUMAR"/>
            </w:pPr>
            <w:r w:rsidRPr="002E5B20">
              <w:t>2,1</w:t>
            </w:r>
          </w:p>
        </w:tc>
      </w:tr>
      <w:tr w:rsidR="006C35F8" w:rsidRPr="00B80429" w14:paraId="4433E6FD" w14:textId="77777777" w:rsidTr="0062274D">
        <w:trPr>
          <w:trHeight w:val="277"/>
        </w:trPr>
        <w:tc>
          <w:tcPr>
            <w:tcW w:w="2268" w:type="dxa"/>
          </w:tcPr>
          <w:p w14:paraId="0B152C3D" w14:textId="77777777" w:rsidR="006C35F8" w:rsidRPr="008028A6" w:rsidRDefault="006C35F8" w:rsidP="009C2105">
            <w:pPr>
              <w:pStyle w:val="TabelalevoUMAR"/>
            </w:pPr>
            <w:r w:rsidRPr="002E5B20">
              <w:t>63 Plutasti in lesni izdelki</w:t>
            </w:r>
          </w:p>
        </w:tc>
        <w:tc>
          <w:tcPr>
            <w:tcW w:w="620" w:type="dxa"/>
            <w:noWrap/>
            <w:vAlign w:val="bottom"/>
          </w:tcPr>
          <w:p w14:paraId="464EC925" w14:textId="77777777" w:rsidR="006C35F8" w:rsidRPr="008028A6" w:rsidRDefault="006C35F8" w:rsidP="0030571A">
            <w:pPr>
              <w:pStyle w:val="TabeladesnoUMAR"/>
            </w:pPr>
            <w:r w:rsidRPr="002E5B20">
              <w:t>2,9</w:t>
            </w:r>
          </w:p>
        </w:tc>
        <w:tc>
          <w:tcPr>
            <w:tcW w:w="752" w:type="dxa"/>
            <w:noWrap/>
            <w:vAlign w:val="bottom"/>
          </w:tcPr>
          <w:p w14:paraId="578777FE" w14:textId="77777777" w:rsidR="006C35F8" w:rsidRPr="008028A6" w:rsidRDefault="006C35F8" w:rsidP="0030571A">
            <w:pPr>
              <w:pStyle w:val="TabeladesnoUMAR"/>
            </w:pPr>
            <w:r w:rsidRPr="002E5B20">
              <w:t>0,8</w:t>
            </w:r>
          </w:p>
        </w:tc>
        <w:tc>
          <w:tcPr>
            <w:tcW w:w="1067" w:type="dxa"/>
            <w:noWrap/>
            <w:vAlign w:val="bottom"/>
          </w:tcPr>
          <w:p w14:paraId="0313262A" w14:textId="77777777" w:rsidR="006C35F8" w:rsidRPr="008028A6" w:rsidRDefault="006C35F8" w:rsidP="0030571A">
            <w:pPr>
              <w:pStyle w:val="TabeladesnoUMAR"/>
            </w:pPr>
            <w:r w:rsidRPr="002E5B20">
              <w:t>1,3</w:t>
            </w:r>
          </w:p>
        </w:tc>
        <w:tc>
          <w:tcPr>
            <w:tcW w:w="623" w:type="dxa"/>
            <w:noWrap/>
            <w:vAlign w:val="bottom"/>
          </w:tcPr>
          <w:p w14:paraId="10ABD966" w14:textId="77777777" w:rsidR="006C35F8" w:rsidRPr="008028A6" w:rsidRDefault="006C35F8" w:rsidP="0030571A">
            <w:pPr>
              <w:pStyle w:val="TabeladesnoUMAR"/>
            </w:pPr>
            <w:r w:rsidRPr="002E5B20">
              <w:t>5,3</w:t>
            </w:r>
          </w:p>
        </w:tc>
        <w:tc>
          <w:tcPr>
            <w:tcW w:w="752" w:type="dxa"/>
            <w:noWrap/>
            <w:vAlign w:val="bottom"/>
          </w:tcPr>
          <w:p w14:paraId="2BBFE41E" w14:textId="77777777" w:rsidR="006C35F8" w:rsidRPr="008028A6" w:rsidRDefault="006C35F8" w:rsidP="0030571A">
            <w:pPr>
              <w:pStyle w:val="TabeladesnoUMAR"/>
            </w:pPr>
            <w:r w:rsidRPr="002E5B20">
              <w:t>1,5</w:t>
            </w:r>
          </w:p>
        </w:tc>
        <w:tc>
          <w:tcPr>
            <w:tcW w:w="715" w:type="dxa"/>
            <w:noWrap/>
            <w:vAlign w:val="bottom"/>
          </w:tcPr>
          <w:p w14:paraId="7B9F1701" w14:textId="77777777" w:rsidR="006C35F8" w:rsidRPr="008028A6" w:rsidRDefault="006C35F8" w:rsidP="0030571A">
            <w:pPr>
              <w:pStyle w:val="TabeladesnoUMAR"/>
            </w:pPr>
            <w:r w:rsidRPr="002E5B20">
              <w:t>3,9</w:t>
            </w:r>
          </w:p>
        </w:tc>
        <w:tc>
          <w:tcPr>
            <w:tcW w:w="752" w:type="dxa"/>
            <w:noWrap/>
            <w:vAlign w:val="bottom"/>
          </w:tcPr>
          <w:p w14:paraId="214285D7" w14:textId="77777777" w:rsidR="006C35F8" w:rsidRPr="008028A6" w:rsidRDefault="006C35F8" w:rsidP="0030571A">
            <w:pPr>
              <w:pStyle w:val="TabeladesnoUMAR"/>
            </w:pPr>
            <w:r w:rsidRPr="002E5B20">
              <w:t>0,3</w:t>
            </w:r>
          </w:p>
        </w:tc>
        <w:tc>
          <w:tcPr>
            <w:tcW w:w="673" w:type="dxa"/>
            <w:noWrap/>
            <w:vAlign w:val="bottom"/>
          </w:tcPr>
          <w:p w14:paraId="101541FB" w14:textId="77777777" w:rsidR="006C35F8" w:rsidRPr="008028A6" w:rsidRDefault="006C35F8" w:rsidP="0030571A">
            <w:pPr>
              <w:pStyle w:val="TabeladesnoUMAR"/>
            </w:pPr>
            <w:r w:rsidRPr="002E5B20">
              <w:t>0,0</w:t>
            </w:r>
          </w:p>
        </w:tc>
        <w:tc>
          <w:tcPr>
            <w:tcW w:w="838" w:type="dxa"/>
            <w:noWrap/>
            <w:vAlign w:val="bottom"/>
          </w:tcPr>
          <w:p w14:paraId="1A90E87E" w14:textId="77777777" w:rsidR="006C35F8" w:rsidRPr="008028A6" w:rsidRDefault="006C35F8" w:rsidP="0030571A">
            <w:pPr>
              <w:pStyle w:val="TabeladesnoUMAR"/>
            </w:pPr>
            <w:r w:rsidRPr="002E5B20">
              <w:t>0,0</w:t>
            </w:r>
          </w:p>
        </w:tc>
      </w:tr>
      <w:tr w:rsidR="006C35F8" w:rsidRPr="00B80429" w14:paraId="12558A10" w14:textId="77777777" w:rsidTr="0062274D">
        <w:trPr>
          <w:trHeight w:val="277"/>
        </w:trPr>
        <w:tc>
          <w:tcPr>
            <w:tcW w:w="2268" w:type="dxa"/>
          </w:tcPr>
          <w:p w14:paraId="1631611D" w14:textId="77777777" w:rsidR="006C35F8" w:rsidRPr="000D41E7" w:rsidRDefault="006C35F8" w:rsidP="009C2105">
            <w:pPr>
              <w:pStyle w:val="TabelalevoUMAR"/>
            </w:pPr>
            <w:r w:rsidRPr="002E5B20">
              <w:t>25 Celuloza in papirni odpadki</w:t>
            </w:r>
          </w:p>
        </w:tc>
        <w:tc>
          <w:tcPr>
            <w:tcW w:w="620" w:type="dxa"/>
            <w:noWrap/>
            <w:vAlign w:val="bottom"/>
          </w:tcPr>
          <w:p w14:paraId="7F6749E8" w14:textId="77777777" w:rsidR="006C35F8" w:rsidRPr="000D41E7" w:rsidRDefault="006C35F8" w:rsidP="0030571A">
            <w:pPr>
              <w:pStyle w:val="TabeladesnoUMAR"/>
            </w:pPr>
            <w:r w:rsidRPr="002E5B20">
              <w:t>2,8</w:t>
            </w:r>
          </w:p>
        </w:tc>
        <w:tc>
          <w:tcPr>
            <w:tcW w:w="752" w:type="dxa"/>
            <w:noWrap/>
            <w:vAlign w:val="bottom"/>
          </w:tcPr>
          <w:p w14:paraId="388B4836" w14:textId="77777777" w:rsidR="006C35F8" w:rsidRPr="000D41E7" w:rsidRDefault="006C35F8" w:rsidP="0030571A">
            <w:pPr>
              <w:pStyle w:val="TabeladesnoUMAR"/>
            </w:pPr>
            <w:r w:rsidRPr="002E5B20">
              <w:t>0,8</w:t>
            </w:r>
          </w:p>
        </w:tc>
        <w:tc>
          <w:tcPr>
            <w:tcW w:w="1067" w:type="dxa"/>
            <w:noWrap/>
            <w:vAlign w:val="bottom"/>
          </w:tcPr>
          <w:p w14:paraId="525E0E11" w14:textId="77777777" w:rsidR="006C35F8" w:rsidRPr="000D41E7" w:rsidRDefault="006C35F8" w:rsidP="0030571A">
            <w:pPr>
              <w:pStyle w:val="TabeladesnoUMAR"/>
            </w:pPr>
            <w:r w:rsidRPr="002E5B20">
              <w:t>1,5</w:t>
            </w:r>
          </w:p>
        </w:tc>
        <w:tc>
          <w:tcPr>
            <w:tcW w:w="623" w:type="dxa"/>
            <w:noWrap/>
            <w:vAlign w:val="bottom"/>
          </w:tcPr>
          <w:p w14:paraId="7D4E82D4" w14:textId="77777777" w:rsidR="006C35F8" w:rsidRPr="000D41E7" w:rsidRDefault="006C35F8" w:rsidP="0030571A">
            <w:pPr>
              <w:pStyle w:val="TabeladesnoUMAR"/>
            </w:pPr>
            <w:r w:rsidRPr="002E5B20">
              <w:t>2,2</w:t>
            </w:r>
          </w:p>
        </w:tc>
        <w:tc>
          <w:tcPr>
            <w:tcW w:w="752" w:type="dxa"/>
            <w:noWrap/>
            <w:vAlign w:val="bottom"/>
          </w:tcPr>
          <w:p w14:paraId="47FE0B5B" w14:textId="77777777" w:rsidR="006C35F8" w:rsidRPr="000D41E7" w:rsidRDefault="006C35F8" w:rsidP="0030571A">
            <w:pPr>
              <w:pStyle w:val="TabeladesnoUMAR"/>
            </w:pPr>
            <w:r w:rsidRPr="002E5B20">
              <w:t>0,6</w:t>
            </w:r>
          </w:p>
        </w:tc>
        <w:tc>
          <w:tcPr>
            <w:tcW w:w="715" w:type="dxa"/>
            <w:noWrap/>
            <w:vAlign w:val="bottom"/>
          </w:tcPr>
          <w:p w14:paraId="78068423" w14:textId="77777777" w:rsidR="006C35F8" w:rsidRPr="000D41E7" w:rsidRDefault="006C35F8" w:rsidP="0030571A">
            <w:pPr>
              <w:pStyle w:val="TabeladesnoUMAR"/>
            </w:pPr>
            <w:r w:rsidRPr="002E5B20">
              <w:t>0,9</w:t>
            </w:r>
          </w:p>
        </w:tc>
        <w:tc>
          <w:tcPr>
            <w:tcW w:w="752" w:type="dxa"/>
            <w:noWrap/>
            <w:vAlign w:val="bottom"/>
          </w:tcPr>
          <w:p w14:paraId="2D082A01" w14:textId="77777777" w:rsidR="006C35F8" w:rsidRPr="000D41E7" w:rsidRDefault="006C35F8" w:rsidP="0030571A">
            <w:pPr>
              <w:pStyle w:val="TabeladesnoUMAR"/>
            </w:pPr>
            <w:r w:rsidRPr="002E5B20">
              <w:t>0,1</w:t>
            </w:r>
          </w:p>
        </w:tc>
        <w:tc>
          <w:tcPr>
            <w:tcW w:w="673" w:type="dxa"/>
            <w:noWrap/>
            <w:vAlign w:val="bottom"/>
          </w:tcPr>
          <w:p w14:paraId="2D40226F" w14:textId="77777777" w:rsidR="006C35F8" w:rsidRPr="000D41E7" w:rsidRDefault="006C35F8" w:rsidP="0030571A">
            <w:pPr>
              <w:pStyle w:val="TabeladesnoUMAR"/>
            </w:pPr>
            <w:r w:rsidRPr="002E5B20">
              <w:t>0,0</w:t>
            </w:r>
          </w:p>
        </w:tc>
        <w:tc>
          <w:tcPr>
            <w:tcW w:w="838" w:type="dxa"/>
            <w:noWrap/>
            <w:vAlign w:val="bottom"/>
          </w:tcPr>
          <w:p w14:paraId="1075CD66" w14:textId="77777777" w:rsidR="006C35F8" w:rsidRPr="000D41E7" w:rsidRDefault="006C35F8" w:rsidP="0030571A">
            <w:pPr>
              <w:pStyle w:val="TabeladesnoUMAR"/>
            </w:pPr>
            <w:r w:rsidRPr="002E5B20">
              <w:t>0,0</w:t>
            </w:r>
          </w:p>
        </w:tc>
      </w:tr>
      <w:tr w:rsidR="006C35F8" w:rsidRPr="00B80429" w14:paraId="0C47D6BD" w14:textId="77777777" w:rsidTr="0062274D">
        <w:trPr>
          <w:trHeight w:val="277"/>
        </w:trPr>
        <w:tc>
          <w:tcPr>
            <w:tcW w:w="2268" w:type="dxa"/>
          </w:tcPr>
          <w:p w14:paraId="769E50A4" w14:textId="77777777" w:rsidR="006C35F8" w:rsidRPr="000D41E7" w:rsidRDefault="006C35F8" w:rsidP="009C2105">
            <w:pPr>
              <w:pStyle w:val="TabelalevoUMAR"/>
            </w:pPr>
            <w:r w:rsidRPr="002E5B20">
              <w:t>87 Znanstveni, kontrolni instrumenti</w:t>
            </w:r>
          </w:p>
        </w:tc>
        <w:tc>
          <w:tcPr>
            <w:tcW w:w="620" w:type="dxa"/>
            <w:noWrap/>
            <w:vAlign w:val="bottom"/>
          </w:tcPr>
          <w:p w14:paraId="328892B3" w14:textId="77777777" w:rsidR="006C35F8" w:rsidRPr="000D41E7" w:rsidRDefault="006C35F8" w:rsidP="0030571A">
            <w:pPr>
              <w:pStyle w:val="TabeladesnoUMAR"/>
            </w:pPr>
            <w:r w:rsidRPr="002E5B20">
              <w:t>1,1</w:t>
            </w:r>
          </w:p>
        </w:tc>
        <w:tc>
          <w:tcPr>
            <w:tcW w:w="752" w:type="dxa"/>
            <w:noWrap/>
            <w:vAlign w:val="bottom"/>
          </w:tcPr>
          <w:p w14:paraId="3C709EE4" w14:textId="77777777" w:rsidR="006C35F8" w:rsidRPr="000D41E7" w:rsidRDefault="006C35F8" w:rsidP="0030571A">
            <w:pPr>
              <w:pStyle w:val="TabeladesnoUMAR"/>
            </w:pPr>
            <w:r w:rsidRPr="002E5B20">
              <w:t>0,3</w:t>
            </w:r>
          </w:p>
        </w:tc>
        <w:tc>
          <w:tcPr>
            <w:tcW w:w="1067" w:type="dxa"/>
            <w:noWrap/>
            <w:vAlign w:val="bottom"/>
          </w:tcPr>
          <w:p w14:paraId="478C5DB4" w14:textId="77777777" w:rsidR="006C35F8" w:rsidRPr="000D41E7" w:rsidRDefault="006C35F8" w:rsidP="0030571A">
            <w:pPr>
              <w:pStyle w:val="TabeladesnoUMAR"/>
            </w:pPr>
            <w:r w:rsidRPr="002E5B20">
              <w:t>0,2</w:t>
            </w:r>
          </w:p>
        </w:tc>
        <w:tc>
          <w:tcPr>
            <w:tcW w:w="623" w:type="dxa"/>
            <w:noWrap/>
            <w:vAlign w:val="bottom"/>
          </w:tcPr>
          <w:p w14:paraId="6EF3AA2A" w14:textId="77777777" w:rsidR="006C35F8" w:rsidRPr="000D41E7" w:rsidRDefault="006C35F8" w:rsidP="0030571A">
            <w:pPr>
              <w:pStyle w:val="TabeladesnoUMAR"/>
            </w:pPr>
            <w:r w:rsidRPr="002E5B20">
              <w:t>0,2</w:t>
            </w:r>
          </w:p>
        </w:tc>
        <w:tc>
          <w:tcPr>
            <w:tcW w:w="752" w:type="dxa"/>
            <w:noWrap/>
            <w:vAlign w:val="bottom"/>
          </w:tcPr>
          <w:p w14:paraId="14D3FD0E" w14:textId="77777777" w:rsidR="006C35F8" w:rsidRPr="000D41E7" w:rsidRDefault="006C35F8" w:rsidP="0030571A">
            <w:pPr>
              <w:pStyle w:val="TabeladesnoUMAR"/>
            </w:pPr>
            <w:r w:rsidRPr="002E5B20">
              <w:t>0,1</w:t>
            </w:r>
          </w:p>
        </w:tc>
        <w:tc>
          <w:tcPr>
            <w:tcW w:w="715" w:type="dxa"/>
            <w:noWrap/>
            <w:vAlign w:val="bottom"/>
          </w:tcPr>
          <w:p w14:paraId="239FB5DD" w14:textId="77777777" w:rsidR="006C35F8" w:rsidRPr="000D41E7" w:rsidRDefault="006C35F8" w:rsidP="0030571A">
            <w:pPr>
              <w:pStyle w:val="TabeladesnoUMAR"/>
            </w:pPr>
            <w:r w:rsidRPr="002E5B20">
              <w:t>0,1</w:t>
            </w:r>
          </w:p>
        </w:tc>
        <w:tc>
          <w:tcPr>
            <w:tcW w:w="752" w:type="dxa"/>
            <w:noWrap/>
            <w:vAlign w:val="bottom"/>
          </w:tcPr>
          <w:p w14:paraId="4110A678" w14:textId="77777777" w:rsidR="006C35F8" w:rsidRPr="000D41E7" w:rsidRDefault="006C35F8" w:rsidP="0030571A">
            <w:pPr>
              <w:pStyle w:val="TabeladesnoUMAR"/>
            </w:pPr>
            <w:r w:rsidRPr="002E5B20">
              <w:t>0,0</w:t>
            </w:r>
          </w:p>
        </w:tc>
        <w:tc>
          <w:tcPr>
            <w:tcW w:w="673" w:type="dxa"/>
            <w:noWrap/>
            <w:vAlign w:val="bottom"/>
          </w:tcPr>
          <w:p w14:paraId="36CF1280" w14:textId="77777777" w:rsidR="006C35F8" w:rsidRPr="000D41E7" w:rsidRDefault="006C35F8" w:rsidP="0030571A">
            <w:pPr>
              <w:pStyle w:val="TabeladesnoUMAR"/>
            </w:pPr>
            <w:r w:rsidRPr="002E5B20">
              <w:t>0,0</w:t>
            </w:r>
          </w:p>
        </w:tc>
        <w:tc>
          <w:tcPr>
            <w:tcW w:w="838" w:type="dxa"/>
            <w:noWrap/>
            <w:vAlign w:val="bottom"/>
          </w:tcPr>
          <w:p w14:paraId="41058839" w14:textId="77777777" w:rsidR="006C35F8" w:rsidRPr="000D41E7" w:rsidRDefault="006C35F8" w:rsidP="0030571A">
            <w:pPr>
              <w:pStyle w:val="TabeladesnoUMAR"/>
            </w:pPr>
            <w:r w:rsidRPr="002E5B20">
              <w:t>0,0</w:t>
            </w:r>
          </w:p>
        </w:tc>
      </w:tr>
      <w:tr w:rsidR="006C35F8" w:rsidRPr="00B80429" w14:paraId="7E3B624D" w14:textId="77777777" w:rsidTr="0062274D">
        <w:trPr>
          <w:trHeight w:val="277"/>
        </w:trPr>
        <w:tc>
          <w:tcPr>
            <w:tcW w:w="2268" w:type="dxa"/>
          </w:tcPr>
          <w:p w14:paraId="3B05D6F2" w14:textId="77777777" w:rsidR="006C35F8" w:rsidRPr="000D41E7" w:rsidRDefault="006C35F8" w:rsidP="009C2105">
            <w:pPr>
              <w:pStyle w:val="TabelalevoUMAR"/>
            </w:pPr>
            <w:r w:rsidRPr="002E5B20">
              <w:t>62 Izdelki iz kavčuka</w:t>
            </w:r>
          </w:p>
        </w:tc>
        <w:tc>
          <w:tcPr>
            <w:tcW w:w="620" w:type="dxa"/>
            <w:noWrap/>
            <w:vAlign w:val="bottom"/>
          </w:tcPr>
          <w:p w14:paraId="6A13C3EC" w14:textId="77777777" w:rsidR="006C35F8" w:rsidRPr="000D41E7" w:rsidRDefault="006C35F8" w:rsidP="0030571A">
            <w:pPr>
              <w:pStyle w:val="TabeladesnoUMAR"/>
            </w:pPr>
            <w:r w:rsidRPr="002E5B20">
              <w:t>1,1</w:t>
            </w:r>
          </w:p>
        </w:tc>
        <w:tc>
          <w:tcPr>
            <w:tcW w:w="752" w:type="dxa"/>
            <w:noWrap/>
            <w:vAlign w:val="bottom"/>
          </w:tcPr>
          <w:p w14:paraId="135035EA" w14:textId="77777777" w:rsidR="006C35F8" w:rsidRPr="000D41E7" w:rsidRDefault="006C35F8" w:rsidP="0030571A">
            <w:pPr>
              <w:pStyle w:val="TabeladesnoUMAR"/>
            </w:pPr>
            <w:r w:rsidRPr="002E5B20">
              <w:t>0,3</w:t>
            </w:r>
          </w:p>
        </w:tc>
        <w:tc>
          <w:tcPr>
            <w:tcW w:w="1067" w:type="dxa"/>
            <w:noWrap/>
            <w:vAlign w:val="bottom"/>
          </w:tcPr>
          <w:p w14:paraId="07310B2F" w14:textId="77777777" w:rsidR="006C35F8" w:rsidRPr="000D41E7" w:rsidRDefault="006C35F8" w:rsidP="0030571A">
            <w:pPr>
              <w:pStyle w:val="TabeladesnoUMAR"/>
            </w:pPr>
            <w:r w:rsidRPr="002E5B20">
              <w:t>0,3</w:t>
            </w:r>
          </w:p>
        </w:tc>
        <w:tc>
          <w:tcPr>
            <w:tcW w:w="623" w:type="dxa"/>
            <w:noWrap/>
            <w:vAlign w:val="bottom"/>
          </w:tcPr>
          <w:p w14:paraId="7F86ADE3" w14:textId="77777777" w:rsidR="006C35F8" w:rsidRPr="000D41E7" w:rsidRDefault="006C35F8" w:rsidP="0030571A">
            <w:pPr>
              <w:pStyle w:val="TabeladesnoUMAR"/>
            </w:pPr>
            <w:r w:rsidRPr="002E5B20">
              <w:t>2,3</w:t>
            </w:r>
          </w:p>
        </w:tc>
        <w:tc>
          <w:tcPr>
            <w:tcW w:w="752" w:type="dxa"/>
            <w:noWrap/>
            <w:vAlign w:val="bottom"/>
          </w:tcPr>
          <w:p w14:paraId="6CC9D6EC" w14:textId="77777777" w:rsidR="006C35F8" w:rsidRPr="000D41E7" w:rsidRDefault="006C35F8" w:rsidP="0030571A">
            <w:pPr>
              <w:pStyle w:val="TabeladesnoUMAR"/>
            </w:pPr>
            <w:r w:rsidRPr="002E5B20">
              <w:t>0,6</w:t>
            </w:r>
          </w:p>
        </w:tc>
        <w:tc>
          <w:tcPr>
            <w:tcW w:w="715" w:type="dxa"/>
            <w:noWrap/>
            <w:vAlign w:val="bottom"/>
          </w:tcPr>
          <w:p w14:paraId="16470683" w14:textId="77777777" w:rsidR="006C35F8" w:rsidRPr="000D41E7" w:rsidRDefault="006C35F8" w:rsidP="0030571A">
            <w:pPr>
              <w:pStyle w:val="TabeladesnoUMAR"/>
            </w:pPr>
            <w:r w:rsidRPr="002E5B20">
              <w:t>0,5</w:t>
            </w:r>
          </w:p>
        </w:tc>
        <w:tc>
          <w:tcPr>
            <w:tcW w:w="752" w:type="dxa"/>
            <w:noWrap/>
            <w:vAlign w:val="bottom"/>
          </w:tcPr>
          <w:p w14:paraId="3DD17CEC" w14:textId="77777777" w:rsidR="006C35F8" w:rsidRPr="000D41E7" w:rsidRDefault="006C35F8" w:rsidP="0030571A">
            <w:pPr>
              <w:pStyle w:val="TabeladesnoUMAR"/>
            </w:pPr>
            <w:r w:rsidRPr="002E5B20">
              <w:t>0,0</w:t>
            </w:r>
          </w:p>
        </w:tc>
        <w:tc>
          <w:tcPr>
            <w:tcW w:w="673" w:type="dxa"/>
            <w:noWrap/>
            <w:vAlign w:val="bottom"/>
          </w:tcPr>
          <w:p w14:paraId="28B23F74" w14:textId="77777777" w:rsidR="006C35F8" w:rsidRPr="000D41E7" w:rsidRDefault="006C35F8" w:rsidP="0030571A">
            <w:pPr>
              <w:pStyle w:val="TabeladesnoUMAR"/>
            </w:pPr>
            <w:r w:rsidRPr="002E5B20">
              <w:t>0,0</w:t>
            </w:r>
          </w:p>
        </w:tc>
        <w:tc>
          <w:tcPr>
            <w:tcW w:w="838" w:type="dxa"/>
            <w:noWrap/>
            <w:vAlign w:val="bottom"/>
          </w:tcPr>
          <w:p w14:paraId="59391730" w14:textId="77777777" w:rsidR="006C35F8" w:rsidRPr="000D41E7" w:rsidRDefault="006C35F8" w:rsidP="0030571A">
            <w:pPr>
              <w:pStyle w:val="TabeladesnoUMAR"/>
            </w:pPr>
            <w:r w:rsidRPr="002E5B20">
              <w:t>0,0</w:t>
            </w:r>
          </w:p>
        </w:tc>
      </w:tr>
      <w:tr w:rsidR="006C35F8" w:rsidRPr="00B80429" w14:paraId="483EFEA4" w14:textId="77777777" w:rsidTr="0062274D">
        <w:trPr>
          <w:trHeight w:val="277"/>
        </w:trPr>
        <w:tc>
          <w:tcPr>
            <w:tcW w:w="2268" w:type="dxa"/>
          </w:tcPr>
          <w:p w14:paraId="47372A52" w14:textId="77777777" w:rsidR="006C35F8" w:rsidRPr="000D41E7" w:rsidRDefault="006C35F8" w:rsidP="009C2105">
            <w:pPr>
              <w:pStyle w:val="TabelalevoUMAR"/>
            </w:pPr>
            <w:r w:rsidRPr="002E5B20">
              <w:t>89 Razni gotovi izdelki</w:t>
            </w:r>
          </w:p>
        </w:tc>
        <w:tc>
          <w:tcPr>
            <w:tcW w:w="620" w:type="dxa"/>
            <w:noWrap/>
            <w:vAlign w:val="bottom"/>
          </w:tcPr>
          <w:p w14:paraId="2A5F597E" w14:textId="77777777" w:rsidR="006C35F8" w:rsidRPr="000D41E7" w:rsidRDefault="006C35F8" w:rsidP="0030571A">
            <w:pPr>
              <w:pStyle w:val="TabeladesnoUMAR"/>
            </w:pPr>
            <w:r w:rsidRPr="002E5B20">
              <w:t>1,0</w:t>
            </w:r>
          </w:p>
        </w:tc>
        <w:tc>
          <w:tcPr>
            <w:tcW w:w="752" w:type="dxa"/>
            <w:noWrap/>
            <w:vAlign w:val="bottom"/>
          </w:tcPr>
          <w:p w14:paraId="26F8F81D" w14:textId="77777777" w:rsidR="006C35F8" w:rsidRPr="000D41E7" w:rsidRDefault="006C35F8" w:rsidP="0030571A">
            <w:pPr>
              <w:pStyle w:val="TabeladesnoUMAR"/>
            </w:pPr>
            <w:r w:rsidRPr="002E5B20">
              <w:t>0,3</w:t>
            </w:r>
          </w:p>
        </w:tc>
        <w:tc>
          <w:tcPr>
            <w:tcW w:w="1067" w:type="dxa"/>
            <w:noWrap/>
            <w:vAlign w:val="bottom"/>
          </w:tcPr>
          <w:p w14:paraId="385332FF" w14:textId="77777777" w:rsidR="006C35F8" w:rsidRPr="000D41E7" w:rsidRDefault="006C35F8" w:rsidP="0030571A">
            <w:pPr>
              <w:pStyle w:val="TabeladesnoUMAR"/>
            </w:pPr>
            <w:r w:rsidRPr="002E5B20">
              <w:t>0,1</w:t>
            </w:r>
          </w:p>
        </w:tc>
        <w:tc>
          <w:tcPr>
            <w:tcW w:w="623" w:type="dxa"/>
            <w:noWrap/>
            <w:vAlign w:val="bottom"/>
          </w:tcPr>
          <w:p w14:paraId="6AD83EE5" w14:textId="77777777" w:rsidR="006C35F8" w:rsidRPr="000D41E7" w:rsidRDefault="006C35F8" w:rsidP="0030571A">
            <w:pPr>
              <w:pStyle w:val="TabeladesnoUMAR"/>
            </w:pPr>
            <w:r w:rsidRPr="002E5B20">
              <w:t>0,8</w:t>
            </w:r>
          </w:p>
        </w:tc>
        <w:tc>
          <w:tcPr>
            <w:tcW w:w="752" w:type="dxa"/>
            <w:noWrap/>
            <w:vAlign w:val="bottom"/>
          </w:tcPr>
          <w:p w14:paraId="04F1C45E" w14:textId="77777777" w:rsidR="006C35F8" w:rsidRPr="000D41E7" w:rsidRDefault="006C35F8" w:rsidP="0030571A">
            <w:pPr>
              <w:pStyle w:val="TabeladesnoUMAR"/>
            </w:pPr>
            <w:r w:rsidRPr="002E5B20">
              <w:t>0,2</w:t>
            </w:r>
          </w:p>
        </w:tc>
        <w:tc>
          <w:tcPr>
            <w:tcW w:w="715" w:type="dxa"/>
            <w:noWrap/>
            <w:vAlign w:val="bottom"/>
          </w:tcPr>
          <w:p w14:paraId="4A06F049" w14:textId="77777777" w:rsidR="006C35F8" w:rsidRPr="000D41E7" w:rsidRDefault="006C35F8" w:rsidP="0030571A">
            <w:pPr>
              <w:pStyle w:val="TabeladesnoUMAR"/>
            </w:pPr>
            <w:r w:rsidRPr="002E5B20">
              <w:t>0,9</w:t>
            </w:r>
          </w:p>
        </w:tc>
        <w:tc>
          <w:tcPr>
            <w:tcW w:w="752" w:type="dxa"/>
            <w:noWrap/>
            <w:vAlign w:val="bottom"/>
          </w:tcPr>
          <w:p w14:paraId="073D0BD2" w14:textId="77777777" w:rsidR="006C35F8" w:rsidRPr="000D41E7" w:rsidRDefault="006C35F8" w:rsidP="0030571A">
            <w:pPr>
              <w:pStyle w:val="TabeladesnoUMAR"/>
            </w:pPr>
            <w:r w:rsidRPr="002E5B20">
              <w:t>0,1</w:t>
            </w:r>
          </w:p>
        </w:tc>
        <w:tc>
          <w:tcPr>
            <w:tcW w:w="673" w:type="dxa"/>
            <w:noWrap/>
            <w:vAlign w:val="bottom"/>
          </w:tcPr>
          <w:p w14:paraId="4BFB2EF6" w14:textId="77777777" w:rsidR="006C35F8" w:rsidRPr="000D41E7" w:rsidRDefault="006C35F8" w:rsidP="0030571A">
            <w:pPr>
              <w:pStyle w:val="TabeladesnoUMAR"/>
            </w:pPr>
            <w:r w:rsidRPr="002E5B20">
              <w:t>0,1</w:t>
            </w:r>
          </w:p>
        </w:tc>
        <w:tc>
          <w:tcPr>
            <w:tcW w:w="838" w:type="dxa"/>
            <w:noWrap/>
            <w:vAlign w:val="bottom"/>
          </w:tcPr>
          <w:p w14:paraId="7E456BA1" w14:textId="77777777" w:rsidR="006C35F8" w:rsidRPr="000D41E7" w:rsidRDefault="006C35F8" w:rsidP="0030571A">
            <w:pPr>
              <w:pStyle w:val="TabeladesnoUMAR"/>
            </w:pPr>
            <w:r w:rsidRPr="002E5B20">
              <w:t>0,1</w:t>
            </w:r>
          </w:p>
        </w:tc>
      </w:tr>
      <w:tr w:rsidR="006C35F8" w:rsidRPr="00B80429" w14:paraId="029E87C8" w14:textId="77777777" w:rsidTr="0062274D">
        <w:trPr>
          <w:trHeight w:val="277"/>
        </w:trPr>
        <w:tc>
          <w:tcPr>
            <w:tcW w:w="2268" w:type="dxa"/>
          </w:tcPr>
          <w:p w14:paraId="33BBBCDC" w14:textId="77777777" w:rsidR="006C35F8" w:rsidRPr="000D41E7" w:rsidRDefault="006C35F8" w:rsidP="009C2105">
            <w:pPr>
              <w:pStyle w:val="TabelalevoUMAR"/>
            </w:pPr>
            <w:r w:rsidRPr="002E5B20">
              <w:t>72 Spec. stroji za posebne vrste industrije</w:t>
            </w:r>
          </w:p>
        </w:tc>
        <w:tc>
          <w:tcPr>
            <w:tcW w:w="620" w:type="dxa"/>
            <w:noWrap/>
            <w:vAlign w:val="bottom"/>
          </w:tcPr>
          <w:p w14:paraId="4449113F" w14:textId="77777777" w:rsidR="006C35F8" w:rsidRPr="000D41E7" w:rsidRDefault="006C35F8" w:rsidP="0030571A">
            <w:pPr>
              <w:pStyle w:val="TabeladesnoUMAR"/>
            </w:pPr>
            <w:r w:rsidRPr="002E5B20">
              <w:t>1,0</w:t>
            </w:r>
          </w:p>
        </w:tc>
        <w:tc>
          <w:tcPr>
            <w:tcW w:w="752" w:type="dxa"/>
            <w:noWrap/>
            <w:vAlign w:val="bottom"/>
          </w:tcPr>
          <w:p w14:paraId="4227891C" w14:textId="77777777" w:rsidR="006C35F8" w:rsidRPr="000D41E7" w:rsidRDefault="006C35F8" w:rsidP="0030571A">
            <w:pPr>
              <w:pStyle w:val="TabeladesnoUMAR"/>
            </w:pPr>
            <w:r w:rsidRPr="002E5B20">
              <w:t>0,3</w:t>
            </w:r>
          </w:p>
        </w:tc>
        <w:tc>
          <w:tcPr>
            <w:tcW w:w="1067" w:type="dxa"/>
            <w:noWrap/>
            <w:vAlign w:val="bottom"/>
          </w:tcPr>
          <w:p w14:paraId="01C3CE3E" w14:textId="77777777" w:rsidR="006C35F8" w:rsidRPr="000D41E7" w:rsidRDefault="006C35F8" w:rsidP="0030571A">
            <w:pPr>
              <w:pStyle w:val="TabeladesnoUMAR"/>
            </w:pPr>
            <w:r w:rsidRPr="002E5B20">
              <w:t>0,1</w:t>
            </w:r>
          </w:p>
        </w:tc>
        <w:tc>
          <w:tcPr>
            <w:tcW w:w="623" w:type="dxa"/>
            <w:noWrap/>
            <w:vAlign w:val="bottom"/>
          </w:tcPr>
          <w:p w14:paraId="4FCBD68C" w14:textId="77777777" w:rsidR="006C35F8" w:rsidRPr="000D41E7" w:rsidRDefault="006C35F8" w:rsidP="0030571A">
            <w:pPr>
              <w:pStyle w:val="TabeladesnoUMAR"/>
            </w:pPr>
            <w:r w:rsidRPr="002E5B20">
              <w:t>1,4</w:t>
            </w:r>
          </w:p>
        </w:tc>
        <w:tc>
          <w:tcPr>
            <w:tcW w:w="752" w:type="dxa"/>
            <w:noWrap/>
            <w:vAlign w:val="bottom"/>
          </w:tcPr>
          <w:p w14:paraId="59F29147" w14:textId="77777777" w:rsidR="006C35F8" w:rsidRPr="000D41E7" w:rsidRDefault="006C35F8" w:rsidP="0030571A">
            <w:pPr>
              <w:pStyle w:val="TabeladesnoUMAR"/>
            </w:pPr>
            <w:r w:rsidRPr="002E5B20">
              <w:t>0,4</w:t>
            </w:r>
          </w:p>
        </w:tc>
        <w:tc>
          <w:tcPr>
            <w:tcW w:w="715" w:type="dxa"/>
            <w:noWrap/>
            <w:vAlign w:val="bottom"/>
          </w:tcPr>
          <w:p w14:paraId="49BC2829" w14:textId="77777777" w:rsidR="006C35F8" w:rsidRPr="000D41E7" w:rsidRDefault="006C35F8" w:rsidP="0030571A">
            <w:pPr>
              <w:pStyle w:val="TabeladesnoUMAR"/>
            </w:pPr>
            <w:r w:rsidRPr="002E5B20">
              <w:t>0,8</w:t>
            </w:r>
          </w:p>
        </w:tc>
        <w:tc>
          <w:tcPr>
            <w:tcW w:w="752" w:type="dxa"/>
            <w:noWrap/>
            <w:vAlign w:val="bottom"/>
          </w:tcPr>
          <w:p w14:paraId="525D7ECA" w14:textId="77777777" w:rsidR="006C35F8" w:rsidRPr="000D41E7" w:rsidRDefault="006C35F8" w:rsidP="0030571A">
            <w:pPr>
              <w:pStyle w:val="TabeladesnoUMAR"/>
            </w:pPr>
            <w:r w:rsidRPr="002E5B20">
              <w:t>0,1</w:t>
            </w:r>
          </w:p>
        </w:tc>
        <w:tc>
          <w:tcPr>
            <w:tcW w:w="673" w:type="dxa"/>
            <w:noWrap/>
            <w:vAlign w:val="bottom"/>
          </w:tcPr>
          <w:p w14:paraId="67D5F9AD" w14:textId="77777777" w:rsidR="006C35F8" w:rsidRPr="000D41E7" w:rsidRDefault="006C35F8" w:rsidP="0030571A">
            <w:pPr>
              <w:pStyle w:val="TabeladesnoUMAR"/>
            </w:pPr>
            <w:r w:rsidRPr="002E5B20">
              <w:t>0,0</w:t>
            </w:r>
          </w:p>
        </w:tc>
        <w:tc>
          <w:tcPr>
            <w:tcW w:w="838" w:type="dxa"/>
            <w:noWrap/>
            <w:vAlign w:val="bottom"/>
          </w:tcPr>
          <w:p w14:paraId="16D84A13" w14:textId="77777777" w:rsidR="006C35F8" w:rsidRPr="000D41E7" w:rsidRDefault="006C35F8" w:rsidP="0030571A">
            <w:pPr>
              <w:pStyle w:val="TabeladesnoUMAR"/>
            </w:pPr>
            <w:r w:rsidRPr="002E5B20">
              <w:t>0,0</w:t>
            </w:r>
          </w:p>
        </w:tc>
      </w:tr>
      <w:tr w:rsidR="006C35F8" w:rsidRPr="00B80429" w14:paraId="51ECECDB" w14:textId="77777777" w:rsidTr="0062274D">
        <w:trPr>
          <w:trHeight w:val="277"/>
        </w:trPr>
        <w:tc>
          <w:tcPr>
            <w:tcW w:w="2268" w:type="dxa"/>
          </w:tcPr>
          <w:p w14:paraId="16CBC512" w14:textId="77777777" w:rsidR="006C35F8" w:rsidRPr="000D41E7" w:rsidRDefault="006C35F8" w:rsidP="009C2105">
            <w:pPr>
              <w:pStyle w:val="TabelalevoUMAR"/>
            </w:pPr>
            <w:r w:rsidRPr="002E5B20">
              <w:t>04 Žita in proizvodi iz žit</w:t>
            </w:r>
          </w:p>
        </w:tc>
        <w:tc>
          <w:tcPr>
            <w:tcW w:w="620" w:type="dxa"/>
            <w:noWrap/>
            <w:vAlign w:val="bottom"/>
          </w:tcPr>
          <w:p w14:paraId="22540CF9" w14:textId="77777777" w:rsidR="006C35F8" w:rsidRPr="000D41E7" w:rsidRDefault="006C35F8" w:rsidP="0030571A">
            <w:pPr>
              <w:pStyle w:val="TabeladesnoUMAR"/>
            </w:pPr>
            <w:r w:rsidRPr="002E5B20">
              <w:t>0,9</w:t>
            </w:r>
          </w:p>
        </w:tc>
        <w:tc>
          <w:tcPr>
            <w:tcW w:w="752" w:type="dxa"/>
            <w:noWrap/>
            <w:vAlign w:val="bottom"/>
          </w:tcPr>
          <w:p w14:paraId="0D82773D" w14:textId="77777777" w:rsidR="006C35F8" w:rsidRPr="000D41E7" w:rsidRDefault="006C35F8" w:rsidP="0030571A">
            <w:pPr>
              <w:pStyle w:val="TabeladesnoUMAR"/>
            </w:pPr>
            <w:r w:rsidRPr="002E5B20">
              <w:t>0,3</w:t>
            </w:r>
          </w:p>
        </w:tc>
        <w:tc>
          <w:tcPr>
            <w:tcW w:w="1067" w:type="dxa"/>
            <w:noWrap/>
            <w:vAlign w:val="bottom"/>
          </w:tcPr>
          <w:p w14:paraId="61251D46" w14:textId="77777777" w:rsidR="006C35F8" w:rsidRPr="000D41E7" w:rsidRDefault="006C35F8" w:rsidP="0030571A">
            <w:pPr>
              <w:pStyle w:val="TabeladesnoUMAR"/>
            </w:pPr>
            <w:r w:rsidRPr="002E5B20">
              <w:t>0,4</w:t>
            </w:r>
          </w:p>
        </w:tc>
        <w:tc>
          <w:tcPr>
            <w:tcW w:w="623" w:type="dxa"/>
            <w:noWrap/>
            <w:vAlign w:val="bottom"/>
          </w:tcPr>
          <w:p w14:paraId="67E0F685" w14:textId="77777777" w:rsidR="006C35F8" w:rsidRPr="000D41E7" w:rsidRDefault="006C35F8" w:rsidP="0030571A">
            <w:pPr>
              <w:pStyle w:val="TabeladesnoUMAR"/>
            </w:pPr>
            <w:r w:rsidRPr="002E5B20">
              <w:t>0,1</w:t>
            </w:r>
          </w:p>
        </w:tc>
        <w:tc>
          <w:tcPr>
            <w:tcW w:w="752" w:type="dxa"/>
            <w:noWrap/>
            <w:vAlign w:val="bottom"/>
          </w:tcPr>
          <w:p w14:paraId="3C5E4254" w14:textId="77777777" w:rsidR="006C35F8" w:rsidRPr="000D41E7" w:rsidRDefault="006C35F8" w:rsidP="0030571A">
            <w:pPr>
              <w:pStyle w:val="TabeladesnoUMAR"/>
            </w:pPr>
            <w:r w:rsidRPr="002E5B20">
              <w:t>0,0</w:t>
            </w:r>
          </w:p>
        </w:tc>
        <w:tc>
          <w:tcPr>
            <w:tcW w:w="715" w:type="dxa"/>
            <w:noWrap/>
            <w:vAlign w:val="bottom"/>
          </w:tcPr>
          <w:p w14:paraId="07236D95" w14:textId="77777777" w:rsidR="006C35F8" w:rsidRPr="000D41E7" w:rsidRDefault="006C35F8" w:rsidP="0030571A">
            <w:pPr>
              <w:pStyle w:val="TabeladesnoUMAR"/>
            </w:pPr>
            <w:r w:rsidRPr="002E5B20">
              <w:t>0,1</w:t>
            </w:r>
          </w:p>
        </w:tc>
        <w:tc>
          <w:tcPr>
            <w:tcW w:w="752" w:type="dxa"/>
            <w:noWrap/>
            <w:vAlign w:val="bottom"/>
          </w:tcPr>
          <w:p w14:paraId="752F912B" w14:textId="77777777" w:rsidR="006C35F8" w:rsidRPr="000D41E7" w:rsidRDefault="006C35F8" w:rsidP="0030571A">
            <w:pPr>
              <w:pStyle w:val="TabeladesnoUMAR"/>
            </w:pPr>
            <w:r w:rsidRPr="002E5B20">
              <w:t>0,0</w:t>
            </w:r>
          </w:p>
        </w:tc>
        <w:tc>
          <w:tcPr>
            <w:tcW w:w="673" w:type="dxa"/>
            <w:noWrap/>
            <w:vAlign w:val="bottom"/>
          </w:tcPr>
          <w:p w14:paraId="3CE1069F" w14:textId="77777777" w:rsidR="006C35F8" w:rsidRPr="000D41E7" w:rsidRDefault="006C35F8" w:rsidP="0030571A">
            <w:pPr>
              <w:pStyle w:val="TabeladesnoUMAR"/>
            </w:pPr>
            <w:r w:rsidRPr="002E5B20">
              <w:t>0,0</w:t>
            </w:r>
          </w:p>
        </w:tc>
        <w:tc>
          <w:tcPr>
            <w:tcW w:w="838" w:type="dxa"/>
            <w:noWrap/>
            <w:vAlign w:val="bottom"/>
          </w:tcPr>
          <w:p w14:paraId="1FC7E019" w14:textId="77777777" w:rsidR="006C35F8" w:rsidRPr="000D41E7" w:rsidRDefault="006C35F8" w:rsidP="0030571A">
            <w:pPr>
              <w:pStyle w:val="TabeladesnoUMAR"/>
            </w:pPr>
            <w:r w:rsidRPr="002E5B20">
              <w:t>0,0</w:t>
            </w:r>
          </w:p>
        </w:tc>
      </w:tr>
      <w:tr w:rsidR="006C35F8" w:rsidRPr="00B80429" w14:paraId="52652D61" w14:textId="77777777" w:rsidTr="0062274D">
        <w:trPr>
          <w:trHeight w:val="277"/>
        </w:trPr>
        <w:tc>
          <w:tcPr>
            <w:tcW w:w="2268" w:type="dxa"/>
          </w:tcPr>
          <w:p w14:paraId="09477C3B" w14:textId="77777777" w:rsidR="006C35F8" w:rsidRPr="000D41E7" w:rsidRDefault="006C35F8" w:rsidP="009C2105">
            <w:pPr>
              <w:pStyle w:val="TabelalevoUMAR"/>
            </w:pPr>
            <w:r w:rsidRPr="002E5B20">
              <w:t>21 Kože, surove in neobdelano krzno</w:t>
            </w:r>
          </w:p>
        </w:tc>
        <w:tc>
          <w:tcPr>
            <w:tcW w:w="620" w:type="dxa"/>
            <w:noWrap/>
            <w:vAlign w:val="bottom"/>
          </w:tcPr>
          <w:p w14:paraId="1675A1C7" w14:textId="77777777" w:rsidR="006C35F8" w:rsidRPr="000D41E7" w:rsidRDefault="006C35F8" w:rsidP="0030571A">
            <w:pPr>
              <w:pStyle w:val="TabeladesnoUMAR"/>
            </w:pPr>
            <w:r w:rsidRPr="002E5B20">
              <w:t>0,9</w:t>
            </w:r>
          </w:p>
        </w:tc>
        <w:tc>
          <w:tcPr>
            <w:tcW w:w="752" w:type="dxa"/>
            <w:noWrap/>
            <w:vAlign w:val="bottom"/>
          </w:tcPr>
          <w:p w14:paraId="39CC0791" w14:textId="77777777" w:rsidR="006C35F8" w:rsidRPr="000D41E7" w:rsidRDefault="006C35F8" w:rsidP="0030571A">
            <w:pPr>
              <w:pStyle w:val="TabeladesnoUMAR"/>
            </w:pPr>
            <w:r w:rsidRPr="002E5B20">
              <w:t>0,3</w:t>
            </w:r>
          </w:p>
        </w:tc>
        <w:tc>
          <w:tcPr>
            <w:tcW w:w="1067" w:type="dxa"/>
            <w:noWrap/>
            <w:vAlign w:val="bottom"/>
          </w:tcPr>
          <w:p w14:paraId="634B08F6" w14:textId="77777777" w:rsidR="006C35F8" w:rsidRPr="000D41E7" w:rsidRDefault="006C35F8" w:rsidP="0030571A">
            <w:pPr>
              <w:pStyle w:val="TabeladesnoUMAR"/>
            </w:pPr>
            <w:r w:rsidRPr="002E5B20">
              <w:t>5,3</w:t>
            </w:r>
          </w:p>
        </w:tc>
        <w:tc>
          <w:tcPr>
            <w:tcW w:w="623" w:type="dxa"/>
            <w:noWrap/>
            <w:vAlign w:val="bottom"/>
          </w:tcPr>
          <w:p w14:paraId="50A3A38D" w14:textId="77777777" w:rsidR="006C35F8" w:rsidRPr="000D41E7" w:rsidRDefault="006C35F8" w:rsidP="0030571A">
            <w:pPr>
              <w:pStyle w:val="TabeladesnoUMAR"/>
            </w:pPr>
            <w:r w:rsidRPr="002E5B20">
              <w:t>0,0</w:t>
            </w:r>
          </w:p>
        </w:tc>
        <w:tc>
          <w:tcPr>
            <w:tcW w:w="752" w:type="dxa"/>
            <w:noWrap/>
            <w:vAlign w:val="bottom"/>
          </w:tcPr>
          <w:p w14:paraId="30C63E6D" w14:textId="77777777" w:rsidR="006C35F8" w:rsidRPr="000D41E7" w:rsidRDefault="006C35F8" w:rsidP="0030571A">
            <w:pPr>
              <w:pStyle w:val="TabeladesnoUMAR"/>
            </w:pPr>
            <w:r w:rsidRPr="002E5B20">
              <w:t>0,0</w:t>
            </w:r>
          </w:p>
        </w:tc>
        <w:tc>
          <w:tcPr>
            <w:tcW w:w="715" w:type="dxa"/>
            <w:noWrap/>
            <w:vAlign w:val="bottom"/>
          </w:tcPr>
          <w:p w14:paraId="4055AC25" w14:textId="77777777" w:rsidR="006C35F8" w:rsidRPr="000D41E7" w:rsidRDefault="006C35F8" w:rsidP="0030571A">
            <w:pPr>
              <w:pStyle w:val="TabeladesnoUMAR"/>
            </w:pPr>
            <w:r w:rsidRPr="002E5B20">
              <w:t>0,0</w:t>
            </w:r>
          </w:p>
        </w:tc>
        <w:tc>
          <w:tcPr>
            <w:tcW w:w="752" w:type="dxa"/>
            <w:noWrap/>
            <w:vAlign w:val="bottom"/>
          </w:tcPr>
          <w:p w14:paraId="31B9EB66" w14:textId="77777777" w:rsidR="006C35F8" w:rsidRPr="000D41E7" w:rsidRDefault="006C35F8" w:rsidP="0030571A">
            <w:pPr>
              <w:pStyle w:val="TabeladesnoUMAR"/>
            </w:pPr>
            <w:r w:rsidRPr="002E5B20">
              <w:t>0,0</w:t>
            </w:r>
          </w:p>
        </w:tc>
        <w:tc>
          <w:tcPr>
            <w:tcW w:w="673" w:type="dxa"/>
            <w:noWrap/>
            <w:vAlign w:val="bottom"/>
          </w:tcPr>
          <w:p w14:paraId="4488675F" w14:textId="77777777" w:rsidR="006C35F8" w:rsidRPr="000D41E7" w:rsidRDefault="006C35F8" w:rsidP="0030571A">
            <w:pPr>
              <w:pStyle w:val="TabeladesnoUMAR"/>
            </w:pPr>
            <w:r w:rsidRPr="002E5B20">
              <w:t>0,0</w:t>
            </w:r>
          </w:p>
        </w:tc>
        <w:tc>
          <w:tcPr>
            <w:tcW w:w="838" w:type="dxa"/>
            <w:noWrap/>
            <w:vAlign w:val="bottom"/>
          </w:tcPr>
          <w:p w14:paraId="3FF26DA5" w14:textId="77777777" w:rsidR="006C35F8" w:rsidRPr="000D41E7" w:rsidRDefault="006C35F8" w:rsidP="0030571A">
            <w:pPr>
              <w:pStyle w:val="TabeladesnoUMAR"/>
            </w:pPr>
            <w:r w:rsidRPr="002E5B20">
              <w:t>0,0</w:t>
            </w:r>
          </w:p>
        </w:tc>
      </w:tr>
      <w:tr w:rsidR="006C35F8" w:rsidRPr="00B80429" w14:paraId="583E062A" w14:textId="77777777" w:rsidTr="0062274D">
        <w:trPr>
          <w:trHeight w:val="277"/>
        </w:trPr>
        <w:tc>
          <w:tcPr>
            <w:tcW w:w="2268" w:type="dxa"/>
          </w:tcPr>
          <w:p w14:paraId="0E8AC54C" w14:textId="77777777" w:rsidR="006C35F8" w:rsidRPr="000D41E7" w:rsidRDefault="006C35F8" w:rsidP="009C2105">
            <w:pPr>
              <w:pStyle w:val="TabelalevoUMAR"/>
            </w:pPr>
            <w:r>
              <w:t>Ostalo</w:t>
            </w:r>
          </w:p>
        </w:tc>
        <w:tc>
          <w:tcPr>
            <w:tcW w:w="620" w:type="dxa"/>
            <w:noWrap/>
            <w:vAlign w:val="bottom"/>
          </w:tcPr>
          <w:p w14:paraId="7CBFAD07" w14:textId="77777777" w:rsidR="006C35F8" w:rsidRPr="000D41E7" w:rsidRDefault="006C35F8" w:rsidP="0030571A">
            <w:pPr>
              <w:pStyle w:val="TabeladesnoUMAR"/>
            </w:pPr>
            <w:r w:rsidRPr="00EC5D92">
              <w:t>5,0</w:t>
            </w:r>
          </w:p>
        </w:tc>
        <w:tc>
          <w:tcPr>
            <w:tcW w:w="752" w:type="dxa"/>
            <w:noWrap/>
            <w:vAlign w:val="bottom"/>
          </w:tcPr>
          <w:p w14:paraId="605DDD20" w14:textId="77777777" w:rsidR="006C35F8" w:rsidRPr="000D41E7" w:rsidRDefault="006C35F8" w:rsidP="0030571A">
            <w:pPr>
              <w:pStyle w:val="TabeladesnoUMAR"/>
            </w:pPr>
            <w:r w:rsidRPr="00EC5D92">
              <w:t>1,4</w:t>
            </w:r>
          </w:p>
        </w:tc>
        <w:tc>
          <w:tcPr>
            <w:tcW w:w="1067" w:type="dxa"/>
            <w:noWrap/>
            <w:vAlign w:val="bottom"/>
          </w:tcPr>
          <w:p w14:paraId="0BF910EF" w14:textId="77777777" w:rsidR="006C35F8" w:rsidRPr="000D41E7" w:rsidRDefault="006C35F8" w:rsidP="0030571A">
            <w:pPr>
              <w:pStyle w:val="TabeladesnoUMAR"/>
            </w:pPr>
            <w:r w:rsidRPr="00EC5D92">
              <w:t>-</w:t>
            </w:r>
          </w:p>
        </w:tc>
        <w:tc>
          <w:tcPr>
            <w:tcW w:w="623" w:type="dxa"/>
            <w:noWrap/>
            <w:vAlign w:val="bottom"/>
          </w:tcPr>
          <w:p w14:paraId="6D0B6169" w14:textId="77777777" w:rsidR="006C35F8" w:rsidRPr="000D41E7" w:rsidRDefault="006C35F8" w:rsidP="0030571A">
            <w:pPr>
              <w:pStyle w:val="TabeladesnoUMAR"/>
            </w:pPr>
            <w:r w:rsidRPr="00EC5D92">
              <w:t>7,5</w:t>
            </w:r>
          </w:p>
        </w:tc>
        <w:tc>
          <w:tcPr>
            <w:tcW w:w="752" w:type="dxa"/>
            <w:noWrap/>
            <w:vAlign w:val="bottom"/>
          </w:tcPr>
          <w:p w14:paraId="68A4E903" w14:textId="77777777" w:rsidR="006C35F8" w:rsidRPr="000D41E7" w:rsidRDefault="006C35F8" w:rsidP="0030571A">
            <w:pPr>
              <w:pStyle w:val="TabeladesnoUMAR"/>
            </w:pPr>
            <w:r w:rsidRPr="00EC5D92">
              <w:t>2,1</w:t>
            </w:r>
          </w:p>
        </w:tc>
        <w:tc>
          <w:tcPr>
            <w:tcW w:w="715" w:type="dxa"/>
            <w:noWrap/>
            <w:vAlign w:val="bottom"/>
          </w:tcPr>
          <w:p w14:paraId="198BF946" w14:textId="77777777" w:rsidR="006C35F8" w:rsidRPr="000D41E7" w:rsidRDefault="006C35F8" w:rsidP="0030571A">
            <w:pPr>
              <w:pStyle w:val="TabeladesnoUMAR"/>
            </w:pPr>
            <w:r w:rsidRPr="00EC5D92">
              <w:t>5,3</w:t>
            </w:r>
          </w:p>
        </w:tc>
        <w:tc>
          <w:tcPr>
            <w:tcW w:w="752" w:type="dxa"/>
            <w:noWrap/>
            <w:vAlign w:val="bottom"/>
          </w:tcPr>
          <w:p w14:paraId="29E6BC76" w14:textId="77777777" w:rsidR="006C35F8" w:rsidRPr="000D41E7" w:rsidRDefault="006C35F8" w:rsidP="0030571A">
            <w:pPr>
              <w:pStyle w:val="TabeladesnoUMAR"/>
            </w:pPr>
            <w:r w:rsidRPr="00EC5D92">
              <w:t>0,4</w:t>
            </w:r>
          </w:p>
        </w:tc>
        <w:tc>
          <w:tcPr>
            <w:tcW w:w="673" w:type="dxa"/>
            <w:noWrap/>
            <w:vAlign w:val="bottom"/>
          </w:tcPr>
          <w:p w14:paraId="13D8C007" w14:textId="77777777" w:rsidR="006C35F8" w:rsidRPr="000D41E7" w:rsidRDefault="006C35F8" w:rsidP="0030571A">
            <w:pPr>
              <w:pStyle w:val="TabeladesnoUMAR"/>
            </w:pPr>
            <w:r w:rsidRPr="00EC5D92">
              <w:t>0,8</w:t>
            </w:r>
          </w:p>
        </w:tc>
        <w:tc>
          <w:tcPr>
            <w:tcW w:w="838" w:type="dxa"/>
            <w:noWrap/>
            <w:vAlign w:val="bottom"/>
          </w:tcPr>
          <w:p w14:paraId="7D4B991E" w14:textId="77777777" w:rsidR="006C35F8" w:rsidRPr="000D41E7" w:rsidRDefault="006C35F8" w:rsidP="0030571A">
            <w:pPr>
              <w:pStyle w:val="TabeladesnoUMAR"/>
            </w:pPr>
            <w:r w:rsidRPr="00EC5D92">
              <w:t>0,9</w:t>
            </w:r>
          </w:p>
        </w:tc>
      </w:tr>
    </w:tbl>
    <w:p w14:paraId="5E7F533F" w14:textId="77777777" w:rsidR="006C35F8" w:rsidRDefault="006C35F8" w:rsidP="006C35F8">
      <w:pPr>
        <w:pStyle w:val="VirUMAR"/>
      </w:pPr>
      <w:r>
        <w:t xml:space="preserve">Vir: SURS </w:t>
      </w:r>
      <w:r>
        <w:fldChar w:fldCharType="begin"/>
      </w:r>
      <w:r>
        <w:instrText xml:space="preserve"> ADDIN ZOTERO_ITEM CSL_CITATION {"citationID":"IvdK793t","properties":{"formattedCitation":"(2023)","plainCitation":"(2023)","noteIndex":0},"citationItems":[{"id":2939,"uris":["http://zotero.org/groups/4141114/items/WI7MWBXE"],"itemData":{"id":2939,"type":"report","event-place":"Ljubljana","genre":"Podatkovna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suppress-author":true}],"schema":"https://github.com/citation-style-language/schema/raw/master/csl-citation.json"} </w:instrText>
      </w:r>
      <w:r>
        <w:fldChar w:fldCharType="separate"/>
      </w:r>
      <w:r w:rsidRPr="003007BA">
        <w:t>(2023)</w:t>
      </w:r>
      <w:r>
        <w:fldChar w:fldCharType="end"/>
      </w:r>
      <w:r>
        <w:t xml:space="preserve">, preračuni UMAR. </w:t>
      </w:r>
      <w:r w:rsidRPr="00433380">
        <w:t>Opomba: zunanjetrgovinski podatki za izračun deleža so popravljeni za oplemenitenje blaga.</w:t>
      </w:r>
      <w:r>
        <w:t xml:space="preserve"> Podatki za leto 2023 so za obdobje januar – maj.</w:t>
      </w:r>
      <w:r w:rsidRPr="0095661A">
        <w:t xml:space="preserve"> </w:t>
      </w:r>
      <w:r>
        <w:t>Razvrščeno po vrednosti uvoza med leti 2016 in 2020.</w:t>
      </w:r>
    </w:p>
    <w:p w14:paraId="65361787" w14:textId="51C52AB1" w:rsidR="00C5137C" w:rsidRPr="000E64EC" w:rsidRDefault="00C5137C" w:rsidP="006C35F8">
      <w:pPr>
        <w:pStyle w:val="Caption"/>
        <w:rPr>
          <w:b w:val="0"/>
          <w:bCs w:val="0"/>
        </w:rPr>
      </w:pPr>
    </w:p>
    <w:sectPr w:rsidR="00C5137C" w:rsidRPr="000E64EC" w:rsidSect="00DA3486">
      <w:headerReference w:type="default" r:id="rId33"/>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B358" w14:textId="77777777" w:rsidR="00BF5199" w:rsidRDefault="00BF5199" w:rsidP="009E1648">
      <w:r>
        <w:separator/>
      </w:r>
    </w:p>
    <w:p w14:paraId="6EE1E9D8" w14:textId="77777777" w:rsidR="00BF5199" w:rsidRDefault="00BF5199" w:rsidP="009E1648"/>
    <w:p w14:paraId="6BD4EA1E" w14:textId="77777777" w:rsidR="00BF5199" w:rsidRDefault="00BF5199" w:rsidP="009E1648"/>
    <w:p w14:paraId="62267B68" w14:textId="77777777" w:rsidR="00BF5199" w:rsidRDefault="00BF5199" w:rsidP="009E1648"/>
    <w:p w14:paraId="79591E05" w14:textId="77777777" w:rsidR="00BF5199" w:rsidRDefault="00BF5199" w:rsidP="009E1648"/>
    <w:p w14:paraId="6AE18C77" w14:textId="77777777" w:rsidR="00BF5199" w:rsidRDefault="00BF5199" w:rsidP="009E1648"/>
    <w:p w14:paraId="69D6ABBC" w14:textId="77777777" w:rsidR="00BF5199" w:rsidRDefault="00BF5199" w:rsidP="009E1648"/>
    <w:p w14:paraId="6B874AE6" w14:textId="77777777" w:rsidR="00BF5199" w:rsidRDefault="00BF5199" w:rsidP="009E1648"/>
    <w:p w14:paraId="40514035" w14:textId="77777777" w:rsidR="00BF5199" w:rsidRDefault="00BF5199"/>
    <w:p w14:paraId="08190567" w14:textId="77777777" w:rsidR="00BF5199" w:rsidRDefault="00BF5199"/>
    <w:p w14:paraId="42F0F338" w14:textId="77777777" w:rsidR="00BF5199" w:rsidRDefault="00BF5199" w:rsidP="00A540FA"/>
    <w:p w14:paraId="30AF8B07" w14:textId="77777777" w:rsidR="00BF5199" w:rsidRDefault="00BF5199" w:rsidP="00A540FA"/>
    <w:p w14:paraId="597563A8" w14:textId="77777777" w:rsidR="00BF5199" w:rsidRDefault="00BF5199" w:rsidP="00A540FA"/>
    <w:p w14:paraId="077D1540" w14:textId="77777777" w:rsidR="00BF5199" w:rsidRDefault="00BF5199" w:rsidP="00A540FA"/>
    <w:p w14:paraId="64A4FD55" w14:textId="77777777" w:rsidR="00BF5199" w:rsidRDefault="00BF5199" w:rsidP="00A540FA"/>
    <w:p w14:paraId="289791DA" w14:textId="77777777" w:rsidR="00BF5199" w:rsidRDefault="00BF5199"/>
  </w:endnote>
  <w:endnote w:type="continuationSeparator" w:id="0">
    <w:p w14:paraId="2EEAC5E2" w14:textId="77777777" w:rsidR="00BF5199" w:rsidRDefault="00BF5199" w:rsidP="009E1648">
      <w:r>
        <w:continuationSeparator/>
      </w:r>
    </w:p>
    <w:p w14:paraId="7FB64B43" w14:textId="77777777" w:rsidR="00BF5199" w:rsidRDefault="00BF5199" w:rsidP="009E1648"/>
    <w:p w14:paraId="0F723338" w14:textId="77777777" w:rsidR="00BF5199" w:rsidRDefault="00BF5199" w:rsidP="009E1648"/>
    <w:p w14:paraId="2B2391C9" w14:textId="77777777" w:rsidR="00BF5199" w:rsidRDefault="00BF5199" w:rsidP="009E1648"/>
    <w:p w14:paraId="0E9C8678" w14:textId="77777777" w:rsidR="00BF5199" w:rsidRDefault="00BF5199" w:rsidP="009E1648"/>
    <w:p w14:paraId="25DF50C8" w14:textId="77777777" w:rsidR="00BF5199" w:rsidRDefault="00BF5199" w:rsidP="009E1648"/>
    <w:p w14:paraId="032AE26D" w14:textId="77777777" w:rsidR="00BF5199" w:rsidRDefault="00BF5199" w:rsidP="009E1648"/>
    <w:p w14:paraId="1F3D13F1" w14:textId="77777777" w:rsidR="00BF5199" w:rsidRDefault="00BF5199" w:rsidP="009E1648"/>
    <w:p w14:paraId="0532BBB4" w14:textId="77777777" w:rsidR="00BF5199" w:rsidRDefault="00BF5199"/>
    <w:p w14:paraId="0657A6E2" w14:textId="77777777" w:rsidR="00BF5199" w:rsidRDefault="00BF5199"/>
    <w:p w14:paraId="6BA9F24F" w14:textId="77777777" w:rsidR="00BF5199" w:rsidRDefault="00BF5199" w:rsidP="00A540FA"/>
    <w:p w14:paraId="71C1A21A" w14:textId="77777777" w:rsidR="00BF5199" w:rsidRDefault="00BF5199" w:rsidP="00A540FA"/>
    <w:p w14:paraId="2C74C4BF" w14:textId="77777777" w:rsidR="00BF5199" w:rsidRDefault="00BF5199" w:rsidP="00A540FA"/>
    <w:p w14:paraId="16AC8C43" w14:textId="77777777" w:rsidR="00BF5199" w:rsidRDefault="00BF5199" w:rsidP="00A540FA"/>
    <w:p w14:paraId="748D94A5" w14:textId="77777777" w:rsidR="00BF5199" w:rsidRDefault="00BF5199" w:rsidP="00A540FA"/>
    <w:p w14:paraId="768C6185" w14:textId="77777777" w:rsidR="00BF5199" w:rsidRDefault="00BF5199"/>
  </w:endnote>
  <w:endnote w:type="continuationNotice" w:id="1">
    <w:p w14:paraId="6CD0C6A2" w14:textId="77777777" w:rsidR="00BF5199" w:rsidRDefault="00BF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465A" w14:textId="77777777" w:rsidR="00BF5199" w:rsidRDefault="00BF5199"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4B2B" w14:textId="77777777" w:rsidR="00BF5199" w:rsidRPr="009B56EE" w:rsidRDefault="00BF5199" w:rsidP="009B56EE">
      <w:pPr>
        <w:pStyle w:val="BesediloUMAR"/>
      </w:pPr>
      <w:r w:rsidRPr="009B56EE">
        <w:separator/>
      </w:r>
    </w:p>
  </w:footnote>
  <w:footnote w:type="continuationSeparator" w:id="0">
    <w:p w14:paraId="25C5CCF6" w14:textId="77777777" w:rsidR="00BF5199" w:rsidRDefault="00BF5199">
      <w:r>
        <w:separator/>
      </w:r>
    </w:p>
  </w:footnote>
  <w:footnote w:type="continuationNotice" w:id="1">
    <w:p w14:paraId="3CC51D24" w14:textId="77777777" w:rsidR="00BF5199" w:rsidRDefault="00BF5199"/>
  </w:footnote>
  <w:footnote w:id="2">
    <w:p w14:paraId="7B80BCC3" w14:textId="77777777" w:rsidR="00BF5199" w:rsidRPr="00CC440C" w:rsidRDefault="00BF5199" w:rsidP="00373240">
      <w:pPr>
        <w:pStyle w:val="FootnoteText"/>
      </w:pPr>
      <w:r w:rsidRPr="00D03946">
        <w:rPr>
          <w:rStyle w:val="FootnoteReference"/>
        </w:rPr>
        <w:footnoteRef/>
      </w:r>
      <w:r>
        <w:t xml:space="preserve"> </w:t>
      </w:r>
      <w:r w:rsidRPr="00CC440C">
        <w:t xml:space="preserve">Kanada, Francija, Nemčija, Italija, Japonska, Združeno kraljestvo in </w:t>
      </w:r>
      <w:r>
        <w:t>ZDA</w:t>
      </w:r>
      <w:r w:rsidRPr="00CC440C">
        <w:t>.</w:t>
      </w:r>
    </w:p>
  </w:footnote>
  <w:footnote w:id="3">
    <w:p w14:paraId="48D67A43" w14:textId="60BB60E2" w:rsidR="00BF5199" w:rsidRDefault="00BF5199">
      <w:pPr>
        <w:pStyle w:val="FootnoteText"/>
      </w:pPr>
      <w:r w:rsidRPr="00D03946">
        <w:rPr>
          <w:rStyle w:val="FootnoteReference"/>
        </w:rPr>
        <w:footnoteRef/>
      </w:r>
      <w:r>
        <w:t xml:space="preserve"> </w:t>
      </w:r>
      <w:r>
        <w:rPr>
          <w:rStyle w:val="rynqvb"/>
        </w:rPr>
        <w:t>ZDA so prepoved uvoza ruske nafte in naftnih derivatov uvedle že marca 2022.</w:t>
      </w:r>
    </w:p>
  </w:footnote>
  <w:footnote w:id="4">
    <w:p w14:paraId="0692338A" w14:textId="77777777" w:rsidR="00BF5199" w:rsidRDefault="00BF5199" w:rsidP="00373240">
      <w:pPr>
        <w:pStyle w:val="FootnoteText"/>
      </w:pPr>
      <w:r w:rsidRPr="00D03946">
        <w:rPr>
          <w:rStyle w:val="FootnoteReference"/>
        </w:rPr>
        <w:footnoteRef/>
      </w:r>
      <w:r>
        <w:t xml:space="preserve"> Predvidene so izjeme za nekatere osnovne dobrine, kot so kmetijski in prehrambeni proizvodi, farmacija, humanitarna pomoč in energija. </w:t>
      </w:r>
    </w:p>
  </w:footnote>
  <w:footnote w:id="5">
    <w:p w14:paraId="31CFD773" w14:textId="77777777" w:rsidR="00BF5199" w:rsidRPr="008466FC" w:rsidRDefault="00BF5199" w:rsidP="00373240">
      <w:pPr>
        <w:pStyle w:val="FootnoteText"/>
      </w:pPr>
      <w:r w:rsidRPr="00D03946">
        <w:rPr>
          <w:rStyle w:val="FootnoteReference"/>
        </w:rPr>
        <w:footnoteRef/>
      </w:r>
      <w:r>
        <w:t xml:space="preserve"> </w:t>
      </w:r>
      <w:r w:rsidRPr="00B0349D">
        <w:rPr>
          <w:rStyle w:val="Strong"/>
          <w:b w:val="0"/>
          <w:bCs w:val="0"/>
        </w:rPr>
        <w:t xml:space="preserve">Prodaja, dobava, prenos ali izvoz določenega blaga in </w:t>
      </w:r>
      <w:r w:rsidRPr="008466FC">
        <w:rPr>
          <w:rStyle w:val="Strong"/>
          <w:b w:val="0"/>
          <w:bCs w:val="0"/>
        </w:rPr>
        <w:t xml:space="preserve">tehnologij </w:t>
      </w:r>
      <w:r w:rsidRPr="008466FC">
        <w:t xml:space="preserve">za uporabo </w:t>
      </w:r>
      <w:r w:rsidRPr="008466FC">
        <w:rPr>
          <w:rStyle w:val="Strong"/>
          <w:b w:val="0"/>
          <w:bCs w:val="0"/>
        </w:rPr>
        <w:t xml:space="preserve">pri rafiniranju nafte in utekočinjenju zemeljskega plina. </w:t>
      </w:r>
    </w:p>
  </w:footnote>
  <w:footnote w:id="6">
    <w:p w14:paraId="0D8937F6" w14:textId="5C7A58A3" w:rsidR="00BF5199" w:rsidRDefault="00BF5199" w:rsidP="00373240">
      <w:pPr>
        <w:pStyle w:val="FootnoteText"/>
      </w:pPr>
      <w:r w:rsidRPr="00D03946">
        <w:rPr>
          <w:rStyle w:val="FootnoteReference"/>
        </w:rPr>
        <w:footnoteRef/>
      </w:r>
      <w:r w:rsidRPr="008466FC">
        <w:t xml:space="preserve"> Vključuje proizvode kot so npr. prenosni računalniki, droni, itd</w:t>
      </w:r>
      <w:r>
        <w:t>.</w:t>
      </w:r>
    </w:p>
  </w:footnote>
  <w:footnote w:id="7">
    <w:p w14:paraId="6434A265" w14:textId="2F581DE7" w:rsidR="00BF5199" w:rsidRDefault="00BF5199" w:rsidP="00373240">
      <w:pPr>
        <w:pStyle w:val="FootnoteText"/>
      </w:pPr>
      <w:r w:rsidRPr="00D03946">
        <w:rPr>
          <w:rStyle w:val="FootnoteReference"/>
        </w:rPr>
        <w:footnoteRef/>
      </w:r>
      <w:r>
        <w:t xml:space="preserve"> Več informacij </w:t>
      </w:r>
      <w:r w:rsidRPr="004D51E1">
        <w:t>https://eur-lex.europa.eu/legal-content/SL/TXT/PDF/?uri=CELEX:32022R0576&amp;from=SL</w:t>
      </w:r>
    </w:p>
  </w:footnote>
  <w:footnote w:id="8">
    <w:p w14:paraId="63883BA6" w14:textId="77777777" w:rsidR="00BF5199" w:rsidRDefault="00BF5199" w:rsidP="00373240">
      <w:pPr>
        <w:pStyle w:val="FootnoteText"/>
      </w:pPr>
      <w:r w:rsidRPr="00D03946">
        <w:rPr>
          <w:rStyle w:val="FootnoteReference"/>
        </w:rPr>
        <w:footnoteRef/>
      </w:r>
      <w:r>
        <w:t xml:space="preserve"> P</w:t>
      </w:r>
      <w:r w:rsidRPr="002B7294">
        <w:t>roizvod</w:t>
      </w:r>
      <w:r>
        <w:t>i</w:t>
      </w:r>
      <w:r w:rsidRPr="002B7294">
        <w:t xml:space="preserve"> za končno potrošnjo</w:t>
      </w:r>
      <w:r>
        <w:t xml:space="preserve"> v vrednosti nad 300 EUR, razen </w:t>
      </w:r>
      <w:r w:rsidRPr="002B7294">
        <w:t>e</w:t>
      </w:r>
      <w:r>
        <w:t>le</w:t>
      </w:r>
      <w:r w:rsidRPr="002B7294">
        <w:t>ktronsk</w:t>
      </w:r>
      <w:r>
        <w:t>ih</w:t>
      </w:r>
      <w:r w:rsidRPr="002B7294">
        <w:t xml:space="preserve"> naprav za domačo uporabo</w:t>
      </w:r>
      <w:r>
        <w:t xml:space="preserve"> nad 750 EUR (npr. hladilniki, mali gospodinjski aparati), avtomobilov nad 50.000 EUR itd. Več informacij na:</w:t>
      </w:r>
    </w:p>
    <w:p w14:paraId="511BD446" w14:textId="77777777" w:rsidR="00BF5199" w:rsidRDefault="00BF5199" w:rsidP="00373240">
      <w:pPr>
        <w:pStyle w:val="FootnoteText"/>
      </w:pPr>
      <w:r>
        <w:t xml:space="preserve"> </w:t>
      </w:r>
      <w:hyperlink r:id="rId1" w:history="1">
        <w:r w:rsidRPr="00BE4D62">
          <w:rPr>
            <w:rStyle w:val="Hyperlink"/>
            <w:szCs w:val="14"/>
          </w:rPr>
          <w:t>https://eur-lex.europa.eu/legal-content/SL/TXT/PDF/?uri=CELEX:32022R0428&amp;from=EN</w:t>
        </w:r>
      </w:hyperlink>
      <w:r>
        <w:t xml:space="preserve"> in</w:t>
      </w:r>
    </w:p>
    <w:p w14:paraId="05475290" w14:textId="7C653128" w:rsidR="00BF5199" w:rsidRPr="002B7294" w:rsidRDefault="00BF5199" w:rsidP="00373240">
      <w:pPr>
        <w:pStyle w:val="FootnoteText"/>
      </w:pPr>
      <w:r>
        <w:t xml:space="preserve"> </w:t>
      </w:r>
      <w:hyperlink r:id="rId2" w:history="1">
        <w:r w:rsidRPr="00BE4D62">
          <w:rPr>
            <w:rStyle w:val="Hyperlink"/>
            <w:szCs w:val="14"/>
          </w:rPr>
          <w:t>https://transparency.eu/wp-content/uploads/2022/06/Luxury_Goods_Sanctions_US__EU_Table.pdf</w:t>
        </w:r>
      </w:hyperlink>
      <w:r>
        <w:t xml:space="preserve">. </w:t>
      </w:r>
    </w:p>
  </w:footnote>
  <w:footnote w:id="9">
    <w:p w14:paraId="646C3F1B" w14:textId="5FD292B6" w:rsidR="00BF5199" w:rsidRDefault="00BF5199">
      <w:pPr>
        <w:pStyle w:val="FootnoteText"/>
      </w:pPr>
      <w:r w:rsidRPr="00D03946">
        <w:rPr>
          <w:rStyle w:val="FootnoteReference"/>
        </w:rPr>
        <w:footnoteRef/>
      </w:r>
      <w:r>
        <w:t xml:space="preserve"> </w:t>
      </w:r>
      <w:r w:rsidRPr="00C5217C">
        <w:t xml:space="preserve">Večina ruske nafte, dobavljene v EU, se prevaža po morju, zato </w:t>
      </w:r>
      <w:r>
        <w:t>so</w:t>
      </w:r>
      <w:r w:rsidRPr="00C5217C">
        <w:t xml:space="preserve"> te omejitve do konca leta 2022 zaj</w:t>
      </w:r>
      <w:r>
        <w:t>ele</w:t>
      </w:r>
      <w:r w:rsidRPr="00C5217C">
        <w:t xml:space="preserve"> skoraj 90</w:t>
      </w:r>
      <w:r>
        <w:t> </w:t>
      </w:r>
      <w:r w:rsidRPr="00C5217C">
        <w:t xml:space="preserve">% uvoza ruske nafte v </w:t>
      </w:r>
      <w:r>
        <w:t>EU. Nekaj držav je sicer dobilo začasne izjeme pri uvozu ruske nafte po morju (Bolgarija, Hrvaška).</w:t>
      </w:r>
    </w:p>
  </w:footnote>
  <w:footnote w:id="10">
    <w:p w14:paraId="25B46DA9" w14:textId="77777777" w:rsidR="00BF5199" w:rsidRDefault="00BF5199" w:rsidP="00FE7067">
      <w:pPr>
        <w:pStyle w:val="FootnoteText"/>
      </w:pPr>
      <w:r w:rsidRPr="00591369">
        <w:rPr>
          <w:rStyle w:val="FootnoteReference"/>
        </w:rPr>
        <w:footnoteRef/>
      </w:r>
      <w:r>
        <w:t xml:space="preserve"> Z uvedbo sankcij so razvite države Rusiji v marcu 2022 odvzele status države z največjimi ugodnostmi. </w:t>
      </w:r>
    </w:p>
  </w:footnote>
  <w:footnote w:id="11">
    <w:p w14:paraId="15DFA053" w14:textId="77777777" w:rsidR="00BF5199" w:rsidRDefault="00BF5199" w:rsidP="00FE7067">
      <w:pPr>
        <w:pStyle w:val="FootnoteText"/>
      </w:pPr>
      <w:r w:rsidRPr="00591369">
        <w:rPr>
          <w:rStyle w:val="FootnoteReference"/>
        </w:rPr>
        <w:footnoteRef/>
      </w:r>
      <w:r>
        <w:t xml:space="preserve"> </w:t>
      </w:r>
      <w:r>
        <w:rPr>
          <w:rStyle w:val="rynqvb"/>
        </w:rPr>
        <w:t xml:space="preserve">V letu 2019 je predstavljala 2,1 % oziroma 1,3 % svetovnega izvoza in uvoza blaga </w:t>
      </w:r>
      <w:r>
        <w:fldChar w:fldCharType="begin"/>
      </w:r>
      <w:r>
        <w:instrText xml:space="preserve"> ADDIN ZOTERO_ITEM CSL_CITATION {"citationID":"gdTLflc6","properties":{"formattedCitation":"(Arriola idr., 2023)","plainCitation":"(Arriola idr., 2023)","noteIndex":10},"citationItems":[{"id":3882,"uris":["http://zotero.org/groups/4141114/items/M9L6AXCN"],"itemData":{"id":3882,"type":"report","event-place":"Pariz","publisher":"Organizacija za gospodarsko sodelovanje in razvoj","publisher-place":"Pariz","title":"Challenges to International Trade and the Global Economy: Recovery from COVID-19 and Russia’s War of Aggression Against Ukraine","URL":"https://www.oecd-ilibrary.org/docserver/5c561274-en.pdf?expires=1689958059&amp;id=id&amp;accname=guest&amp;checksum=6FE92A20CC08E1325083BA00A2FD2FFA","author":[{"family":"Arriola","given":"Christine"},{"family":"Cadestin","given":"Charles"},{"family":"Kowalski","given":"Przemyslaw"},{"family":"Martins Guilhoto","given":"Joaquim José"},{"family":"Miroudot","given":"Sébastien"},{"family":"Tongeren","given":"Frank","non-dropping-particle":"van"}],"issued":{"date-parts":[["2023"]]}}}],"schema":"https://github.com/citation-style-language/schema/raw/master/csl-citation.json"} </w:instrText>
      </w:r>
      <w:r>
        <w:fldChar w:fldCharType="separate"/>
      </w:r>
      <w:r w:rsidRPr="00030A53">
        <w:t>(Arriola idr., 2023)</w:t>
      </w:r>
      <w:r>
        <w:fldChar w:fldCharType="end"/>
      </w:r>
      <w:r>
        <w:t>.</w:t>
      </w:r>
    </w:p>
  </w:footnote>
  <w:footnote w:id="12">
    <w:p w14:paraId="3235A01C" w14:textId="77777777" w:rsidR="00BF5199" w:rsidRDefault="00BF5199" w:rsidP="00FE7067">
      <w:pPr>
        <w:pStyle w:val="FootnoteText"/>
      </w:pPr>
      <w:r w:rsidRPr="00591369">
        <w:rPr>
          <w:rStyle w:val="FootnoteReference"/>
        </w:rPr>
        <w:footnoteRef/>
      </w:r>
      <w:r>
        <w:t xml:space="preserve"> Podatki so za obdobje pred začetkom agresije v Ukrajini. Za leto 2022 zaenkrat še ni podrobnih podatkov. </w:t>
      </w:r>
    </w:p>
  </w:footnote>
  <w:footnote w:id="13">
    <w:p w14:paraId="4E4C2C3C" w14:textId="77777777" w:rsidR="00BF5199" w:rsidRDefault="00BF5199" w:rsidP="00FE7067">
      <w:pPr>
        <w:pStyle w:val="FootnoteText"/>
      </w:pPr>
      <w:r w:rsidRPr="00591369">
        <w:rPr>
          <w:rStyle w:val="FootnoteReference"/>
        </w:rPr>
        <w:footnoteRef/>
      </w:r>
      <w:r>
        <w:t xml:space="preserve"> </w:t>
      </w:r>
      <w:r w:rsidRPr="004E2DA6">
        <w:t xml:space="preserve">Rusija </w:t>
      </w:r>
      <w:r>
        <w:t xml:space="preserve">je bila pred pred agresijo v Ukrajini </w:t>
      </w:r>
      <w:r w:rsidRPr="004E2DA6">
        <w:t>peta največja trgovinska partnerica EU in predstavlja okoli 5 % celotne trgovine z blagom, ki jo EU opravi z državami izven EU</w:t>
      </w:r>
      <w:r>
        <w:t>.</w:t>
      </w:r>
    </w:p>
  </w:footnote>
  <w:footnote w:id="14">
    <w:p w14:paraId="56C33A4C" w14:textId="77777777" w:rsidR="00BF5199" w:rsidRDefault="00BF5199" w:rsidP="00713954">
      <w:pPr>
        <w:pStyle w:val="FootnoteText"/>
      </w:pPr>
      <w:r w:rsidRPr="00591369">
        <w:rPr>
          <w:rStyle w:val="FootnoteReference"/>
        </w:rPr>
        <w:footnoteRef/>
      </w:r>
      <w:r>
        <w:t xml:space="preserve"> Po mnenju različnih institucij (IMF, OECD, ECB) naj bi bil vpliv na svetovno gospodarstvo v letu 2022 omejen, v primeru nadaljevanja vojne pa naj bi bil večji v letu 2023.</w:t>
      </w:r>
    </w:p>
  </w:footnote>
  <w:footnote w:id="15">
    <w:p w14:paraId="1AD23EB7" w14:textId="27C2A223" w:rsidR="00BF5199" w:rsidRDefault="00BF5199">
      <w:pPr>
        <w:pStyle w:val="FootnoteText"/>
      </w:pPr>
      <w:r w:rsidRPr="00D03946">
        <w:rPr>
          <w:rStyle w:val="FootnoteReference"/>
        </w:rPr>
        <w:footnoteRef/>
      </w:r>
      <w:r>
        <w:t xml:space="preserve"> Literatura navaja, da je imela vojna in z njo povezana rast cen (zlasti energetskih) določen prispevek k inflaciji, hkrati pa opozarja, da je ta prispevek težko oceniti, saj so se cene energije in tudi hrane povečevale že pred vojno in bi v vsakem primeru skupna in osnovna inflacija močno narasli.</w:t>
      </w:r>
    </w:p>
  </w:footnote>
  <w:footnote w:id="16">
    <w:p w14:paraId="35764441" w14:textId="49F6AC5C" w:rsidR="00BF5199" w:rsidRDefault="00BF5199" w:rsidP="00B0707C">
      <w:pPr>
        <w:pStyle w:val="FootnoteText"/>
      </w:pPr>
      <w:r w:rsidRPr="00D03946">
        <w:rPr>
          <w:rStyle w:val="FootnoteReference"/>
        </w:rPr>
        <w:footnoteRef/>
      </w:r>
      <w:r>
        <w:t xml:space="preserve"> Iz Rusije je bilo v EU leta 2021 uvoženo med 40 in 45 % vsega zemeljskega plina, do konca leta 2022 se je ta delež zmanjšal le na okoli 12 %. </w:t>
      </w:r>
    </w:p>
  </w:footnote>
  <w:footnote w:id="17">
    <w:p w14:paraId="10B2F002" w14:textId="77777777" w:rsidR="00BF5199" w:rsidRDefault="00BF5199" w:rsidP="00713954">
      <w:pPr>
        <w:pStyle w:val="FootnoteText"/>
      </w:pPr>
      <w:r w:rsidRPr="00591369">
        <w:rPr>
          <w:rStyle w:val="FootnoteReference"/>
        </w:rPr>
        <w:footnoteRef/>
      </w:r>
      <w:r>
        <w:t xml:space="preserve"> Sredi leta 2022 je bil dosežen dogovor o izvozu ukrajinskih žit preko pristanišč v Črnem morju, ki ga je Rusija v juliju 2023 enostransko prekinila. V skladu z dogovorom je Ukrajina v preteklem letu izvozila 32 miljonov ton žita v vrednosti </w:t>
      </w:r>
      <w:r>
        <w:rPr>
          <w:rStyle w:val="rynqvb"/>
        </w:rPr>
        <w:t xml:space="preserve">8–9 milijard dolarjev </w:t>
      </w:r>
      <w:r>
        <w:rPr>
          <w:rStyle w:val="rynqvb"/>
        </w:rPr>
        <w:fldChar w:fldCharType="begin"/>
      </w:r>
      <w:r>
        <w:rPr>
          <w:rStyle w:val="rynqvb"/>
        </w:rPr>
        <w:instrText xml:space="preserve"> ADDIN ZOTERO_ITEM CSL_CITATION {"citationID":"2vGxyIR6","properties":{"formattedCitation":"(Prokopenko, 2023)","plainCitation":"(Prokopenko, 2023)","noteIndex":16},"citationItems":[{"id":3895,"uris":["http://zotero.org/groups/4141114/items/HBC9H249"],"itemData":{"id":3895,"type":"webpage","abstract":"Moscow has failed to turn the grain deal to its advantage, but Türkiye has plenty of leverage to convince Russia to return to its implementation.","container-title":"Carnegie Endowment for International Peace","language":"en","title":"Is This the End of the Road for the Ukraine Grain Deal?","URL":"https://carnegieendowment.org/politika/90225","author":[{"family":"Prokopenko","given":"Alexandra"}],"accessed":{"date-parts":[["2023",7,25]]},"issued":{"date-parts":[["2023"]]}}}],"schema":"https://github.com/citation-style-language/schema/raw/master/csl-citation.json"} </w:instrText>
      </w:r>
      <w:r>
        <w:rPr>
          <w:rStyle w:val="rynqvb"/>
        </w:rPr>
        <w:fldChar w:fldCharType="separate"/>
      </w:r>
      <w:r w:rsidRPr="009560E4">
        <w:t>(Prokopenko, 2023)</w:t>
      </w:r>
      <w:r>
        <w:rPr>
          <w:rStyle w:val="rynqvb"/>
        </w:rPr>
        <w:fldChar w:fldCharType="end"/>
      </w:r>
      <w:r>
        <w:rPr>
          <w:rStyle w:val="rynqvb"/>
        </w:rPr>
        <w:t xml:space="preserve">. </w:t>
      </w:r>
    </w:p>
  </w:footnote>
  <w:footnote w:id="18">
    <w:p w14:paraId="2A4F7247" w14:textId="77777777" w:rsidR="00BF5199" w:rsidRDefault="00BF5199" w:rsidP="00713954">
      <w:pPr>
        <w:pStyle w:val="FootnoteText"/>
      </w:pPr>
      <w:r w:rsidRPr="00591369">
        <w:rPr>
          <w:rStyle w:val="FootnoteReference"/>
        </w:rPr>
        <w:footnoteRef/>
      </w:r>
      <w:r>
        <w:t xml:space="preserve"> Rusija v letu 2022 ne objavlja podatkov zunanjetrgovinske menjave. Na podlagi različnih virov so te podatke ocenili v inštitutu Breguel </w:t>
      </w:r>
      <w:r>
        <w:fldChar w:fldCharType="begin"/>
      </w:r>
      <w:r>
        <w:instrText xml:space="preserve"> ADDIN ZOTERO_ITEM CSL_CITATION {"citationID":"vSDsYg13","properties":{"formattedCitation":"(Darvas in Martins, 2022)","plainCitation":"(Darvas in Martins, 2022)","noteIndex":17},"citationItems":[{"id":2934,"uris":["http://zotero.org/groups/4141114/items/T69L73B5"],"itemData":{"id":2934,"type":"report","collection-title":"Working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schema":"https://github.com/citation-style-language/schema/raw/master/csl-citation.json"} </w:instrText>
      </w:r>
      <w:r>
        <w:fldChar w:fldCharType="separate"/>
      </w:r>
      <w:r w:rsidRPr="008466FC">
        <w:t>(Darvas in Martins, 2022)</w:t>
      </w:r>
      <w:r>
        <w:fldChar w:fldCharType="end"/>
      </w:r>
      <w:r>
        <w:t xml:space="preserve"> in v Finski centralni banki </w:t>
      </w:r>
      <w:r>
        <w:fldChar w:fldCharType="begin"/>
      </w:r>
      <w:r>
        <w:instrText xml:space="preserve"> ADDIN ZOTERO_ITEM CSL_CITATION {"citationID":"A4S1vOhK","properties":{"formattedCitation":"(Simola, 2022c)","plainCitation":"(Simola, 2022c)","noteIndex":17},"citationItems":[{"id":3037,"uris":["http://zotero.org/groups/4141114/items/FLL7SNDY"],"itemData":{"id":3037,"type":"report","abstract":"This brief examines the development of Russia’s trade flows in the March-June period following Russia’s invasion of Ukraine. Russia ceased publication of foreign trade statistics after the war broke out, so we utilize the trade statistics of Russia’s major trading partners. We find that Russia’s imports declined substantially in the period with the country struggling to find alternative import sources. On the other hand, Russian export revenues increased post-invasion due to high commodity prices, the lag in transition periods for EU import restrictions and higher export volumes going to other markets. Russian industrial output reflects a shift in foreign trade. High-tech industries reliant on imported inputs contracted, while output remained robust for some export-oriented industries. The first months of war show sanctions took an increasing toll on the Russian economy, seriously eroding the country’s long-term growth potential.","collection-title":"BOFIT Policy Brief","event-place":"Helsinki","language":"en","number":"5","publisher":"Bank of Finland","publisher-place":"Helsinki","source":"Zotero","title":"Russian foreign trade after four months of war in Ukraine","URL":"https://publications.bof.fi/bitstream/handle/10024/52212/bpb2205.pdf","author":[{"family":"Simola","given":"Heli"}],"issued":{"date-parts":[["2022"]]}}}],"schema":"https://github.com/citation-style-language/schema/raw/master/csl-citation.json"} </w:instrText>
      </w:r>
      <w:r>
        <w:fldChar w:fldCharType="separate"/>
      </w:r>
      <w:r w:rsidRPr="006A5D78">
        <w:t>(Simola, 2022c)</w:t>
      </w:r>
      <w:r>
        <w:fldChar w:fldCharType="end"/>
      </w:r>
      <w:r>
        <w:t xml:space="preserve">, menjava z državami EU pa je na voljo na Comext Eurostat. Na podlagi podatkov do oktobra 2022 sta Darvas in Martins ocenila </w:t>
      </w:r>
      <w:r>
        <w:fldChar w:fldCharType="begin"/>
      </w:r>
      <w:r>
        <w:instrText xml:space="preserve"> ADDIN ZOTERO_ITEM CSL_CITATION {"citationID":"x4qqjimO","properties":{"formattedCitation":"(2022)","plainCitation":"(2022)","noteIndex":17},"citationItems":[{"id":2934,"uris":["http://zotero.org/groups/4141114/items/T69L73B5"],"itemData":{"id":2934,"type":"report","collection-title":"Working paper","event-place":"Brugges","number":"20/2022","publisher":"BRUEGEL","publisher-place":"Brugges","title":"The impact of the Ukraine crisis on international trade","URL":"https://www.bruegel.org/sites/default/files/2022-12/WP%2020.pdf","author":[{"family":"Darvas","given":"Zsolt"},{"family":"Martins","given":"Christina"}],"issued":{"date-parts":[["2022"]]}},"suppress-author":true}],"schema":"https://github.com/citation-style-language/schema/raw/master/csl-citation.json"} </w:instrText>
      </w:r>
      <w:r>
        <w:fldChar w:fldCharType="separate"/>
      </w:r>
      <w:r w:rsidRPr="005D7E30">
        <w:t>(2022)</w:t>
      </w:r>
      <w:r>
        <w:fldChar w:fldCharType="end"/>
      </w:r>
      <w:r>
        <w:t>, da naj bi se ruski izvoz (v ameriških dolarjih) leta 2022 v primerjavi z letom 2021 povečal za okoli eno četrtino, ruski uvoz pa za eno četrtino zmanjšal.</w:t>
      </w:r>
    </w:p>
  </w:footnote>
  <w:footnote w:id="19">
    <w:p w14:paraId="44DFE83B" w14:textId="77777777" w:rsidR="00BF5199" w:rsidRDefault="00BF5199" w:rsidP="00713954">
      <w:pPr>
        <w:pStyle w:val="FootnoteText"/>
      </w:pPr>
      <w:r w:rsidRPr="00591369">
        <w:rPr>
          <w:rStyle w:val="FootnoteReference"/>
        </w:rPr>
        <w:footnoteRef/>
      </w:r>
      <w:r>
        <w:t xml:space="preserve"> Vzporedni uvoz pomeni uvoz blaga, zavarovanega s pravicami intelektualne lastnine, ki je uvoženo in dano v promet na določenem trgu brez privolitve imetnika intelektualne pravice na tem trgu.</w:t>
      </w:r>
    </w:p>
  </w:footnote>
  <w:footnote w:id="20">
    <w:p w14:paraId="0759F237" w14:textId="70762DA2" w:rsidR="00BF5199" w:rsidRDefault="00BF5199">
      <w:pPr>
        <w:pStyle w:val="FootnoteText"/>
      </w:pPr>
      <w:r w:rsidRPr="00D03946">
        <w:rPr>
          <w:rStyle w:val="FootnoteReference"/>
        </w:rPr>
        <w:footnoteRef/>
      </w:r>
      <w:r>
        <w:t xml:space="preserve"> </w:t>
      </w:r>
      <w:r>
        <w:rPr>
          <w:bCs/>
        </w:rPr>
        <w:t>Npr. nafte in naftnih derivatov, ki so najpomembejši izvozni proizvodi in tudi prinašajo pomemben prihodek v državni proračun.</w:t>
      </w:r>
    </w:p>
  </w:footnote>
  <w:footnote w:id="21">
    <w:p w14:paraId="568B2445" w14:textId="7A4CDB6D" w:rsidR="00BF5199" w:rsidRPr="003E0A3B" w:rsidRDefault="00BF5199">
      <w:pPr>
        <w:pStyle w:val="FootnoteText"/>
      </w:pPr>
      <w:r w:rsidRPr="00D03946">
        <w:rPr>
          <w:rStyle w:val="FootnoteReference"/>
        </w:rPr>
        <w:footnoteRef/>
      </w:r>
      <w:r>
        <w:t xml:space="preserve"> Po podatkih SURS </w:t>
      </w:r>
      <w:r>
        <w:fldChar w:fldCharType="begin"/>
      </w:r>
      <w:r>
        <w:instrText xml:space="preserve"> ADDIN ZOTERO_ITEM CSL_CITATION {"citationID":"5ZttSI40","properties":{"formattedCitation":"(2023)","plainCitation":"(2023)","noteIndex":20},"citationItems":[{"id":2939,"uris":["http://zotero.org/groups/4141114/items/WI7MWBXE"],"itemData":{"id":2939,"type":"report","event-place":"Ljubljana","genre":"Podatkovna baza","language":"sl","publisher":"Statistični urad RS","publisher-place":"Ljubljana","title":"Si-stat","URL":"https://pxweb.stat.si/sistat/sl","author":[{"family":"SURS","given":""}],"accessed":{"date-parts":[["2021",12,29]]},"issued":{"date-parts":[["2023"]]}},"label":"page","suppress-author":true}],"schema":"https://github.com/citation-style-language/schema/raw/master/csl-citation.json"} </w:instrText>
      </w:r>
      <w:r>
        <w:fldChar w:fldCharType="separate"/>
      </w:r>
      <w:r w:rsidRPr="003E0A3B">
        <w:t>(2023)</w:t>
      </w:r>
      <w:r>
        <w:fldChar w:fldCharType="end"/>
      </w:r>
      <w:r>
        <w:t xml:space="preserve"> izvozijo velika podjetja (250 in več zaposlenih) 58,6 %, srednja, mala in mikro podjetja pa 17,9 % celotnega izvoza v Rusijo. Precejšen delež sicer predstavlja tudi postavka »neznano«, in sicer 23,4 %. Pri uvozu iz Rusije so podatki zaupni za mala in mikro podjetja, a lahko iz deležev preostalih skupin izračunamo, da je delež njihovega izvoza 43,7 %. Velika podjetja pri uvozu predstavljajo le 27 % vsega uvoza iz Rusije, precejšen delež pa ponovno predstavljajo neznana podjetja (15,5 %). </w:t>
      </w:r>
    </w:p>
  </w:footnote>
  <w:footnote w:id="22">
    <w:p w14:paraId="5EB352D5" w14:textId="007FC82B" w:rsidR="00BF5199" w:rsidRDefault="00BF5199" w:rsidP="00A32AA7">
      <w:pPr>
        <w:pStyle w:val="FootnoteText"/>
      </w:pPr>
      <w:r w:rsidRPr="00D03946">
        <w:rPr>
          <w:rStyle w:val="FootnoteReference"/>
        </w:rPr>
        <w:footnoteRef/>
      </w:r>
      <w:r>
        <w:t xml:space="preserve"> Podrobni podatki so na voljo v bazi UN Comtrade </w:t>
      </w:r>
      <w:r>
        <w:fldChar w:fldCharType="begin"/>
      </w:r>
      <w:r>
        <w:instrText xml:space="preserve"> ADDIN ZOTERO_ITEM CSL_CITATION {"citationID":"K0ZNzQce","properties":{"formattedCitation":"(2023)","plainCitation":"(2023)","noteIndex":21},"citationItems":[{"id":519,"uris":["http://zotero.org/groups/4141114/items/BM3DCKIT"],"itemData":{"id":519,"type":"report","event-place":"New York","genre":"Podatkovna baza","publisher":"United Nations Statistics Division","publisher-place":"New York","title":"UN Comtrade Database","URL":"https://comtrade.un.org/data/","author":[{"family":"UN Comtrade","given":""}],"accessed":{"date-parts":[["2021",9,22]]},"issued":{"date-parts":[["2023"]]}},"suppress-author":true}],"schema":"https://github.com/citation-style-language/schema/raw/master/csl-citation.json"} </w:instrText>
      </w:r>
      <w:r>
        <w:fldChar w:fldCharType="separate"/>
      </w:r>
      <w:r w:rsidRPr="00A44ECD">
        <w:t>(2023)</w:t>
      </w:r>
      <w:r>
        <w:fldChar w:fldCharType="end"/>
      </w:r>
      <w:r>
        <w:t>. Podatkov ni za Ukrajino, najnovejši so za leto 2020. Ker je bilo leto 2020 posebno leto z omejitvami menjave več skupin storitev, v primerjavi navajamo leto 2019.</w:t>
      </w:r>
    </w:p>
  </w:footnote>
  <w:footnote w:id="23">
    <w:p w14:paraId="542D209C" w14:textId="77777777" w:rsidR="00BF5199" w:rsidRDefault="00BF5199" w:rsidP="00713954">
      <w:pPr>
        <w:pStyle w:val="FootnoteText"/>
      </w:pPr>
      <w:r w:rsidRPr="00591369">
        <w:rPr>
          <w:rStyle w:val="FootnoteReference"/>
        </w:rPr>
        <w:footnoteRef/>
      </w:r>
      <w:r>
        <w:t xml:space="preserve"> Podrobne tabele so v prilogah. </w:t>
      </w:r>
    </w:p>
  </w:footnote>
  <w:footnote w:id="24">
    <w:p w14:paraId="1FFE59AB" w14:textId="77777777" w:rsidR="00BF5199" w:rsidRDefault="00BF5199" w:rsidP="00485329">
      <w:pPr>
        <w:pStyle w:val="FootnoteText"/>
      </w:pPr>
      <w:r w:rsidRPr="00591369">
        <w:rPr>
          <w:rStyle w:val="FootnoteReference"/>
        </w:rPr>
        <w:footnoteRef/>
      </w:r>
      <w:r>
        <w:t xml:space="preserve"> Glede na izvorno državo lastnika. </w:t>
      </w:r>
    </w:p>
  </w:footnote>
  <w:footnote w:id="25">
    <w:p w14:paraId="6F835B63" w14:textId="77777777" w:rsidR="00BF5199" w:rsidRDefault="00BF5199" w:rsidP="00485329">
      <w:pPr>
        <w:pStyle w:val="FootnoteText"/>
      </w:pPr>
      <w:r w:rsidRPr="00591369">
        <w:rPr>
          <w:rStyle w:val="FootnoteReference"/>
        </w:rPr>
        <w:footnoteRef/>
      </w:r>
      <w:r>
        <w:t xml:space="preserve"> Na seznamu SloExport je 474 podjetij, ki v </w:t>
      </w:r>
      <w:r w:rsidRPr="00465F2D">
        <w:t xml:space="preserve">Rusijo </w:t>
      </w:r>
      <w:r>
        <w:t xml:space="preserve">izvažajo </w:t>
      </w:r>
      <w:r w:rsidRPr="00465F2D">
        <w:t>in/ali so neposredno prisotna na ruskem trgu</w:t>
      </w:r>
      <w:r>
        <w:t>, od tega ima 26 slovenskih podjetij vsaj eno predstavništvo na ruskem trgu.</w:t>
      </w:r>
    </w:p>
  </w:footnote>
  <w:footnote w:id="26">
    <w:p w14:paraId="0B674EEB" w14:textId="77777777" w:rsidR="00BF5199" w:rsidRPr="004E2DA6" w:rsidRDefault="00BF5199" w:rsidP="00485329">
      <w:pPr>
        <w:pStyle w:val="FootnoteText"/>
      </w:pPr>
      <w:r w:rsidRPr="00591369">
        <w:rPr>
          <w:rStyle w:val="FootnoteReference"/>
        </w:rPr>
        <w:footnoteRef/>
      </w:r>
      <w:r>
        <w:t xml:space="preserve"> </w:t>
      </w:r>
      <w:r w:rsidRPr="004E2DA6">
        <w:t>Gre za naslednje panoge po SKD: Pridobivanje premoga, surove nafte in zemeljskega plina (oddelk</w:t>
      </w:r>
      <w:r>
        <w:t>a</w:t>
      </w:r>
      <w:r w:rsidRPr="004E2DA6">
        <w:t xml:space="preserve"> 5 in 6), Proizvodnja koksa in naftnih derivatov (oddelek 19) ter Storitve za rudarstvo (oddelek 9).</w:t>
      </w:r>
    </w:p>
  </w:footnote>
  <w:footnote w:id="27">
    <w:p w14:paraId="154B46FE" w14:textId="77777777" w:rsidR="00BF5199" w:rsidRDefault="00BF5199" w:rsidP="00485329">
      <w:pPr>
        <w:pStyle w:val="FootnoteText"/>
      </w:pPr>
      <w:r w:rsidRPr="00591369">
        <w:rPr>
          <w:rStyle w:val="FootnoteReference"/>
        </w:rPr>
        <w:footnoteRef/>
      </w:r>
      <w:r>
        <w:t xml:space="preserve"> Med OECD državami za Litvo, Estonijo, Latvijo in Finsko, med nečlanicami OECD pa še za Ciprom in Bolgarijo. </w:t>
      </w:r>
    </w:p>
  </w:footnote>
  <w:footnote w:id="28">
    <w:p w14:paraId="2A8B62CA" w14:textId="77777777" w:rsidR="00BF5199" w:rsidRPr="008C2615" w:rsidRDefault="00BF5199" w:rsidP="00485329">
      <w:pPr>
        <w:pStyle w:val="FootnoteText"/>
      </w:pPr>
      <w:r w:rsidRPr="00591369">
        <w:rPr>
          <w:rStyle w:val="FootnoteReference"/>
        </w:rPr>
        <w:footnoteRef/>
      </w:r>
      <w:r>
        <w:t xml:space="preserve"> Sberbank je bila edina izmed desetih ruskih bank, ki je ob začetku vojne poslovala tudi v Sloveniji. Iz sistema SWIFT je bila Sberbank sicer izključena šele junija 2022. </w:t>
      </w:r>
    </w:p>
  </w:footnote>
  <w:footnote w:id="29">
    <w:p w14:paraId="5934B191" w14:textId="03B8338C" w:rsidR="00BF5199" w:rsidRDefault="00BF5199" w:rsidP="00426E59">
      <w:pPr>
        <w:pStyle w:val="FootnoteText"/>
      </w:pPr>
      <w:r>
        <w:rPr>
          <w:rStyle w:val="FootnoteReference"/>
        </w:rPr>
        <w:footnoteRef/>
      </w:r>
      <w:r>
        <w:t xml:space="preserve"> Blagovna menjava se je v letu 2022 povečala predvsem vrednostno, večji je bil tudi količinski uvoz (izraženo v neto kg). Količinski izvoz se je zmanjšal. Zaradi strukture izvoza v količinskem izvozu </w:t>
      </w:r>
      <w:r w:rsidRPr="00426E59">
        <w:t>sicer prevladujejo materiali ter stroji in naprave, ki so precej »težji« od farmacevtskih izdelkov. V letu 2022 se je sicer zmanjšal količinski izvoz v večini glavnih proizvodov, vključno s farmacevtskimi</w:t>
      </w:r>
      <w:r>
        <w:t>.</w:t>
      </w:r>
    </w:p>
  </w:footnote>
  <w:footnote w:id="30">
    <w:p w14:paraId="72FFD4D1" w14:textId="77777777" w:rsidR="00BF5199" w:rsidRDefault="00BF5199" w:rsidP="00426E59">
      <w:pPr>
        <w:pStyle w:val="FootnoteText"/>
      </w:pPr>
      <w:r w:rsidRPr="00591369">
        <w:rPr>
          <w:rStyle w:val="FootnoteReference"/>
        </w:rPr>
        <w:footnoteRef/>
      </w:r>
      <w:r>
        <w:t xml:space="preserve"> Slovenija je v prvih štirih mesecih 2023 (135 mio EUR) uvozila iz Ukrajine več blaga kot v celem letu 2021 (124 mio EUR). </w:t>
      </w:r>
    </w:p>
  </w:footnote>
  <w:footnote w:id="31">
    <w:p w14:paraId="7EFB6076" w14:textId="77777777" w:rsidR="00BF5199" w:rsidRDefault="00BF5199" w:rsidP="00426E59">
      <w:pPr>
        <w:pStyle w:val="FootnoteText"/>
      </w:pPr>
      <w:r w:rsidRPr="00591369">
        <w:rPr>
          <w:rStyle w:val="FootnoteReference"/>
        </w:rPr>
        <w:footnoteRef/>
      </w:r>
      <w:r>
        <w:t xml:space="preserve"> Razen pri kovinah in organskih kemičnih proizvodih, kjer je bila rast predvsem </w:t>
      </w:r>
      <w:r w:rsidRPr="00DB1130">
        <w:t>posledica relativno</w:t>
      </w:r>
      <w:r>
        <w:t xml:space="preserve"> nizke osnove v letu 2021. </w:t>
      </w:r>
    </w:p>
  </w:footnote>
  <w:footnote w:id="32">
    <w:p w14:paraId="0215F4FA" w14:textId="77777777" w:rsidR="00BF5199" w:rsidRDefault="00BF5199" w:rsidP="00426E59">
      <w:pPr>
        <w:pStyle w:val="FootnoteText"/>
      </w:pPr>
      <w:r w:rsidRPr="00591369">
        <w:rPr>
          <w:rStyle w:val="FootnoteReference"/>
        </w:rPr>
        <w:footnoteRef/>
      </w:r>
      <w:r>
        <w:t xml:space="preserve"> </w:t>
      </w:r>
      <w:r w:rsidRPr="00695AAA">
        <w:t>Imunološki proizvodi, ki so pripravljeni v odmerjenih dozah ali v oblikah ali pakiranjih za prodajo na drobno</w:t>
      </w:r>
      <w:r>
        <w:t xml:space="preserve"> (Kombinirana klasifikacija 300215, SMTK 54163). </w:t>
      </w:r>
    </w:p>
  </w:footnote>
  <w:footnote w:id="33">
    <w:p w14:paraId="1F63BD97" w14:textId="77777777" w:rsidR="00BF5199" w:rsidRDefault="00BF5199" w:rsidP="00426E59">
      <w:pPr>
        <w:pStyle w:val="FootnoteText"/>
      </w:pPr>
      <w:r w:rsidRPr="00591369">
        <w:rPr>
          <w:rStyle w:val="FootnoteReference"/>
        </w:rPr>
        <w:footnoteRef/>
      </w:r>
      <w:r>
        <w:t xml:space="preserve"> V letu 2022 se je tako kot izvoz močno povečal tudi uvoz imunoloških proizvodov. Najbolj se je povečal uvoz iz Nizozemske (2021: 17,9 % delež v uvozu imunoloških proizvodov; 2022: 41,3 %, 2023 jan-apr: 47,3 %). Hkrati se je izvoz teh proizvodov iz Nizozemske v Rusijo v letu 2022 močno zmanjšal. </w:t>
      </w:r>
    </w:p>
  </w:footnote>
  <w:footnote w:id="34">
    <w:p w14:paraId="2F63FBED" w14:textId="77777777" w:rsidR="00BF5199" w:rsidRDefault="00BF5199" w:rsidP="004E2298">
      <w:pPr>
        <w:pStyle w:val="FootnoteText"/>
      </w:pPr>
      <w:r w:rsidRPr="00591369">
        <w:rPr>
          <w:rStyle w:val="FootnoteReference"/>
        </w:rPr>
        <w:footnoteRef/>
      </w:r>
      <w:r>
        <w:t xml:space="preserve"> Cene zemeljskega plina so dosegle najvišje ravni septembra 2022, ko so bile za okoli 210 % višje kot pred začetkom vojne oz. za medletno višje za 365 %. Močno povišane so ostale do konca leta 2022, v prvih mesecih leta 2023 pa so se opazno znižale in bile in se znižale na ravni pred začetkom vojne. Cene surove nafte Brent so se po začetku vojne povečale in dosegle najvišje ravni junija 2022 (122 USD/sod), kar je za 26 % več kot pred začetkom vojne in medletno za 68 % več. Do konca leta so sicer ostale visoke, a so bile decembra že nižje kot v mesecu pred začetkom vojne, v prvih mesecih 2023 pa so se znižale na ravni iz sredine leta 2021. </w:t>
      </w:r>
    </w:p>
  </w:footnote>
  <w:footnote w:id="35">
    <w:p w14:paraId="43DAFF8C" w14:textId="33E5EF87" w:rsidR="00BF5199" w:rsidRDefault="00BF5199" w:rsidP="00DE4F36">
      <w:pPr>
        <w:pStyle w:val="FootnoteText"/>
      </w:pPr>
      <w:r w:rsidRPr="00D03946">
        <w:rPr>
          <w:rStyle w:val="FootnoteReference"/>
        </w:rPr>
        <w:footnoteRef/>
      </w:r>
      <w:r>
        <w:t xml:space="preserve"> Slovenija uvaža samo naftne derivate, saj nima rafinerij, ki bi predelale surovo nafto. </w:t>
      </w:r>
      <w:r>
        <w:rPr>
          <w:rStyle w:val="rynqvb"/>
        </w:rPr>
        <w:t>Ob tem je treba omeniti, da je večina zemeljskega plina, ki ga je Slovenija uvozila pred vojno, sicer izviralo iz Rusije, vendar je bilo neposrednega uvoza, izraženega v zunanjetrgovinski statistiki, relativno malo (izraženo v masi; 2019: 21 %, 2020: 36 %, 2021: 52 %; 2022: 42 %).</w:t>
      </w:r>
    </w:p>
  </w:footnote>
  <w:footnote w:id="36">
    <w:p w14:paraId="2B19C89D" w14:textId="047DE8EB" w:rsidR="00BF5199" w:rsidRDefault="00BF5199" w:rsidP="006B2D0D">
      <w:pPr>
        <w:pStyle w:val="FootnoteText"/>
      </w:pPr>
      <w:r w:rsidRPr="00591369">
        <w:rPr>
          <w:rStyle w:val="FootnoteReference"/>
        </w:rPr>
        <w:footnoteRef/>
      </w:r>
      <w:r>
        <w:t xml:space="preserve"> </w:t>
      </w:r>
      <w:r>
        <w:rPr>
          <w:rStyle w:val="rynqvb"/>
        </w:rPr>
        <w:t>V obdobju pred vojno je delež uvoza naftnih derivatov iz Rusije v skupnem uvozu naftnih derivatov (izraženo v masi) med leti nihal med 5 in 20 % ter v povprečju leta 2022 znašal 17,1 %. Ob tem je zlasti izstopal junij 2022, ko je Slovenija iz Rusije v tistem mesecu neposredno uvozila skoraj 44 % vseh naftnih derivatov, kar gre verjetno pripisati razpoložljivosti teh proizvodov na trgu.</w:t>
      </w:r>
    </w:p>
  </w:footnote>
  <w:footnote w:id="37">
    <w:p w14:paraId="1731F792" w14:textId="77777777" w:rsidR="00BF5199" w:rsidRDefault="00BF5199" w:rsidP="006B2D0D">
      <w:pPr>
        <w:pStyle w:val="FootnoteText"/>
      </w:pPr>
      <w:r w:rsidRPr="00591369">
        <w:rPr>
          <w:rStyle w:val="FootnoteReference"/>
        </w:rPr>
        <w:footnoteRef/>
      </w:r>
      <w:r>
        <w:t xml:space="preserve"> Močno se je povečal tudi uvoz naftnih derivatov iz drugih držav, ki niso povezane z Rusijo. Po podatkih Luke Koper je bil v letu 2022 količinsko (izraženo v masi) za okoli 40 % večji pretovor tekočih tovorov, kar je tudi več kot v obdobju pred epidemijo covida-19.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BF5199" w:rsidRPr="00A540FA" w14:paraId="0ADEEF46" w14:textId="77777777" w:rsidTr="00287C4E">
      <w:trPr>
        <w:trHeight w:val="552"/>
      </w:trPr>
      <w:tc>
        <w:tcPr>
          <w:tcW w:w="8276" w:type="dxa"/>
        </w:tcPr>
        <w:p w14:paraId="46FB1313" w14:textId="7FD70F69" w:rsidR="00BF5199" w:rsidRPr="00F43CB0" w:rsidRDefault="00BF5199" w:rsidP="004016AB">
          <w:pPr>
            <w:pStyle w:val="Header"/>
            <w:tabs>
              <w:tab w:val="clear" w:pos="4536"/>
              <w:tab w:val="clear" w:pos="9072"/>
              <w:tab w:val="right" w:pos="8276"/>
            </w:tabs>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rPr>
            <w:drawing>
              <wp:inline distT="0" distB="0" distL="0" distR="0" wp14:anchorId="330CBF6B" wp14:editId="0B18353B">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w:t>
          </w:r>
          <w:r w:rsidRPr="006523A6">
            <w:rPr>
              <w:rFonts w:cstheme="minorHAnsi"/>
              <w:b/>
              <w:sz w:val="16"/>
            </w:rPr>
            <w:t>Analiza zunanjetrgovinske menjave z Rusijo od začetka vojne v Ukrajini</w:t>
          </w:r>
          <w:r>
            <w:rPr>
              <w:rFonts w:cstheme="minorHAnsi"/>
              <w:b/>
              <w:sz w:val="16"/>
            </w:rPr>
            <w:tab/>
          </w:r>
        </w:p>
      </w:tc>
      <w:tc>
        <w:tcPr>
          <w:tcW w:w="796" w:type="dxa"/>
        </w:tcPr>
        <w:p w14:paraId="2917A342" w14:textId="77777777" w:rsidR="00BF5199" w:rsidRPr="00B607E3" w:rsidRDefault="00BF5199"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258E112B" w14:textId="77777777" w:rsidR="00BF5199" w:rsidRDefault="00BF5199"/>
  <w:p w14:paraId="56357610" w14:textId="77777777" w:rsidR="00BF5199" w:rsidRDefault="00BF51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43"/>
    <w:multiLevelType w:val="hybridMultilevel"/>
    <w:tmpl w:val="8466B764"/>
    <w:lvl w:ilvl="0" w:tplc="CBF87560">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99130C"/>
    <w:multiLevelType w:val="hybridMultilevel"/>
    <w:tmpl w:val="70C0FA04"/>
    <w:lvl w:ilvl="0" w:tplc="5C7A3916">
      <w:start w:val="1"/>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D6012"/>
    <w:multiLevelType w:val="multilevel"/>
    <w:tmpl w:val="A92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0151E57"/>
    <w:multiLevelType w:val="multilevel"/>
    <w:tmpl w:val="533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5652B"/>
    <w:multiLevelType w:val="multilevel"/>
    <w:tmpl w:val="DCEA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2134B"/>
    <w:multiLevelType w:val="multilevel"/>
    <w:tmpl w:val="BC5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46966"/>
    <w:multiLevelType w:val="hybridMultilevel"/>
    <w:tmpl w:val="0BB0B9A6"/>
    <w:lvl w:ilvl="0" w:tplc="93FCA91C">
      <w:numFmt w:val="bullet"/>
      <w:lvlText w:val="-"/>
      <w:lvlJc w:val="left"/>
      <w:pPr>
        <w:ind w:left="720" w:hanging="360"/>
      </w:pPr>
      <w:rPr>
        <w:rFonts w:ascii="Myriad Pro" w:eastAsiaTheme="minorHAnsi" w:hAnsi="Myriad Pro" w:cstheme="minorBidi"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1"/>
  </w:num>
  <w:num w:numId="4">
    <w:abstractNumId w:val="4"/>
  </w:num>
  <w:num w:numId="5">
    <w:abstractNumId w:val="7"/>
  </w:num>
  <w:num w:numId="6">
    <w:abstractNumId w:val="0"/>
  </w:num>
  <w:num w:numId="7">
    <w:abstractNumId w:val="3"/>
  </w:num>
  <w:num w:numId="8">
    <w:abstractNumId w:val="9"/>
  </w:num>
  <w:num w:numId="9">
    <w:abstractNumId w:val="6"/>
  </w:num>
  <w:num w:numId="10">
    <w:abstractNumId w:val="8"/>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94"/>
    <w:rsid w:val="00001B5B"/>
    <w:rsid w:val="000026EC"/>
    <w:rsid w:val="0000287C"/>
    <w:rsid w:val="00002CAF"/>
    <w:rsid w:val="000032F1"/>
    <w:rsid w:val="0000346F"/>
    <w:rsid w:val="00003E9D"/>
    <w:rsid w:val="000047A9"/>
    <w:rsid w:val="00004DAC"/>
    <w:rsid w:val="00006657"/>
    <w:rsid w:val="00006975"/>
    <w:rsid w:val="00006BC6"/>
    <w:rsid w:val="000071B5"/>
    <w:rsid w:val="00007719"/>
    <w:rsid w:val="00010876"/>
    <w:rsid w:val="00013848"/>
    <w:rsid w:val="000141E1"/>
    <w:rsid w:val="00014DA7"/>
    <w:rsid w:val="00021509"/>
    <w:rsid w:val="00023A5C"/>
    <w:rsid w:val="00023FFD"/>
    <w:rsid w:val="0002452C"/>
    <w:rsid w:val="00024FA0"/>
    <w:rsid w:val="000267E2"/>
    <w:rsid w:val="00026ACB"/>
    <w:rsid w:val="0003011B"/>
    <w:rsid w:val="00030A53"/>
    <w:rsid w:val="00033603"/>
    <w:rsid w:val="00033FF7"/>
    <w:rsid w:val="00035FBD"/>
    <w:rsid w:val="000365D0"/>
    <w:rsid w:val="000372AC"/>
    <w:rsid w:val="0003751E"/>
    <w:rsid w:val="00037DDD"/>
    <w:rsid w:val="0004147D"/>
    <w:rsid w:val="00041BCA"/>
    <w:rsid w:val="00042B8F"/>
    <w:rsid w:val="00042FBD"/>
    <w:rsid w:val="000438D4"/>
    <w:rsid w:val="00045B44"/>
    <w:rsid w:val="000518E7"/>
    <w:rsid w:val="00054645"/>
    <w:rsid w:val="0005475A"/>
    <w:rsid w:val="000547F0"/>
    <w:rsid w:val="000559B9"/>
    <w:rsid w:val="00055D95"/>
    <w:rsid w:val="000572B9"/>
    <w:rsid w:val="00057C74"/>
    <w:rsid w:val="00060302"/>
    <w:rsid w:val="00066A45"/>
    <w:rsid w:val="0007025B"/>
    <w:rsid w:val="00070B55"/>
    <w:rsid w:val="00071DFF"/>
    <w:rsid w:val="00072E0A"/>
    <w:rsid w:val="0007354C"/>
    <w:rsid w:val="00073D6E"/>
    <w:rsid w:val="00075D73"/>
    <w:rsid w:val="00077993"/>
    <w:rsid w:val="00077C63"/>
    <w:rsid w:val="00077E9C"/>
    <w:rsid w:val="000806EC"/>
    <w:rsid w:val="0008109A"/>
    <w:rsid w:val="00083E22"/>
    <w:rsid w:val="00084484"/>
    <w:rsid w:val="00086439"/>
    <w:rsid w:val="0009083E"/>
    <w:rsid w:val="00091231"/>
    <w:rsid w:val="000918F3"/>
    <w:rsid w:val="0009247A"/>
    <w:rsid w:val="000929C6"/>
    <w:rsid w:val="00092DA8"/>
    <w:rsid w:val="000936DA"/>
    <w:rsid w:val="00094A62"/>
    <w:rsid w:val="000968B4"/>
    <w:rsid w:val="000969D0"/>
    <w:rsid w:val="00096DB6"/>
    <w:rsid w:val="000A1F78"/>
    <w:rsid w:val="000A1F9A"/>
    <w:rsid w:val="000A528A"/>
    <w:rsid w:val="000A6E55"/>
    <w:rsid w:val="000A78C0"/>
    <w:rsid w:val="000B0C7C"/>
    <w:rsid w:val="000B177F"/>
    <w:rsid w:val="000B1E80"/>
    <w:rsid w:val="000B1ECE"/>
    <w:rsid w:val="000B2CC4"/>
    <w:rsid w:val="000B3045"/>
    <w:rsid w:val="000B3619"/>
    <w:rsid w:val="000B48FF"/>
    <w:rsid w:val="000B6B53"/>
    <w:rsid w:val="000B75F3"/>
    <w:rsid w:val="000C1161"/>
    <w:rsid w:val="000C12D6"/>
    <w:rsid w:val="000C1C5A"/>
    <w:rsid w:val="000C1CD6"/>
    <w:rsid w:val="000C2CAF"/>
    <w:rsid w:val="000C43BF"/>
    <w:rsid w:val="000C49B8"/>
    <w:rsid w:val="000C4E62"/>
    <w:rsid w:val="000C5063"/>
    <w:rsid w:val="000C66F6"/>
    <w:rsid w:val="000C6A09"/>
    <w:rsid w:val="000D0C8F"/>
    <w:rsid w:val="000D1E72"/>
    <w:rsid w:val="000D41B8"/>
    <w:rsid w:val="000D4CA8"/>
    <w:rsid w:val="000E0B25"/>
    <w:rsid w:val="000E1358"/>
    <w:rsid w:val="000E3BEC"/>
    <w:rsid w:val="000E64EC"/>
    <w:rsid w:val="000E70CE"/>
    <w:rsid w:val="000E7B27"/>
    <w:rsid w:val="000E7BCB"/>
    <w:rsid w:val="000F0A5B"/>
    <w:rsid w:val="000F0B06"/>
    <w:rsid w:val="000F23D6"/>
    <w:rsid w:val="000F2B1C"/>
    <w:rsid w:val="000F37C8"/>
    <w:rsid w:val="000F6F5D"/>
    <w:rsid w:val="00100DB9"/>
    <w:rsid w:val="00102756"/>
    <w:rsid w:val="0010366B"/>
    <w:rsid w:val="0010507E"/>
    <w:rsid w:val="00105A87"/>
    <w:rsid w:val="00105D95"/>
    <w:rsid w:val="00106B4D"/>
    <w:rsid w:val="00106BE5"/>
    <w:rsid w:val="00107A6B"/>
    <w:rsid w:val="00107A7C"/>
    <w:rsid w:val="00110C49"/>
    <w:rsid w:val="00110FEB"/>
    <w:rsid w:val="00112740"/>
    <w:rsid w:val="00113F23"/>
    <w:rsid w:val="00115051"/>
    <w:rsid w:val="001153EC"/>
    <w:rsid w:val="0011551D"/>
    <w:rsid w:val="00116E10"/>
    <w:rsid w:val="001170C5"/>
    <w:rsid w:val="00117115"/>
    <w:rsid w:val="00117342"/>
    <w:rsid w:val="0011783D"/>
    <w:rsid w:val="00120531"/>
    <w:rsid w:val="00121772"/>
    <w:rsid w:val="00124AE6"/>
    <w:rsid w:val="00124C9D"/>
    <w:rsid w:val="00124E28"/>
    <w:rsid w:val="00127B1E"/>
    <w:rsid w:val="00130A1A"/>
    <w:rsid w:val="0013312D"/>
    <w:rsid w:val="0013465F"/>
    <w:rsid w:val="0013548A"/>
    <w:rsid w:val="00135CF8"/>
    <w:rsid w:val="00137A9A"/>
    <w:rsid w:val="00137AB5"/>
    <w:rsid w:val="001406F5"/>
    <w:rsid w:val="00140706"/>
    <w:rsid w:val="001413DE"/>
    <w:rsid w:val="00141E1A"/>
    <w:rsid w:val="00143E7F"/>
    <w:rsid w:val="00143F8E"/>
    <w:rsid w:val="00143FC6"/>
    <w:rsid w:val="001455D8"/>
    <w:rsid w:val="00150E9F"/>
    <w:rsid w:val="0015528E"/>
    <w:rsid w:val="001555BF"/>
    <w:rsid w:val="00161445"/>
    <w:rsid w:val="00161611"/>
    <w:rsid w:val="0016173F"/>
    <w:rsid w:val="00162561"/>
    <w:rsid w:val="00163788"/>
    <w:rsid w:val="0016402F"/>
    <w:rsid w:val="00165810"/>
    <w:rsid w:val="001673B5"/>
    <w:rsid w:val="001673FC"/>
    <w:rsid w:val="001709CB"/>
    <w:rsid w:val="00170FA1"/>
    <w:rsid w:val="001725FA"/>
    <w:rsid w:val="00175219"/>
    <w:rsid w:val="00175D93"/>
    <w:rsid w:val="001764AB"/>
    <w:rsid w:val="00176D09"/>
    <w:rsid w:val="001770F0"/>
    <w:rsid w:val="001800CD"/>
    <w:rsid w:val="00181502"/>
    <w:rsid w:val="00181CCA"/>
    <w:rsid w:val="00184E2B"/>
    <w:rsid w:val="0018519C"/>
    <w:rsid w:val="00185DCC"/>
    <w:rsid w:val="001908FD"/>
    <w:rsid w:val="001910C2"/>
    <w:rsid w:val="001917B6"/>
    <w:rsid w:val="00191ADF"/>
    <w:rsid w:val="00193AD1"/>
    <w:rsid w:val="00195F97"/>
    <w:rsid w:val="0019720D"/>
    <w:rsid w:val="001A0885"/>
    <w:rsid w:val="001A159D"/>
    <w:rsid w:val="001A1629"/>
    <w:rsid w:val="001A5318"/>
    <w:rsid w:val="001A74C4"/>
    <w:rsid w:val="001B2F40"/>
    <w:rsid w:val="001B6398"/>
    <w:rsid w:val="001C20B3"/>
    <w:rsid w:val="001C24DF"/>
    <w:rsid w:val="001C27AA"/>
    <w:rsid w:val="001C3981"/>
    <w:rsid w:val="001C3A0A"/>
    <w:rsid w:val="001C487D"/>
    <w:rsid w:val="001C4D46"/>
    <w:rsid w:val="001C53BE"/>
    <w:rsid w:val="001C5901"/>
    <w:rsid w:val="001C5AF2"/>
    <w:rsid w:val="001D0A6E"/>
    <w:rsid w:val="001D0B2F"/>
    <w:rsid w:val="001D1834"/>
    <w:rsid w:val="001D3A3F"/>
    <w:rsid w:val="001D3AD7"/>
    <w:rsid w:val="001D65E7"/>
    <w:rsid w:val="001D663D"/>
    <w:rsid w:val="001D71E0"/>
    <w:rsid w:val="001E07FD"/>
    <w:rsid w:val="001E0960"/>
    <w:rsid w:val="001E2681"/>
    <w:rsid w:val="001E560F"/>
    <w:rsid w:val="001E77BE"/>
    <w:rsid w:val="001E7A72"/>
    <w:rsid w:val="001E7BEE"/>
    <w:rsid w:val="001E7D65"/>
    <w:rsid w:val="001F0482"/>
    <w:rsid w:val="001F1537"/>
    <w:rsid w:val="001F166C"/>
    <w:rsid w:val="001F19CC"/>
    <w:rsid w:val="001F1F26"/>
    <w:rsid w:val="001F2115"/>
    <w:rsid w:val="001F379C"/>
    <w:rsid w:val="001F43E2"/>
    <w:rsid w:val="001F4528"/>
    <w:rsid w:val="001F60CF"/>
    <w:rsid w:val="001F61EF"/>
    <w:rsid w:val="001F62CF"/>
    <w:rsid w:val="001F6DFF"/>
    <w:rsid w:val="001F760E"/>
    <w:rsid w:val="00200F04"/>
    <w:rsid w:val="00201311"/>
    <w:rsid w:val="00202025"/>
    <w:rsid w:val="00203C04"/>
    <w:rsid w:val="00204BEF"/>
    <w:rsid w:val="00205616"/>
    <w:rsid w:val="002111FC"/>
    <w:rsid w:val="00211926"/>
    <w:rsid w:val="00212483"/>
    <w:rsid w:val="00212697"/>
    <w:rsid w:val="00214084"/>
    <w:rsid w:val="00214A8B"/>
    <w:rsid w:val="0021640A"/>
    <w:rsid w:val="002165C0"/>
    <w:rsid w:val="00217E32"/>
    <w:rsid w:val="00220A86"/>
    <w:rsid w:val="00220E84"/>
    <w:rsid w:val="00221CC6"/>
    <w:rsid w:val="002225D3"/>
    <w:rsid w:val="002237E0"/>
    <w:rsid w:val="002242E2"/>
    <w:rsid w:val="00225170"/>
    <w:rsid w:val="0022533F"/>
    <w:rsid w:val="0022570D"/>
    <w:rsid w:val="002257A9"/>
    <w:rsid w:val="002272FD"/>
    <w:rsid w:val="00230ADE"/>
    <w:rsid w:val="00230DE5"/>
    <w:rsid w:val="00232BBE"/>
    <w:rsid w:val="0023463D"/>
    <w:rsid w:val="00234DFD"/>
    <w:rsid w:val="00235E12"/>
    <w:rsid w:val="0023649B"/>
    <w:rsid w:val="00240A41"/>
    <w:rsid w:val="00240C03"/>
    <w:rsid w:val="00243D25"/>
    <w:rsid w:val="00244E0B"/>
    <w:rsid w:val="00245C6C"/>
    <w:rsid w:val="00246234"/>
    <w:rsid w:val="00247FE5"/>
    <w:rsid w:val="00250B99"/>
    <w:rsid w:val="00252660"/>
    <w:rsid w:val="00252F81"/>
    <w:rsid w:val="002531D4"/>
    <w:rsid w:val="00253567"/>
    <w:rsid w:val="002572F0"/>
    <w:rsid w:val="002577FF"/>
    <w:rsid w:val="00260F6A"/>
    <w:rsid w:val="002628DA"/>
    <w:rsid w:val="00263E3D"/>
    <w:rsid w:val="00264627"/>
    <w:rsid w:val="00265B02"/>
    <w:rsid w:val="00265E7B"/>
    <w:rsid w:val="00266B89"/>
    <w:rsid w:val="00266DC3"/>
    <w:rsid w:val="00271430"/>
    <w:rsid w:val="00272C68"/>
    <w:rsid w:val="00273A1F"/>
    <w:rsid w:val="00274A6B"/>
    <w:rsid w:val="002750B5"/>
    <w:rsid w:val="00275CAC"/>
    <w:rsid w:val="002768AD"/>
    <w:rsid w:val="002800D2"/>
    <w:rsid w:val="00281355"/>
    <w:rsid w:val="00282A01"/>
    <w:rsid w:val="00282A75"/>
    <w:rsid w:val="00287C4E"/>
    <w:rsid w:val="002901C9"/>
    <w:rsid w:val="00291052"/>
    <w:rsid w:val="00291B55"/>
    <w:rsid w:val="00291E9C"/>
    <w:rsid w:val="0029204B"/>
    <w:rsid w:val="00295489"/>
    <w:rsid w:val="00296655"/>
    <w:rsid w:val="00296ADF"/>
    <w:rsid w:val="00296B59"/>
    <w:rsid w:val="00297385"/>
    <w:rsid w:val="002979A1"/>
    <w:rsid w:val="002A0E59"/>
    <w:rsid w:val="002A1940"/>
    <w:rsid w:val="002A368E"/>
    <w:rsid w:val="002A3B42"/>
    <w:rsid w:val="002A6589"/>
    <w:rsid w:val="002A6C97"/>
    <w:rsid w:val="002B061B"/>
    <w:rsid w:val="002B06FB"/>
    <w:rsid w:val="002B32B3"/>
    <w:rsid w:val="002B35BC"/>
    <w:rsid w:val="002B3773"/>
    <w:rsid w:val="002B3890"/>
    <w:rsid w:val="002B3FA8"/>
    <w:rsid w:val="002B5937"/>
    <w:rsid w:val="002B5D48"/>
    <w:rsid w:val="002B631F"/>
    <w:rsid w:val="002B64CB"/>
    <w:rsid w:val="002B6C5D"/>
    <w:rsid w:val="002B7294"/>
    <w:rsid w:val="002C0D76"/>
    <w:rsid w:val="002C1866"/>
    <w:rsid w:val="002C42D3"/>
    <w:rsid w:val="002C4CE9"/>
    <w:rsid w:val="002D0D1B"/>
    <w:rsid w:val="002D1D30"/>
    <w:rsid w:val="002D4281"/>
    <w:rsid w:val="002D460E"/>
    <w:rsid w:val="002D5102"/>
    <w:rsid w:val="002D680E"/>
    <w:rsid w:val="002E032A"/>
    <w:rsid w:val="002E37AA"/>
    <w:rsid w:val="002E3B47"/>
    <w:rsid w:val="002E45C6"/>
    <w:rsid w:val="002E4D56"/>
    <w:rsid w:val="002F2D01"/>
    <w:rsid w:val="002F36AC"/>
    <w:rsid w:val="002F38A1"/>
    <w:rsid w:val="002F5D0F"/>
    <w:rsid w:val="002F62CB"/>
    <w:rsid w:val="002F6624"/>
    <w:rsid w:val="002F6F6D"/>
    <w:rsid w:val="002F79D3"/>
    <w:rsid w:val="0030011D"/>
    <w:rsid w:val="003007BA"/>
    <w:rsid w:val="003014DC"/>
    <w:rsid w:val="00301739"/>
    <w:rsid w:val="0030209F"/>
    <w:rsid w:val="00304967"/>
    <w:rsid w:val="0030571A"/>
    <w:rsid w:val="00305924"/>
    <w:rsid w:val="00306706"/>
    <w:rsid w:val="00306CAB"/>
    <w:rsid w:val="0030744A"/>
    <w:rsid w:val="00310F48"/>
    <w:rsid w:val="003119D2"/>
    <w:rsid w:val="00315406"/>
    <w:rsid w:val="0031550F"/>
    <w:rsid w:val="00315D65"/>
    <w:rsid w:val="00316D15"/>
    <w:rsid w:val="003201C8"/>
    <w:rsid w:val="00320DF3"/>
    <w:rsid w:val="003244EE"/>
    <w:rsid w:val="00326D5D"/>
    <w:rsid w:val="00327E83"/>
    <w:rsid w:val="00330829"/>
    <w:rsid w:val="00330AD5"/>
    <w:rsid w:val="0033107B"/>
    <w:rsid w:val="003312A2"/>
    <w:rsid w:val="00331D9E"/>
    <w:rsid w:val="00334607"/>
    <w:rsid w:val="00336899"/>
    <w:rsid w:val="00336CDA"/>
    <w:rsid w:val="00340546"/>
    <w:rsid w:val="0034094E"/>
    <w:rsid w:val="0034152B"/>
    <w:rsid w:val="00341E37"/>
    <w:rsid w:val="00341EEF"/>
    <w:rsid w:val="00343039"/>
    <w:rsid w:val="0034448F"/>
    <w:rsid w:val="00344940"/>
    <w:rsid w:val="00344FE4"/>
    <w:rsid w:val="00345C9D"/>
    <w:rsid w:val="003460D7"/>
    <w:rsid w:val="00346757"/>
    <w:rsid w:val="00347515"/>
    <w:rsid w:val="0035126D"/>
    <w:rsid w:val="00351BD0"/>
    <w:rsid w:val="003529F5"/>
    <w:rsid w:val="00352FD4"/>
    <w:rsid w:val="00353175"/>
    <w:rsid w:val="00353D73"/>
    <w:rsid w:val="00354A68"/>
    <w:rsid w:val="00355D20"/>
    <w:rsid w:val="003607E7"/>
    <w:rsid w:val="00362972"/>
    <w:rsid w:val="00363A1A"/>
    <w:rsid w:val="00363B56"/>
    <w:rsid w:val="00364CEA"/>
    <w:rsid w:val="003656BC"/>
    <w:rsid w:val="00365B36"/>
    <w:rsid w:val="00365CA9"/>
    <w:rsid w:val="003663C9"/>
    <w:rsid w:val="0036656D"/>
    <w:rsid w:val="00367549"/>
    <w:rsid w:val="00367B44"/>
    <w:rsid w:val="00372173"/>
    <w:rsid w:val="00373240"/>
    <w:rsid w:val="00373951"/>
    <w:rsid w:val="00373E63"/>
    <w:rsid w:val="00374268"/>
    <w:rsid w:val="003743DD"/>
    <w:rsid w:val="003749A1"/>
    <w:rsid w:val="00374A64"/>
    <w:rsid w:val="0037585B"/>
    <w:rsid w:val="00375C3D"/>
    <w:rsid w:val="00376234"/>
    <w:rsid w:val="00380DEB"/>
    <w:rsid w:val="003818CA"/>
    <w:rsid w:val="00382A9B"/>
    <w:rsid w:val="0038330F"/>
    <w:rsid w:val="00383F11"/>
    <w:rsid w:val="003844E5"/>
    <w:rsid w:val="00385490"/>
    <w:rsid w:val="00386ACD"/>
    <w:rsid w:val="0038783C"/>
    <w:rsid w:val="00390027"/>
    <w:rsid w:val="00390A78"/>
    <w:rsid w:val="00390D20"/>
    <w:rsid w:val="00391645"/>
    <w:rsid w:val="00392484"/>
    <w:rsid w:val="003926AD"/>
    <w:rsid w:val="003936E4"/>
    <w:rsid w:val="00393E26"/>
    <w:rsid w:val="00393EB8"/>
    <w:rsid w:val="00394200"/>
    <w:rsid w:val="003943DC"/>
    <w:rsid w:val="003944B6"/>
    <w:rsid w:val="00394B17"/>
    <w:rsid w:val="00395593"/>
    <w:rsid w:val="00396660"/>
    <w:rsid w:val="0039785C"/>
    <w:rsid w:val="003A0416"/>
    <w:rsid w:val="003A130C"/>
    <w:rsid w:val="003A1CC3"/>
    <w:rsid w:val="003A2BBE"/>
    <w:rsid w:val="003A2EB1"/>
    <w:rsid w:val="003A2F39"/>
    <w:rsid w:val="003A4219"/>
    <w:rsid w:val="003A4B98"/>
    <w:rsid w:val="003A4C58"/>
    <w:rsid w:val="003A5848"/>
    <w:rsid w:val="003A6C2F"/>
    <w:rsid w:val="003A6F11"/>
    <w:rsid w:val="003A7D45"/>
    <w:rsid w:val="003A7F44"/>
    <w:rsid w:val="003B1BDA"/>
    <w:rsid w:val="003B2E0E"/>
    <w:rsid w:val="003B3D3D"/>
    <w:rsid w:val="003B5F73"/>
    <w:rsid w:val="003B64A5"/>
    <w:rsid w:val="003B7CD1"/>
    <w:rsid w:val="003C2E40"/>
    <w:rsid w:val="003C3E4B"/>
    <w:rsid w:val="003D0BE3"/>
    <w:rsid w:val="003D2EFD"/>
    <w:rsid w:val="003D3417"/>
    <w:rsid w:val="003D39EE"/>
    <w:rsid w:val="003D431F"/>
    <w:rsid w:val="003D5523"/>
    <w:rsid w:val="003D5A98"/>
    <w:rsid w:val="003D639A"/>
    <w:rsid w:val="003D65E1"/>
    <w:rsid w:val="003D710C"/>
    <w:rsid w:val="003D73A7"/>
    <w:rsid w:val="003D7EE3"/>
    <w:rsid w:val="003E0A3B"/>
    <w:rsid w:val="003E0AF0"/>
    <w:rsid w:val="003E0B22"/>
    <w:rsid w:val="003E193D"/>
    <w:rsid w:val="003E1D01"/>
    <w:rsid w:val="003E2BA4"/>
    <w:rsid w:val="003E31F6"/>
    <w:rsid w:val="003E3A2D"/>
    <w:rsid w:val="003E4990"/>
    <w:rsid w:val="003E5C63"/>
    <w:rsid w:val="003E7533"/>
    <w:rsid w:val="003F058C"/>
    <w:rsid w:val="003F090C"/>
    <w:rsid w:val="003F18D2"/>
    <w:rsid w:val="003F1B14"/>
    <w:rsid w:val="003F1D22"/>
    <w:rsid w:val="003F21AE"/>
    <w:rsid w:val="003F26A8"/>
    <w:rsid w:val="003F33CD"/>
    <w:rsid w:val="003F5FD3"/>
    <w:rsid w:val="003F60F6"/>
    <w:rsid w:val="003F6AB1"/>
    <w:rsid w:val="00400465"/>
    <w:rsid w:val="00400DE5"/>
    <w:rsid w:val="004016AB"/>
    <w:rsid w:val="00402400"/>
    <w:rsid w:val="004029BB"/>
    <w:rsid w:val="00402B00"/>
    <w:rsid w:val="00404473"/>
    <w:rsid w:val="00404841"/>
    <w:rsid w:val="004049B7"/>
    <w:rsid w:val="004075CF"/>
    <w:rsid w:val="00407C0D"/>
    <w:rsid w:val="00407E3C"/>
    <w:rsid w:val="00411FE9"/>
    <w:rsid w:val="00413A61"/>
    <w:rsid w:val="004155C8"/>
    <w:rsid w:val="00415D75"/>
    <w:rsid w:val="00416D9C"/>
    <w:rsid w:val="0042350D"/>
    <w:rsid w:val="00423D6C"/>
    <w:rsid w:val="004248C0"/>
    <w:rsid w:val="0042577D"/>
    <w:rsid w:val="00426E59"/>
    <w:rsid w:val="00427E77"/>
    <w:rsid w:val="00427E7B"/>
    <w:rsid w:val="004302DC"/>
    <w:rsid w:val="00430947"/>
    <w:rsid w:val="004316F7"/>
    <w:rsid w:val="00431FB3"/>
    <w:rsid w:val="00433380"/>
    <w:rsid w:val="00433EC8"/>
    <w:rsid w:val="00435423"/>
    <w:rsid w:val="0043572E"/>
    <w:rsid w:val="00437CB6"/>
    <w:rsid w:val="00437EE7"/>
    <w:rsid w:val="00440FB2"/>
    <w:rsid w:val="00441504"/>
    <w:rsid w:val="0044242E"/>
    <w:rsid w:val="0044421E"/>
    <w:rsid w:val="004448D1"/>
    <w:rsid w:val="00446186"/>
    <w:rsid w:val="00447214"/>
    <w:rsid w:val="0044754D"/>
    <w:rsid w:val="00447A71"/>
    <w:rsid w:val="00451E94"/>
    <w:rsid w:val="00452B84"/>
    <w:rsid w:val="00453776"/>
    <w:rsid w:val="00453A22"/>
    <w:rsid w:val="00454751"/>
    <w:rsid w:val="00455FB3"/>
    <w:rsid w:val="00456525"/>
    <w:rsid w:val="00457C59"/>
    <w:rsid w:val="004610CF"/>
    <w:rsid w:val="00461394"/>
    <w:rsid w:val="00461535"/>
    <w:rsid w:val="00463654"/>
    <w:rsid w:val="0046366D"/>
    <w:rsid w:val="00465F2D"/>
    <w:rsid w:val="00467B42"/>
    <w:rsid w:val="00467C71"/>
    <w:rsid w:val="00470031"/>
    <w:rsid w:val="00470F89"/>
    <w:rsid w:val="00471237"/>
    <w:rsid w:val="00471568"/>
    <w:rsid w:val="00471713"/>
    <w:rsid w:val="00471D85"/>
    <w:rsid w:val="004730B8"/>
    <w:rsid w:val="00473BB4"/>
    <w:rsid w:val="00474F4F"/>
    <w:rsid w:val="0047533F"/>
    <w:rsid w:val="0047635E"/>
    <w:rsid w:val="00476703"/>
    <w:rsid w:val="004774EA"/>
    <w:rsid w:val="004774F9"/>
    <w:rsid w:val="00477D3A"/>
    <w:rsid w:val="00477DBE"/>
    <w:rsid w:val="00481B30"/>
    <w:rsid w:val="00481E14"/>
    <w:rsid w:val="00483C5B"/>
    <w:rsid w:val="00484DF1"/>
    <w:rsid w:val="00484E7E"/>
    <w:rsid w:val="00485096"/>
    <w:rsid w:val="00485174"/>
    <w:rsid w:val="00485329"/>
    <w:rsid w:val="004856A5"/>
    <w:rsid w:val="0048594C"/>
    <w:rsid w:val="0048599C"/>
    <w:rsid w:val="00486AFE"/>
    <w:rsid w:val="00486D9F"/>
    <w:rsid w:val="00487357"/>
    <w:rsid w:val="00487D9F"/>
    <w:rsid w:val="00487DB9"/>
    <w:rsid w:val="00487FA1"/>
    <w:rsid w:val="004901C2"/>
    <w:rsid w:val="004915C5"/>
    <w:rsid w:val="0049345B"/>
    <w:rsid w:val="0049356B"/>
    <w:rsid w:val="004945BD"/>
    <w:rsid w:val="00495674"/>
    <w:rsid w:val="00495854"/>
    <w:rsid w:val="00495889"/>
    <w:rsid w:val="00496165"/>
    <w:rsid w:val="004964EE"/>
    <w:rsid w:val="004966FB"/>
    <w:rsid w:val="00497805"/>
    <w:rsid w:val="004A318E"/>
    <w:rsid w:val="004A3312"/>
    <w:rsid w:val="004A45DA"/>
    <w:rsid w:val="004A5B65"/>
    <w:rsid w:val="004B063C"/>
    <w:rsid w:val="004B0869"/>
    <w:rsid w:val="004B138F"/>
    <w:rsid w:val="004B1509"/>
    <w:rsid w:val="004B275E"/>
    <w:rsid w:val="004B3384"/>
    <w:rsid w:val="004B39ED"/>
    <w:rsid w:val="004B4B54"/>
    <w:rsid w:val="004B5248"/>
    <w:rsid w:val="004C0235"/>
    <w:rsid w:val="004C09CC"/>
    <w:rsid w:val="004C0B34"/>
    <w:rsid w:val="004C12C2"/>
    <w:rsid w:val="004C1588"/>
    <w:rsid w:val="004C1673"/>
    <w:rsid w:val="004C22C6"/>
    <w:rsid w:val="004C4982"/>
    <w:rsid w:val="004C5AD3"/>
    <w:rsid w:val="004C6B99"/>
    <w:rsid w:val="004D0129"/>
    <w:rsid w:val="004D1933"/>
    <w:rsid w:val="004D1C81"/>
    <w:rsid w:val="004D21D3"/>
    <w:rsid w:val="004D22FB"/>
    <w:rsid w:val="004D2B31"/>
    <w:rsid w:val="004D33D1"/>
    <w:rsid w:val="004D3588"/>
    <w:rsid w:val="004D372F"/>
    <w:rsid w:val="004D51E1"/>
    <w:rsid w:val="004D51EA"/>
    <w:rsid w:val="004D5670"/>
    <w:rsid w:val="004D6D6F"/>
    <w:rsid w:val="004D78A9"/>
    <w:rsid w:val="004E2298"/>
    <w:rsid w:val="004E26C0"/>
    <w:rsid w:val="004E2B82"/>
    <w:rsid w:val="004E38F0"/>
    <w:rsid w:val="004E538D"/>
    <w:rsid w:val="004E5E3C"/>
    <w:rsid w:val="004F09ED"/>
    <w:rsid w:val="004F0F3E"/>
    <w:rsid w:val="004F1872"/>
    <w:rsid w:val="004F25F6"/>
    <w:rsid w:val="004F2BE3"/>
    <w:rsid w:val="004F38FC"/>
    <w:rsid w:val="004F3C08"/>
    <w:rsid w:val="004F3C75"/>
    <w:rsid w:val="004F4616"/>
    <w:rsid w:val="004F54A2"/>
    <w:rsid w:val="004F62F9"/>
    <w:rsid w:val="004F6889"/>
    <w:rsid w:val="004F7815"/>
    <w:rsid w:val="0050010C"/>
    <w:rsid w:val="00501B23"/>
    <w:rsid w:val="00501BD9"/>
    <w:rsid w:val="00502FA8"/>
    <w:rsid w:val="00504443"/>
    <w:rsid w:val="0050550D"/>
    <w:rsid w:val="00505ADF"/>
    <w:rsid w:val="0050616E"/>
    <w:rsid w:val="00507640"/>
    <w:rsid w:val="0050798F"/>
    <w:rsid w:val="00510461"/>
    <w:rsid w:val="005133FE"/>
    <w:rsid w:val="005139FA"/>
    <w:rsid w:val="00513F8E"/>
    <w:rsid w:val="0051582D"/>
    <w:rsid w:val="0051702C"/>
    <w:rsid w:val="00517033"/>
    <w:rsid w:val="00520E00"/>
    <w:rsid w:val="005228AE"/>
    <w:rsid w:val="005237FD"/>
    <w:rsid w:val="00523FEC"/>
    <w:rsid w:val="00524BEB"/>
    <w:rsid w:val="0052552A"/>
    <w:rsid w:val="00525FE4"/>
    <w:rsid w:val="005270BA"/>
    <w:rsid w:val="00530590"/>
    <w:rsid w:val="0053228F"/>
    <w:rsid w:val="005325BB"/>
    <w:rsid w:val="00532807"/>
    <w:rsid w:val="00532FEB"/>
    <w:rsid w:val="005331FB"/>
    <w:rsid w:val="00534995"/>
    <w:rsid w:val="00534B61"/>
    <w:rsid w:val="00535114"/>
    <w:rsid w:val="00537053"/>
    <w:rsid w:val="0054083E"/>
    <w:rsid w:val="00543646"/>
    <w:rsid w:val="00543748"/>
    <w:rsid w:val="00545973"/>
    <w:rsid w:val="0054632F"/>
    <w:rsid w:val="0054650F"/>
    <w:rsid w:val="005472C7"/>
    <w:rsid w:val="005479F3"/>
    <w:rsid w:val="00550662"/>
    <w:rsid w:val="00551677"/>
    <w:rsid w:val="00552ED7"/>
    <w:rsid w:val="00553FB9"/>
    <w:rsid w:val="005547C5"/>
    <w:rsid w:val="0055487F"/>
    <w:rsid w:val="00555663"/>
    <w:rsid w:val="0055724C"/>
    <w:rsid w:val="00557D4B"/>
    <w:rsid w:val="00560321"/>
    <w:rsid w:val="005604EC"/>
    <w:rsid w:val="0056113D"/>
    <w:rsid w:val="00562453"/>
    <w:rsid w:val="005633C7"/>
    <w:rsid w:val="00564898"/>
    <w:rsid w:val="005712F1"/>
    <w:rsid w:val="005727D4"/>
    <w:rsid w:val="00575C6D"/>
    <w:rsid w:val="00577D88"/>
    <w:rsid w:val="0058074E"/>
    <w:rsid w:val="00581C9B"/>
    <w:rsid w:val="00585542"/>
    <w:rsid w:val="00585C7B"/>
    <w:rsid w:val="005861F1"/>
    <w:rsid w:val="0058622D"/>
    <w:rsid w:val="00586C8F"/>
    <w:rsid w:val="005871B0"/>
    <w:rsid w:val="00587AA5"/>
    <w:rsid w:val="00590676"/>
    <w:rsid w:val="00591369"/>
    <w:rsid w:val="0059231A"/>
    <w:rsid w:val="0059294E"/>
    <w:rsid w:val="00593328"/>
    <w:rsid w:val="00594ACA"/>
    <w:rsid w:val="00594B4F"/>
    <w:rsid w:val="005955CD"/>
    <w:rsid w:val="00596071"/>
    <w:rsid w:val="00596BFA"/>
    <w:rsid w:val="005A1D18"/>
    <w:rsid w:val="005A265B"/>
    <w:rsid w:val="005A3515"/>
    <w:rsid w:val="005A6C05"/>
    <w:rsid w:val="005A7297"/>
    <w:rsid w:val="005A78F6"/>
    <w:rsid w:val="005A79DA"/>
    <w:rsid w:val="005A7C32"/>
    <w:rsid w:val="005A7F55"/>
    <w:rsid w:val="005B0540"/>
    <w:rsid w:val="005B0D84"/>
    <w:rsid w:val="005B3500"/>
    <w:rsid w:val="005B3B73"/>
    <w:rsid w:val="005B4654"/>
    <w:rsid w:val="005B4C0E"/>
    <w:rsid w:val="005B5F06"/>
    <w:rsid w:val="005B6757"/>
    <w:rsid w:val="005B6E4D"/>
    <w:rsid w:val="005C00FC"/>
    <w:rsid w:val="005C145B"/>
    <w:rsid w:val="005C161F"/>
    <w:rsid w:val="005C2526"/>
    <w:rsid w:val="005C2CEA"/>
    <w:rsid w:val="005C441B"/>
    <w:rsid w:val="005C5C18"/>
    <w:rsid w:val="005C60C3"/>
    <w:rsid w:val="005C6830"/>
    <w:rsid w:val="005C6B00"/>
    <w:rsid w:val="005D0DF9"/>
    <w:rsid w:val="005D1010"/>
    <w:rsid w:val="005D17C6"/>
    <w:rsid w:val="005D1D02"/>
    <w:rsid w:val="005D1FEF"/>
    <w:rsid w:val="005D2DD6"/>
    <w:rsid w:val="005D40BC"/>
    <w:rsid w:val="005D46FD"/>
    <w:rsid w:val="005D50A8"/>
    <w:rsid w:val="005D6BEE"/>
    <w:rsid w:val="005D6EE4"/>
    <w:rsid w:val="005D741E"/>
    <w:rsid w:val="005D7E30"/>
    <w:rsid w:val="005E2A7C"/>
    <w:rsid w:val="005E2B68"/>
    <w:rsid w:val="005E3C33"/>
    <w:rsid w:val="005E3DEA"/>
    <w:rsid w:val="005F1C58"/>
    <w:rsid w:val="005F333F"/>
    <w:rsid w:val="005F3BD9"/>
    <w:rsid w:val="005F3C8A"/>
    <w:rsid w:val="005F4578"/>
    <w:rsid w:val="005F4B6E"/>
    <w:rsid w:val="005F52F4"/>
    <w:rsid w:val="005F5846"/>
    <w:rsid w:val="005F7F5A"/>
    <w:rsid w:val="006000A1"/>
    <w:rsid w:val="00600A5F"/>
    <w:rsid w:val="00601DA6"/>
    <w:rsid w:val="00602A25"/>
    <w:rsid w:val="006040E6"/>
    <w:rsid w:val="00604372"/>
    <w:rsid w:val="00605B8A"/>
    <w:rsid w:val="006065AA"/>
    <w:rsid w:val="006119CB"/>
    <w:rsid w:val="00613374"/>
    <w:rsid w:val="006134EC"/>
    <w:rsid w:val="0061384F"/>
    <w:rsid w:val="00613EF7"/>
    <w:rsid w:val="006151CF"/>
    <w:rsid w:val="00615440"/>
    <w:rsid w:val="0061586C"/>
    <w:rsid w:val="006164F1"/>
    <w:rsid w:val="00617A5B"/>
    <w:rsid w:val="00617F94"/>
    <w:rsid w:val="006217FD"/>
    <w:rsid w:val="0062274D"/>
    <w:rsid w:val="00622948"/>
    <w:rsid w:val="0062646C"/>
    <w:rsid w:val="00626525"/>
    <w:rsid w:val="00627CB4"/>
    <w:rsid w:val="006301D5"/>
    <w:rsid w:val="006326D4"/>
    <w:rsid w:val="0063281E"/>
    <w:rsid w:val="00632C88"/>
    <w:rsid w:val="00632D97"/>
    <w:rsid w:val="00633AA6"/>
    <w:rsid w:val="00634D6B"/>
    <w:rsid w:val="006364A7"/>
    <w:rsid w:val="00637ECF"/>
    <w:rsid w:val="00641253"/>
    <w:rsid w:val="00641386"/>
    <w:rsid w:val="0064332C"/>
    <w:rsid w:val="0064491A"/>
    <w:rsid w:val="00645FF6"/>
    <w:rsid w:val="006501DA"/>
    <w:rsid w:val="00651680"/>
    <w:rsid w:val="006523A6"/>
    <w:rsid w:val="006527E3"/>
    <w:rsid w:val="006556AC"/>
    <w:rsid w:val="00655907"/>
    <w:rsid w:val="00655CD6"/>
    <w:rsid w:val="00655DEE"/>
    <w:rsid w:val="00660BCD"/>
    <w:rsid w:val="0066357F"/>
    <w:rsid w:val="00663A1C"/>
    <w:rsid w:val="00664272"/>
    <w:rsid w:val="006658A7"/>
    <w:rsid w:val="006667FE"/>
    <w:rsid w:val="00666BE2"/>
    <w:rsid w:val="006674A7"/>
    <w:rsid w:val="00667520"/>
    <w:rsid w:val="0066780A"/>
    <w:rsid w:val="006678D2"/>
    <w:rsid w:val="00667BAA"/>
    <w:rsid w:val="00670FF3"/>
    <w:rsid w:val="0067227C"/>
    <w:rsid w:val="006730C0"/>
    <w:rsid w:val="00673D56"/>
    <w:rsid w:val="00674223"/>
    <w:rsid w:val="0067505F"/>
    <w:rsid w:val="00677435"/>
    <w:rsid w:val="00680AD4"/>
    <w:rsid w:val="006839FC"/>
    <w:rsid w:val="00683CF2"/>
    <w:rsid w:val="00686F72"/>
    <w:rsid w:val="0068766F"/>
    <w:rsid w:val="006909E4"/>
    <w:rsid w:val="00691861"/>
    <w:rsid w:val="00693AF7"/>
    <w:rsid w:val="00693BD3"/>
    <w:rsid w:val="006954CB"/>
    <w:rsid w:val="00695AAA"/>
    <w:rsid w:val="006966BC"/>
    <w:rsid w:val="006969C3"/>
    <w:rsid w:val="00697419"/>
    <w:rsid w:val="00697F79"/>
    <w:rsid w:val="006A253D"/>
    <w:rsid w:val="006A2EF0"/>
    <w:rsid w:val="006A3298"/>
    <w:rsid w:val="006A331F"/>
    <w:rsid w:val="006A51EA"/>
    <w:rsid w:val="006A5D78"/>
    <w:rsid w:val="006B0C11"/>
    <w:rsid w:val="006B1D3D"/>
    <w:rsid w:val="006B20DE"/>
    <w:rsid w:val="006B2D0D"/>
    <w:rsid w:val="006B2E64"/>
    <w:rsid w:val="006B2E8B"/>
    <w:rsid w:val="006B365F"/>
    <w:rsid w:val="006B7A54"/>
    <w:rsid w:val="006B7AE0"/>
    <w:rsid w:val="006C040E"/>
    <w:rsid w:val="006C086E"/>
    <w:rsid w:val="006C09F7"/>
    <w:rsid w:val="006C1815"/>
    <w:rsid w:val="006C35F8"/>
    <w:rsid w:val="006C403C"/>
    <w:rsid w:val="006C4B8D"/>
    <w:rsid w:val="006C4DBB"/>
    <w:rsid w:val="006C6647"/>
    <w:rsid w:val="006C680F"/>
    <w:rsid w:val="006C7E4C"/>
    <w:rsid w:val="006D0C34"/>
    <w:rsid w:val="006D1872"/>
    <w:rsid w:val="006D1AFD"/>
    <w:rsid w:val="006D48B0"/>
    <w:rsid w:val="006D4C24"/>
    <w:rsid w:val="006D56B5"/>
    <w:rsid w:val="006D5964"/>
    <w:rsid w:val="006D5B32"/>
    <w:rsid w:val="006D709D"/>
    <w:rsid w:val="006D7195"/>
    <w:rsid w:val="006D7A6A"/>
    <w:rsid w:val="006E2C8C"/>
    <w:rsid w:val="006E315C"/>
    <w:rsid w:val="006E4FDE"/>
    <w:rsid w:val="006E78F4"/>
    <w:rsid w:val="006E7DEF"/>
    <w:rsid w:val="006F181A"/>
    <w:rsid w:val="006F4BBF"/>
    <w:rsid w:val="006F5351"/>
    <w:rsid w:val="00700B88"/>
    <w:rsid w:val="00701097"/>
    <w:rsid w:val="007016BB"/>
    <w:rsid w:val="00701E95"/>
    <w:rsid w:val="00703342"/>
    <w:rsid w:val="00704190"/>
    <w:rsid w:val="00704A07"/>
    <w:rsid w:val="00705590"/>
    <w:rsid w:val="00706494"/>
    <w:rsid w:val="0070699D"/>
    <w:rsid w:val="0071002E"/>
    <w:rsid w:val="00710EC5"/>
    <w:rsid w:val="007113BC"/>
    <w:rsid w:val="00711506"/>
    <w:rsid w:val="00711B52"/>
    <w:rsid w:val="007123CD"/>
    <w:rsid w:val="0071240A"/>
    <w:rsid w:val="00713954"/>
    <w:rsid w:val="0071423C"/>
    <w:rsid w:val="007149B8"/>
    <w:rsid w:val="00717AD3"/>
    <w:rsid w:val="007204A1"/>
    <w:rsid w:val="007209FA"/>
    <w:rsid w:val="00721142"/>
    <w:rsid w:val="00722488"/>
    <w:rsid w:val="007236C5"/>
    <w:rsid w:val="0072522B"/>
    <w:rsid w:val="00725D56"/>
    <w:rsid w:val="00727118"/>
    <w:rsid w:val="00727AA2"/>
    <w:rsid w:val="00731841"/>
    <w:rsid w:val="00732BAD"/>
    <w:rsid w:val="00732BDB"/>
    <w:rsid w:val="00733E66"/>
    <w:rsid w:val="007340C3"/>
    <w:rsid w:val="007345C0"/>
    <w:rsid w:val="007356E2"/>
    <w:rsid w:val="00736DB1"/>
    <w:rsid w:val="0073783D"/>
    <w:rsid w:val="007439FD"/>
    <w:rsid w:val="007444E2"/>
    <w:rsid w:val="007444EC"/>
    <w:rsid w:val="00744F0D"/>
    <w:rsid w:val="00747002"/>
    <w:rsid w:val="007532FA"/>
    <w:rsid w:val="007538F0"/>
    <w:rsid w:val="00753CE9"/>
    <w:rsid w:val="0075597F"/>
    <w:rsid w:val="00756DFB"/>
    <w:rsid w:val="00757564"/>
    <w:rsid w:val="00757C85"/>
    <w:rsid w:val="00760768"/>
    <w:rsid w:val="00761FD7"/>
    <w:rsid w:val="00763700"/>
    <w:rsid w:val="00763CDB"/>
    <w:rsid w:val="00765C58"/>
    <w:rsid w:val="007661DC"/>
    <w:rsid w:val="007670D5"/>
    <w:rsid w:val="00770703"/>
    <w:rsid w:val="00771744"/>
    <w:rsid w:val="00771BD4"/>
    <w:rsid w:val="00772268"/>
    <w:rsid w:val="007731CD"/>
    <w:rsid w:val="0077353B"/>
    <w:rsid w:val="007736C3"/>
    <w:rsid w:val="00774B58"/>
    <w:rsid w:val="00774D84"/>
    <w:rsid w:val="007759EA"/>
    <w:rsid w:val="007761F1"/>
    <w:rsid w:val="007764D3"/>
    <w:rsid w:val="0077666B"/>
    <w:rsid w:val="00776801"/>
    <w:rsid w:val="00780EB1"/>
    <w:rsid w:val="00781D29"/>
    <w:rsid w:val="00781F66"/>
    <w:rsid w:val="0078243B"/>
    <w:rsid w:val="00784074"/>
    <w:rsid w:val="00784670"/>
    <w:rsid w:val="007860F8"/>
    <w:rsid w:val="0078734F"/>
    <w:rsid w:val="00787735"/>
    <w:rsid w:val="0078799F"/>
    <w:rsid w:val="00787EC1"/>
    <w:rsid w:val="00787F5E"/>
    <w:rsid w:val="007915C0"/>
    <w:rsid w:val="00792BEF"/>
    <w:rsid w:val="00794282"/>
    <w:rsid w:val="007960DF"/>
    <w:rsid w:val="00796692"/>
    <w:rsid w:val="007A1FA3"/>
    <w:rsid w:val="007A2B63"/>
    <w:rsid w:val="007A3179"/>
    <w:rsid w:val="007A3C64"/>
    <w:rsid w:val="007A761E"/>
    <w:rsid w:val="007B1DB8"/>
    <w:rsid w:val="007B34D6"/>
    <w:rsid w:val="007B6137"/>
    <w:rsid w:val="007B7666"/>
    <w:rsid w:val="007B7CC6"/>
    <w:rsid w:val="007C26AB"/>
    <w:rsid w:val="007C383B"/>
    <w:rsid w:val="007C3A38"/>
    <w:rsid w:val="007C48C0"/>
    <w:rsid w:val="007C4DCD"/>
    <w:rsid w:val="007C5055"/>
    <w:rsid w:val="007C58E1"/>
    <w:rsid w:val="007C5ADD"/>
    <w:rsid w:val="007C6528"/>
    <w:rsid w:val="007D02D4"/>
    <w:rsid w:val="007D09E0"/>
    <w:rsid w:val="007D1003"/>
    <w:rsid w:val="007D1718"/>
    <w:rsid w:val="007D22BF"/>
    <w:rsid w:val="007D4FDE"/>
    <w:rsid w:val="007D5339"/>
    <w:rsid w:val="007D5348"/>
    <w:rsid w:val="007D5FE5"/>
    <w:rsid w:val="007D6B1B"/>
    <w:rsid w:val="007D71C8"/>
    <w:rsid w:val="007D79CF"/>
    <w:rsid w:val="007E0581"/>
    <w:rsid w:val="007E16C8"/>
    <w:rsid w:val="007E1735"/>
    <w:rsid w:val="007E1B17"/>
    <w:rsid w:val="007E2B35"/>
    <w:rsid w:val="007E2B67"/>
    <w:rsid w:val="007E5293"/>
    <w:rsid w:val="007E56AE"/>
    <w:rsid w:val="007E5FB3"/>
    <w:rsid w:val="007F1CC9"/>
    <w:rsid w:val="007F24FB"/>
    <w:rsid w:val="007F3093"/>
    <w:rsid w:val="007F3981"/>
    <w:rsid w:val="00803E1C"/>
    <w:rsid w:val="00804622"/>
    <w:rsid w:val="00804E5B"/>
    <w:rsid w:val="00805108"/>
    <w:rsid w:val="00806D14"/>
    <w:rsid w:val="008101ED"/>
    <w:rsid w:val="008118B7"/>
    <w:rsid w:val="00811F1B"/>
    <w:rsid w:val="00812202"/>
    <w:rsid w:val="008135D9"/>
    <w:rsid w:val="008139D4"/>
    <w:rsid w:val="00813D9C"/>
    <w:rsid w:val="00813E3A"/>
    <w:rsid w:val="00813F73"/>
    <w:rsid w:val="008154A7"/>
    <w:rsid w:val="00816849"/>
    <w:rsid w:val="00816CD8"/>
    <w:rsid w:val="008213AA"/>
    <w:rsid w:val="00821D63"/>
    <w:rsid w:val="0082247E"/>
    <w:rsid w:val="0082278C"/>
    <w:rsid w:val="00824448"/>
    <w:rsid w:val="00825445"/>
    <w:rsid w:val="00825CC5"/>
    <w:rsid w:val="008261A9"/>
    <w:rsid w:val="00826216"/>
    <w:rsid w:val="0082682C"/>
    <w:rsid w:val="00830962"/>
    <w:rsid w:val="00830AB0"/>
    <w:rsid w:val="00831CA4"/>
    <w:rsid w:val="0083280E"/>
    <w:rsid w:val="00833551"/>
    <w:rsid w:val="008336EA"/>
    <w:rsid w:val="00835CBB"/>
    <w:rsid w:val="00835D43"/>
    <w:rsid w:val="008374CD"/>
    <w:rsid w:val="008416E2"/>
    <w:rsid w:val="00841F72"/>
    <w:rsid w:val="00842D8E"/>
    <w:rsid w:val="008466FC"/>
    <w:rsid w:val="00847855"/>
    <w:rsid w:val="00847870"/>
    <w:rsid w:val="008507C3"/>
    <w:rsid w:val="00852D36"/>
    <w:rsid w:val="0085320D"/>
    <w:rsid w:val="008542A0"/>
    <w:rsid w:val="008544BC"/>
    <w:rsid w:val="008544ED"/>
    <w:rsid w:val="00855020"/>
    <w:rsid w:val="008577F4"/>
    <w:rsid w:val="00860D10"/>
    <w:rsid w:val="00861775"/>
    <w:rsid w:val="008621D2"/>
    <w:rsid w:val="00863095"/>
    <w:rsid w:val="008639E8"/>
    <w:rsid w:val="00863E98"/>
    <w:rsid w:val="00865904"/>
    <w:rsid w:val="00866AE1"/>
    <w:rsid w:val="00866B4D"/>
    <w:rsid w:val="00866C17"/>
    <w:rsid w:val="00867CC9"/>
    <w:rsid w:val="00870DED"/>
    <w:rsid w:val="00872C86"/>
    <w:rsid w:val="0087311A"/>
    <w:rsid w:val="0087606A"/>
    <w:rsid w:val="00880D8D"/>
    <w:rsid w:val="00880DE7"/>
    <w:rsid w:val="00881457"/>
    <w:rsid w:val="008846C0"/>
    <w:rsid w:val="00886E25"/>
    <w:rsid w:val="00887956"/>
    <w:rsid w:val="00890FA1"/>
    <w:rsid w:val="00895B4C"/>
    <w:rsid w:val="00897D11"/>
    <w:rsid w:val="008A3347"/>
    <w:rsid w:val="008A3905"/>
    <w:rsid w:val="008A445D"/>
    <w:rsid w:val="008A5C0C"/>
    <w:rsid w:val="008A5FC7"/>
    <w:rsid w:val="008A73FE"/>
    <w:rsid w:val="008A76F3"/>
    <w:rsid w:val="008B068D"/>
    <w:rsid w:val="008B18F0"/>
    <w:rsid w:val="008B4AB1"/>
    <w:rsid w:val="008B6EC2"/>
    <w:rsid w:val="008B7525"/>
    <w:rsid w:val="008C10D0"/>
    <w:rsid w:val="008C2615"/>
    <w:rsid w:val="008C2631"/>
    <w:rsid w:val="008C29B3"/>
    <w:rsid w:val="008C4268"/>
    <w:rsid w:val="008C44ED"/>
    <w:rsid w:val="008C4C8F"/>
    <w:rsid w:val="008C6626"/>
    <w:rsid w:val="008D00E7"/>
    <w:rsid w:val="008D07D1"/>
    <w:rsid w:val="008D0E22"/>
    <w:rsid w:val="008D1159"/>
    <w:rsid w:val="008D64B9"/>
    <w:rsid w:val="008E08E2"/>
    <w:rsid w:val="008E1911"/>
    <w:rsid w:val="008E1ECC"/>
    <w:rsid w:val="008E2858"/>
    <w:rsid w:val="008E2D24"/>
    <w:rsid w:val="008E32CA"/>
    <w:rsid w:val="008E32D7"/>
    <w:rsid w:val="008E4799"/>
    <w:rsid w:val="008E4FD2"/>
    <w:rsid w:val="008F0A52"/>
    <w:rsid w:val="008F0FBF"/>
    <w:rsid w:val="008F119D"/>
    <w:rsid w:val="008F1409"/>
    <w:rsid w:val="008F19FA"/>
    <w:rsid w:val="008F27B7"/>
    <w:rsid w:val="008F3146"/>
    <w:rsid w:val="008F329B"/>
    <w:rsid w:val="008F35C6"/>
    <w:rsid w:val="008F4F89"/>
    <w:rsid w:val="008F57CB"/>
    <w:rsid w:val="008F5916"/>
    <w:rsid w:val="008F5E24"/>
    <w:rsid w:val="00900064"/>
    <w:rsid w:val="00900603"/>
    <w:rsid w:val="00901025"/>
    <w:rsid w:val="0090185E"/>
    <w:rsid w:val="00901ACE"/>
    <w:rsid w:val="00911613"/>
    <w:rsid w:val="00912819"/>
    <w:rsid w:val="00912B20"/>
    <w:rsid w:val="009131B6"/>
    <w:rsid w:val="009138CB"/>
    <w:rsid w:val="00914772"/>
    <w:rsid w:val="00921E98"/>
    <w:rsid w:val="00922D25"/>
    <w:rsid w:val="00923AFA"/>
    <w:rsid w:val="00923B83"/>
    <w:rsid w:val="0092535E"/>
    <w:rsid w:val="00925373"/>
    <w:rsid w:val="00932310"/>
    <w:rsid w:val="00932E92"/>
    <w:rsid w:val="00933BDB"/>
    <w:rsid w:val="00933E33"/>
    <w:rsid w:val="00936DB4"/>
    <w:rsid w:val="009400F0"/>
    <w:rsid w:val="00941D0A"/>
    <w:rsid w:val="0094225F"/>
    <w:rsid w:val="009436C9"/>
    <w:rsid w:val="009457C6"/>
    <w:rsid w:val="00945FBE"/>
    <w:rsid w:val="00947E74"/>
    <w:rsid w:val="00950073"/>
    <w:rsid w:val="009525B3"/>
    <w:rsid w:val="00953B8D"/>
    <w:rsid w:val="009560E4"/>
    <w:rsid w:val="00956337"/>
    <w:rsid w:val="00957555"/>
    <w:rsid w:val="00962031"/>
    <w:rsid w:val="009627CD"/>
    <w:rsid w:val="00963048"/>
    <w:rsid w:val="00965315"/>
    <w:rsid w:val="00967DEC"/>
    <w:rsid w:val="0097063C"/>
    <w:rsid w:val="0097070F"/>
    <w:rsid w:val="0097105A"/>
    <w:rsid w:val="00973B3C"/>
    <w:rsid w:val="00973DFD"/>
    <w:rsid w:val="00976256"/>
    <w:rsid w:val="00977E7C"/>
    <w:rsid w:val="0098376B"/>
    <w:rsid w:val="00984BF0"/>
    <w:rsid w:val="00985BB2"/>
    <w:rsid w:val="00986CB8"/>
    <w:rsid w:val="00987E90"/>
    <w:rsid w:val="00990153"/>
    <w:rsid w:val="00990F48"/>
    <w:rsid w:val="009914EF"/>
    <w:rsid w:val="0099400D"/>
    <w:rsid w:val="0099612C"/>
    <w:rsid w:val="00996335"/>
    <w:rsid w:val="00996840"/>
    <w:rsid w:val="00996BF0"/>
    <w:rsid w:val="009A02AF"/>
    <w:rsid w:val="009A0AA1"/>
    <w:rsid w:val="009A1B91"/>
    <w:rsid w:val="009A3A04"/>
    <w:rsid w:val="009A4E2C"/>
    <w:rsid w:val="009A5CD6"/>
    <w:rsid w:val="009A7FC8"/>
    <w:rsid w:val="009B0030"/>
    <w:rsid w:val="009B0A34"/>
    <w:rsid w:val="009B469A"/>
    <w:rsid w:val="009B56EE"/>
    <w:rsid w:val="009B5D75"/>
    <w:rsid w:val="009B7C4C"/>
    <w:rsid w:val="009B7DB2"/>
    <w:rsid w:val="009C1561"/>
    <w:rsid w:val="009C17C1"/>
    <w:rsid w:val="009C2105"/>
    <w:rsid w:val="009C2471"/>
    <w:rsid w:val="009C2527"/>
    <w:rsid w:val="009C27DC"/>
    <w:rsid w:val="009C2FB2"/>
    <w:rsid w:val="009C3550"/>
    <w:rsid w:val="009C4521"/>
    <w:rsid w:val="009C4AE6"/>
    <w:rsid w:val="009C4DDF"/>
    <w:rsid w:val="009C5658"/>
    <w:rsid w:val="009C582D"/>
    <w:rsid w:val="009C6C39"/>
    <w:rsid w:val="009D02DD"/>
    <w:rsid w:val="009D0F39"/>
    <w:rsid w:val="009D1BA8"/>
    <w:rsid w:val="009D4A53"/>
    <w:rsid w:val="009D531A"/>
    <w:rsid w:val="009D6F28"/>
    <w:rsid w:val="009D6FA1"/>
    <w:rsid w:val="009D702B"/>
    <w:rsid w:val="009D73E8"/>
    <w:rsid w:val="009E06FA"/>
    <w:rsid w:val="009E1648"/>
    <w:rsid w:val="009E226A"/>
    <w:rsid w:val="009E2576"/>
    <w:rsid w:val="009E3791"/>
    <w:rsid w:val="009E60E6"/>
    <w:rsid w:val="009E627A"/>
    <w:rsid w:val="009E660C"/>
    <w:rsid w:val="009E6EA1"/>
    <w:rsid w:val="009F10D1"/>
    <w:rsid w:val="009F174F"/>
    <w:rsid w:val="009F2785"/>
    <w:rsid w:val="009F29D8"/>
    <w:rsid w:val="009F2CE5"/>
    <w:rsid w:val="009F330F"/>
    <w:rsid w:val="009F43E8"/>
    <w:rsid w:val="009F5424"/>
    <w:rsid w:val="00A01F8A"/>
    <w:rsid w:val="00A02AF2"/>
    <w:rsid w:val="00A02DF6"/>
    <w:rsid w:val="00A02FC4"/>
    <w:rsid w:val="00A030BA"/>
    <w:rsid w:val="00A03F4D"/>
    <w:rsid w:val="00A04ED7"/>
    <w:rsid w:val="00A0586D"/>
    <w:rsid w:val="00A05D92"/>
    <w:rsid w:val="00A07C9C"/>
    <w:rsid w:val="00A10664"/>
    <w:rsid w:val="00A11287"/>
    <w:rsid w:val="00A1240D"/>
    <w:rsid w:val="00A12E4C"/>
    <w:rsid w:val="00A148E1"/>
    <w:rsid w:val="00A149C2"/>
    <w:rsid w:val="00A1771E"/>
    <w:rsid w:val="00A17803"/>
    <w:rsid w:val="00A21F90"/>
    <w:rsid w:val="00A23281"/>
    <w:rsid w:val="00A242AE"/>
    <w:rsid w:val="00A26166"/>
    <w:rsid w:val="00A271A3"/>
    <w:rsid w:val="00A27785"/>
    <w:rsid w:val="00A30109"/>
    <w:rsid w:val="00A30C4A"/>
    <w:rsid w:val="00A32666"/>
    <w:rsid w:val="00A32AA7"/>
    <w:rsid w:val="00A32E49"/>
    <w:rsid w:val="00A33A1F"/>
    <w:rsid w:val="00A3547C"/>
    <w:rsid w:val="00A35AF0"/>
    <w:rsid w:val="00A35B2C"/>
    <w:rsid w:val="00A4352B"/>
    <w:rsid w:val="00A4374F"/>
    <w:rsid w:val="00A437A4"/>
    <w:rsid w:val="00A443B9"/>
    <w:rsid w:val="00A44ECD"/>
    <w:rsid w:val="00A45C12"/>
    <w:rsid w:val="00A470C9"/>
    <w:rsid w:val="00A479C5"/>
    <w:rsid w:val="00A5006C"/>
    <w:rsid w:val="00A50610"/>
    <w:rsid w:val="00A51896"/>
    <w:rsid w:val="00A51E1C"/>
    <w:rsid w:val="00A52DF1"/>
    <w:rsid w:val="00A53E2D"/>
    <w:rsid w:val="00A540FA"/>
    <w:rsid w:val="00A56B8A"/>
    <w:rsid w:val="00A56E31"/>
    <w:rsid w:val="00A57040"/>
    <w:rsid w:val="00A57D65"/>
    <w:rsid w:val="00A600FE"/>
    <w:rsid w:val="00A61130"/>
    <w:rsid w:val="00A62A3F"/>
    <w:rsid w:val="00A62BAF"/>
    <w:rsid w:val="00A63099"/>
    <w:rsid w:val="00A637C9"/>
    <w:rsid w:val="00A63B4E"/>
    <w:rsid w:val="00A6402E"/>
    <w:rsid w:val="00A647F3"/>
    <w:rsid w:val="00A6563F"/>
    <w:rsid w:val="00A65C05"/>
    <w:rsid w:val="00A65DE7"/>
    <w:rsid w:val="00A664E7"/>
    <w:rsid w:val="00A66A0A"/>
    <w:rsid w:val="00A67922"/>
    <w:rsid w:val="00A7070D"/>
    <w:rsid w:val="00A7121F"/>
    <w:rsid w:val="00A716E2"/>
    <w:rsid w:val="00A71860"/>
    <w:rsid w:val="00A7408A"/>
    <w:rsid w:val="00A74277"/>
    <w:rsid w:val="00A746C5"/>
    <w:rsid w:val="00A74EFF"/>
    <w:rsid w:val="00A765AC"/>
    <w:rsid w:val="00A77D2B"/>
    <w:rsid w:val="00A80211"/>
    <w:rsid w:val="00A81144"/>
    <w:rsid w:val="00A820ED"/>
    <w:rsid w:val="00A8210E"/>
    <w:rsid w:val="00A82B91"/>
    <w:rsid w:val="00A836E7"/>
    <w:rsid w:val="00A83835"/>
    <w:rsid w:val="00A839FD"/>
    <w:rsid w:val="00A8446A"/>
    <w:rsid w:val="00A84661"/>
    <w:rsid w:val="00A87994"/>
    <w:rsid w:val="00A87D91"/>
    <w:rsid w:val="00A90AA6"/>
    <w:rsid w:val="00A9191A"/>
    <w:rsid w:val="00A92947"/>
    <w:rsid w:val="00A92A65"/>
    <w:rsid w:val="00A947DF"/>
    <w:rsid w:val="00A97019"/>
    <w:rsid w:val="00AA0164"/>
    <w:rsid w:val="00AA0F51"/>
    <w:rsid w:val="00AA1566"/>
    <w:rsid w:val="00AA1A80"/>
    <w:rsid w:val="00AA1B0D"/>
    <w:rsid w:val="00AA1D6E"/>
    <w:rsid w:val="00AA237A"/>
    <w:rsid w:val="00AA2ED7"/>
    <w:rsid w:val="00AA5404"/>
    <w:rsid w:val="00AA5EF3"/>
    <w:rsid w:val="00AA6CE9"/>
    <w:rsid w:val="00AA71BE"/>
    <w:rsid w:val="00AA796C"/>
    <w:rsid w:val="00AA79D5"/>
    <w:rsid w:val="00AB09C9"/>
    <w:rsid w:val="00AB1A6E"/>
    <w:rsid w:val="00AB1E38"/>
    <w:rsid w:val="00AB276E"/>
    <w:rsid w:val="00AB2BDC"/>
    <w:rsid w:val="00AB2D21"/>
    <w:rsid w:val="00AB514D"/>
    <w:rsid w:val="00AB5C96"/>
    <w:rsid w:val="00AB770E"/>
    <w:rsid w:val="00AB7C21"/>
    <w:rsid w:val="00AC0949"/>
    <w:rsid w:val="00AC1609"/>
    <w:rsid w:val="00AC1AC2"/>
    <w:rsid w:val="00AC2293"/>
    <w:rsid w:val="00AC23C3"/>
    <w:rsid w:val="00AC2FFF"/>
    <w:rsid w:val="00AC5AF3"/>
    <w:rsid w:val="00AD042D"/>
    <w:rsid w:val="00AD1242"/>
    <w:rsid w:val="00AD14CC"/>
    <w:rsid w:val="00AD1692"/>
    <w:rsid w:val="00AD208C"/>
    <w:rsid w:val="00AD46D5"/>
    <w:rsid w:val="00AD492E"/>
    <w:rsid w:val="00AD53FA"/>
    <w:rsid w:val="00AD78D7"/>
    <w:rsid w:val="00AD7DB5"/>
    <w:rsid w:val="00AD7ECB"/>
    <w:rsid w:val="00AD7EE1"/>
    <w:rsid w:val="00AE10D2"/>
    <w:rsid w:val="00AE2805"/>
    <w:rsid w:val="00AE3024"/>
    <w:rsid w:val="00AE3561"/>
    <w:rsid w:val="00AE35C2"/>
    <w:rsid w:val="00AE438F"/>
    <w:rsid w:val="00AE4F0C"/>
    <w:rsid w:val="00AF2E43"/>
    <w:rsid w:val="00AF4BD4"/>
    <w:rsid w:val="00AF5825"/>
    <w:rsid w:val="00AF60C8"/>
    <w:rsid w:val="00B00D38"/>
    <w:rsid w:val="00B0100B"/>
    <w:rsid w:val="00B026FC"/>
    <w:rsid w:val="00B0349D"/>
    <w:rsid w:val="00B03844"/>
    <w:rsid w:val="00B04272"/>
    <w:rsid w:val="00B045D1"/>
    <w:rsid w:val="00B0539C"/>
    <w:rsid w:val="00B0707C"/>
    <w:rsid w:val="00B1008F"/>
    <w:rsid w:val="00B107CA"/>
    <w:rsid w:val="00B10C74"/>
    <w:rsid w:val="00B122B4"/>
    <w:rsid w:val="00B12CB5"/>
    <w:rsid w:val="00B12FF0"/>
    <w:rsid w:val="00B155DD"/>
    <w:rsid w:val="00B15C74"/>
    <w:rsid w:val="00B1676B"/>
    <w:rsid w:val="00B16F29"/>
    <w:rsid w:val="00B201D8"/>
    <w:rsid w:val="00B20F97"/>
    <w:rsid w:val="00B21F45"/>
    <w:rsid w:val="00B22F4C"/>
    <w:rsid w:val="00B24111"/>
    <w:rsid w:val="00B27016"/>
    <w:rsid w:val="00B31E6C"/>
    <w:rsid w:val="00B31EE0"/>
    <w:rsid w:val="00B329F2"/>
    <w:rsid w:val="00B32DD1"/>
    <w:rsid w:val="00B33121"/>
    <w:rsid w:val="00B35647"/>
    <w:rsid w:val="00B3615D"/>
    <w:rsid w:val="00B36A91"/>
    <w:rsid w:val="00B3702F"/>
    <w:rsid w:val="00B371B2"/>
    <w:rsid w:val="00B37623"/>
    <w:rsid w:val="00B41BEC"/>
    <w:rsid w:val="00B426E6"/>
    <w:rsid w:val="00B434E0"/>
    <w:rsid w:val="00B438C8"/>
    <w:rsid w:val="00B44E41"/>
    <w:rsid w:val="00B45979"/>
    <w:rsid w:val="00B514FD"/>
    <w:rsid w:val="00B52BA2"/>
    <w:rsid w:val="00B54069"/>
    <w:rsid w:val="00B550F2"/>
    <w:rsid w:val="00B560A6"/>
    <w:rsid w:val="00B575D4"/>
    <w:rsid w:val="00B607E3"/>
    <w:rsid w:val="00B60C8F"/>
    <w:rsid w:val="00B6267B"/>
    <w:rsid w:val="00B62C64"/>
    <w:rsid w:val="00B63504"/>
    <w:rsid w:val="00B63850"/>
    <w:rsid w:val="00B64528"/>
    <w:rsid w:val="00B64BA1"/>
    <w:rsid w:val="00B64CD8"/>
    <w:rsid w:val="00B65FA9"/>
    <w:rsid w:val="00B724BA"/>
    <w:rsid w:val="00B73FE9"/>
    <w:rsid w:val="00B75916"/>
    <w:rsid w:val="00B75EE2"/>
    <w:rsid w:val="00B7609F"/>
    <w:rsid w:val="00B767D7"/>
    <w:rsid w:val="00B77A5C"/>
    <w:rsid w:val="00B80CF5"/>
    <w:rsid w:val="00B813D7"/>
    <w:rsid w:val="00B81785"/>
    <w:rsid w:val="00B81A22"/>
    <w:rsid w:val="00B82309"/>
    <w:rsid w:val="00B82E45"/>
    <w:rsid w:val="00B8385E"/>
    <w:rsid w:val="00B83BE7"/>
    <w:rsid w:val="00B83EB7"/>
    <w:rsid w:val="00B84351"/>
    <w:rsid w:val="00B85066"/>
    <w:rsid w:val="00B85FA5"/>
    <w:rsid w:val="00B86361"/>
    <w:rsid w:val="00B864FF"/>
    <w:rsid w:val="00B904AA"/>
    <w:rsid w:val="00B90B0D"/>
    <w:rsid w:val="00B9135D"/>
    <w:rsid w:val="00B91D24"/>
    <w:rsid w:val="00B92FB5"/>
    <w:rsid w:val="00B93C61"/>
    <w:rsid w:val="00B94B1F"/>
    <w:rsid w:val="00B951D5"/>
    <w:rsid w:val="00B95898"/>
    <w:rsid w:val="00B95EA1"/>
    <w:rsid w:val="00B96F89"/>
    <w:rsid w:val="00BA0EC6"/>
    <w:rsid w:val="00BA1A5B"/>
    <w:rsid w:val="00BA1D5A"/>
    <w:rsid w:val="00BA23F1"/>
    <w:rsid w:val="00BA396A"/>
    <w:rsid w:val="00BA3AE0"/>
    <w:rsid w:val="00BA4571"/>
    <w:rsid w:val="00BA6D9F"/>
    <w:rsid w:val="00BA7007"/>
    <w:rsid w:val="00BB1C7E"/>
    <w:rsid w:val="00BB213C"/>
    <w:rsid w:val="00BB247E"/>
    <w:rsid w:val="00BB3C68"/>
    <w:rsid w:val="00BB3F75"/>
    <w:rsid w:val="00BB539F"/>
    <w:rsid w:val="00BB5712"/>
    <w:rsid w:val="00BB6382"/>
    <w:rsid w:val="00BB6A34"/>
    <w:rsid w:val="00BC1C29"/>
    <w:rsid w:val="00BC4776"/>
    <w:rsid w:val="00BC4993"/>
    <w:rsid w:val="00BC4F2C"/>
    <w:rsid w:val="00BD3CDD"/>
    <w:rsid w:val="00BD4DE8"/>
    <w:rsid w:val="00BD5C16"/>
    <w:rsid w:val="00BD7DD6"/>
    <w:rsid w:val="00BE0341"/>
    <w:rsid w:val="00BE1036"/>
    <w:rsid w:val="00BE117F"/>
    <w:rsid w:val="00BE3732"/>
    <w:rsid w:val="00BE3DAE"/>
    <w:rsid w:val="00BE4897"/>
    <w:rsid w:val="00BE49D4"/>
    <w:rsid w:val="00BE55C3"/>
    <w:rsid w:val="00BE5E05"/>
    <w:rsid w:val="00BE6351"/>
    <w:rsid w:val="00BF00D5"/>
    <w:rsid w:val="00BF086D"/>
    <w:rsid w:val="00BF3456"/>
    <w:rsid w:val="00BF3D71"/>
    <w:rsid w:val="00BF4681"/>
    <w:rsid w:val="00BF4E99"/>
    <w:rsid w:val="00BF5199"/>
    <w:rsid w:val="00BF688F"/>
    <w:rsid w:val="00BF7667"/>
    <w:rsid w:val="00C0037D"/>
    <w:rsid w:val="00C0057E"/>
    <w:rsid w:val="00C019D8"/>
    <w:rsid w:val="00C02607"/>
    <w:rsid w:val="00C02744"/>
    <w:rsid w:val="00C0372C"/>
    <w:rsid w:val="00C047F1"/>
    <w:rsid w:val="00C05425"/>
    <w:rsid w:val="00C055A6"/>
    <w:rsid w:val="00C0565A"/>
    <w:rsid w:val="00C06D7C"/>
    <w:rsid w:val="00C07CEA"/>
    <w:rsid w:val="00C11E5A"/>
    <w:rsid w:val="00C12E4C"/>
    <w:rsid w:val="00C166CD"/>
    <w:rsid w:val="00C17127"/>
    <w:rsid w:val="00C200C8"/>
    <w:rsid w:val="00C207D8"/>
    <w:rsid w:val="00C23E2B"/>
    <w:rsid w:val="00C2435B"/>
    <w:rsid w:val="00C24D36"/>
    <w:rsid w:val="00C24E64"/>
    <w:rsid w:val="00C30182"/>
    <w:rsid w:val="00C32C57"/>
    <w:rsid w:val="00C33EE1"/>
    <w:rsid w:val="00C350FB"/>
    <w:rsid w:val="00C366C0"/>
    <w:rsid w:val="00C36BAB"/>
    <w:rsid w:val="00C40038"/>
    <w:rsid w:val="00C40E92"/>
    <w:rsid w:val="00C41181"/>
    <w:rsid w:val="00C42146"/>
    <w:rsid w:val="00C43BBD"/>
    <w:rsid w:val="00C453A8"/>
    <w:rsid w:val="00C475AF"/>
    <w:rsid w:val="00C500CC"/>
    <w:rsid w:val="00C502F7"/>
    <w:rsid w:val="00C50BE0"/>
    <w:rsid w:val="00C51334"/>
    <w:rsid w:val="00C5137C"/>
    <w:rsid w:val="00C520E3"/>
    <w:rsid w:val="00C5217C"/>
    <w:rsid w:val="00C52E1F"/>
    <w:rsid w:val="00C52FC3"/>
    <w:rsid w:val="00C53A5D"/>
    <w:rsid w:val="00C54592"/>
    <w:rsid w:val="00C5459F"/>
    <w:rsid w:val="00C55493"/>
    <w:rsid w:val="00C56118"/>
    <w:rsid w:val="00C5680B"/>
    <w:rsid w:val="00C56B2A"/>
    <w:rsid w:val="00C5740D"/>
    <w:rsid w:val="00C5748F"/>
    <w:rsid w:val="00C57DED"/>
    <w:rsid w:val="00C60027"/>
    <w:rsid w:val="00C63E97"/>
    <w:rsid w:val="00C64AD2"/>
    <w:rsid w:val="00C66804"/>
    <w:rsid w:val="00C672CF"/>
    <w:rsid w:val="00C67F53"/>
    <w:rsid w:val="00C70492"/>
    <w:rsid w:val="00C70E27"/>
    <w:rsid w:val="00C71B4C"/>
    <w:rsid w:val="00C72360"/>
    <w:rsid w:val="00C73240"/>
    <w:rsid w:val="00C76913"/>
    <w:rsid w:val="00C7748A"/>
    <w:rsid w:val="00C7779E"/>
    <w:rsid w:val="00C77FD3"/>
    <w:rsid w:val="00C80B4D"/>
    <w:rsid w:val="00C80BA9"/>
    <w:rsid w:val="00C8126F"/>
    <w:rsid w:val="00C824F7"/>
    <w:rsid w:val="00C83624"/>
    <w:rsid w:val="00C8375C"/>
    <w:rsid w:val="00C85995"/>
    <w:rsid w:val="00C859CB"/>
    <w:rsid w:val="00C86814"/>
    <w:rsid w:val="00C90871"/>
    <w:rsid w:val="00C92340"/>
    <w:rsid w:val="00C9246C"/>
    <w:rsid w:val="00C92D75"/>
    <w:rsid w:val="00C92F5E"/>
    <w:rsid w:val="00C93B11"/>
    <w:rsid w:val="00C94362"/>
    <w:rsid w:val="00C95466"/>
    <w:rsid w:val="00C96048"/>
    <w:rsid w:val="00C9798D"/>
    <w:rsid w:val="00CA02B1"/>
    <w:rsid w:val="00CA1D5E"/>
    <w:rsid w:val="00CA37B1"/>
    <w:rsid w:val="00CA387F"/>
    <w:rsid w:val="00CA4C1C"/>
    <w:rsid w:val="00CA6497"/>
    <w:rsid w:val="00CA6C96"/>
    <w:rsid w:val="00CB06BD"/>
    <w:rsid w:val="00CB0E52"/>
    <w:rsid w:val="00CB36AD"/>
    <w:rsid w:val="00CB4E86"/>
    <w:rsid w:val="00CB560C"/>
    <w:rsid w:val="00CB6664"/>
    <w:rsid w:val="00CB6E6A"/>
    <w:rsid w:val="00CB7058"/>
    <w:rsid w:val="00CC1DD1"/>
    <w:rsid w:val="00CC2626"/>
    <w:rsid w:val="00CC28D2"/>
    <w:rsid w:val="00CC2BED"/>
    <w:rsid w:val="00CC320E"/>
    <w:rsid w:val="00CC440C"/>
    <w:rsid w:val="00CC674B"/>
    <w:rsid w:val="00CC7429"/>
    <w:rsid w:val="00CC7CC0"/>
    <w:rsid w:val="00CC7E33"/>
    <w:rsid w:val="00CD1DB9"/>
    <w:rsid w:val="00CD40DF"/>
    <w:rsid w:val="00CD432D"/>
    <w:rsid w:val="00CD4805"/>
    <w:rsid w:val="00CD605E"/>
    <w:rsid w:val="00CD776F"/>
    <w:rsid w:val="00CE03CD"/>
    <w:rsid w:val="00CE0A6D"/>
    <w:rsid w:val="00CE0C27"/>
    <w:rsid w:val="00CE1396"/>
    <w:rsid w:val="00CE2225"/>
    <w:rsid w:val="00CE2C5B"/>
    <w:rsid w:val="00CE2DF0"/>
    <w:rsid w:val="00CE5D4C"/>
    <w:rsid w:val="00CE5E57"/>
    <w:rsid w:val="00CE6C79"/>
    <w:rsid w:val="00CE6D73"/>
    <w:rsid w:val="00CE6F10"/>
    <w:rsid w:val="00CE6F15"/>
    <w:rsid w:val="00CE77C2"/>
    <w:rsid w:val="00CE7996"/>
    <w:rsid w:val="00CE7F8C"/>
    <w:rsid w:val="00CF1667"/>
    <w:rsid w:val="00CF24CE"/>
    <w:rsid w:val="00CF5DDE"/>
    <w:rsid w:val="00CF623C"/>
    <w:rsid w:val="00D01AE0"/>
    <w:rsid w:val="00D01D48"/>
    <w:rsid w:val="00D01EB5"/>
    <w:rsid w:val="00D01F75"/>
    <w:rsid w:val="00D02F94"/>
    <w:rsid w:val="00D03946"/>
    <w:rsid w:val="00D05086"/>
    <w:rsid w:val="00D100FC"/>
    <w:rsid w:val="00D1060A"/>
    <w:rsid w:val="00D11999"/>
    <w:rsid w:val="00D1212F"/>
    <w:rsid w:val="00D12E86"/>
    <w:rsid w:val="00D12F1F"/>
    <w:rsid w:val="00D137DD"/>
    <w:rsid w:val="00D142E1"/>
    <w:rsid w:val="00D146D5"/>
    <w:rsid w:val="00D15EE0"/>
    <w:rsid w:val="00D17034"/>
    <w:rsid w:val="00D22DA7"/>
    <w:rsid w:val="00D24756"/>
    <w:rsid w:val="00D26069"/>
    <w:rsid w:val="00D302CC"/>
    <w:rsid w:val="00D3170E"/>
    <w:rsid w:val="00D31CD4"/>
    <w:rsid w:val="00D3263F"/>
    <w:rsid w:val="00D33071"/>
    <w:rsid w:val="00D33514"/>
    <w:rsid w:val="00D35797"/>
    <w:rsid w:val="00D364AA"/>
    <w:rsid w:val="00D36E92"/>
    <w:rsid w:val="00D37EFE"/>
    <w:rsid w:val="00D41181"/>
    <w:rsid w:val="00D4386F"/>
    <w:rsid w:val="00D44400"/>
    <w:rsid w:val="00D44FE5"/>
    <w:rsid w:val="00D50AB4"/>
    <w:rsid w:val="00D511F8"/>
    <w:rsid w:val="00D51E69"/>
    <w:rsid w:val="00D52C76"/>
    <w:rsid w:val="00D53AA0"/>
    <w:rsid w:val="00D5526F"/>
    <w:rsid w:val="00D56DEC"/>
    <w:rsid w:val="00D61039"/>
    <w:rsid w:val="00D616C5"/>
    <w:rsid w:val="00D61955"/>
    <w:rsid w:val="00D63900"/>
    <w:rsid w:val="00D63DB9"/>
    <w:rsid w:val="00D64796"/>
    <w:rsid w:val="00D6595C"/>
    <w:rsid w:val="00D65F19"/>
    <w:rsid w:val="00D66667"/>
    <w:rsid w:val="00D6712F"/>
    <w:rsid w:val="00D67382"/>
    <w:rsid w:val="00D67D1B"/>
    <w:rsid w:val="00D67F8F"/>
    <w:rsid w:val="00D71159"/>
    <w:rsid w:val="00D71871"/>
    <w:rsid w:val="00D77D88"/>
    <w:rsid w:val="00D807B6"/>
    <w:rsid w:val="00D82C2A"/>
    <w:rsid w:val="00D82C55"/>
    <w:rsid w:val="00D83D84"/>
    <w:rsid w:val="00D8470A"/>
    <w:rsid w:val="00D85442"/>
    <w:rsid w:val="00D858CF"/>
    <w:rsid w:val="00D86267"/>
    <w:rsid w:val="00D862F1"/>
    <w:rsid w:val="00D86616"/>
    <w:rsid w:val="00D86C43"/>
    <w:rsid w:val="00D86C63"/>
    <w:rsid w:val="00D90D0F"/>
    <w:rsid w:val="00D92B68"/>
    <w:rsid w:val="00D93E93"/>
    <w:rsid w:val="00D94D81"/>
    <w:rsid w:val="00D95305"/>
    <w:rsid w:val="00D95CA1"/>
    <w:rsid w:val="00D963ED"/>
    <w:rsid w:val="00D966C6"/>
    <w:rsid w:val="00DA02F7"/>
    <w:rsid w:val="00DA1F19"/>
    <w:rsid w:val="00DA2EAA"/>
    <w:rsid w:val="00DA3486"/>
    <w:rsid w:val="00DA36C7"/>
    <w:rsid w:val="00DA7D75"/>
    <w:rsid w:val="00DB1C17"/>
    <w:rsid w:val="00DB2577"/>
    <w:rsid w:val="00DB2A47"/>
    <w:rsid w:val="00DB3441"/>
    <w:rsid w:val="00DB34AC"/>
    <w:rsid w:val="00DB3F24"/>
    <w:rsid w:val="00DB5113"/>
    <w:rsid w:val="00DB5B8D"/>
    <w:rsid w:val="00DC1380"/>
    <w:rsid w:val="00DC1B9A"/>
    <w:rsid w:val="00DC26E4"/>
    <w:rsid w:val="00DC26F6"/>
    <w:rsid w:val="00DC2848"/>
    <w:rsid w:val="00DC305D"/>
    <w:rsid w:val="00DC4347"/>
    <w:rsid w:val="00DC48B7"/>
    <w:rsid w:val="00DC757D"/>
    <w:rsid w:val="00DC7DF8"/>
    <w:rsid w:val="00DD1644"/>
    <w:rsid w:val="00DD21E1"/>
    <w:rsid w:val="00DD4080"/>
    <w:rsid w:val="00DD42F0"/>
    <w:rsid w:val="00DD4377"/>
    <w:rsid w:val="00DD4C39"/>
    <w:rsid w:val="00DD7E8F"/>
    <w:rsid w:val="00DE00F8"/>
    <w:rsid w:val="00DE10E7"/>
    <w:rsid w:val="00DE1F35"/>
    <w:rsid w:val="00DE26F9"/>
    <w:rsid w:val="00DE3607"/>
    <w:rsid w:val="00DE4F36"/>
    <w:rsid w:val="00DE5022"/>
    <w:rsid w:val="00DE5A93"/>
    <w:rsid w:val="00DE6D08"/>
    <w:rsid w:val="00DE7707"/>
    <w:rsid w:val="00DF1CB0"/>
    <w:rsid w:val="00DF1DA7"/>
    <w:rsid w:val="00DF1FEA"/>
    <w:rsid w:val="00DF3078"/>
    <w:rsid w:val="00DF567A"/>
    <w:rsid w:val="00DF709F"/>
    <w:rsid w:val="00DF777C"/>
    <w:rsid w:val="00E011EA"/>
    <w:rsid w:val="00E01653"/>
    <w:rsid w:val="00E01BA9"/>
    <w:rsid w:val="00E04CD7"/>
    <w:rsid w:val="00E07F4B"/>
    <w:rsid w:val="00E100BA"/>
    <w:rsid w:val="00E1338F"/>
    <w:rsid w:val="00E14771"/>
    <w:rsid w:val="00E1501E"/>
    <w:rsid w:val="00E162C5"/>
    <w:rsid w:val="00E171D2"/>
    <w:rsid w:val="00E17D80"/>
    <w:rsid w:val="00E20E34"/>
    <w:rsid w:val="00E2567D"/>
    <w:rsid w:val="00E25BD0"/>
    <w:rsid w:val="00E30199"/>
    <w:rsid w:val="00E31D70"/>
    <w:rsid w:val="00E3432E"/>
    <w:rsid w:val="00E34CB0"/>
    <w:rsid w:val="00E35403"/>
    <w:rsid w:val="00E35522"/>
    <w:rsid w:val="00E402B8"/>
    <w:rsid w:val="00E4053F"/>
    <w:rsid w:val="00E41A80"/>
    <w:rsid w:val="00E42EFE"/>
    <w:rsid w:val="00E43059"/>
    <w:rsid w:val="00E44038"/>
    <w:rsid w:val="00E4547C"/>
    <w:rsid w:val="00E47687"/>
    <w:rsid w:val="00E47F60"/>
    <w:rsid w:val="00E47F9F"/>
    <w:rsid w:val="00E50F55"/>
    <w:rsid w:val="00E527E9"/>
    <w:rsid w:val="00E52D30"/>
    <w:rsid w:val="00E53EB6"/>
    <w:rsid w:val="00E55532"/>
    <w:rsid w:val="00E56ECC"/>
    <w:rsid w:val="00E56FBC"/>
    <w:rsid w:val="00E571AD"/>
    <w:rsid w:val="00E57AD2"/>
    <w:rsid w:val="00E60966"/>
    <w:rsid w:val="00E6539F"/>
    <w:rsid w:val="00E67153"/>
    <w:rsid w:val="00E674F5"/>
    <w:rsid w:val="00E71624"/>
    <w:rsid w:val="00E71E41"/>
    <w:rsid w:val="00E72ACF"/>
    <w:rsid w:val="00E73766"/>
    <w:rsid w:val="00E7465A"/>
    <w:rsid w:val="00E75992"/>
    <w:rsid w:val="00E7650D"/>
    <w:rsid w:val="00E808AD"/>
    <w:rsid w:val="00E81D39"/>
    <w:rsid w:val="00E820EF"/>
    <w:rsid w:val="00E830FF"/>
    <w:rsid w:val="00E8317D"/>
    <w:rsid w:val="00E838DA"/>
    <w:rsid w:val="00E855DE"/>
    <w:rsid w:val="00E86C6D"/>
    <w:rsid w:val="00E873DF"/>
    <w:rsid w:val="00E87633"/>
    <w:rsid w:val="00E8774C"/>
    <w:rsid w:val="00E87D9A"/>
    <w:rsid w:val="00E9094B"/>
    <w:rsid w:val="00E90B34"/>
    <w:rsid w:val="00E9270C"/>
    <w:rsid w:val="00E941E9"/>
    <w:rsid w:val="00E95014"/>
    <w:rsid w:val="00E951D6"/>
    <w:rsid w:val="00E97C58"/>
    <w:rsid w:val="00EA0B3A"/>
    <w:rsid w:val="00EA1B99"/>
    <w:rsid w:val="00EA2A87"/>
    <w:rsid w:val="00EA5A35"/>
    <w:rsid w:val="00EA61C6"/>
    <w:rsid w:val="00EA61C7"/>
    <w:rsid w:val="00EA7277"/>
    <w:rsid w:val="00EB071D"/>
    <w:rsid w:val="00EB2A0E"/>
    <w:rsid w:val="00EB2C5C"/>
    <w:rsid w:val="00EB5559"/>
    <w:rsid w:val="00EB5B82"/>
    <w:rsid w:val="00EB5C23"/>
    <w:rsid w:val="00EB67A4"/>
    <w:rsid w:val="00EC02BB"/>
    <w:rsid w:val="00EC1307"/>
    <w:rsid w:val="00EC293E"/>
    <w:rsid w:val="00EC2E5D"/>
    <w:rsid w:val="00EC3407"/>
    <w:rsid w:val="00EC35DA"/>
    <w:rsid w:val="00EC3F6C"/>
    <w:rsid w:val="00EC6445"/>
    <w:rsid w:val="00EC78CF"/>
    <w:rsid w:val="00EC7E96"/>
    <w:rsid w:val="00ED12FD"/>
    <w:rsid w:val="00ED1C7D"/>
    <w:rsid w:val="00ED1EFE"/>
    <w:rsid w:val="00ED222C"/>
    <w:rsid w:val="00ED53E3"/>
    <w:rsid w:val="00ED6923"/>
    <w:rsid w:val="00ED71F8"/>
    <w:rsid w:val="00ED7E59"/>
    <w:rsid w:val="00ED7F0F"/>
    <w:rsid w:val="00EE1022"/>
    <w:rsid w:val="00EE5402"/>
    <w:rsid w:val="00EE6BD9"/>
    <w:rsid w:val="00EE6DE8"/>
    <w:rsid w:val="00EE6DFB"/>
    <w:rsid w:val="00EE7B76"/>
    <w:rsid w:val="00EF00FF"/>
    <w:rsid w:val="00EF1FAC"/>
    <w:rsid w:val="00EF351C"/>
    <w:rsid w:val="00EF4560"/>
    <w:rsid w:val="00EF4A8B"/>
    <w:rsid w:val="00EF4C70"/>
    <w:rsid w:val="00EF4DF5"/>
    <w:rsid w:val="00EF5442"/>
    <w:rsid w:val="00EF6D2F"/>
    <w:rsid w:val="00F00037"/>
    <w:rsid w:val="00F00DBD"/>
    <w:rsid w:val="00F0112D"/>
    <w:rsid w:val="00F0161D"/>
    <w:rsid w:val="00F02AD4"/>
    <w:rsid w:val="00F02E77"/>
    <w:rsid w:val="00F044BD"/>
    <w:rsid w:val="00F04AA9"/>
    <w:rsid w:val="00F04ADD"/>
    <w:rsid w:val="00F04C07"/>
    <w:rsid w:val="00F04C77"/>
    <w:rsid w:val="00F067C5"/>
    <w:rsid w:val="00F146F6"/>
    <w:rsid w:val="00F14F84"/>
    <w:rsid w:val="00F15756"/>
    <w:rsid w:val="00F165F2"/>
    <w:rsid w:val="00F168D8"/>
    <w:rsid w:val="00F171CB"/>
    <w:rsid w:val="00F20854"/>
    <w:rsid w:val="00F20A7D"/>
    <w:rsid w:val="00F20BAD"/>
    <w:rsid w:val="00F21006"/>
    <w:rsid w:val="00F22E73"/>
    <w:rsid w:val="00F2402F"/>
    <w:rsid w:val="00F25225"/>
    <w:rsid w:val="00F266D5"/>
    <w:rsid w:val="00F267DB"/>
    <w:rsid w:val="00F314E4"/>
    <w:rsid w:val="00F326B5"/>
    <w:rsid w:val="00F32F09"/>
    <w:rsid w:val="00F34870"/>
    <w:rsid w:val="00F34E4E"/>
    <w:rsid w:val="00F356EA"/>
    <w:rsid w:val="00F371DB"/>
    <w:rsid w:val="00F37B0C"/>
    <w:rsid w:val="00F41DDB"/>
    <w:rsid w:val="00F43CB0"/>
    <w:rsid w:val="00F45418"/>
    <w:rsid w:val="00F45608"/>
    <w:rsid w:val="00F45BA7"/>
    <w:rsid w:val="00F45FA6"/>
    <w:rsid w:val="00F461E1"/>
    <w:rsid w:val="00F468ED"/>
    <w:rsid w:val="00F47618"/>
    <w:rsid w:val="00F47EDC"/>
    <w:rsid w:val="00F50628"/>
    <w:rsid w:val="00F50D6E"/>
    <w:rsid w:val="00F52A9E"/>
    <w:rsid w:val="00F54777"/>
    <w:rsid w:val="00F54E0F"/>
    <w:rsid w:val="00F56F61"/>
    <w:rsid w:val="00F57C55"/>
    <w:rsid w:val="00F602B7"/>
    <w:rsid w:val="00F61C64"/>
    <w:rsid w:val="00F6642F"/>
    <w:rsid w:val="00F6783F"/>
    <w:rsid w:val="00F7040B"/>
    <w:rsid w:val="00F706A2"/>
    <w:rsid w:val="00F7086F"/>
    <w:rsid w:val="00F70E22"/>
    <w:rsid w:val="00F72346"/>
    <w:rsid w:val="00F74A77"/>
    <w:rsid w:val="00F74E82"/>
    <w:rsid w:val="00F758B8"/>
    <w:rsid w:val="00F76910"/>
    <w:rsid w:val="00F76BF2"/>
    <w:rsid w:val="00F76F39"/>
    <w:rsid w:val="00F770D9"/>
    <w:rsid w:val="00F77E19"/>
    <w:rsid w:val="00F8044E"/>
    <w:rsid w:val="00F80B42"/>
    <w:rsid w:val="00F8107B"/>
    <w:rsid w:val="00F81B2B"/>
    <w:rsid w:val="00F81F7D"/>
    <w:rsid w:val="00F8318F"/>
    <w:rsid w:val="00F83532"/>
    <w:rsid w:val="00F838A6"/>
    <w:rsid w:val="00F84618"/>
    <w:rsid w:val="00F856EC"/>
    <w:rsid w:val="00F85D25"/>
    <w:rsid w:val="00F86AD3"/>
    <w:rsid w:val="00F86DD8"/>
    <w:rsid w:val="00F91B32"/>
    <w:rsid w:val="00F926DC"/>
    <w:rsid w:val="00F92DA9"/>
    <w:rsid w:val="00F935C1"/>
    <w:rsid w:val="00F938A5"/>
    <w:rsid w:val="00F93B6D"/>
    <w:rsid w:val="00F944CB"/>
    <w:rsid w:val="00F9728B"/>
    <w:rsid w:val="00FA02D9"/>
    <w:rsid w:val="00FA0E8E"/>
    <w:rsid w:val="00FA2BC2"/>
    <w:rsid w:val="00FA3974"/>
    <w:rsid w:val="00FA39CA"/>
    <w:rsid w:val="00FA3D26"/>
    <w:rsid w:val="00FA51E5"/>
    <w:rsid w:val="00FA6FE2"/>
    <w:rsid w:val="00FA703B"/>
    <w:rsid w:val="00FA7DC2"/>
    <w:rsid w:val="00FB03ED"/>
    <w:rsid w:val="00FB139C"/>
    <w:rsid w:val="00FB1AC1"/>
    <w:rsid w:val="00FB363F"/>
    <w:rsid w:val="00FB3E15"/>
    <w:rsid w:val="00FB47B3"/>
    <w:rsid w:val="00FB5F5D"/>
    <w:rsid w:val="00FB6141"/>
    <w:rsid w:val="00FB63FA"/>
    <w:rsid w:val="00FB697C"/>
    <w:rsid w:val="00FB6FB0"/>
    <w:rsid w:val="00FB7A1E"/>
    <w:rsid w:val="00FC17BD"/>
    <w:rsid w:val="00FC225E"/>
    <w:rsid w:val="00FC2624"/>
    <w:rsid w:val="00FC27DC"/>
    <w:rsid w:val="00FC2FDB"/>
    <w:rsid w:val="00FC36F7"/>
    <w:rsid w:val="00FC4329"/>
    <w:rsid w:val="00FC4A55"/>
    <w:rsid w:val="00FC69C8"/>
    <w:rsid w:val="00FC7274"/>
    <w:rsid w:val="00FD013A"/>
    <w:rsid w:val="00FD10AF"/>
    <w:rsid w:val="00FD227E"/>
    <w:rsid w:val="00FD2392"/>
    <w:rsid w:val="00FD2422"/>
    <w:rsid w:val="00FD5276"/>
    <w:rsid w:val="00FD670D"/>
    <w:rsid w:val="00FD6A49"/>
    <w:rsid w:val="00FD7612"/>
    <w:rsid w:val="00FE0769"/>
    <w:rsid w:val="00FE1183"/>
    <w:rsid w:val="00FE334C"/>
    <w:rsid w:val="00FE374D"/>
    <w:rsid w:val="00FE3914"/>
    <w:rsid w:val="00FE4644"/>
    <w:rsid w:val="00FE4B4C"/>
    <w:rsid w:val="00FE5E40"/>
    <w:rsid w:val="00FE7067"/>
    <w:rsid w:val="00FF2D03"/>
    <w:rsid w:val="00FF3559"/>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94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D03946"/>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D03946"/>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D03946"/>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D03946"/>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D03946"/>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D03946"/>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D03946"/>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D03946"/>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D03946"/>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w:basedOn w:val="BesediloUMAR"/>
    <w:link w:val="FootnoteTextChar"/>
    <w:autoRedefine/>
    <w:uiPriority w:val="8"/>
    <w:qFormat/>
    <w:rsid w:val="00D03946"/>
    <w:rPr>
      <w:sz w:val="16"/>
      <w:szCs w:val="14"/>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uiPriority w:val="8"/>
    <w:rsid w:val="00D03946"/>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link w:val="FootnotesymbolCarZchn"/>
    <w:uiPriority w:val="8"/>
    <w:rsid w:val="00D03946"/>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D03946"/>
    <w:pPr>
      <w:keepNext/>
      <w:keepLines/>
      <w:spacing w:before="240" w:after="60"/>
      <w:contextualSpacing/>
    </w:pPr>
    <w:rPr>
      <w:b/>
      <w:bCs/>
    </w:rPr>
  </w:style>
  <w:style w:type="paragraph" w:styleId="Footer">
    <w:name w:val="footer"/>
    <w:basedOn w:val="Normal"/>
    <w:next w:val="Normal"/>
    <w:link w:val="FooterChar"/>
    <w:autoRedefine/>
    <w:uiPriority w:val="99"/>
    <w:rsid w:val="00D03946"/>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D03946"/>
    <w:pPr>
      <w:tabs>
        <w:tab w:val="right" w:leader="dot" w:pos="9070"/>
      </w:tabs>
    </w:pPr>
    <w:rPr>
      <w:noProof/>
      <w:szCs w:val="20"/>
    </w:rPr>
  </w:style>
  <w:style w:type="paragraph" w:styleId="TableofAuthorities">
    <w:name w:val="table of authorities"/>
    <w:basedOn w:val="Normal"/>
    <w:next w:val="Normal"/>
    <w:semiHidden/>
    <w:rsid w:val="00D03946"/>
    <w:pPr>
      <w:ind w:left="220" w:hanging="220"/>
    </w:pPr>
  </w:style>
  <w:style w:type="paragraph" w:styleId="TOAHeading">
    <w:name w:val="toa heading"/>
    <w:basedOn w:val="Normal"/>
    <w:next w:val="Normal"/>
    <w:semiHidden/>
    <w:rsid w:val="00D03946"/>
    <w:pPr>
      <w:spacing w:before="120"/>
    </w:pPr>
    <w:rPr>
      <w:rFonts w:cs="Arial"/>
      <w:b/>
      <w:bCs/>
    </w:rPr>
  </w:style>
  <w:style w:type="paragraph" w:styleId="TOC1">
    <w:name w:val="toc 1"/>
    <w:basedOn w:val="BesediloUMAR"/>
    <w:next w:val="BesediloUMAR"/>
    <w:autoRedefine/>
    <w:uiPriority w:val="39"/>
    <w:rsid w:val="00D03946"/>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D03946"/>
    <w:pPr>
      <w:tabs>
        <w:tab w:val="right" w:leader="dot" w:pos="9070"/>
      </w:tabs>
      <w:spacing w:before="100" w:after="100"/>
      <w:ind w:left="340"/>
    </w:pPr>
    <w:rPr>
      <w:noProof/>
    </w:rPr>
  </w:style>
  <w:style w:type="paragraph" w:styleId="TOC3">
    <w:name w:val="toc 3"/>
    <w:next w:val="BesediloUMAR"/>
    <w:autoRedefine/>
    <w:uiPriority w:val="39"/>
    <w:rsid w:val="00D03946"/>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D03946"/>
    <w:pPr>
      <w:spacing w:after="20"/>
      <w:ind w:left="340"/>
      <w:contextualSpacing/>
    </w:pPr>
  </w:style>
  <w:style w:type="paragraph" w:styleId="TOC5">
    <w:name w:val="toc 5"/>
    <w:basedOn w:val="Normal"/>
    <w:autoRedefine/>
    <w:semiHidden/>
    <w:rsid w:val="00D03946"/>
    <w:pPr>
      <w:spacing w:after="20"/>
      <w:contextualSpacing/>
    </w:pPr>
  </w:style>
  <w:style w:type="paragraph" w:styleId="TOC6">
    <w:name w:val="toc 6"/>
    <w:basedOn w:val="Normal"/>
    <w:next w:val="Normal"/>
    <w:autoRedefine/>
    <w:semiHidden/>
    <w:rsid w:val="00D03946"/>
    <w:pPr>
      <w:ind w:left="1100"/>
    </w:pPr>
  </w:style>
  <w:style w:type="paragraph" w:styleId="TOC7">
    <w:name w:val="toc 7"/>
    <w:basedOn w:val="Normal"/>
    <w:next w:val="Normal"/>
    <w:autoRedefine/>
    <w:semiHidden/>
    <w:rsid w:val="00D03946"/>
    <w:pPr>
      <w:ind w:left="1320"/>
    </w:pPr>
  </w:style>
  <w:style w:type="paragraph" w:styleId="TOC8">
    <w:name w:val="toc 8"/>
    <w:basedOn w:val="Normal"/>
    <w:next w:val="Normal"/>
    <w:autoRedefine/>
    <w:semiHidden/>
    <w:rsid w:val="00D03946"/>
    <w:pPr>
      <w:ind w:left="1540"/>
    </w:pPr>
  </w:style>
  <w:style w:type="paragraph" w:styleId="TOC9">
    <w:name w:val="toc 9"/>
    <w:basedOn w:val="Normal"/>
    <w:next w:val="Normal"/>
    <w:autoRedefine/>
    <w:semiHidden/>
    <w:rsid w:val="00D03946"/>
    <w:pPr>
      <w:ind w:left="1760"/>
    </w:pPr>
  </w:style>
  <w:style w:type="paragraph" w:styleId="CommentText">
    <w:name w:val="annotation text"/>
    <w:basedOn w:val="Normal"/>
    <w:link w:val="CommentTextChar"/>
    <w:semiHidden/>
    <w:rsid w:val="00D03946"/>
    <w:rPr>
      <w:szCs w:val="20"/>
    </w:rPr>
  </w:style>
  <w:style w:type="character" w:styleId="CommentReference">
    <w:name w:val="annotation reference"/>
    <w:basedOn w:val="DefaultParagraphFont"/>
    <w:semiHidden/>
    <w:rsid w:val="00D03946"/>
    <w:rPr>
      <w:sz w:val="16"/>
      <w:szCs w:val="16"/>
    </w:rPr>
  </w:style>
  <w:style w:type="paragraph" w:styleId="EndnoteText">
    <w:name w:val="endnote text"/>
    <w:basedOn w:val="Normal"/>
    <w:autoRedefine/>
    <w:semiHidden/>
    <w:rsid w:val="00D03946"/>
    <w:rPr>
      <w:szCs w:val="20"/>
    </w:rPr>
  </w:style>
  <w:style w:type="character" w:styleId="EndnoteReference">
    <w:name w:val="endnote reference"/>
    <w:basedOn w:val="DefaultParagraphFont"/>
    <w:semiHidden/>
    <w:rsid w:val="00D03946"/>
    <w:rPr>
      <w:vertAlign w:val="superscript"/>
    </w:rPr>
  </w:style>
  <w:style w:type="paragraph" w:styleId="MacroText">
    <w:name w:val="macro"/>
    <w:semiHidden/>
    <w:rsid w:val="00D03946"/>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D03946"/>
    <w:pPr>
      <w:ind w:left="220" w:hanging="220"/>
    </w:pPr>
  </w:style>
  <w:style w:type="paragraph" w:styleId="IndexHeading">
    <w:name w:val="index heading"/>
    <w:basedOn w:val="Normal"/>
    <w:next w:val="Index1"/>
    <w:semiHidden/>
    <w:rsid w:val="00D03946"/>
    <w:rPr>
      <w:rFonts w:cs="Arial"/>
      <w:b/>
      <w:bCs/>
    </w:rPr>
  </w:style>
  <w:style w:type="paragraph" w:styleId="Index2">
    <w:name w:val="index 2"/>
    <w:basedOn w:val="Normal"/>
    <w:next w:val="Normal"/>
    <w:autoRedefine/>
    <w:semiHidden/>
    <w:rsid w:val="00D03946"/>
    <w:pPr>
      <w:ind w:left="440" w:hanging="220"/>
    </w:pPr>
  </w:style>
  <w:style w:type="paragraph" w:styleId="Index3">
    <w:name w:val="index 3"/>
    <w:basedOn w:val="Normal"/>
    <w:next w:val="Normal"/>
    <w:autoRedefine/>
    <w:semiHidden/>
    <w:rsid w:val="00D03946"/>
    <w:pPr>
      <w:ind w:left="660" w:hanging="220"/>
    </w:pPr>
  </w:style>
  <w:style w:type="paragraph" w:styleId="Index4">
    <w:name w:val="index 4"/>
    <w:basedOn w:val="Normal"/>
    <w:next w:val="Normal"/>
    <w:autoRedefine/>
    <w:semiHidden/>
    <w:rsid w:val="00D03946"/>
    <w:pPr>
      <w:ind w:left="880" w:hanging="220"/>
    </w:pPr>
  </w:style>
  <w:style w:type="paragraph" w:styleId="Index5">
    <w:name w:val="index 5"/>
    <w:basedOn w:val="Normal"/>
    <w:next w:val="Normal"/>
    <w:autoRedefine/>
    <w:semiHidden/>
    <w:rsid w:val="00D03946"/>
    <w:pPr>
      <w:ind w:left="1100" w:hanging="220"/>
    </w:pPr>
  </w:style>
  <w:style w:type="paragraph" w:styleId="Index6">
    <w:name w:val="index 6"/>
    <w:basedOn w:val="Normal"/>
    <w:next w:val="Normal"/>
    <w:autoRedefine/>
    <w:semiHidden/>
    <w:rsid w:val="00D03946"/>
    <w:pPr>
      <w:ind w:left="1320" w:hanging="220"/>
    </w:pPr>
  </w:style>
  <w:style w:type="paragraph" w:styleId="Index7">
    <w:name w:val="index 7"/>
    <w:basedOn w:val="Normal"/>
    <w:next w:val="Normal"/>
    <w:autoRedefine/>
    <w:semiHidden/>
    <w:rsid w:val="00D03946"/>
    <w:pPr>
      <w:ind w:left="1540" w:hanging="220"/>
    </w:pPr>
  </w:style>
  <w:style w:type="paragraph" w:styleId="Index8">
    <w:name w:val="index 8"/>
    <w:basedOn w:val="Normal"/>
    <w:next w:val="Normal"/>
    <w:autoRedefine/>
    <w:semiHidden/>
    <w:rsid w:val="00D03946"/>
    <w:pPr>
      <w:ind w:left="1760" w:hanging="220"/>
    </w:pPr>
  </w:style>
  <w:style w:type="paragraph" w:styleId="Index9">
    <w:name w:val="index 9"/>
    <w:basedOn w:val="Normal"/>
    <w:next w:val="Normal"/>
    <w:autoRedefine/>
    <w:semiHidden/>
    <w:rsid w:val="00D03946"/>
    <w:pPr>
      <w:ind w:left="1980" w:hanging="220"/>
    </w:pPr>
  </w:style>
  <w:style w:type="paragraph" w:styleId="DocumentMap">
    <w:name w:val="Document Map"/>
    <w:basedOn w:val="Normal"/>
    <w:semiHidden/>
    <w:rsid w:val="00D03946"/>
    <w:pPr>
      <w:shd w:val="clear" w:color="auto" w:fill="000080"/>
    </w:pPr>
    <w:rPr>
      <w:rFonts w:ascii="Tahoma" w:hAnsi="Tahoma" w:cs="Tahoma"/>
      <w:szCs w:val="20"/>
    </w:rPr>
  </w:style>
  <w:style w:type="character" w:customStyle="1" w:styleId="VodilnistavekUMAR">
    <w:name w:val="Vodilni stavek_UMAR"/>
    <w:basedOn w:val="DefaultParagraphFont"/>
    <w:qFormat/>
    <w:rsid w:val="00D03946"/>
    <w:rPr>
      <w:b/>
    </w:rPr>
  </w:style>
  <w:style w:type="paragraph" w:styleId="BalloonText">
    <w:name w:val="Balloon Text"/>
    <w:basedOn w:val="Normal"/>
    <w:semiHidden/>
    <w:rsid w:val="00D03946"/>
    <w:rPr>
      <w:rFonts w:ascii="Tahoma" w:hAnsi="Tahoma" w:cs="Tahoma"/>
      <w:sz w:val="16"/>
      <w:szCs w:val="16"/>
    </w:rPr>
  </w:style>
  <w:style w:type="character" w:customStyle="1" w:styleId="HeaderChar">
    <w:name w:val="Header Char"/>
    <w:basedOn w:val="DefaultParagraphFont"/>
    <w:link w:val="Header"/>
    <w:uiPriority w:val="99"/>
    <w:rsid w:val="00D03946"/>
    <w:rPr>
      <w:rFonts w:ascii="Myriad Pro" w:eastAsiaTheme="minorHAnsi" w:hAnsi="Myriad Pro" w:cstheme="minorBidi"/>
      <w:sz w:val="22"/>
      <w:szCs w:val="22"/>
      <w:lang w:eastAsia="en-US"/>
    </w:rPr>
  </w:style>
  <w:style w:type="table" w:styleId="TableGrid">
    <w:name w:val="Table Grid"/>
    <w:basedOn w:val="TableNormal"/>
    <w:uiPriority w:val="59"/>
    <w:rsid w:val="00D0394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03946"/>
    <w:pPr>
      <w:tabs>
        <w:tab w:val="center" w:pos="4536"/>
        <w:tab w:val="right" w:pos="9072"/>
      </w:tabs>
    </w:pPr>
    <w:rPr>
      <w:rFonts w:ascii="Myriad Pro" w:hAnsi="Myriad Pro"/>
    </w:rPr>
  </w:style>
  <w:style w:type="character" w:styleId="Hyperlink">
    <w:name w:val="Hyperlink"/>
    <w:basedOn w:val="BesediloUMARChar"/>
    <w:uiPriority w:val="99"/>
    <w:rsid w:val="00D03946"/>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D03946"/>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D03946"/>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D03946"/>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D03946"/>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D03946"/>
    <w:rPr>
      <w:color w:val="808080"/>
    </w:rPr>
  </w:style>
  <w:style w:type="character" w:customStyle="1" w:styleId="FooterChar">
    <w:name w:val="Footer Char"/>
    <w:basedOn w:val="DefaultParagraphFont"/>
    <w:link w:val="Footer"/>
    <w:uiPriority w:val="99"/>
    <w:rsid w:val="00D03946"/>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D03946"/>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D03946"/>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D03946"/>
    <w:pPr>
      <w:spacing w:before="40" w:line="240" w:lineRule="auto"/>
    </w:pPr>
    <w:rPr>
      <w:sz w:val="16"/>
    </w:rPr>
  </w:style>
  <w:style w:type="character" w:customStyle="1" w:styleId="VirUMARChar">
    <w:name w:val="Vir_UMAR Char"/>
    <w:basedOn w:val="DefaultParagraphFont"/>
    <w:link w:val="VirUMAR"/>
    <w:uiPriority w:val="6"/>
    <w:rsid w:val="00D03946"/>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D03946"/>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D03946"/>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D03946"/>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D03946"/>
    <w:pPr>
      <w:jc w:val="left"/>
    </w:pPr>
  </w:style>
  <w:style w:type="paragraph" w:customStyle="1" w:styleId="TabelalevoUMAR">
    <w:name w:val="Tabela levo_UMAR"/>
    <w:basedOn w:val="TabelaglavalevoUMAR"/>
    <w:link w:val="TabelalevoUMARChar"/>
    <w:uiPriority w:val="5"/>
    <w:qFormat/>
    <w:rsid w:val="00D03946"/>
    <w:rPr>
      <w:b w:val="0"/>
    </w:rPr>
  </w:style>
  <w:style w:type="character" w:customStyle="1" w:styleId="TabelaglavalevoUMARChar">
    <w:name w:val="Tabela glava levo_UMAR Char"/>
    <w:basedOn w:val="TabelaglavadesnoUMARChar"/>
    <w:link w:val="TabelaglavalevoUMAR"/>
    <w:uiPriority w:val="5"/>
    <w:rsid w:val="00D03946"/>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D03946"/>
    <w:rPr>
      <w:b w:val="0"/>
    </w:rPr>
  </w:style>
  <w:style w:type="character" w:customStyle="1" w:styleId="TabelalevoUMARChar">
    <w:name w:val="Tabela levo_UMAR Char"/>
    <w:basedOn w:val="TabelaglavalevoUMARChar"/>
    <w:link w:val="TabelalevoUMAR"/>
    <w:uiPriority w:val="5"/>
    <w:rsid w:val="00D03946"/>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D03946"/>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D03946"/>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D03946"/>
  </w:style>
  <w:style w:type="character" w:customStyle="1" w:styleId="NaslovnicanaslovUMARChar">
    <w:name w:val="Naslovnica_naslov_UMAR Char"/>
    <w:basedOn w:val="DefaultParagraphFont"/>
    <w:link w:val="NaslovnicanaslovUMAR"/>
    <w:uiPriority w:val="99"/>
    <w:rsid w:val="00D03946"/>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D03946"/>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D039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9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9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9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9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039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03946"/>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D03946"/>
    <w:pPr>
      <w:spacing w:line="240" w:lineRule="auto"/>
    </w:pPr>
    <w:rPr>
      <w:b/>
      <w:bCs/>
    </w:rPr>
  </w:style>
  <w:style w:type="character" w:customStyle="1" w:styleId="CommentTextChar">
    <w:name w:val="Comment Text Char"/>
    <w:basedOn w:val="DefaultParagraphFont"/>
    <w:link w:val="CommentText"/>
    <w:semiHidden/>
    <w:rsid w:val="00D03946"/>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D03946"/>
    <w:rPr>
      <w:rFonts w:asciiTheme="minorHAnsi" w:eastAsiaTheme="minorHAnsi" w:hAnsiTheme="minorHAnsi" w:cstheme="minorBidi"/>
      <w:b/>
      <w:bCs/>
      <w:sz w:val="22"/>
      <w:lang w:eastAsia="en-US"/>
    </w:rPr>
  </w:style>
  <w:style w:type="table" w:customStyle="1" w:styleId="UMARokvir">
    <w:name w:val="UMAR okvir"/>
    <w:basedOn w:val="TableNormal"/>
    <w:uiPriority w:val="99"/>
    <w:rsid w:val="00D03946"/>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03946"/>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D03946"/>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D03946"/>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D03946"/>
    <w:pPr>
      <w:spacing w:before="80"/>
      <w:ind w:left="340" w:hanging="340"/>
      <w:jc w:val="left"/>
    </w:pPr>
  </w:style>
  <w:style w:type="character" w:customStyle="1" w:styleId="LiteraturaUMARChar">
    <w:name w:val="Literatura_UMAR Char"/>
    <w:basedOn w:val="BesediloUMARChar"/>
    <w:link w:val="LiteraturaUMAR"/>
    <w:uiPriority w:val="7"/>
    <w:rsid w:val="00D03946"/>
    <w:rPr>
      <w:rFonts w:ascii="Myriad Pro" w:eastAsiaTheme="minorHAnsi" w:hAnsi="Myriad Pro" w:cstheme="minorBidi"/>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8"/>
    <w:rsid w:val="008E2D24"/>
    <w:pPr>
      <w:spacing w:line="240" w:lineRule="exact"/>
      <w:jc w:val="both"/>
    </w:pPr>
    <w:rPr>
      <w:rFonts w:ascii="Myriad Pro" w:eastAsia="Times New Roman" w:hAnsi="Myriad Pro" w:cs="Times New Roman"/>
      <w:sz w:val="18"/>
      <w:szCs w:val="20"/>
      <w:vertAlign w:val="superscript"/>
      <w:lang w:eastAsia="sl-SI"/>
    </w:rPr>
  </w:style>
  <w:style w:type="paragraph" w:customStyle="1" w:styleId="SprotnaopombaPOR">
    <w:name w:val="Sprotna opomba_POR"/>
    <w:basedOn w:val="FootnoteText"/>
    <w:uiPriority w:val="8"/>
    <w:qFormat/>
    <w:rsid w:val="008E2D24"/>
    <w:pPr>
      <w:spacing w:before="20" w:after="20" w:line="240" w:lineRule="auto"/>
    </w:pPr>
    <w:rPr>
      <w:rFonts w:ascii="Arial" w:eastAsia="Calibri" w:hAnsi="Arial" w:cs="Times New Roman"/>
      <w:noProof/>
      <w:szCs w:val="20"/>
    </w:rPr>
  </w:style>
  <w:style w:type="character" w:customStyle="1" w:styleId="rynqvb">
    <w:name w:val="rynqvb"/>
    <w:basedOn w:val="DefaultParagraphFont"/>
    <w:rsid w:val="00C92D75"/>
  </w:style>
  <w:style w:type="character" w:customStyle="1" w:styleId="hwtze">
    <w:name w:val="hwtze"/>
    <w:basedOn w:val="DefaultParagraphFont"/>
    <w:rsid w:val="00673D56"/>
  </w:style>
  <w:style w:type="character" w:styleId="UnresolvedMention">
    <w:name w:val="Unresolved Mention"/>
    <w:basedOn w:val="DefaultParagraphFont"/>
    <w:uiPriority w:val="99"/>
    <w:semiHidden/>
    <w:unhideWhenUsed/>
    <w:rsid w:val="00760768"/>
    <w:rPr>
      <w:color w:val="605E5C"/>
      <w:shd w:val="clear" w:color="auto" w:fill="E1DFDD"/>
    </w:rPr>
  </w:style>
  <w:style w:type="paragraph" w:customStyle="1" w:styleId="ec-toclist-item">
    <w:name w:val="ec-toc__list-item"/>
    <w:basedOn w:val="Normal"/>
    <w:rsid w:val="00CC440C"/>
    <w:pPr>
      <w:spacing w:before="100" w:beforeAutospacing="1" w:after="100" w:afterAutospacing="1"/>
    </w:pPr>
  </w:style>
  <w:style w:type="character" w:styleId="Strong">
    <w:name w:val="Strong"/>
    <w:basedOn w:val="DefaultParagraphFont"/>
    <w:uiPriority w:val="22"/>
    <w:qFormat/>
    <w:rsid w:val="00AB5C96"/>
    <w:rPr>
      <w:b/>
      <w:bCs/>
    </w:rPr>
  </w:style>
  <w:style w:type="character" w:customStyle="1" w:styleId="markedcontent">
    <w:name w:val="markedcontent"/>
    <w:basedOn w:val="DefaultParagraphFont"/>
    <w:rsid w:val="001A5318"/>
  </w:style>
  <w:style w:type="paragraph" w:styleId="NormalWeb">
    <w:name w:val="Normal (Web)"/>
    <w:basedOn w:val="Normal"/>
    <w:uiPriority w:val="99"/>
    <w:semiHidden/>
    <w:unhideWhenUsed/>
    <w:rsid w:val="00D858CF"/>
    <w:pPr>
      <w:spacing w:before="100" w:beforeAutospacing="1" w:after="100" w:afterAutospacing="1"/>
    </w:pPr>
  </w:style>
  <w:style w:type="paragraph" w:styleId="HTMLPreformatted">
    <w:name w:val="HTML Preformatted"/>
    <w:basedOn w:val="Normal"/>
    <w:link w:val="HTMLPreformattedChar"/>
    <w:uiPriority w:val="99"/>
    <w:semiHidden/>
    <w:unhideWhenUsed/>
    <w:rsid w:val="002F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6F6D"/>
    <w:rPr>
      <w:rFonts w:ascii="Courier New" w:hAnsi="Courier New" w:cs="Courier New"/>
    </w:rPr>
  </w:style>
  <w:style w:type="character" w:customStyle="1" w:styleId="y2iqfc">
    <w:name w:val="y2iqfc"/>
    <w:basedOn w:val="DefaultParagraphFont"/>
    <w:rsid w:val="002F6F6D"/>
  </w:style>
  <w:style w:type="paragraph" w:styleId="Bibliography">
    <w:name w:val="Bibliography"/>
    <w:basedOn w:val="Normal"/>
    <w:next w:val="Normal"/>
    <w:uiPriority w:val="37"/>
    <w:unhideWhenUsed/>
    <w:rsid w:val="00EF456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167">
      <w:bodyDiv w:val="1"/>
      <w:marLeft w:val="0"/>
      <w:marRight w:val="0"/>
      <w:marTop w:val="0"/>
      <w:marBottom w:val="0"/>
      <w:divBdr>
        <w:top w:val="none" w:sz="0" w:space="0" w:color="auto"/>
        <w:left w:val="none" w:sz="0" w:space="0" w:color="auto"/>
        <w:bottom w:val="none" w:sz="0" w:space="0" w:color="auto"/>
        <w:right w:val="none" w:sz="0" w:space="0" w:color="auto"/>
      </w:divBdr>
    </w:div>
    <w:div w:id="177088556">
      <w:bodyDiv w:val="1"/>
      <w:marLeft w:val="0"/>
      <w:marRight w:val="0"/>
      <w:marTop w:val="0"/>
      <w:marBottom w:val="0"/>
      <w:divBdr>
        <w:top w:val="none" w:sz="0" w:space="0" w:color="auto"/>
        <w:left w:val="none" w:sz="0" w:space="0" w:color="auto"/>
        <w:bottom w:val="none" w:sz="0" w:space="0" w:color="auto"/>
        <w:right w:val="none" w:sz="0" w:space="0" w:color="auto"/>
      </w:divBdr>
    </w:div>
    <w:div w:id="189340461">
      <w:bodyDiv w:val="1"/>
      <w:marLeft w:val="0"/>
      <w:marRight w:val="0"/>
      <w:marTop w:val="0"/>
      <w:marBottom w:val="0"/>
      <w:divBdr>
        <w:top w:val="none" w:sz="0" w:space="0" w:color="auto"/>
        <w:left w:val="none" w:sz="0" w:space="0" w:color="auto"/>
        <w:bottom w:val="none" w:sz="0" w:space="0" w:color="auto"/>
        <w:right w:val="none" w:sz="0" w:space="0" w:color="auto"/>
      </w:divBdr>
    </w:div>
    <w:div w:id="255019307">
      <w:bodyDiv w:val="1"/>
      <w:marLeft w:val="0"/>
      <w:marRight w:val="0"/>
      <w:marTop w:val="0"/>
      <w:marBottom w:val="0"/>
      <w:divBdr>
        <w:top w:val="none" w:sz="0" w:space="0" w:color="auto"/>
        <w:left w:val="none" w:sz="0" w:space="0" w:color="auto"/>
        <w:bottom w:val="none" w:sz="0" w:space="0" w:color="auto"/>
        <w:right w:val="none" w:sz="0" w:space="0" w:color="auto"/>
      </w:divBdr>
    </w:div>
    <w:div w:id="256253020">
      <w:bodyDiv w:val="1"/>
      <w:marLeft w:val="0"/>
      <w:marRight w:val="0"/>
      <w:marTop w:val="0"/>
      <w:marBottom w:val="0"/>
      <w:divBdr>
        <w:top w:val="none" w:sz="0" w:space="0" w:color="auto"/>
        <w:left w:val="none" w:sz="0" w:space="0" w:color="auto"/>
        <w:bottom w:val="none" w:sz="0" w:space="0" w:color="auto"/>
        <w:right w:val="none" w:sz="0" w:space="0" w:color="auto"/>
      </w:divBdr>
    </w:div>
    <w:div w:id="345788187">
      <w:bodyDiv w:val="1"/>
      <w:marLeft w:val="0"/>
      <w:marRight w:val="0"/>
      <w:marTop w:val="0"/>
      <w:marBottom w:val="0"/>
      <w:divBdr>
        <w:top w:val="none" w:sz="0" w:space="0" w:color="auto"/>
        <w:left w:val="none" w:sz="0" w:space="0" w:color="auto"/>
        <w:bottom w:val="none" w:sz="0" w:space="0" w:color="auto"/>
        <w:right w:val="none" w:sz="0" w:space="0" w:color="auto"/>
      </w:divBdr>
    </w:div>
    <w:div w:id="481779862">
      <w:bodyDiv w:val="1"/>
      <w:marLeft w:val="0"/>
      <w:marRight w:val="0"/>
      <w:marTop w:val="0"/>
      <w:marBottom w:val="0"/>
      <w:divBdr>
        <w:top w:val="none" w:sz="0" w:space="0" w:color="auto"/>
        <w:left w:val="none" w:sz="0" w:space="0" w:color="auto"/>
        <w:bottom w:val="none" w:sz="0" w:space="0" w:color="auto"/>
        <w:right w:val="none" w:sz="0" w:space="0" w:color="auto"/>
      </w:divBdr>
    </w:div>
    <w:div w:id="497501524">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567617246">
      <w:bodyDiv w:val="1"/>
      <w:marLeft w:val="0"/>
      <w:marRight w:val="0"/>
      <w:marTop w:val="0"/>
      <w:marBottom w:val="0"/>
      <w:divBdr>
        <w:top w:val="none" w:sz="0" w:space="0" w:color="auto"/>
        <w:left w:val="none" w:sz="0" w:space="0" w:color="auto"/>
        <w:bottom w:val="none" w:sz="0" w:space="0" w:color="auto"/>
        <w:right w:val="none" w:sz="0" w:space="0" w:color="auto"/>
      </w:divBdr>
    </w:div>
    <w:div w:id="630326463">
      <w:bodyDiv w:val="1"/>
      <w:marLeft w:val="0"/>
      <w:marRight w:val="0"/>
      <w:marTop w:val="0"/>
      <w:marBottom w:val="0"/>
      <w:divBdr>
        <w:top w:val="none" w:sz="0" w:space="0" w:color="auto"/>
        <w:left w:val="none" w:sz="0" w:space="0" w:color="auto"/>
        <w:bottom w:val="none" w:sz="0" w:space="0" w:color="auto"/>
        <w:right w:val="none" w:sz="0" w:space="0" w:color="auto"/>
      </w:divBdr>
    </w:div>
    <w:div w:id="655839433">
      <w:bodyDiv w:val="1"/>
      <w:marLeft w:val="0"/>
      <w:marRight w:val="0"/>
      <w:marTop w:val="0"/>
      <w:marBottom w:val="0"/>
      <w:divBdr>
        <w:top w:val="none" w:sz="0" w:space="0" w:color="auto"/>
        <w:left w:val="none" w:sz="0" w:space="0" w:color="auto"/>
        <w:bottom w:val="none" w:sz="0" w:space="0" w:color="auto"/>
        <w:right w:val="none" w:sz="0" w:space="0" w:color="auto"/>
      </w:divBdr>
    </w:div>
    <w:div w:id="702638268">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889608295">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133061782">
      <w:bodyDiv w:val="1"/>
      <w:marLeft w:val="0"/>
      <w:marRight w:val="0"/>
      <w:marTop w:val="0"/>
      <w:marBottom w:val="0"/>
      <w:divBdr>
        <w:top w:val="none" w:sz="0" w:space="0" w:color="auto"/>
        <w:left w:val="none" w:sz="0" w:space="0" w:color="auto"/>
        <w:bottom w:val="none" w:sz="0" w:space="0" w:color="auto"/>
        <w:right w:val="none" w:sz="0" w:space="0" w:color="auto"/>
      </w:divBdr>
    </w:div>
    <w:div w:id="1389382680">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533690379">
      <w:bodyDiv w:val="1"/>
      <w:marLeft w:val="0"/>
      <w:marRight w:val="0"/>
      <w:marTop w:val="0"/>
      <w:marBottom w:val="0"/>
      <w:divBdr>
        <w:top w:val="none" w:sz="0" w:space="0" w:color="auto"/>
        <w:left w:val="none" w:sz="0" w:space="0" w:color="auto"/>
        <w:bottom w:val="none" w:sz="0" w:space="0" w:color="auto"/>
        <w:right w:val="none" w:sz="0" w:space="0" w:color="auto"/>
      </w:divBdr>
    </w:div>
    <w:div w:id="1543201743">
      <w:bodyDiv w:val="1"/>
      <w:marLeft w:val="0"/>
      <w:marRight w:val="0"/>
      <w:marTop w:val="0"/>
      <w:marBottom w:val="0"/>
      <w:divBdr>
        <w:top w:val="none" w:sz="0" w:space="0" w:color="auto"/>
        <w:left w:val="none" w:sz="0" w:space="0" w:color="auto"/>
        <w:bottom w:val="none" w:sz="0" w:space="0" w:color="auto"/>
        <w:right w:val="none" w:sz="0" w:space="0" w:color="auto"/>
      </w:divBdr>
    </w:div>
    <w:div w:id="1561987140">
      <w:bodyDiv w:val="1"/>
      <w:marLeft w:val="0"/>
      <w:marRight w:val="0"/>
      <w:marTop w:val="0"/>
      <w:marBottom w:val="0"/>
      <w:divBdr>
        <w:top w:val="none" w:sz="0" w:space="0" w:color="auto"/>
        <w:left w:val="none" w:sz="0" w:space="0" w:color="auto"/>
        <w:bottom w:val="none" w:sz="0" w:space="0" w:color="auto"/>
        <w:right w:val="none" w:sz="0" w:space="0" w:color="auto"/>
      </w:divBdr>
    </w:div>
    <w:div w:id="1596284268">
      <w:bodyDiv w:val="1"/>
      <w:marLeft w:val="0"/>
      <w:marRight w:val="0"/>
      <w:marTop w:val="0"/>
      <w:marBottom w:val="0"/>
      <w:divBdr>
        <w:top w:val="none" w:sz="0" w:space="0" w:color="auto"/>
        <w:left w:val="none" w:sz="0" w:space="0" w:color="auto"/>
        <w:bottom w:val="none" w:sz="0" w:space="0" w:color="auto"/>
        <w:right w:val="none" w:sz="0" w:space="0" w:color="auto"/>
      </w:divBdr>
    </w:div>
    <w:div w:id="1715539051">
      <w:bodyDiv w:val="1"/>
      <w:marLeft w:val="0"/>
      <w:marRight w:val="0"/>
      <w:marTop w:val="0"/>
      <w:marBottom w:val="0"/>
      <w:divBdr>
        <w:top w:val="none" w:sz="0" w:space="0" w:color="auto"/>
        <w:left w:val="none" w:sz="0" w:space="0" w:color="auto"/>
        <w:bottom w:val="none" w:sz="0" w:space="0" w:color="auto"/>
        <w:right w:val="none" w:sz="0" w:space="0" w:color="auto"/>
      </w:divBdr>
    </w:div>
    <w:div w:id="1744571836">
      <w:bodyDiv w:val="1"/>
      <w:marLeft w:val="0"/>
      <w:marRight w:val="0"/>
      <w:marTop w:val="0"/>
      <w:marBottom w:val="0"/>
      <w:divBdr>
        <w:top w:val="none" w:sz="0" w:space="0" w:color="auto"/>
        <w:left w:val="none" w:sz="0" w:space="0" w:color="auto"/>
        <w:bottom w:val="none" w:sz="0" w:space="0" w:color="auto"/>
        <w:right w:val="none" w:sz="0" w:space="0" w:color="auto"/>
      </w:divBdr>
      <w:divsChild>
        <w:div w:id="613564340">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transparency.eu/wp-content/uploads/2022/06/Luxury_Goods_Sanctions_US__EU_Table.pdf" TargetMode="External"/><Relationship Id="rId1" Type="http://schemas.openxmlformats.org/officeDocument/2006/relationships/hyperlink" Target="https://eur-lex.europa.eu/legal-content/SL/TXT/PDF/?uri=CELEX:32022R0428&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7AE9-B622-45A7-8179-BEE14FCB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11271</Words>
  <Characters>138250</Characters>
  <Application>Microsoft Office Word</Application>
  <DocSecurity>0</DocSecurity>
  <Lines>1152</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149223</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2023-09-07T11:26:00Z</dcterms:created>
  <dcterms:modified xsi:type="dcterms:W3CDTF">2023-09-07T11:26:00Z</dcterms:modified>
</cp:coreProperties>
</file>