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BA621" w14:textId="77777777" w:rsidR="0050616E" w:rsidRPr="0050616E" w:rsidRDefault="00471713" w:rsidP="0050616E">
      <w:pPr>
        <w:pStyle w:val="Heading2"/>
        <w:numPr>
          <w:ilvl w:val="0"/>
          <w:numId w:val="0"/>
        </w:numPr>
      </w:pPr>
      <w:bookmarkStart w:id="0" w:name="_GoBack"/>
      <w:bookmarkEnd w:id="0"/>
      <w:r>
        <w:rPr>
          <w:noProof/>
          <w:lang w:eastAsia="sl-SI"/>
        </w:rPr>
        <w:drawing>
          <wp:anchor distT="0" distB="0" distL="114300" distR="114300" simplePos="0" relativeHeight="251661312" behindDoc="0" locked="0" layoutInCell="1" allowOverlap="1" wp14:anchorId="4FBB8F64" wp14:editId="6978CC50">
            <wp:simplePos x="0" y="0"/>
            <wp:positionH relativeFrom="column">
              <wp:posOffset>-900374</wp:posOffset>
            </wp:positionH>
            <wp:positionV relativeFrom="paragraph">
              <wp:posOffset>-1081405</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Pr>
          <w:noProof/>
          <w:lang w:eastAsia="sl-SI"/>
        </w:rPr>
        <w:drawing>
          <wp:anchor distT="0" distB="0" distL="114300" distR="114300" simplePos="0" relativeHeight="251663360" behindDoc="0" locked="0" layoutInCell="1" allowOverlap="1" wp14:anchorId="5A4302DC" wp14:editId="57D19E0B">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p>
    <w:p w14:paraId="5AA10B11" w14:textId="77777777" w:rsidR="0050616E" w:rsidRPr="0050616E" w:rsidRDefault="00D66667" w:rsidP="0050616E">
      <w:pPr>
        <w:tabs>
          <w:tab w:val="left" w:pos="7227"/>
        </w:tabs>
        <w:sectPr w:rsidR="0050616E" w:rsidRPr="0050616E" w:rsidSect="007C3A38">
          <w:footerReference w:type="default" r:id="rId10"/>
          <w:pgSz w:w="11906" w:h="16838"/>
          <w:pgMar w:top="1701" w:right="1418" w:bottom="1418" w:left="1418" w:header="709" w:footer="709" w:gutter="0"/>
          <w:pgNumType w:fmt="lowerRoman" w:start="1"/>
          <w:cols w:space="708"/>
        </w:sectPr>
      </w:pPr>
      <w:r>
        <w:rPr>
          <w:noProof/>
          <w:lang w:eastAsia="sl-SI"/>
        </w:rPr>
        <mc:AlternateContent>
          <mc:Choice Requires="wps">
            <w:drawing>
              <wp:anchor distT="0" distB="0" distL="114300" distR="114300" simplePos="0" relativeHeight="251659262" behindDoc="0" locked="0" layoutInCell="1" allowOverlap="1" wp14:anchorId="1FA8E9F5" wp14:editId="2E242D4D">
                <wp:simplePos x="0" y="0"/>
                <wp:positionH relativeFrom="column">
                  <wp:posOffset>2694750</wp:posOffset>
                </wp:positionH>
                <wp:positionV relativeFrom="paragraph">
                  <wp:posOffset>556895</wp:posOffset>
                </wp:positionV>
                <wp:extent cx="3680460" cy="8066405"/>
                <wp:effectExtent l="0" t="0" r="0" b="10795"/>
                <wp:wrapNone/>
                <wp:docPr id="2" name="Text Box 2"/>
                <wp:cNvGraphicFramePr/>
                <a:graphic xmlns:a="http://schemas.openxmlformats.org/drawingml/2006/main">
                  <a:graphicData uri="http://schemas.microsoft.com/office/word/2010/wordprocessingShape">
                    <wps:wsp>
                      <wps:cNvSpPr txBox="1"/>
                      <wps:spPr>
                        <a:xfrm>
                          <a:off x="0" y="0"/>
                          <a:ext cx="3680460" cy="8066405"/>
                        </a:xfrm>
                        <a:prstGeom prst="rect">
                          <a:avLst/>
                        </a:prstGeom>
                        <a:noFill/>
                        <a:ln w="6350">
                          <a:noFill/>
                        </a:ln>
                        <a:effectLst/>
                      </wps:spPr>
                      <wps:txbx>
                        <w:txbxContent>
                          <w:p w14:paraId="675F4F4F" w14:textId="77777777" w:rsidR="00DA5A5B" w:rsidRPr="0050616E" w:rsidRDefault="00DA5A5B" w:rsidP="0050616E">
                            <w:pPr>
                              <w:pStyle w:val="NaslovnicanaslovUMAR"/>
                              <w:numPr>
                                <w:ilvl w:val="0"/>
                                <w:numId w:val="0"/>
                              </w:numPr>
                              <w:spacing w:line="760" w:lineRule="exact"/>
                              <w:rPr>
                                <w:color w:val="auto"/>
                                <w:sz w:val="76"/>
                                <w:szCs w:val="76"/>
                              </w:rPr>
                            </w:pPr>
                          </w:p>
                          <w:p w14:paraId="4E727479" w14:textId="77777777" w:rsidR="00DA5A5B" w:rsidRPr="0050616E" w:rsidRDefault="00DA5A5B" w:rsidP="0050616E">
                            <w:pPr>
                              <w:pStyle w:val="NaslovnicanaslovUMAR"/>
                              <w:numPr>
                                <w:ilvl w:val="0"/>
                                <w:numId w:val="0"/>
                              </w:numPr>
                              <w:spacing w:line="760" w:lineRule="exact"/>
                              <w:rPr>
                                <w:color w:val="auto"/>
                                <w:sz w:val="76"/>
                                <w:szCs w:val="76"/>
                              </w:rPr>
                            </w:pPr>
                          </w:p>
                          <w:p w14:paraId="17EB1994" w14:textId="77777777" w:rsidR="00DA5A5B" w:rsidRPr="0050616E" w:rsidRDefault="00DA5A5B"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31411184" w14:textId="5F97AAEC" w:rsidR="00DA5A5B" w:rsidRPr="0050616E" w:rsidRDefault="00DA5A5B" w:rsidP="0050616E">
                            <w:pPr>
                              <w:pStyle w:val="NaslovnicanaslovUMAR"/>
                              <w:numPr>
                                <w:ilvl w:val="0"/>
                                <w:numId w:val="0"/>
                              </w:numPr>
                              <w:spacing w:line="240" w:lineRule="auto"/>
                              <w:rPr>
                                <w:b w:val="0"/>
                                <w:bCs/>
                                <w:color w:val="auto"/>
                                <w:sz w:val="26"/>
                                <w:szCs w:val="26"/>
                              </w:rPr>
                            </w:pPr>
                            <w:r>
                              <w:rPr>
                                <w:b w:val="0"/>
                                <w:bCs/>
                                <w:color w:val="auto"/>
                                <w:sz w:val="26"/>
                                <w:szCs w:val="26"/>
                              </w:rPr>
                              <w:t>Avgust</w:t>
                            </w:r>
                            <w:r w:rsidRPr="00A91E82">
                              <w:rPr>
                                <w:b w:val="0"/>
                                <w:bCs/>
                                <w:color w:val="auto"/>
                                <w:sz w:val="26"/>
                                <w:szCs w:val="26"/>
                              </w:rPr>
                              <w:t xml:space="preserve"> 202</w:t>
                            </w:r>
                            <w:r>
                              <w:rPr>
                                <w:b w:val="0"/>
                                <w:bCs/>
                                <w:color w:val="auto"/>
                                <w:sz w:val="26"/>
                                <w:szCs w:val="26"/>
                              </w:rPr>
                              <w:t>3</w:t>
                            </w:r>
                          </w:p>
                          <w:p w14:paraId="2849CB1F" w14:textId="77777777" w:rsidR="00DA5A5B" w:rsidRPr="0050616E" w:rsidRDefault="00DA5A5B" w:rsidP="0050616E">
                            <w:pPr>
                              <w:pStyle w:val="NaslovnicanaslovUMAR"/>
                              <w:numPr>
                                <w:ilvl w:val="0"/>
                                <w:numId w:val="0"/>
                              </w:numPr>
                              <w:spacing w:line="760" w:lineRule="exact"/>
                              <w:rPr>
                                <w:color w:val="auto"/>
                                <w:sz w:val="52"/>
                                <w:szCs w:val="52"/>
                              </w:rPr>
                            </w:pPr>
                          </w:p>
                          <w:p w14:paraId="320239C2" w14:textId="2219147B" w:rsidR="00DA5A5B" w:rsidRPr="0050616E" w:rsidRDefault="00DA5A5B" w:rsidP="0050616E">
                            <w:pPr>
                              <w:pStyle w:val="NaslovnicanaslovUMAR"/>
                              <w:numPr>
                                <w:ilvl w:val="0"/>
                                <w:numId w:val="0"/>
                              </w:numPr>
                              <w:spacing w:after="240" w:line="760" w:lineRule="exact"/>
                              <w:rPr>
                                <w:b w:val="0"/>
                                <w:bCs/>
                                <w:color w:val="auto"/>
                                <w:sz w:val="52"/>
                                <w:szCs w:val="52"/>
                              </w:rPr>
                            </w:pPr>
                            <w:r>
                              <w:rPr>
                                <w:b w:val="0"/>
                                <w:bCs/>
                                <w:color w:val="auto"/>
                                <w:sz w:val="52"/>
                                <w:szCs w:val="52"/>
                              </w:rPr>
                              <w:t>Tina Nenadič</w:t>
                            </w:r>
                          </w:p>
                          <w:p w14:paraId="1CE283A2" w14:textId="584BE294" w:rsidR="00DA5A5B" w:rsidRPr="0050616E" w:rsidRDefault="00DA5A5B" w:rsidP="0050616E">
                            <w:pPr>
                              <w:pStyle w:val="NaslovnicanaslovUMAR"/>
                              <w:numPr>
                                <w:ilvl w:val="0"/>
                                <w:numId w:val="0"/>
                              </w:numPr>
                              <w:spacing w:line="760" w:lineRule="exact"/>
                              <w:rPr>
                                <w:color w:val="auto"/>
                                <w:sz w:val="76"/>
                                <w:szCs w:val="76"/>
                              </w:rPr>
                            </w:pPr>
                            <w:r>
                              <w:rPr>
                                <w:color w:val="auto"/>
                                <w:sz w:val="76"/>
                                <w:szCs w:val="76"/>
                              </w:rPr>
                              <w:t>Analiza poslovanja predelovalnih družb v letu 2022</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8E9F5" id="_x0000_t202" coordsize="21600,21600" o:spt="202" path="m,l,21600r21600,l21600,xe">
                <v:stroke joinstyle="miter"/>
                <v:path gradientshapeok="t" o:connecttype="rect"/>
              </v:shapetype>
              <v:shape id="Text Box 2" o:spid="_x0000_s1026" type="#_x0000_t202" style="position:absolute;margin-left:212.2pt;margin-top:43.85pt;width:289.8pt;height:635.1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" filled="f" stroked="f" strokeweight=".5pt">
                <v:textbox style="layout-flow:vertical;mso-layout-flow-alt:bottom-to-top" inset="0,0,.5mm,0">
                  <w:txbxContent>
                    <w:p w14:paraId="675F4F4F" w14:textId="77777777" w:rsidR="00DA5A5B" w:rsidRPr="0050616E" w:rsidRDefault="00DA5A5B" w:rsidP="0050616E">
                      <w:pPr>
                        <w:pStyle w:val="NaslovnicanaslovUMAR"/>
                        <w:numPr>
                          <w:ilvl w:val="0"/>
                          <w:numId w:val="0"/>
                        </w:numPr>
                        <w:spacing w:line="760" w:lineRule="exact"/>
                        <w:rPr>
                          <w:color w:val="auto"/>
                          <w:sz w:val="76"/>
                          <w:szCs w:val="76"/>
                        </w:rPr>
                      </w:pPr>
                    </w:p>
                    <w:p w14:paraId="4E727479" w14:textId="77777777" w:rsidR="00DA5A5B" w:rsidRPr="0050616E" w:rsidRDefault="00DA5A5B" w:rsidP="0050616E">
                      <w:pPr>
                        <w:pStyle w:val="NaslovnicanaslovUMAR"/>
                        <w:numPr>
                          <w:ilvl w:val="0"/>
                          <w:numId w:val="0"/>
                        </w:numPr>
                        <w:spacing w:line="760" w:lineRule="exact"/>
                        <w:rPr>
                          <w:color w:val="auto"/>
                          <w:sz w:val="76"/>
                          <w:szCs w:val="76"/>
                        </w:rPr>
                      </w:pPr>
                    </w:p>
                    <w:p w14:paraId="17EB1994" w14:textId="77777777" w:rsidR="00DA5A5B" w:rsidRPr="0050616E" w:rsidRDefault="00DA5A5B"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31411184" w14:textId="5F97AAEC" w:rsidR="00DA5A5B" w:rsidRPr="0050616E" w:rsidRDefault="00DA5A5B" w:rsidP="0050616E">
                      <w:pPr>
                        <w:pStyle w:val="NaslovnicanaslovUMAR"/>
                        <w:numPr>
                          <w:ilvl w:val="0"/>
                          <w:numId w:val="0"/>
                        </w:numPr>
                        <w:spacing w:line="240" w:lineRule="auto"/>
                        <w:rPr>
                          <w:b w:val="0"/>
                          <w:bCs/>
                          <w:color w:val="auto"/>
                          <w:sz w:val="26"/>
                          <w:szCs w:val="26"/>
                        </w:rPr>
                      </w:pPr>
                      <w:r>
                        <w:rPr>
                          <w:b w:val="0"/>
                          <w:bCs/>
                          <w:color w:val="auto"/>
                          <w:sz w:val="26"/>
                          <w:szCs w:val="26"/>
                        </w:rPr>
                        <w:t>Avgust</w:t>
                      </w:r>
                      <w:r w:rsidRPr="00A91E82">
                        <w:rPr>
                          <w:b w:val="0"/>
                          <w:bCs/>
                          <w:color w:val="auto"/>
                          <w:sz w:val="26"/>
                          <w:szCs w:val="26"/>
                        </w:rPr>
                        <w:t xml:space="preserve"> 202</w:t>
                      </w:r>
                      <w:r>
                        <w:rPr>
                          <w:b w:val="0"/>
                          <w:bCs/>
                          <w:color w:val="auto"/>
                          <w:sz w:val="26"/>
                          <w:szCs w:val="26"/>
                        </w:rPr>
                        <w:t>3</w:t>
                      </w:r>
                    </w:p>
                    <w:p w14:paraId="2849CB1F" w14:textId="77777777" w:rsidR="00DA5A5B" w:rsidRPr="0050616E" w:rsidRDefault="00DA5A5B" w:rsidP="0050616E">
                      <w:pPr>
                        <w:pStyle w:val="NaslovnicanaslovUMAR"/>
                        <w:numPr>
                          <w:ilvl w:val="0"/>
                          <w:numId w:val="0"/>
                        </w:numPr>
                        <w:spacing w:line="760" w:lineRule="exact"/>
                        <w:rPr>
                          <w:color w:val="auto"/>
                          <w:sz w:val="52"/>
                          <w:szCs w:val="52"/>
                        </w:rPr>
                      </w:pPr>
                    </w:p>
                    <w:p w14:paraId="320239C2" w14:textId="2219147B" w:rsidR="00DA5A5B" w:rsidRPr="0050616E" w:rsidRDefault="00DA5A5B" w:rsidP="0050616E">
                      <w:pPr>
                        <w:pStyle w:val="NaslovnicanaslovUMAR"/>
                        <w:numPr>
                          <w:ilvl w:val="0"/>
                          <w:numId w:val="0"/>
                        </w:numPr>
                        <w:spacing w:after="240" w:line="760" w:lineRule="exact"/>
                        <w:rPr>
                          <w:b w:val="0"/>
                          <w:bCs/>
                          <w:color w:val="auto"/>
                          <w:sz w:val="52"/>
                          <w:szCs w:val="52"/>
                        </w:rPr>
                      </w:pPr>
                      <w:r>
                        <w:rPr>
                          <w:b w:val="0"/>
                          <w:bCs/>
                          <w:color w:val="auto"/>
                          <w:sz w:val="52"/>
                          <w:szCs w:val="52"/>
                        </w:rPr>
                        <w:t>Tina Nenadič</w:t>
                      </w:r>
                    </w:p>
                    <w:p w14:paraId="1CE283A2" w14:textId="584BE294" w:rsidR="00DA5A5B" w:rsidRPr="0050616E" w:rsidRDefault="00DA5A5B" w:rsidP="0050616E">
                      <w:pPr>
                        <w:pStyle w:val="NaslovnicanaslovUMAR"/>
                        <w:numPr>
                          <w:ilvl w:val="0"/>
                          <w:numId w:val="0"/>
                        </w:numPr>
                        <w:spacing w:line="760" w:lineRule="exact"/>
                        <w:rPr>
                          <w:color w:val="auto"/>
                          <w:sz w:val="76"/>
                          <w:szCs w:val="76"/>
                        </w:rPr>
                      </w:pPr>
                      <w:r>
                        <w:rPr>
                          <w:color w:val="auto"/>
                          <w:sz w:val="76"/>
                          <w:szCs w:val="76"/>
                        </w:rPr>
                        <w:t>Analiza poslovanja predelovalnih družb v letu 2022</w:t>
                      </w:r>
                    </w:p>
                  </w:txbxContent>
                </v:textbox>
              </v:shape>
            </w:pict>
          </mc:Fallback>
        </mc:AlternateContent>
      </w:r>
      <w:r w:rsidR="0050616E">
        <w:tab/>
      </w:r>
    </w:p>
    <w:p w14:paraId="6F326529" w14:textId="77777777" w:rsidR="00471713" w:rsidRDefault="00471713" w:rsidP="00471713">
      <w:pPr>
        <w:pStyle w:val="Heading1"/>
        <w:numPr>
          <w:ilvl w:val="0"/>
          <w:numId w:val="0"/>
        </w:numPr>
        <w:rPr>
          <w:rStyle w:val="VodilnistavekUMAR"/>
        </w:rPr>
      </w:pPr>
      <w:bookmarkStart w:id="1" w:name="_Toc525304171"/>
      <w:bookmarkStart w:id="2" w:name="_Toc527616894"/>
      <w:bookmarkStart w:id="3" w:name="_Toc528328881"/>
      <w:r w:rsidRPr="00471713">
        <w:lastRenderedPageBreak/>
        <w:t>Povzetek</w:t>
      </w:r>
    </w:p>
    <w:p w14:paraId="7B5FDBDD" w14:textId="77777777" w:rsidR="00471713" w:rsidRDefault="00471713" w:rsidP="00E60966">
      <w:pPr>
        <w:pStyle w:val="BesediloUMAR"/>
        <w:rPr>
          <w:rStyle w:val="VodilnistavekUMAR"/>
        </w:rPr>
      </w:pPr>
    </w:p>
    <w:p w14:paraId="352FCEB4" w14:textId="7695BCBF" w:rsidR="00D35FA2" w:rsidRDefault="00D35FA2" w:rsidP="003F33CD">
      <w:pPr>
        <w:pStyle w:val="BesediloUMAR"/>
        <w:rPr>
          <w:b/>
          <w:bCs/>
        </w:rPr>
      </w:pPr>
      <w:r w:rsidRPr="00B43BB7">
        <w:rPr>
          <w:rStyle w:val="BoldpoudarekUMAR"/>
        </w:rPr>
        <w:t>V kratki analizi proučimo statistične podatke iz bilanc stanja in izkaza poslovnega izida gospodarskih družb v predelovalnih dejavnostih (C), ki so ena največjih dejavnosti</w:t>
      </w:r>
      <w:r w:rsidR="00062576" w:rsidRPr="00B43BB7">
        <w:rPr>
          <w:rStyle w:val="BoldpoudarekUMAR"/>
        </w:rPr>
        <w:t xml:space="preserve"> slovenskega gospodarstva</w:t>
      </w:r>
      <w:r w:rsidRPr="00B43BB7">
        <w:rPr>
          <w:rStyle w:val="BoldpoudarekUMAR"/>
        </w:rPr>
        <w:t>. Analiza poslovanja in premoženjsko-finančnega položaja predelovalnih družb zajema obdobje po letu 2008, pri čemer smo osredotočeni na rezultate v zadnjem letu oz. letu 202</w:t>
      </w:r>
      <w:r w:rsidR="00C552C9">
        <w:rPr>
          <w:rStyle w:val="BoldpoudarekUMAR"/>
        </w:rPr>
        <w:t>2</w:t>
      </w:r>
      <w:r w:rsidRPr="00B43BB7">
        <w:rPr>
          <w:rStyle w:val="BoldpoudarekUMAR"/>
        </w:rPr>
        <w:t>.</w:t>
      </w:r>
    </w:p>
    <w:p w14:paraId="1D289708" w14:textId="77777777" w:rsidR="00D35FA2" w:rsidRDefault="00D35FA2" w:rsidP="003F33CD">
      <w:pPr>
        <w:pStyle w:val="BesediloUMAR"/>
        <w:rPr>
          <w:b/>
          <w:bCs/>
        </w:rPr>
      </w:pPr>
    </w:p>
    <w:p w14:paraId="2782A4CC" w14:textId="588516A5" w:rsidR="00407C0D" w:rsidRPr="00CF35C1" w:rsidRDefault="00AB7C3D" w:rsidP="003F33CD">
      <w:pPr>
        <w:pStyle w:val="BesediloUMAR"/>
        <w:rPr>
          <w:b/>
          <w:bCs/>
        </w:rPr>
      </w:pPr>
      <w:r w:rsidRPr="000C1962">
        <w:rPr>
          <w:b/>
          <w:bCs/>
        </w:rPr>
        <w:t>Predelovalne družbe so rezultate poslovanja</w:t>
      </w:r>
      <w:r w:rsidR="00D945D0" w:rsidRPr="000C1962">
        <w:rPr>
          <w:b/>
          <w:bCs/>
        </w:rPr>
        <w:t xml:space="preserve"> </w:t>
      </w:r>
      <w:r w:rsidR="004A2196" w:rsidRPr="000C1962">
        <w:rPr>
          <w:b/>
          <w:bCs/>
        </w:rPr>
        <w:t>v letu 202</w:t>
      </w:r>
      <w:r w:rsidR="00D945D0" w:rsidRPr="000C1962">
        <w:rPr>
          <w:b/>
          <w:bCs/>
        </w:rPr>
        <w:t>2</w:t>
      </w:r>
      <w:r w:rsidR="004A2196" w:rsidRPr="000C1962">
        <w:rPr>
          <w:b/>
          <w:bCs/>
        </w:rPr>
        <w:t xml:space="preserve"> </w:t>
      </w:r>
      <w:r w:rsidR="000C1962" w:rsidRPr="000C1962">
        <w:rPr>
          <w:b/>
          <w:bCs/>
        </w:rPr>
        <w:t xml:space="preserve">nadalje </w:t>
      </w:r>
      <w:r w:rsidRPr="000C1962">
        <w:rPr>
          <w:b/>
          <w:bCs/>
        </w:rPr>
        <w:t>izboljšale</w:t>
      </w:r>
      <w:r w:rsidR="000C1962" w:rsidRPr="000C1962">
        <w:rPr>
          <w:b/>
          <w:bCs/>
        </w:rPr>
        <w:t>, a</w:t>
      </w:r>
      <w:r w:rsidRPr="000C1962">
        <w:rPr>
          <w:b/>
          <w:bCs/>
        </w:rPr>
        <w:t xml:space="preserve"> </w:t>
      </w:r>
      <w:r w:rsidR="00D945D0" w:rsidRPr="000C1962">
        <w:rPr>
          <w:b/>
          <w:bCs/>
        </w:rPr>
        <w:t>manj kot leto prej</w:t>
      </w:r>
      <w:r w:rsidR="00985424" w:rsidRPr="000C1962">
        <w:rPr>
          <w:b/>
          <w:bCs/>
        </w:rPr>
        <w:t xml:space="preserve">. </w:t>
      </w:r>
      <w:r w:rsidRPr="000C1962">
        <w:rPr>
          <w:b/>
          <w:bCs/>
        </w:rPr>
        <w:t>R</w:t>
      </w:r>
      <w:r w:rsidR="00985424" w:rsidRPr="000C1962">
        <w:rPr>
          <w:b/>
          <w:bCs/>
        </w:rPr>
        <w:t xml:space="preserve">ast dodane vrednosti </w:t>
      </w:r>
      <w:r w:rsidRPr="000C1962">
        <w:rPr>
          <w:b/>
          <w:bCs/>
        </w:rPr>
        <w:t xml:space="preserve">je ostala visoka, a nekoliko skromnejša kot v letu 2021. K rasti so </w:t>
      </w:r>
      <w:r w:rsidR="00985424" w:rsidRPr="000C1962">
        <w:rPr>
          <w:b/>
          <w:bCs/>
        </w:rPr>
        <w:t xml:space="preserve">nekoliko prispevale tudi subvencije, večinoma namenjene </w:t>
      </w:r>
      <w:r w:rsidR="00D945D0" w:rsidRPr="000C1962">
        <w:rPr>
          <w:b/>
          <w:bCs/>
        </w:rPr>
        <w:t xml:space="preserve">zmanjšanju negativnega vpliva energetske draginje na </w:t>
      </w:r>
      <w:r w:rsidR="000C1962" w:rsidRPr="000C1962">
        <w:rPr>
          <w:b/>
          <w:bCs/>
        </w:rPr>
        <w:t>poslovanje</w:t>
      </w:r>
      <w:r w:rsidRPr="000C1962">
        <w:rPr>
          <w:b/>
          <w:bCs/>
        </w:rPr>
        <w:t xml:space="preserve">. </w:t>
      </w:r>
      <w:r w:rsidR="00D945D0" w:rsidRPr="000C1962">
        <w:rPr>
          <w:b/>
          <w:bCs/>
        </w:rPr>
        <w:t xml:space="preserve">Ob skromnejši rasti zaposlenosti kot leto prej se je dodana vrednost na zaposlenega v </w:t>
      </w:r>
      <w:r w:rsidR="004A2196" w:rsidRPr="000C1962">
        <w:rPr>
          <w:b/>
          <w:bCs/>
        </w:rPr>
        <w:t>prede</w:t>
      </w:r>
      <w:r w:rsidR="00FC79BE" w:rsidRPr="000C1962">
        <w:rPr>
          <w:b/>
          <w:bCs/>
        </w:rPr>
        <w:t>l</w:t>
      </w:r>
      <w:r w:rsidR="004A2196" w:rsidRPr="000C1962">
        <w:rPr>
          <w:b/>
          <w:bCs/>
        </w:rPr>
        <w:t>ovalnih družb</w:t>
      </w:r>
      <w:r w:rsidR="00D945D0" w:rsidRPr="000C1962">
        <w:rPr>
          <w:b/>
          <w:bCs/>
        </w:rPr>
        <w:t>ah</w:t>
      </w:r>
      <w:r w:rsidR="004A2196" w:rsidRPr="000C1962">
        <w:rPr>
          <w:b/>
          <w:bCs/>
        </w:rPr>
        <w:t xml:space="preserve"> povzpela nad 5</w:t>
      </w:r>
      <w:r w:rsidR="00D945D0" w:rsidRPr="000C1962">
        <w:rPr>
          <w:b/>
          <w:bCs/>
        </w:rPr>
        <w:t>7</w:t>
      </w:r>
      <w:r w:rsidR="004A2196" w:rsidRPr="000C1962">
        <w:rPr>
          <w:b/>
          <w:bCs/>
        </w:rPr>
        <w:t>.000</w:t>
      </w:r>
      <w:r w:rsidR="00FB0C45" w:rsidRPr="000C1962">
        <w:rPr>
          <w:b/>
          <w:bCs/>
        </w:rPr>
        <w:t xml:space="preserve"> </w:t>
      </w:r>
      <w:r w:rsidR="004A2196" w:rsidRPr="000C1962">
        <w:rPr>
          <w:b/>
          <w:bCs/>
        </w:rPr>
        <w:t xml:space="preserve">EUR. </w:t>
      </w:r>
      <w:r w:rsidR="00985424" w:rsidRPr="000C1962">
        <w:rPr>
          <w:b/>
          <w:bCs/>
        </w:rPr>
        <w:t>Rast prihodkov od prodaje se je umirila, najbolj na trgih izven EU. N</w:t>
      </w:r>
      <w:r w:rsidR="004A2196" w:rsidRPr="000C1962">
        <w:rPr>
          <w:b/>
          <w:bCs/>
        </w:rPr>
        <w:t>eto dobič</w:t>
      </w:r>
      <w:r w:rsidR="00827324" w:rsidRPr="000C1962">
        <w:rPr>
          <w:b/>
          <w:bCs/>
        </w:rPr>
        <w:t>e</w:t>
      </w:r>
      <w:r w:rsidR="004A2196" w:rsidRPr="000C1962">
        <w:rPr>
          <w:b/>
          <w:bCs/>
        </w:rPr>
        <w:t>k iz poslovanja</w:t>
      </w:r>
      <w:r w:rsidR="00985424" w:rsidRPr="000C1962">
        <w:rPr>
          <w:b/>
          <w:bCs/>
        </w:rPr>
        <w:t>, ki je v letu 2021</w:t>
      </w:r>
      <w:r w:rsidR="00827324" w:rsidRPr="000C1962">
        <w:rPr>
          <w:b/>
          <w:bCs/>
        </w:rPr>
        <w:t xml:space="preserve"> </w:t>
      </w:r>
      <w:r w:rsidR="00985424" w:rsidRPr="000C1962">
        <w:rPr>
          <w:b/>
          <w:bCs/>
        </w:rPr>
        <w:t xml:space="preserve">prvič presegel 2 mrd EUR, se je še nekoliko </w:t>
      </w:r>
      <w:r w:rsidR="006564CB" w:rsidRPr="000C1962">
        <w:rPr>
          <w:b/>
          <w:bCs/>
        </w:rPr>
        <w:t>povečal</w:t>
      </w:r>
      <w:r w:rsidR="004A2196" w:rsidRPr="000C1962">
        <w:rPr>
          <w:b/>
          <w:bCs/>
        </w:rPr>
        <w:t xml:space="preserve">. Izboljšali so se tudi finančni rezultati, predelovalne družbe </w:t>
      </w:r>
      <w:r w:rsidR="00985424" w:rsidRPr="000C1962">
        <w:rPr>
          <w:b/>
          <w:bCs/>
        </w:rPr>
        <w:t xml:space="preserve">so </w:t>
      </w:r>
      <w:r w:rsidR="004A2196" w:rsidRPr="000C1962">
        <w:rPr>
          <w:b/>
          <w:bCs/>
        </w:rPr>
        <w:t xml:space="preserve">ustvarile neto </w:t>
      </w:r>
      <w:r w:rsidR="00827324" w:rsidRPr="000C1962">
        <w:rPr>
          <w:b/>
          <w:bCs/>
        </w:rPr>
        <w:t>dobiček</w:t>
      </w:r>
      <w:r w:rsidR="004A2196" w:rsidRPr="000C1962">
        <w:rPr>
          <w:b/>
          <w:bCs/>
        </w:rPr>
        <w:t xml:space="preserve"> iz financiranja. Neto čisti dobiček predelovalnih družb je bil tako najv</w:t>
      </w:r>
      <w:r w:rsidR="00FB0C45" w:rsidRPr="000C1962">
        <w:rPr>
          <w:b/>
          <w:bCs/>
        </w:rPr>
        <w:t>ečji</w:t>
      </w:r>
      <w:r w:rsidR="004A2196" w:rsidRPr="000C1962">
        <w:rPr>
          <w:b/>
          <w:bCs/>
        </w:rPr>
        <w:t xml:space="preserve"> v </w:t>
      </w:r>
      <w:r w:rsidR="00591000" w:rsidRPr="000C1962">
        <w:rPr>
          <w:b/>
          <w:bCs/>
        </w:rPr>
        <w:t xml:space="preserve">opazovanem </w:t>
      </w:r>
      <w:r w:rsidR="004A2196" w:rsidRPr="000C1962">
        <w:rPr>
          <w:b/>
          <w:bCs/>
        </w:rPr>
        <w:t>obdobju</w:t>
      </w:r>
      <w:r w:rsidR="00591000" w:rsidRPr="000C1962">
        <w:rPr>
          <w:b/>
          <w:bCs/>
        </w:rPr>
        <w:t xml:space="preserve">. </w:t>
      </w:r>
      <w:r w:rsidR="00827324" w:rsidRPr="000C1962">
        <w:rPr>
          <w:b/>
          <w:bCs/>
        </w:rPr>
        <w:t>D</w:t>
      </w:r>
      <w:r w:rsidR="00591000" w:rsidRPr="000C1962">
        <w:rPr>
          <w:b/>
          <w:bCs/>
        </w:rPr>
        <w:t xml:space="preserve">elež dolga v virih sredstev, </w:t>
      </w:r>
      <w:r w:rsidR="00827324" w:rsidRPr="000C1962">
        <w:rPr>
          <w:b/>
          <w:bCs/>
        </w:rPr>
        <w:t xml:space="preserve">ki se je v letu 2021 nekoliko povečal, je ostal </w:t>
      </w:r>
      <w:r w:rsidR="00FB0C45" w:rsidRPr="000C1962">
        <w:rPr>
          <w:b/>
          <w:bCs/>
        </w:rPr>
        <w:t>manjši</w:t>
      </w:r>
      <w:r w:rsidR="00591000" w:rsidRPr="000C1962">
        <w:rPr>
          <w:b/>
          <w:bCs/>
        </w:rPr>
        <w:t xml:space="preserve"> </w:t>
      </w:r>
      <w:r w:rsidR="000C1962" w:rsidRPr="000C1962">
        <w:rPr>
          <w:b/>
          <w:bCs/>
        </w:rPr>
        <w:t>od dolgoletnega povprečja</w:t>
      </w:r>
      <w:r w:rsidR="00591000" w:rsidRPr="000C1962">
        <w:rPr>
          <w:b/>
          <w:bCs/>
        </w:rPr>
        <w:t>.</w:t>
      </w:r>
      <w:r w:rsidR="00591000" w:rsidRPr="00CF35C1">
        <w:rPr>
          <w:b/>
          <w:bCs/>
        </w:rPr>
        <w:t xml:space="preserve"> </w:t>
      </w:r>
    </w:p>
    <w:p w14:paraId="59F8F528" w14:textId="77777777" w:rsidR="00407C0D" w:rsidRDefault="00407C0D" w:rsidP="00407C0D">
      <w:pPr>
        <w:pStyle w:val="BesediloUMAR"/>
      </w:pPr>
    </w:p>
    <w:bookmarkEnd w:id="1"/>
    <w:bookmarkEnd w:id="2"/>
    <w:bookmarkEnd w:id="3"/>
    <w:p w14:paraId="41D5FF90" w14:textId="5822F5F1" w:rsidR="00D35FA2" w:rsidRDefault="00D35FA2" w:rsidP="00D35FA2">
      <w:pPr>
        <w:pStyle w:val="Heading1"/>
      </w:pPr>
      <w:r>
        <w:t>Uvod</w:t>
      </w:r>
    </w:p>
    <w:p w14:paraId="515CF6A7" w14:textId="77777777" w:rsidR="00894E6F" w:rsidRDefault="00894E6F" w:rsidP="00D35FA2">
      <w:pPr>
        <w:pStyle w:val="BesediloUMAR"/>
      </w:pPr>
    </w:p>
    <w:p w14:paraId="246C16B4" w14:textId="54014FBD" w:rsidR="0026157E" w:rsidRPr="0026157E" w:rsidRDefault="00D35FA2" w:rsidP="00D35FA2">
      <w:pPr>
        <w:pStyle w:val="BesediloUMAR"/>
      </w:pPr>
      <w:r w:rsidRPr="0026157E">
        <w:t>Podatk</w:t>
      </w:r>
      <w:r w:rsidR="009D144B" w:rsidRPr="0026157E">
        <w:t>e</w:t>
      </w:r>
      <w:r w:rsidRPr="0026157E">
        <w:t xml:space="preserve"> iz bilance stanja in izkaza poslovnega izida gospodarskih družb</w:t>
      </w:r>
      <w:r w:rsidR="00062576" w:rsidRPr="0026157E">
        <w:t xml:space="preserve"> v predelovalnih dejavnostih</w:t>
      </w:r>
      <w:r w:rsidR="009D144B" w:rsidRPr="0026157E">
        <w:t>, ki jih analiziramo v nadaljevanju, letno objavlja AJPES na podlagi zaključnih računov gospodarskih družb.</w:t>
      </w:r>
      <w:r w:rsidRPr="0026157E">
        <w:t xml:space="preserve"> </w:t>
      </w:r>
      <w:r w:rsidR="009D144B" w:rsidRPr="0026157E">
        <w:t>Ti podatki omogočajo podrobnejšo analizo gibanj v predelovalnih dejavnostih</w:t>
      </w:r>
      <w:r w:rsidR="00062576" w:rsidRPr="0026157E">
        <w:t xml:space="preserve">, </w:t>
      </w:r>
      <w:r w:rsidR="00F03AF2" w:rsidRPr="0026157E">
        <w:t>ki so najbolj izvozno usmerjen del slovenskega gospodarstva</w:t>
      </w:r>
      <w:r w:rsidR="00B43BB7">
        <w:t>,</w:t>
      </w:r>
      <w:r w:rsidR="00F03AF2" w:rsidRPr="0026157E">
        <w:t xml:space="preserve"> ustvarijo največji del dodane vrednosti gospodarskih družb</w:t>
      </w:r>
      <w:r w:rsidR="00C552C9">
        <w:t xml:space="preserve"> </w:t>
      </w:r>
      <w:r w:rsidR="00F03AF2" w:rsidRPr="0026157E">
        <w:t xml:space="preserve">in zaposlujejo največ </w:t>
      </w:r>
      <w:r w:rsidRPr="0026157E">
        <w:t xml:space="preserve">zaposlenih </w:t>
      </w:r>
      <w:r w:rsidR="00F03AF2" w:rsidRPr="0026157E">
        <w:t>med vsemi gospodarskimi družbami</w:t>
      </w:r>
      <w:r w:rsidRPr="0026157E">
        <w:t xml:space="preserve">. </w:t>
      </w:r>
    </w:p>
    <w:p w14:paraId="2ED86EAE" w14:textId="77777777" w:rsidR="0026157E" w:rsidRPr="0026157E" w:rsidRDefault="0026157E" w:rsidP="00D35FA2">
      <w:pPr>
        <w:pStyle w:val="BesediloUMAR"/>
      </w:pPr>
    </w:p>
    <w:p w14:paraId="3C897C5E" w14:textId="11834B00" w:rsidR="00D35FA2" w:rsidRDefault="00062576" w:rsidP="00D35FA2">
      <w:pPr>
        <w:pStyle w:val="BesediloUMAR"/>
        <w:rPr>
          <w:rFonts w:ascii="Times New Roman" w:eastAsia="Times New Roman" w:hAnsi="Times New Roman" w:cs="Times New Roman"/>
          <w:sz w:val="24"/>
          <w:szCs w:val="24"/>
          <w:lang w:eastAsia="sl-SI"/>
        </w:rPr>
      </w:pPr>
      <w:r w:rsidRPr="0026157E">
        <w:t xml:space="preserve">V analizi nas zanimajo predvsem </w:t>
      </w:r>
      <w:r w:rsidR="00D35FA2" w:rsidRPr="0026157E">
        <w:t>glavne značilnosti poslovanja in premoženjsko-finančni položaj</w:t>
      </w:r>
      <w:r w:rsidRPr="0026157E">
        <w:t xml:space="preserve"> predelovalnih družb</w:t>
      </w:r>
      <w:r w:rsidR="0026157E" w:rsidRPr="0026157E">
        <w:t>, prav tako pa tudi spremembe v strukturi dejavnosti</w:t>
      </w:r>
      <w:r w:rsidR="00D35FA2" w:rsidRPr="0026157E">
        <w:t xml:space="preserve">. </w:t>
      </w:r>
      <w:r w:rsidR="0026157E" w:rsidRPr="0026157E">
        <w:t>Zaradi spremembe Standardne klasifikacije dejavnosti a</w:t>
      </w:r>
      <w:r w:rsidRPr="0026157E">
        <w:t>naliziramo obdobje po letu 2008, osredotoč</w:t>
      </w:r>
      <w:r w:rsidR="00F974C3">
        <w:t>amo</w:t>
      </w:r>
      <w:r w:rsidRPr="0026157E">
        <w:t xml:space="preserve"> pa </w:t>
      </w:r>
      <w:r w:rsidR="00F974C3">
        <w:t xml:space="preserve">se </w:t>
      </w:r>
      <w:r w:rsidRPr="0026157E">
        <w:t>na</w:t>
      </w:r>
      <w:r w:rsidR="00D35FA2" w:rsidRPr="0026157E">
        <w:t xml:space="preserve"> analiz</w:t>
      </w:r>
      <w:r w:rsidRPr="0026157E">
        <w:t>o</w:t>
      </w:r>
      <w:r w:rsidR="00D35FA2" w:rsidRPr="0026157E">
        <w:t xml:space="preserve"> </w:t>
      </w:r>
      <w:r w:rsidR="00D35FA2" w:rsidRPr="002E3FFC">
        <w:t>poslovanja v zadnjem letu</w:t>
      </w:r>
      <w:r w:rsidR="00B43BB7" w:rsidRPr="002E3FFC">
        <w:t xml:space="preserve"> </w:t>
      </w:r>
      <w:r w:rsidR="00E10F0A" w:rsidRPr="00B15A11">
        <w:t>ozir</w:t>
      </w:r>
      <w:r w:rsidR="00E14047" w:rsidRPr="00B15A11">
        <w:t xml:space="preserve">oma letu </w:t>
      </w:r>
      <w:r w:rsidR="00B43BB7" w:rsidRPr="002E3FFC">
        <w:t>202</w:t>
      </w:r>
      <w:r w:rsidR="00C552C9" w:rsidRPr="00245A46">
        <w:t>2</w:t>
      </w:r>
      <w:r w:rsidR="00D35FA2" w:rsidRPr="00245A46">
        <w:t>.</w:t>
      </w:r>
      <w:r w:rsidR="00D35FA2" w:rsidRPr="0039363C">
        <w:t xml:space="preserve"> Podatki za vsako analiziran</w:t>
      </w:r>
      <w:r w:rsidRPr="0039363C">
        <w:t>o</w:t>
      </w:r>
      <w:r w:rsidR="00D35FA2" w:rsidRPr="0039363C">
        <w:t xml:space="preserve"> let</w:t>
      </w:r>
      <w:r w:rsidRPr="0039363C">
        <w:t>o</w:t>
      </w:r>
      <w:r w:rsidR="00D35FA2" w:rsidRPr="0039363C">
        <w:t xml:space="preserve"> vključujejo gospodarske družbe, ki so v tistem letu dejansko poslovale. Vse kategorije primerjamo v tekočih cenah.</w:t>
      </w:r>
      <w:r w:rsidR="00D35FA2">
        <w:t xml:space="preserve"> </w:t>
      </w:r>
    </w:p>
    <w:p w14:paraId="504206B3" w14:textId="77777777" w:rsidR="00D35FA2" w:rsidRPr="00D35FA2" w:rsidRDefault="00D35FA2" w:rsidP="00D35FA2">
      <w:pPr>
        <w:pStyle w:val="BesediloUMAR"/>
      </w:pPr>
    </w:p>
    <w:p w14:paraId="3EE1F193" w14:textId="1BFB7E36" w:rsidR="00481B30" w:rsidRPr="00AA7AC4" w:rsidRDefault="00923F0C" w:rsidP="00471713">
      <w:pPr>
        <w:pStyle w:val="Heading1"/>
      </w:pPr>
      <w:r>
        <w:t xml:space="preserve">Analiza poslovanja slovenskih </w:t>
      </w:r>
      <w:r w:rsidRPr="00AA7AC4">
        <w:t>predelovalnih družb v letu 202</w:t>
      </w:r>
      <w:r w:rsidR="00424D82">
        <w:t>2</w:t>
      </w:r>
    </w:p>
    <w:p w14:paraId="243F5897" w14:textId="77777777" w:rsidR="00894E6F" w:rsidRDefault="00894E6F" w:rsidP="00E60966">
      <w:pPr>
        <w:pStyle w:val="BesediloUMAR"/>
        <w:rPr>
          <w:rStyle w:val="VodilnistavekUMAR"/>
        </w:rPr>
      </w:pPr>
    </w:p>
    <w:p w14:paraId="40A37E05" w14:textId="766F3B35" w:rsidR="000457C8" w:rsidRPr="001E7884" w:rsidRDefault="00986DEF" w:rsidP="00E60966">
      <w:pPr>
        <w:pStyle w:val="BesediloUMAR"/>
        <w:rPr>
          <w:rStyle w:val="VodilnistavekUMAR"/>
          <w:b w:val="0"/>
          <w:bCs/>
        </w:rPr>
      </w:pPr>
      <w:r w:rsidRPr="00576597">
        <w:rPr>
          <w:rStyle w:val="VodilnistavekUMAR"/>
        </w:rPr>
        <w:t xml:space="preserve">Po letu 2020, ki </w:t>
      </w:r>
      <w:r w:rsidR="005B54DF">
        <w:rPr>
          <w:rStyle w:val="VodilnistavekUMAR"/>
        </w:rPr>
        <w:t>ga je</w:t>
      </w:r>
      <w:r w:rsidRPr="00576597">
        <w:rPr>
          <w:rStyle w:val="VodilnistavekUMAR"/>
        </w:rPr>
        <w:t xml:space="preserve"> zaznamova</w:t>
      </w:r>
      <w:r w:rsidR="005B54DF">
        <w:rPr>
          <w:rStyle w:val="VodilnistavekUMAR"/>
        </w:rPr>
        <w:t>la</w:t>
      </w:r>
      <w:r w:rsidRPr="00576597">
        <w:rPr>
          <w:rStyle w:val="VodilnistavekUMAR"/>
        </w:rPr>
        <w:t xml:space="preserve"> epidemij</w:t>
      </w:r>
      <w:r w:rsidR="005B54DF">
        <w:rPr>
          <w:rStyle w:val="VodilnistavekUMAR"/>
        </w:rPr>
        <w:t>a</w:t>
      </w:r>
      <w:r w:rsidRPr="00576597">
        <w:rPr>
          <w:rStyle w:val="VodilnistavekUMAR"/>
        </w:rPr>
        <w:t xml:space="preserve"> covida-19 in </w:t>
      </w:r>
      <w:r w:rsidR="005B54DF">
        <w:rPr>
          <w:rStyle w:val="VodilnistavekUMAR"/>
        </w:rPr>
        <w:t xml:space="preserve">z njo povezani </w:t>
      </w:r>
      <w:r w:rsidRPr="00576597">
        <w:rPr>
          <w:rStyle w:val="VodilnistavekUMAR"/>
        </w:rPr>
        <w:t xml:space="preserve">ukrepi, se je dodana </w:t>
      </w:r>
      <w:r w:rsidR="000E1109" w:rsidRPr="00576597">
        <w:rPr>
          <w:rStyle w:val="VodilnistavekUMAR"/>
        </w:rPr>
        <w:t xml:space="preserve">vrednost </w:t>
      </w:r>
      <w:r w:rsidR="00576597" w:rsidRPr="00576597">
        <w:rPr>
          <w:rStyle w:val="VodilnistavekUMAR"/>
        </w:rPr>
        <w:t xml:space="preserve">predelovalnih družb </w:t>
      </w:r>
      <w:r w:rsidRPr="00576597">
        <w:rPr>
          <w:rStyle w:val="VodilnistavekUMAR"/>
        </w:rPr>
        <w:t>v naslednjih dveh letih precej povečala.</w:t>
      </w:r>
      <w:r>
        <w:rPr>
          <w:rStyle w:val="VodilnistavekUMAR"/>
          <w:b w:val="0"/>
          <w:bCs/>
        </w:rPr>
        <w:t xml:space="preserve"> </w:t>
      </w:r>
      <w:r w:rsidR="00DC554C">
        <w:rPr>
          <w:rStyle w:val="VodilnistavekUMAR"/>
          <w:b w:val="0"/>
          <w:bCs/>
        </w:rPr>
        <w:t>Po 12,5-odstotni rasti v letu 2021 se je v</w:t>
      </w:r>
      <w:r>
        <w:rPr>
          <w:rStyle w:val="VodilnistavekUMAR"/>
          <w:b w:val="0"/>
          <w:bCs/>
        </w:rPr>
        <w:t xml:space="preserve"> letu 2022 </w:t>
      </w:r>
      <w:r w:rsidR="00BB0B2A">
        <w:rPr>
          <w:rStyle w:val="VodilnistavekUMAR"/>
          <w:b w:val="0"/>
          <w:bCs/>
        </w:rPr>
        <w:t>povečala</w:t>
      </w:r>
      <w:r w:rsidR="0023755C">
        <w:rPr>
          <w:rStyle w:val="VodilnistavekUMAR"/>
          <w:b w:val="0"/>
          <w:bCs/>
        </w:rPr>
        <w:t xml:space="preserve"> za 11,2 %</w:t>
      </w:r>
      <w:r w:rsidR="00070BCA">
        <w:rPr>
          <w:rStyle w:val="VodilnistavekUMAR"/>
          <w:b w:val="0"/>
          <w:bCs/>
        </w:rPr>
        <w:t xml:space="preserve">. Nekoliko </w:t>
      </w:r>
      <w:r w:rsidR="00E41788">
        <w:rPr>
          <w:rStyle w:val="VodilnistavekUMAR"/>
          <w:b w:val="0"/>
          <w:bCs/>
        </w:rPr>
        <w:t xml:space="preserve">(0,4 o. t.) </w:t>
      </w:r>
      <w:r w:rsidR="00070BCA">
        <w:rPr>
          <w:rStyle w:val="VodilnistavekUMAR"/>
          <w:b w:val="0"/>
          <w:bCs/>
        </w:rPr>
        <w:t xml:space="preserve">so k rasti prispevale skoraj tretjino višje subvencije, namenjene </w:t>
      </w:r>
      <w:r w:rsidR="001538F8">
        <w:rPr>
          <w:rStyle w:val="VodilnistavekUMAR"/>
          <w:b w:val="0"/>
          <w:bCs/>
        </w:rPr>
        <w:t>tudi</w:t>
      </w:r>
      <w:r w:rsidR="00E41788">
        <w:rPr>
          <w:rStyle w:val="VodilnistavekUMAR"/>
          <w:b w:val="0"/>
          <w:bCs/>
        </w:rPr>
        <w:t xml:space="preserve"> </w:t>
      </w:r>
      <w:r w:rsidR="00070BCA" w:rsidRPr="00AB7C3D">
        <w:rPr>
          <w:rStyle w:val="VodilnistavekUMAR"/>
          <w:b w:val="0"/>
          <w:bCs/>
        </w:rPr>
        <w:t>blažitvi energetske draginje</w:t>
      </w:r>
      <w:r w:rsidR="00E41788" w:rsidRPr="00AB7C3D">
        <w:rPr>
          <w:rStyle w:val="VodilnistavekUMAR"/>
          <w:b w:val="0"/>
          <w:bCs/>
        </w:rPr>
        <w:t>,</w:t>
      </w:r>
      <w:r w:rsidR="00E41788">
        <w:rPr>
          <w:rStyle w:val="VodilnistavekUMAR"/>
          <w:b w:val="0"/>
          <w:bCs/>
        </w:rPr>
        <w:t xml:space="preserve"> ki </w:t>
      </w:r>
      <w:r w:rsidR="00595FA3">
        <w:rPr>
          <w:rStyle w:val="VodilnistavekUMAR"/>
          <w:b w:val="0"/>
          <w:bCs/>
        </w:rPr>
        <w:t xml:space="preserve">pa </w:t>
      </w:r>
      <w:r w:rsidR="00070BCA">
        <w:rPr>
          <w:rStyle w:val="VodilnistavekUMAR"/>
          <w:b w:val="0"/>
          <w:bCs/>
        </w:rPr>
        <w:t xml:space="preserve">so </w:t>
      </w:r>
      <w:r w:rsidR="000E1109">
        <w:rPr>
          <w:rStyle w:val="VodilnistavekUMAR"/>
          <w:b w:val="0"/>
          <w:bCs/>
        </w:rPr>
        <w:t xml:space="preserve">ostale </w:t>
      </w:r>
      <w:r w:rsidR="00020998">
        <w:rPr>
          <w:rStyle w:val="VodilnistavekUMAR"/>
          <w:b w:val="0"/>
          <w:bCs/>
        </w:rPr>
        <w:t>za okoli četrtino nižje</w:t>
      </w:r>
      <w:r w:rsidR="000E1109">
        <w:rPr>
          <w:rStyle w:val="VodilnistavekUMAR"/>
          <w:b w:val="0"/>
          <w:bCs/>
        </w:rPr>
        <w:t xml:space="preserve"> od rekord</w:t>
      </w:r>
      <w:r>
        <w:rPr>
          <w:rStyle w:val="VodilnistavekUMAR"/>
          <w:b w:val="0"/>
          <w:bCs/>
        </w:rPr>
        <w:t>n</w:t>
      </w:r>
      <w:r w:rsidR="00F10926">
        <w:rPr>
          <w:rStyle w:val="VodilnistavekUMAR"/>
          <w:b w:val="0"/>
          <w:bCs/>
        </w:rPr>
        <w:t xml:space="preserve">e </w:t>
      </w:r>
      <w:r>
        <w:rPr>
          <w:rStyle w:val="VodilnistavekUMAR"/>
          <w:b w:val="0"/>
          <w:bCs/>
        </w:rPr>
        <w:t>ravni</w:t>
      </w:r>
      <w:r w:rsidR="000E1109">
        <w:rPr>
          <w:rStyle w:val="VodilnistavekUMAR"/>
          <w:b w:val="0"/>
          <w:bCs/>
        </w:rPr>
        <w:t xml:space="preserve"> </w:t>
      </w:r>
      <w:r>
        <w:rPr>
          <w:rStyle w:val="VodilnistavekUMAR"/>
          <w:b w:val="0"/>
          <w:bCs/>
        </w:rPr>
        <w:t xml:space="preserve">iz leta </w:t>
      </w:r>
      <w:r w:rsidR="000E1109">
        <w:rPr>
          <w:rStyle w:val="VodilnistavekUMAR"/>
          <w:b w:val="0"/>
          <w:bCs/>
        </w:rPr>
        <w:t xml:space="preserve">2020 </w:t>
      </w:r>
      <w:r w:rsidR="00020998">
        <w:rPr>
          <w:rStyle w:val="VodilnistavekUMAR"/>
          <w:b w:val="0"/>
          <w:bCs/>
        </w:rPr>
        <w:t>(</w:t>
      </w:r>
      <w:r w:rsidR="00595FA3">
        <w:rPr>
          <w:rStyle w:val="VodilnistavekUMAR"/>
          <w:b w:val="0"/>
          <w:bCs/>
        </w:rPr>
        <w:t xml:space="preserve">ko so bili v veljavi </w:t>
      </w:r>
      <w:r w:rsidR="00020998">
        <w:rPr>
          <w:rStyle w:val="VodilnistavekUMAR"/>
          <w:b w:val="0"/>
          <w:bCs/>
        </w:rPr>
        <w:t>ukrepi za zajezitev širjenja in blaženj</w:t>
      </w:r>
      <w:r w:rsidR="007A797C">
        <w:rPr>
          <w:rStyle w:val="VodilnistavekUMAR"/>
          <w:b w:val="0"/>
          <w:bCs/>
        </w:rPr>
        <w:t>e</w:t>
      </w:r>
      <w:r w:rsidR="00020998">
        <w:rPr>
          <w:rStyle w:val="VodilnistavekUMAR"/>
          <w:b w:val="0"/>
          <w:bCs/>
        </w:rPr>
        <w:t xml:space="preserve"> posledic epidemije covida-19)</w:t>
      </w:r>
      <w:r w:rsidR="00E41788">
        <w:rPr>
          <w:rStyle w:val="VodilnistavekUMAR"/>
          <w:b w:val="0"/>
          <w:bCs/>
        </w:rPr>
        <w:t>.</w:t>
      </w:r>
      <w:r w:rsidR="00F10926">
        <w:rPr>
          <w:rStyle w:val="VodilnistavekUMAR"/>
          <w:b w:val="0"/>
          <w:bCs/>
        </w:rPr>
        <w:t xml:space="preserve"> </w:t>
      </w:r>
      <w:r w:rsidR="00E41788">
        <w:rPr>
          <w:rStyle w:val="VodilnistavekUMAR"/>
          <w:b w:val="0"/>
          <w:bCs/>
        </w:rPr>
        <w:t>V</w:t>
      </w:r>
      <w:r w:rsidR="00F10926">
        <w:rPr>
          <w:rStyle w:val="VodilnistavekUMAR"/>
          <w:b w:val="0"/>
          <w:bCs/>
        </w:rPr>
        <w:t xml:space="preserve">išje </w:t>
      </w:r>
      <w:r w:rsidR="00AB7C3D">
        <w:rPr>
          <w:rStyle w:val="VodilnistavekUMAR"/>
          <w:b w:val="0"/>
          <w:bCs/>
        </w:rPr>
        <w:t xml:space="preserve">kot leta 2020 </w:t>
      </w:r>
      <w:r w:rsidR="00E41788">
        <w:rPr>
          <w:rStyle w:val="VodilnistavekUMAR"/>
          <w:b w:val="0"/>
          <w:bCs/>
        </w:rPr>
        <w:t xml:space="preserve">(za 54,8 %) </w:t>
      </w:r>
      <w:r w:rsidR="00DC1CF3">
        <w:rPr>
          <w:rStyle w:val="VodilnistavekUMAR"/>
          <w:b w:val="0"/>
          <w:bCs/>
        </w:rPr>
        <w:t xml:space="preserve">so </w:t>
      </w:r>
      <w:r w:rsidR="005A753E">
        <w:rPr>
          <w:rStyle w:val="VodilnistavekUMAR"/>
          <w:b w:val="0"/>
          <w:bCs/>
        </w:rPr>
        <w:t xml:space="preserve">bile </w:t>
      </w:r>
      <w:r w:rsidR="00AB7C3D">
        <w:rPr>
          <w:rStyle w:val="VodilnistavekUMAR"/>
          <w:b w:val="0"/>
          <w:bCs/>
        </w:rPr>
        <w:t xml:space="preserve">le </w:t>
      </w:r>
      <w:r w:rsidR="005A753E">
        <w:rPr>
          <w:rStyle w:val="VodilnistavekUMAR"/>
          <w:b w:val="0"/>
          <w:bCs/>
        </w:rPr>
        <w:t>subvencije</w:t>
      </w:r>
      <w:r w:rsidR="00FB5D83">
        <w:rPr>
          <w:rStyle w:val="VodilnistavekUMAR"/>
          <w:b w:val="0"/>
          <w:bCs/>
        </w:rPr>
        <w:t xml:space="preserve"> </w:t>
      </w:r>
      <w:r w:rsidR="00595FA3">
        <w:rPr>
          <w:rStyle w:val="VodilnistavekUMAR"/>
          <w:b w:val="0"/>
          <w:bCs/>
        </w:rPr>
        <w:t xml:space="preserve">družbam iz </w:t>
      </w:r>
      <w:r w:rsidR="00FB5D83">
        <w:rPr>
          <w:rStyle w:val="VodilnistavekUMAR"/>
          <w:b w:val="0"/>
          <w:bCs/>
        </w:rPr>
        <w:t>energetsko intenzivni</w:t>
      </w:r>
      <w:r w:rsidR="00595FA3">
        <w:rPr>
          <w:rStyle w:val="VodilnistavekUMAR"/>
          <w:b w:val="0"/>
          <w:bCs/>
        </w:rPr>
        <w:t>h</w:t>
      </w:r>
      <w:r w:rsidR="00FB5D83">
        <w:rPr>
          <w:rStyle w:val="VodilnistavekUMAR"/>
          <w:b w:val="0"/>
          <w:bCs/>
        </w:rPr>
        <w:t xml:space="preserve"> </w:t>
      </w:r>
      <w:r w:rsidR="005B54DF">
        <w:rPr>
          <w:rStyle w:val="VodilnistavekUMAR"/>
          <w:b w:val="0"/>
          <w:bCs/>
        </w:rPr>
        <w:t>panog</w:t>
      </w:r>
      <w:r w:rsidR="00FB5D83">
        <w:rPr>
          <w:rStyle w:val="FootnoteReference"/>
          <w:bCs/>
        </w:rPr>
        <w:footnoteReference w:id="2"/>
      </w:r>
      <w:r w:rsidR="001538F8">
        <w:rPr>
          <w:rStyle w:val="VodilnistavekUMAR"/>
          <w:b w:val="0"/>
          <w:bCs/>
        </w:rPr>
        <w:t xml:space="preserve">, ki so prejele </w:t>
      </w:r>
      <w:r w:rsidR="00200D78">
        <w:rPr>
          <w:rStyle w:val="VodilnistavekUMAR"/>
          <w:b w:val="0"/>
          <w:bCs/>
        </w:rPr>
        <w:t>skoraj četrtin</w:t>
      </w:r>
      <w:r w:rsidR="001538F8">
        <w:rPr>
          <w:rStyle w:val="VodilnistavekUMAR"/>
          <w:b w:val="0"/>
          <w:bCs/>
        </w:rPr>
        <w:t>o</w:t>
      </w:r>
      <w:r w:rsidR="00200D78">
        <w:rPr>
          <w:rStyle w:val="VodilnistavekUMAR"/>
          <w:b w:val="0"/>
          <w:bCs/>
        </w:rPr>
        <w:t xml:space="preserve"> subvencij</w:t>
      </w:r>
      <w:r w:rsidR="00565868">
        <w:rPr>
          <w:rStyle w:val="VodilnistavekUMAR"/>
          <w:b w:val="0"/>
          <w:bCs/>
        </w:rPr>
        <w:t xml:space="preserve"> predelovalni</w:t>
      </w:r>
      <w:r w:rsidR="00B73834">
        <w:rPr>
          <w:rStyle w:val="VodilnistavekUMAR"/>
          <w:b w:val="0"/>
          <w:bCs/>
        </w:rPr>
        <w:t>h</w:t>
      </w:r>
      <w:r w:rsidR="00565868">
        <w:rPr>
          <w:rStyle w:val="VodilnistavekUMAR"/>
          <w:b w:val="0"/>
          <w:bCs/>
        </w:rPr>
        <w:t xml:space="preserve"> </w:t>
      </w:r>
      <w:r w:rsidR="00595FA3">
        <w:rPr>
          <w:rStyle w:val="VodilnistavekUMAR"/>
          <w:b w:val="0"/>
          <w:bCs/>
        </w:rPr>
        <w:t>družb</w:t>
      </w:r>
      <w:r w:rsidR="005B54DF">
        <w:rPr>
          <w:rStyle w:val="FootnoteReference"/>
          <w:bCs/>
        </w:rPr>
        <w:footnoteReference w:id="3"/>
      </w:r>
      <w:r w:rsidR="00576597">
        <w:rPr>
          <w:rStyle w:val="VodilnistavekUMAR"/>
          <w:b w:val="0"/>
          <w:bCs/>
        </w:rPr>
        <w:t>.</w:t>
      </w:r>
      <w:r w:rsidR="008F6837">
        <w:rPr>
          <w:rStyle w:val="VodilnistavekUMAR"/>
          <w:b w:val="0"/>
          <w:bCs/>
        </w:rPr>
        <w:t xml:space="preserve"> </w:t>
      </w:r>
      <w:r w:rsidR="00200D78">
        <w:rPr>
          <w:rStyle w:val="VodilnistavekUMAR"/>
          <w:b w:val="0"/>
          <w:bCs/>
        </w:rPr>
        <w:t>R</w:t>
      </w:r>
      <w:r w:rsidR="008F6837">
        <w:rPr>
          <w:rStyle w:val="VodilnistavekUMAR"/>
          <w:b w:val="0"/>
          <w:bCs/>
        </w:rPr>
        <w:t>ast dodan</w:t>
      </w:r>
      <w:r w:rsidR="005A243A">
        <w:rPr>
          <w:rStyle w:val="VodilnistavekUMAR"/>
          <w:b w:val="0"/>
          <w:bCs/>
        </w:rPr>
        <w:t>e</w:t>
      </w:r>
      <w:r w:rsidR="008F6837">
        <w:rPr>
          <w:rStyle w:val="VodilnistavekUMAR"/>
          <w:b w:val="0"/>
          <w:bCs/>
        </w:rPr>
        <w:t xml:space="preserve"> vrednosti je bila </w:t>
      </w:r>
      <w:r w:rsidR="00B1241A">
        <w:rPr>
          <w:rStyle w:val="VodilnistavekUMAR"/>
          <w:b w:val="0"/>
          <w:bCs/>
        </w:rPr>
        <w:t xml:space="preserve">v teh panogah </w:t>
      </w:r>
      <w:r w:rsidR="008F6837">
        <w:rPr>
          <w:rStyle w:val="VodilnistavekUMAR"/>
          <w:b w:val="0"/>
          <w:bCs/>
        </w:rPr>
        <w:t>večja kot v povprečju predelovalnih družb (</w:t>
      </w:r>
      <w:r w:rsidR="00020998">
        <w:rPr>
          <w:rStyle w:val="VodilnistavekUMAR"/>
          <w:b w:val="0"/>
          <w:bCs/>
        </w:rPr>
        <w:t xml:space="preserve">z ali </w:t>
      </w:r>
      <w:r w:rsidR="008F6837">
        <w:rPr>
          <w:rStyle w:val="VodilnistavekUMAR"/>
          <w:b w:val="0"/>
          <w:bCs/>
        </w:rPr>
        <w:t xml:space="preserve">brez subvencij), </w:t>
      </w:r>
      <w:r w:rsidR="00200D78">
        <w:rPr>
          <w:rStyle w:val="VodilnistavekUMAR"/>
          <w:b w:val="0"/>
          <w:bCs/>
        </w:rPr>
        <w:t xml:space="preserve">njihov delež v ustvarjeni dodani vrednosti pa se je predvsem zaradi rasti v družbah iz proizvodnje kovin nadalje povečal (na 16,9 % </w:t>
      </w:r>
      <w:r w:rsidR="001538F8">
        <w:rPr>
          <w:rStyle w:val="VodilnistavekUMAR"/>
          <w:b w:val="0"/>
          <w:bCs/>
        </w:rPr>
        <w:t>oz.</w:t>
      </w:r>
      <w:r w:rsidR="00200D78">
        <w:rPr>
          <w:rStyle w:val="VodilnistavekUMAR"/>
          <w:b w:val="0"/>
          <w:bCs/>
        </w:rPr>
        <w:t xml:space="preserve"> največ po letu 2017)</w:t>
      </w:r>
      <w:r w:rsidR="00200D78">
        <w:rPr>
          <w:rStyle w:val="FootnoteReference"/>
          <w:bCs/>
        </w:rPr>
        <w:footnoteReference w:id="4"/>
      </w:r>
      <w:r w:rsidR="00200D78">
        <w:rPr>
          <w:rStyle w:val="VodilnistavekUMAR"/>
          <w:b w:val="0"/>
          <w:bCs/>
        </w:rPr>
        <w:t>. M</w:t>
      </w:r>
      <w:r w:rsidR="001538F8">
        <w:rPr>
          <w:rStyle w:val="VodilnistavekUMAR"/>
          <w:b w:val="0"/>
          <w:bCs/>
        </w:rPr>
        <w:t xml:space="preserve">ed energetsko intenzivnimi </w:t>
      </w:r>
      <w:r w:rsidR="00565868">
        <w:rPr>
          <w:rStyle w:val="VodilnistavekUMAR"/>
          <w:b w:val="0"/>
          <w:bCs/>
        </w:rPr>
        <w:t xml:space="preserve">panogami </w:t>
      </w:r>
      <w:r w:rsidR="001538F8">
        <w:rPr>
          <w:rStyle w:val="VodilnistavekUMAR"/>
          <w:b w:val="0"/>
          <w:bCs/>
        </w:rPr>
        <w:t>so m</w:t>
      </w:r>
      <w:r w:rsidR="008F6837">
        <w:rPr>
          <w:rStyle w:val="VodilnistavekUMAR"/>
          <w:b w:val="0"/>
          <w:bCs/>
        </w:rPr>
        <w:t>anjšo dodano vrednost ustv</w:t>
      </w:r>
      <w:r w:rsidR="005A243A">
        <w:rPr>
          <w:rStyle w:val="VodilnistavekUMAR"/>
          <w:b w:val="0"/>
          <w:bCs/>
        </w:rPr>
        <w:t>a</w:t>
      </w:r>
      <w:r w:rsidR="008F6837">
        <w:rPr>
          <w:rStyle w:val="VodilnistavekUMAR"/>
          <w:b w:val="0"/>
          <w:bCs/>
        </w:rPr>
        <w:t>rile le družbe</w:t>
      </w:r>
      <w:r w:rsidR="001538F8" w:rsidRPr="001E7884">
        <w:rPr>
          <w:rStyle w:val="VodilnistavekUMAR"/>
          <w:b w:val="0"/>
          <w:bCs/>
        </w:rPr>
        <w:t xml:space="preserve"> </w:t>
      </w:r>
      <w:r w:rsidR="00D945D0">
        <w:rPr>
          <w:rStyle w:val="VodilnistavekUMAR"/>
          <w:b w:val="0"/>
          <w:bCs/>
        </w:rPr>
        <w:t xml:space="preserve">iz </w:t>
      </w:r>
      <w:r w:rsidR="008F6837">
        <w:rPr>
          <w:rStyle w:val="VodilnistavekUMAR"/>
          <w:b w:val="0"/>
          <w:bCs/>
        </w:rPr>
        <w:t>kemične industrije</w:t>
      </w:r>
      <w:r w:rsidR="00200D78">
        <w:rPr>
          <w:rStyle w:val="VodilnistavekUMAR"/>
          <w:b w:val="0"/>
          <w:bCs/>
        </w:rPr>
        <w:t xml:space="preserve">, </w:t>
      </w:r>
      <w:r w:rsidR="001538F8">
        <w:rPr>
          <w:rStyle w:val="VodilnistavekUMAR"/>
          <w:b w:val="0"/>
          <w:bCs/>
        </w:rPr>
        <w:t xml:space="preserve">njihov </w:t>
      </w:r>
      <w:r w:rsidR="00FB5D83">
        <w:rPr>
          <w:rStyle w:val="VodilnistavekUMAR"/>
          <w:b w:val="0"/>
          <w:bCs/>
        </w:rPr>
        <w:t xml:space="preserve">delež </w:t>
      </w:r>
      <w:r w:rsidR="00200D78">
        <w:rPr>
          <w:rStyle w:val="VodilnistavekUMAR"/>
          <w:b w:val="0"/>
          <w:bCs/>
        </w:rPr>
        <w:t xml:space="preserve">v ustvarjeni dodani vrednosti </w:t>
      </w:r>
      <w:r w:rsidR="00FB5D83">
        <w:rPr>
          <w:rStyle w:val="VodilnistavekUMAR"/>
          <w:b w:val="0"/>
          <w:bCs/>
        </w:rPr>
        <w:t xml:space="preserve">je </w:t>
      </w:r>
      <w:r w:rsidR="008F6837">
        <w:rPr>
          <w:rStyle w:val="VodilnistavekUMAR"/>
          <w:b w:val="0"/>
          <w:bCs/>
        </w:rPr>
        <w:t>bil najmanjši v opazovanem obdobju</w:t>
      </w:r>
      <w:r w:rsidR="00FB5D83">
        <w:rPr>
          <w:rStyle w:val="VodilnistavekUMAR"/>
          <w:b w:val="0"/>
          <w:bCs/>
        </w:rPr>
        <w:t xml:space="preserve"> (4,6</w:t>
      </w:r>
      <w:r w:rsidR="00AB7C3D">
        <w:rPr>
          <w:rStyle w:val="VodilnistavekUMAR"/>
          <w:b w:val="0"/>
          <w:bCs/>
        </w:rPr>
        <w:t> </w:t>
      </w:r>
      <w:r w:rsidR="00FB5D83">
        <w:rPr>
          <w:rStyle w:val="VodilnistavekUMAR"/>
          <w:b w:val="0"/>
          <w:bCs/>
        </w:rPr>
        <w:t>%, v povprečju opazovanega obdobja 5,3-odstoten</w:t>
      </w:r>
      <w:r w:rsidR="008F6837" w:rsidRPr="001E7884">
        <w:rPr>
          <w:rStyle w:val="VodilnistavekUMAR"/>
          <w:b w:val="0"/>
          <w:bCs/>
        </w:rPr>
        <w:t>)</w:t>
      </w:r>
      <w:r w:rsidR="00FB5D83" w:rsidRPr="001E7884">
        <w:rPr>
          <w:rStyle w:val="VodilnistavekUMAR"/>
          <w:b w:val="0"/>
          <w:bCs/>
        </w:rPr>
        <w:t xml:space="preserve">. </w:t>
      </w:r>
      <w:r w:rsidR="00565868">
        <w:rPr>
          <w:rStyle w:val="VodilnistavekUMAR"/>
          <w:b w:val="0"/>
          <w:bCs/>
        </w:rPr>
        <w:t>M</w:t>
      </w:r>
      <w:r w:rsidR="001538F8">
        <w:rPr>
          <w:rStyle w:val="VodilnistavekUMAR"/>
          <w:b w:val="0"/>
          <w:bCs/>
        </w:rPr>
        <w:t>anjšo dodano vrednost so ustvarile tudi družbe iz proizvodnje vozil</w:t>
      </w:r>
      <w:r w:rsidR="00AB7C3D">
        <w:rPr>
          <w:rStyle w:val="VodilnistavekUMAR"/>
          <w:b w:val="0"/>
          <w:bCs/>
        </w:rPr>
        <w:t xml:space="preserve"> in plovil</w:t>
      </w:r>
      <w:r w:rsidR="001538F8">
        <w:rPr>
          <w:rStyle w:val="VodilnistavekUMAR"/>
          <w:b w:val="0"/>
          <w:bCs/>
        </w:rPr>
        <w:t xml:space="preserve">, </w:t>
      </w:r>
      <w:r w:rsidR="00B1241A">
        <w:rPr>
          <w:rStyle w:val="VodilnistavekUMAR"/>
          <w:b w:val="0"/>
          <w:bCs/>
        </w:rPr>
        <w:t>katerih</w:t>
      </w:r>
      <w:r w:rsidR="00565868">
        <w:rPr>
          <w:rStyle w:val="VodilnistavekUMAR"/>
          <w:b w:val="0"/>
          <w:bCs/>
        </w:rPr>
        <w:t xml:space="preserve"> delež v ustvarjeni dodani vrednosti se od leta 2018 zmanjšuje. L</w:t>
      </w:r>
      <w:r w:rsidR="001538F8">
        <w:rPr>
          <w:rStyle w:val="VodilnistavekUMAR"/>
          <w:b w:val="0"/>
          <w:bCs/>
        </w:rPr>
        <w:t xml:space="preserve">eta 2022 </w:t>
      </w:r>
      <w:r w:rsidR="00565868">
        <w:rPr>
          <w:rStyle w:val="VodilnistavekUMAR"/>
          <w:b w:val="0"/>
          <w:bCs/>
        </w:rPr>
        <w:t xml:space="preserve">so ustvarile </w:t>
      </w:r>
      <w:r w:rsidR="00AB7C3D">
        <w:rPr>
          <w:rStyle w:val="VodilnistavekUMAR"/>
          <w:b w:val="0"/>
          <w:bCs/>
        </w:rPr>
        <w:t>7</w:t>
      </w:r>
      <w:r w:rsidR="001538F8">
        <w:rPr>
          <w:rStyle w:val="VodilnistavekUMAR"/>
          <w:b w:val="0"/>
          <w:bCs/>
        </w:rPr>
        <w:t>,</w:t>
      </w:r>
      <w:r w:rsidR="00AB7C3D">
        <w:rPr>
          <w:rStyle w:val="VodilnistavekUMAR"/>
          <w:b w:val="0"/>
          <w:bCs/>
        </w:rPr>
        <w:t>0</w:t>
      </w:r>
      <w:r w:rsidR="001538F8">
        <w:rPr>
          <w:rStyle w:val="VodilnistavekUMAR"/>
          <w:b w:val="0"/>
          <w:bCs/>
        </w:rPr>
        <w:t> % dodane vrednosti predelovalnih družb (leta 2018 8,</w:t>
      </w:r>
      <w:r w:rsidR="00AB7C3D">
        <w:rPr>
          <w:rStyle w:val="VodilnistavekUMAR"/>
          <w:b w:val="0"/>
          <w:bCs/>
        </w:rPr>
        <w:t>9</w:t>
      </w:r>
      <w:r w:rsidR="001538F8">
        <w:rPr>
          <w:rStyle w:val="VodilnistavekUMAR"/>
          <w:b w:val="0"/>
          <w:bCs/>
        </w:rPr>
        <w:t> %).</w:t>
      </w:r>
      <w:r w:rsidR="00AB7C3D">
        <w:rPr>
          <w:rStyle w:val="VodilnistavekUMAR"/>
          <w:b w:val="0"/>
          <w:bCs/>
        </w:rPr>
        <w:t xml:space="preserve"> Že od leta 2018 pa se zmanjšuje dodana vrednost v usnjarstvu</w:t>
      </w:r>
      <w:r w:rsidR="0015392E">
        <w:rPr>
          <w:rStyle w:val="VodilnistavekUMAR"/>
          <w:b w:val="0"/>
          <w:bCs/>
        </w:rPr>
        <w:t>.</w:t>
      </w:r>
      <w:r w:rsidR="00AB7C3D">
        <w:rPr>
          <w:rStyle w:val="VodilnistavekUMAR"/>
          <w:b w:val="0"/>
          <w:bCs/>
        </w:rPr>
        <w:t xml:space="preserve"> </w:t>
      </w:r>
      <w:r w:rsidR="0015392E">
        <w:rPr>
          <w:rStyle w:val="VodilnistavekUMAR"/>
          <w:b w:val="0"/>
          <w:bCs/>
        </w:rPr>
        <w:t>D</w:t>
      </w:r>
      <w:r w:rsidR="00AB7C3D">
        <w:rPr>
          <w:rStyle w:val="VodilnistavekUMAR"/>
          <w:b w:val="0"/>
          <w:bCs/>
        </w:rPr>
        <w:t>elež teh družb v ustvarjeni dodani vrednosti vseh p</w:t>
      </w:r>
      <w:r w:rsidR="00A70DE3">
        <w:rPr>
          <w:rStyle w:val="VodilnistavekUMAR"/>
          <w:b w:val="0"/>
          <w:bCs/>
        </w:rPr>
        <w:t>r</w:t>
      </w:r>
      <w:r w:rsidR="00AB7C3D">
        <w:rPr>
          <w:rStyle w:val="VodilnistavekUMAR"/>
          <w:b w:val="0"/>
          <w:bCs/>
        </w:rPr>
        <w:t>edelovalnih družb se je v opazovanem obdobju razpolovil, leta 2022 so ustv</w:t>
      </w:r>
      <w:r w:rsidR="008812CF">
        <w:rPr>
          <w:rStyle w:val="VodilnistavekUMAR"/>
          <w:b w:val="0"/>
          <w:bCs/>
        </w:rPr>
        <w:t>a</w:t>
      </w:r>
      <w:r w:rsidR="00AB7C3D">
        <w:rPr>
          <w:rStyle w:val="VodilnistavekUMAR"/>
          <w:b w:val="0"/>
          <w:bCs/>
        </w:rPr>
        <w:t>rile 0,5 % dodan</w:t>
      </w:r>
      <w:r w:rsidR="008812CF">
        <w:rPr>
          <w:rStyle w:val="VodilnistavekUMAR"/>
          <w:b w:val="0"/>
          <w:bCs/>
        </w:rPr>
        <w:t>e</w:t>
      </w:r>
      <w:r w:rsidR="00AB7C3D">
        <w:rPr>
          <w:rStyle w:val="VodilnistavekUMAR"/>
          <w:b w:val="0"/>
          <w:bCs/>
        </w:rPr>
        <w:t xml:space="preserve"> vrednosti (</w:t>
      </w:r>
      <w:r w:rsidR="00301FF3">
        <w:rPr>
          <w:rStyle w:val="VodilnistavekUMAR"/>
          <w:b w:val="0"/>
          <w:bCs/>
        </w:rPr>
        <w:t>leta 2014 še 1,1 %)</w:t>
      </w:r>
      <w:r w:rsidR="00D36843" w:rsidRPr="001E7884">
        <w:rPr>
          <w:rStyle w:val="VodilnistavekUMAR"/>
          <w:b w:val="0"/>
          <w:bCs/>
        </w:rPr>
        <w:t xml:space="preserve"> </w:t>
      </w:r>
    </w:p>
    <w:p w14:paraId="71031CA1" w14:textId="1425D8DC" w:rsidR="00FC77DF" w:rsidRDefault="00FC77DF" w:rsidP="00FC77DF">
      <w:pPr>
        <w:pStyle w:val="Caption"/>
      </w:pPr>
      <w:r>
        <w:t xml:space="preserve">Slika </w:t>
      </w:r>
      <w:r>
        <w:fldChar w:fldCharType="begin"/>
      </w:r>
      <w:r>
        <w:instrText xml:space="preserve"> SEQ Slika \* ARABIC </w:instrText>
      </w:r>
      <w:r>
        <w:fldChar w:fldCharType="separate"/>
      </w:r>
      <w:r w:rsidR="00E62356">
        <w:t>1</w:t>
      </w:r>
      <w:r>
        <w:fldChar w:fldCharType="end"/>
      </w:r>
      <w:r>
        <w:t xml:space="preserve">: K rasti dodane vrednosti </w:t>
      </w:r>
      <w:r w:rsidR="00C140E9">
        <w:t xml:space="preserve">predelovalnih družb </w:t>
      </w:r>
      <w:r>
        <w:t xml:space="preserve">so v letu 2022 </w:t>
      </w:r>
      <w:r w:rsidR="00BC020A">
        <w:t>nekoliko</w:t>
      </w:r>
      <w:r>
        <w:t xml:space="preserve"> prispevale </w:t>
      </w:r>
      <w:r w:rsidR="00ED5F83">
        <w:t xml:space="preserve">tudi </w:t>
      </w:r>
      <w:r w:rsidR="007352F2">
        <w:t xml:space="preserve">višje </w:t>
      </w:r>
      <w:r>
        <w:t xml:space="preserve">subvencije, </w:t>
      </w:r>
      <w:r w:rsidR="00C22B1E">
        <w:t xml:space="preserve">četrtina </w:t>
      </w:r>
      <w:r w:rsidR="00C22B1E" w:rsidRPr="00301FF3">
        <w:t xml:space="preserve">je bila </w:t>
      </w:r>
      <w:r w:rsidR="00B91375" w:rsidRPr="00301FF3">
        <w:t xml:space="preserve">ob blaženju energetske draginje </w:t>
      </w:r>
      <w:r w:rsidR="00C22B1E" w:rsidRPr="00301FF3">
        <w:t>izplačana</w:t>
      </w:r>
      <w:r w:rsidR="00C22B1E">
        <w:t xml:space="preserve"> </w:t>
      </w:r>
      <w:r w:rsidR="00301FF3">
        <w:t>družbam</w:t>
      </w:r>
      <w:r w:rsidR="006B0B24">
        <w:t xml:space="preserve"> iz </w:t>
      </w:r>
      <w:r w:rsidR="00C22B1E">
        <w:t>ener</w:t>
      </w:r>
      <w:r w:rsidR="00ED5F83">
        <w:t>getsko intenzivni</w:t>
      </w:r>
      <w:r w:rsidR="006B0B24">
        <w:t>h</w:t>
      </w:r>
      <w:r w:rsidR="00ED5F83">
        <w:t xml:space="preserve"> </w:t>
      </w:r>
      <w:r w:rsidR="005B54DF">
        <w:t>panog</w:t>
      </w:r>
      <w:r w:rsidR="007352F2">
        <w:t xml:space="preserve"> </w:t>
      </w:r>
    </w:p>
    <w:p w14:paraId="6F622ECA" w14:textId="7EFB3F14" w:rsidR="002821AB" w:rsidRDefault="005E58B5" w:rsidP="00C22B1E">
      <w:pPr>
        <w:pStyle w:val="VirUMAR"/>
      </w:pPr>
      <w:r>
        <w:rPr>
          <w:noProof/>
        </w:rPr>
        <w:drawing>
          <wp:inline distT="0" distB="0" distL="0" distR="0" wp14:anchorId="6170373E" wp14:editId="0102A14F">
            <wp:extent cx="2811600" cy="229320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1600" cy="2293200"/>
                    </a:xfrm>
                    <a:prstGeom prst="rect">
                      <a:avLst/>
                    </a:prstGeom>
                    <a:noFill/>
                  </pic:spPr>
                </pic:pic>
              </a:graphicData>
            </a:graphic>
          </wp:inline>
        </w:drawing>
      </w:r>
      <w:r w:rsidR="00894E6F">
        <w:t xml:space="preserve">      </w:t>
      </w:r>
      <w:r>
        <w:rPr>
          <w:rStyle w:val="VodilnistavekUMAR"/>
          <w:b w:val="0"/>
          <w:noProof/>
        </w:rPr>
        <w:drawing>
          <wp:inline distT="0" distB="0" distL="0" distR="0" wp14:anchorId="3AB1D02B" wp14:editId="5CF2F291">
            <wp:extent cx="2826000" cy="2300400"/>
            <wp:effectExtent l="0" t="0" r="0" b="5080"/>
            <wp:docPr id="26" name="Picture 26" descr="A graph with red and black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aph with red and black bar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6000" cy="2300400"/>
                    </a:xfrm>
                    <a:prstGeom prst="rect">
                      <a:avLst/>
                    </a:prstGeom>
                    <a:noFill/>
                  </pic:spPr>
                </pic:pic>
              </a:graphicData>
            </a:graphic>
          </wp:inline>
        </w:drawing>
      </w:r>
    </w:p>
    <w:p w14:paraId="7D5F5432" w14:textId="3FDBD409" w:rsidR="00FC77DF" w:rsidRDefault="00FC77DF" w:rsidP="00C22B1E">
      <w:pPr>
        <w:pStyle w:val="VirUMAR"/>
      </w:pPr>
      <w:r>
        <w:t xml:space="preserve">Vir: </w:t>
      </w:r>
      <w:r w:rsidRPr="004B5A7C">
        <w:t>AJPES (</w:t>
      </w:r>
      <w:r>
        <w:t>2023</w:t>
      </w:r>
      <w:r w:rsidRPr="00923B83">
        <w:t>)</w:t>
      </w:r>
      <w:r>
        <w:t>, lastni izračuni.</w:t>
      </w:r>
      <w:r w:rsidRPr="00923B83">
        <w:t xml:space="preserve"> </w:t>
      </w:r>
    </w:p>
    <w:p w14:paraId="6D30AC74" w14:textId="090D2951" w:rsidR="00301FF3" w:rsidRPr="00C22B1E" w:rsidRDefault="00301FF3" w:rsidP="00301FF3">
      <w:pPr>
        <w:pStyle w:val="VirUMAR"/>
        <w:rPr>
          <w:rStyle w:val="VodilnistavekUMAR"/>
          <w:b w:val="0"/>
        </w:rPr>
      </w:pPr>
    </w:p>
    <w:p w14:paraId="7F54BF78" w14:textId="1DEF8A57" w:rsidR="00301FF3" w:rsidRDefault="00301FF3" w:rsidP="00301FF3">
      <w:pPr>
        <w:pStyle w:val="Caption"/>
      </w:pPr>
      <w:r>
        <w:t xml:space="preserve">Slika </w:t>
      </w:r>
      <w:r>
        <w:fldChar w:fldCharType="begin"/>
      </w:r>
      <w:r>
        <w:instrText xml:space="preserve"> SEQ Slika \* ARABIC </w:instrText>
      </w:r>
      <w:r>
        <w:fldChar w:fldCharType="separate"/>
      </w:r>
      <w:r>
        <w:t>2</w:t>
      </w:r>
      <w:r>
        <w:fldChar w:fldCharType="end"/>
      </w:r>
      <w:r>
        <w:t>: Dodana vrednost se je v večini panog leta 2022 povečala; nižja je bila v nekaterih srednje visoko tehnološko zahtevnih panogah</w:t>
      </w:r>
      <w:r w:rsidRPr="001E7884">
        <w:rPr>
          <w:rStyle w:val="FootnoteReference"/>
        </w:rPr>
        <w:footnoteReference w:id="5"/>
      </w:r>
      <w:r>
        <w:t>, nadalje se je zmanjšala v usnjarstvu</w:t>
      </w:r>
    </w:p>
    <w:p w14:paraId="71425CFF" w14:textId="46B658F7" w:rsidR="00301FF3" w:rsidRDefault="00230876" w:rsidP="00301FF3">
      <w:pPr>
        <w:pStyle w:val="BesediloUMAR"/>
        <w:rPr>
          <w:rStyle w:val="VodilnistavekUMAR"/>
          <w:b w:val="0"/>
          <w:bCs/>
        </w:rPr>
      </w:pPr>
      <w:r w:rsidRPr="00230876">
        <w:rPr>
          <w:rStyle w:val="VodilnistavekUMAR"/>
          <w:b w:val="0"/>
          <w:noProof/>
        </w:rPr>
        <w:drawing>
          <wp:inline distT="0" distB="0" distL="0" distR="0" wp14:anchorId="421C87A8" wp14:editId="5C2C5DDF">
            <wp:extent cx="5759450" cy="2752090"/>
            <wp:effectExtent l="0" t="0" r="0" b="0"/>
            <wp:docPr id="17234759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4397" cy="2754454"/>
                    </a:xfrm>
                    <a:prstGeom prst="rect">
                      <a:avLst/>
                    </a:prstGeom>
                    <a:noFill/>
                    <a:ln>
                      <a:noFill/>
                    </a:ln>
                  </pic:spPr>
                </pic:pic>
              </a:graphicData>
            </a:graphic>
          </wp:inline>
        </w:drawing>
      </w:r>
    </w:p>
    <w:p w14:paraId="19F68CF6" w14:textId="77777777" w:rsidR="00301FF3" w:rsidRPr="007352F2" w:rsidRDefault="00301FF3" w:rsidP="00301FF3">
      <w:pPr>
        <w:pStyle w:val="VirUMAR"/>
        <w:rPr>
          <w:rStyle w:val="VodilnistavekUMAR"/>
          <w:b w:val="0"/>
        </w:rPr>
      </w:pPr>
      <w:r>
        <w:t xml:space="preserve">Vir: </w:t>
      </w:r>
      <w:r w:rsidRPr="004B5A7C">
        <w:t>AJPES (</w:t>
      </w:r>
      <w:r>
        <w:t>2023</w:t>
      </w:r>
      <w:r w:rsidRPr="00923B83">
        <w:t>)</w:t>
      </w:r>
      <w:r>
        <w:t>, lastni izračuni.</w:t>
      </w:r>
      <w:r w:rsidRPr="00923B83">
        <w:t xml:space="preserve"> </w:t>
      </w:r>
    </w:p>
    <w:p w14:paraId="6EC563BF" w14:textId="77777777" w:rsidR="009509A0" w:rsidRDefault="009509A0" w:rsidP="00BB6717">
      <w:pPr>
        <w:pStyle w:val="Caption"/>
      </w:pPr>
    </w:p>
    <w:p w14:paraId="74E58032" w14:textId="4624044A" w:rsidR="00BB6717" w:rsidRDefault="00BB6717" w:rsidP="00BB6717">
      <w:pPr>
        <w:pStyle w:val="Caption"/>
        <w:rPr>
          <w:rStyle w:val="VodilnistavekUMAR"/>
        </w:rPr>
      </w:pPr>
      <w:r>
        <w:t xml:space="preserve">Slika </w:t>
      </w:r>
      <w:r>
        <w:fldChar w:fldCharType="begin"/>
      </w:r>
      <w:r>
        <w:instrText xml:space="preserve"> SEQ Slika \* ARABIC </w:instrText>
      </w:r>
      <w:r>
        <w:fldChar w:fldCharType="separate"/>
      </w:r>
      <w:r>
        <w:t>3</w:t>
      </w:r>
      <w:r>
        <w:fldChar w:fldCharType="end"/>
      </w:r>
      <w:r>
        <w:t xml:space="preserve">: Delež srednje visoko tehnološko zahtevnih panog v dodani vrednosti se je od leta 2017 zmanjšal, povečal pa delež </w:t>
      </w:r>
      <w:r w:rsidR="002821AB">
        <w:t xml:space="preserve">dveh </w:t>
      </w:r>
      <w:r>
        <w:t>največjih</w:t>
      </w:r>
      <w:r w:rsidR="002821AB">
        <w:t xml:space="preserve"> </w:t>
      </w:r>
      <w:r>
        <w:t xml:space="preserve">– proizvodnje kovinskih izdelkov in farmacevtske industrije </w:t>
      </w:r>
    </w:p>
    <w:p w14:paraId="23740184" w14:textId="5F914024" w:rsidR="00BB6717" w:rsidRDefault="00230876" w:rsidP="00BB6717">
      <w:pPr>
        <w:pStyle w:val="BesediloUMAR"/>
        <w:rPr>
          <w:rStyle w:val="VodilnistavekUMAR"/>
        </w:rPr>
      </w:pPr>
      <w:r w:rsidRPr="00230876">
        <w:rPr>
          <w:rStyle w:val="VodilnistavekUMAR"/>
          <w:b w:val="0"/>
          <w:noProof/>
        </w:rPr>
        <w:drawing>
          <wp:inline distT="0" distB="0" distL="0" distR="0" wp14:anchorId="30CB927D" wp14:editId="79C0244E">
            <wp:extent cx="5759450" cy="2752090"/>
            <wp:effectExtent l="0" t="0" r="0" b="0"/>
            <wp:docPr id="9506881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2752090"/>
                    </a:xfrm>
                    <a:prstGeom prst="rect">
                      <a:avLst/>
                    </a:prstGeom>
                    <a:noFill/>
                    <a:ln>
                      <a:noFill/>
                    </a:ln>
                  </pic:spPr>
                </pic:pic>
              </a:graphicData>
            </a:graphic>
          </wp:inline>
        </w:drawing>
      </w:r>
    </w:p>
    <w:p w14:paraId="346AE877" w14:textId="77777777" w:rsidR="00BB6717" w:rsidRPr="007352F2" w:rsidRDefault="00BB6717" w:rsidP="00BB6717">
      <w:pPr>
        <w:pStyle w:val="VirUMAR"/>
        <w:rPr>
          <w:rStyle w:val="VodilnistavekUMAR"/>
          <w:b w:val="0"/>
        </w:rPr>
      </w:pPr>
      <w:r>
        <w:t xml:space="preserve">Vir: </w:t>
      </w:r>
      <w:r w:rsidRPr="004B5A7C">
        <w:t>AJPES (</w:t>
      </w:r>
      <w:r>
        <w:t>2023</w:t>
      </w:r>
      <w:r w:rsidRPr="00923B83">
        <w:t>)</w:t>
      </w:r>
      <w:r>
        <w:t>, lastni izračuni.</w:t>
      </w:r>
      <w:r w:rsidRPr="00923B83">
        <w:t xml:space="preserve"> </w:t>
      </w:r>
    </w:p>
    <w:p w14:paraId="2ADB2936" w14:textId="020142B3" w:rsidR="00394AB5" w:rsidRDefault="0050242D" w:rsidP="00E60966">
      <w:pPr>
        <w:pStyle w:val="BesediloUMAR"/>
        <w:rPr>
          <w:rStyle w:val="VodilnistavekUMAR"/>
          <w:b w:val="0"/>
          <w:bCs/>
        </w:rPr>
      </w:pPr>
      <w:r>
        <w:rPr>
          <w:rStyle w:val="VodilnistavekUMAR"/>
        </w:rPr>
        <w:t>R</w:t>
      </w:r>
      <w:r w:rsidR="00BC020A" w:rsidRPr="00BC020A">
        <w:rPr>
          <w:rStyle w:val="VodilnistavekUMAR"/>
        </w:rPr>
        <w:t xml:space="preserve">ast zaposlenosti je bila v letu 2022 </w:t>
      </w:r>
      <w:r w:rsidR="00B76CB4" w:rsidRPr="00BC020A">
        <w:rPr>
          <w:rStyle w:val="VodilnistavekUMAR"/>
        </w:rPr>
        <w:t>(2,4 %)</w:t>
      </w:r>
      <w:r w:rsidR="00B76CB4">
        <w:rPr>
          <w:rStyle w:val="VodilnistavekUMAR"/>
        </w:rPr>
        <w:t xml:space="preserve"> </w:t>
      </w:r>
      <w:r w:rsidR="00BC020A" w:rsidRPr="00BC020A">
        <w:rPr>
          <w:rStyle w:val="VodilnistavekUMAR"/>
        </w:rPr>
        <w:t xml:space="preserve">nekoliko skromnejša </w:t>
      </w:r>
      <w:r w:rsidR="000457C8" w:rsidRPr="00BC020A">
        <w:rPr>
          <w:rStyle w:val="VodilnistavekUMAR"/>
        </w:rPr>
        <w:t xml:space="preserve">kot v </w:t>
      </w:r>
      <w:r w:rsidR="005D6F33">
        <w:rPr>
          <w:rStyle w:val="VodilnistavekUMAR"/>
        </w:rPr>
        <w:t xml:space="preserve">letu </w:t>
      </w:r>
      <w:r w:rsidR="000457C8" w:rsidRPr="00BC020A">
        <w:rPr>
          <w:rStyle w:val="VodilnistavekUMAR"/>
        </w:rPr>
        <w:t>2021</w:t>
      </w:r>
      <w:r w:rsidR="00617934" w:rsidRPr="00BC020A">
        <w:rPr>
          <w:rStyle w:val="VodilnistavekUMAR"/>
        </w:rPr>
        <w:t xml:space="preserve">, predelovalne družbe </w:t>
      </w:r>
      <w:r w:rsidR="00BC020A" w:rsidRPr="00BC020A">
        <w:rPr>
          <w:rStyle w:val="VodilnistavekUMAR"/>
        </w:rPr>
        <w:t xml:space="preserve">pa so </w:t>
      </w:r>
      <w:r w:rsidR="00617934" w:rsidRPr="00BC020A">
        <w:rPr>
          <w:rStyle w:val="VodilnistavekUMAR"/>
        </w:rPr>
        <w:t>presegle število zaposlenih pred začetkom epidemije</w:t>
      </w:r>
      <w:r w:rsidR="00BC020A" w:rsidRPr="00BC020A">
        <w:rPr>
          <w:rStyle w:val="VodilnistavekUMAR"/>
        </w:rPr>
        <w:t>.</w:t>
      </w:r>
      <w:r w:rsidR="00BC020A">
        <w:rPr>
          <w:rStyle w:val="VodilnistavekUMAR"/>
          <w:b w:val="0"/>
          <w:bCs/>
        </w:rPr>
        <w:t xml:space="preserve"> </w:t>
      </w:r>
      <w:r w:rsidR="00E77FFC">
        <w:rPr>
          <w:rStyle w:val="VodilnistavekUMAR"/>
          <w:b w:val="0"/>
          <w:bCs/>
        </w:rPr>
        <w:t xml:space="preserve">V večini dejavnosti se je število zaposlenih povečalo, najmočneje v dveh po deležu v </w:t>
      </w:r>
      <w:r w:rsidR="00FB0983">
        <w:rPr>
          <w:rStyle w:val="VodilnistavekUMAR"/>
          <w:b w:val="0"/>
          <w:bCs/>
        </w:rPr>
        <w:t xml:space="preserve">zaposlenosti </w:t>
      </w:r>
      <w:r w:rsidR="00E77FFC">
        <w:rPr>
          <w:rStyle w:val="VodilnistavekUMAR"/>
          <w:b w:val="0"/>
          <w:bCs/>
        </w:rPr>
        <w:t xml:space="preserve">predelovalnih družb manj pomembnih </w:t>
      </w:r>
      <w:r w:rsidR="001E7884">
        <w:rPr>
          <w:rStyle w:val="VodilnistavekUMAR"/>
          <w:b w:val="0"/>
          <w:bCs/>
        </w:rPr>
        <w:t xml:space="preserve">panogah, </w:t>
      </w:r>
      <w:r w:rsidR="00F2050C">
        <w:rPr>
          <w:rStyle w:val="VodilnistavekUMAR"/>
          <w:b w:val="0"/>
          <w:bCs/>
        </w:rPr>
        <w:t xml:space="preserve">in sicer v proizvodnji drugih vozil in plovil ter drugih raznovrstnih predelovalnih dejavnostih, </w:t>
      </w:r>
      <w:r w:rsidR="001E7884">
        <w:rPr>
          <w:rStyle w:val="VodilnistavekUMAR"/>
          <w:b w:val="0"/>
          <w:bCs/>
        </w:rPr>
        <w:t xml:space="preserve">ki sta </w:t>
      </w:r>
      <w:r w:rsidR="00847A3C">
        <w:rPr>
          <w:rStyle w:val="VodilnistavekUMAR"/>
          <w:b w:val="0"/>
          <w:bCs/>
        </w:rPr>
        <w:t xml:space="preserve">leta </w:t>
      </w:r>
      <w:r w:rsidR="00FB0983">
        <w:rPr>
          <w:rStyle w:val="VodilnistavekUMAR"/>
          <w:b w:val="0"/>
          <w:bCs/>
        </w:rPr>
        <w:t xml:space="preserve">2022 </w:t>
      </w:r>
      <w:r w:rsidR="00F2050C">
        <w:rPr>
          <w:rStyle w:val="VodilnistavekUMAR"/>
          <w:b w:val="0"/>
          <w:bCs/>
        </w:rPr>
        <w:t xml:space="preserve">skupaj </w:t>
      </w:r>
      <w:r w:rsidR="00FB0983">
        <w:rPr>
          <w:rStyle w:val="VodilnistavekUMAR"/>
          <w:b w:val="0"/>
          <w:bCs/>
        </w:rPr>
        <w:t>zaposlovali 2,6</w:t>
      </w:r>
      <w:r w:rsidR="00BB6717">
        <w:rPr>
          <w:rStyle w:val="VodilnistavekUMAR"/>
          <w:b w:val="0"/>
          <w:bCs/>
        </w:rPr>
        <w:t> </w:t>
      </w:r>
      <w:r w:rsidR="00FB0983">
        <w:rPr>
          <w:rStyle w:val="VodilnistavekUMAR"/>
          <w:b w:val="0"/>
          <w:bCs/>
        </w:rPr>
        <w:t>% oseb v predelovalnih družbah</w:t>
      </w:r>
      <w:r w:rsidR="00F2050C">
        <w:rPr>
          <w:rStyle w:val="FootnoteReference"/>
          <w:bCs/>
        </w:rPr>
        <w:footnoteReference w:id="6"/>
      </w:r>
      <w:r w:rsidR="00E77FFC">
        <w:rPr>
          <w:rStyle w:val="VodilnistavekUMAR"/>
          <w:b w:val="0"/>
          <w:bCs/>
        </w:rPr>
        <w:t xml:space="preserve">. </w:t>
      </w:r>
      <w:r w:rsidR="00FB0983">
        <w:rPr>
          <w:rStyle w:val="VodilnistavekUMAR"/>
          <w:b w:val="0"/>
          <w:bCs/>
        </w:rPr>
        <w:t xml:space="preserve">Od pomembnejših </w:t>
      </w:r>
      <w:r w:rsidR="00BB6717">
        <w:rPr>
          <w:rStyle w:val="VodilnistavekUMAR"/>
          <w:b w:val="0"/>
          <w:bCs/>
        </w:rPr>
        <w:t xml:space="preserve">predelovalnih </w:t>
      </w:r>
      <w:r w:rsidR="00FB0983">
        <w:rPr>
          <w:rStyle w:val="VodilnistavekUMAR"/>
          <w:b w:val="0"/>
          <w:bCs/>
        </w:rPr>
        <w:t xml:space="preserve">dejavnosti so število zaposlenih močneje povečale družbe iz proizvodnje kovinskih izdelkov, ki so v letu 2022 zaposlovale že 17,2 % oseb v predelovalnih družbah, </w:t>
      </w:r>
      <w:r w:rsidR="00847A3C">
        <w:rPr>
          <w:rStyle w:val="VodilnistavekUMAR"/>
          <w:b w:val="0"/>
          <w:bCs/>
        </w:rPr>
        <w:t>ter</w:t>
      </w:r>
      <w:r w:rsidR="00FB0983">
        <w:rPr>
          <w:rStyle w:val="VodilnistavekUMAR"/>
          <w:b w:val="0"/>
          <w:bCs/>
        </w:rPr>
        <w:t xml:space="preserve"> </w:t>
      </w:r>
      <w:r w:rsidR="00BB6717">
        <w:rPr>
          <w:rStyle w:val="VodilnistavekUMAR"/>
          <w:b w:val="0"/>
          <w:bCs/>
        </w:rPr>
        <w:t xml:space="preserve">družbe iz </w:t>
      </w:r>
      <w:r w:rsidR="00FB0983">
        <w:rPr>
          <w:rStyle w:val="VodilnistavekUMAR"/>
          <w:b w:val="0"/>
          <w:bCs/>
        </w:rPr>
        <w:t xml:space="preserve">proizvodnje drugih strojev in naprav. V </w:t>
      </w:r>
      <w:r w:rsidR="00F2050C">
        <w:rPr>
          <w:rStyle w:val="VodilnistavekUMAR"/>
          <w:b w:val="0"/>
          <w:bCs/>
        </w:rPr>
        <w:t xml:space="preserve">srednje visoko </w:t>
      </w:r>
      <w:r w:rsidR="00FB0983">
        <w:rPr>
          <w:rStyle w:val="VodilnistavekUMAR"/>
          <w:b w:val="0"/>
          <w:bCs/>
        </w:rPr>
        <w:t xml:space="preserve">tehnološko zahtevnih </w:t>
      </w:r>
      <w:r w:rsidR="00F2050C">
        <w:rPr>
          <w:rStyle w:val="VodilnistavekUMAR"/>
          <w:b w:val="0"/>
          <w:bCs/>
        </w:rPr>
        <w:t xml:space="preserve">proizvodnji motornih vozil in plovil ter v kemični industriji </w:t>
      </w:r>
      <w:r w:rsidR="00FB0983">
        <w:rPr>
          <w:rStyle w:val="VodilnistavekUMAR"/>
          <w:b w:val="0"/>
          <w:bCs/>
        </w:rPr>
        <w:t xml:space="preserve">se je število zaposlenih zmanjšalo (v </w:t>
      </w:r>
      <w:r w:rsidR="00F2050C">
        <w:rPr>
          <w:rStyle w:val="VodilnistavekUMAR"/>
          <w:b w:val="0"/>
          <w:bCs/>
        </w:rPr>
        <w:t xml:space="preserve">obeh panogah </w:t>
      </w:r>
      <w:r w:rsidR="00FB0983">
        <w:rPr>
          <w:rStyle w:val="VodilnistavekUMAR"/>
          <w:b w:val="0"/>
          <w:bCs/>
        </w:rPr>
        <w:t xml:space="preserve">predvsem zaradi zmanjšanja števila zaposlenih v </w:t>
      </w:r>
      <w:r w:rsidR="00BB6717">
        <w:rPr>
          <w:rStyle w:val="VodilnistavekUMAR"/>
          <w:b w:val="0"/>
          <w:bCs/>
        </w:rPr>
        <w:t>večjih</w:t>
      </w:r>
      <w:r w:rsidR="00FB0983">
        <w:rPr>
          <w:rStyle w:val="VodilnistavekUMAR"/>
          <w:b w:val="0"/>
          <w:bCs/>
        </w:rPr>
        <w:t xml:space="preserve"> družb</w:t>
      </w:r>
      <w:r w:rsidR="00BB6717">
        <w:rPr>
          <w:rStyle w:val="VodilnistavekUMAR"/>
          <w:b w:val="0"/>
          <w:bCs/>
        </w:rPr>
        <w:t>ah</w:t>
      </w:r>
      <w:r w:rsidR="00FB0983">
        <w:rPr>
          <w:rStyle w:val="VodilnistavekUMAR"/>
          <w:b w:val="0"/>
          <w:bCs/>
        </w:rPr>
        <w:t xml:space="preserve">) in bilo manjše kot pred epidemijo. Manj zaposlenih kot pred začetkom epidemije covida-19 </w:t>
      </w:r>
      <w:r w:rsidR="00216769">
        <w:rPr>
          <w:rStyle w:val="VodilnistavekUMAR"/>
          <w:b w:val="0"/>
          <w:bCs/>
        </w:rPr>
        <w:t>je ostalo</w:t>
      </w:r>
      <w:r w:rsidR="00FB0983">
        <w:rPr>
          <w:rStyle w:val="VodilnistavekUMAR"/>
          <w:b w:val="0"/>
          <w:bCs/>
        </w:rPr>
        <w:t xml:space="preserve"> tudi v družbah iz proizvodnje električnih naprav, proizvodnje kovin in nizko tehnološko </w:t>
      </w:r>
      <w:r w:rsidR="00394AB5">
        <w:rPr>
          <w:rStyle w:val="VodilnistavekUMAR"/>
          <w:b w:val="0"/>
          <w:bCs/>
        </w:rPr>
        <w:t xml:space="preserve">zahtevnih tekstilne industrije in usnjarstva, kjer </w:t>
      </w:r>
      <w:r w:rsidR="005D6F33">
        <w:rPr>
          <w:rStyle w:val="VodilnistavekUMAR"/>
          <w:b w:val="0"/>
          <w:bCs/>
        </w:rPr>
        <w:t xml:space="preserve">pa </w:t>
      </w:r>
      <w:r w:rsidR="00394AB5">
        <w:rPr>
          <w:rStyle w:val="VodilnistavekUMAR"/>
          <w:b w:val="0"/>
          <w:bCs/>
        </w:rPr>
        <w:t>njihovo število upada že dlje časa, ter proizvodnje pijač (</w:t>
      </w:r>
      <w:r w:rsidR="00BB6717" w:rsidRPr="00BB6717">
        <w:rPr>
          <w:rStyle w:val="VodilnistavekUMAR"/>
          <w:b w:val="0"/>
          <w:bCs/>
        </w:rPr>
        <w:t>vpliv</w:t>
      </w:r>
      <w:r w:rsidR="00394AB5" w:rsidRPr="00BB6717">
        <w:rPr>
          <w:rStyle w:val="VodilnistavekUMAR"/>
          <w:b w:val="0"/>
          <w:bCs/>
        </w:rPr>
        <w:t xml:space="preserve"> racionalizacije proizvodnega procesa po združitvi in spremembi lastništva </w:t>
      </w:r>
      <w:r w:rsidR="005D6F33" w:rsidRPr="00BB6717">
        <w:rPr>
          <w:rStyle w:val="VodilnistavekUMAR"/>
          <w:b w:val="0"/>
          <w:bCs/>
        </w:rPr>
        <w:t xml:space="preserve">dveh </w:t>
      </w:r>
      <w:r w:rsidR="00394AB5" w:rsidRPr="00BB6717">
        <w:rPr>
          <w:rStyle w:val="VodilnistavekUMAR"/>
          <w:b w:val="0"/>
          <w:bCs/>
        </w:rPr>
        <w:t>naj</w:t>
      </w:r>
      <w:r w:rsidR="00BB6717" w:rsidRPr="00BB6717">
        <w:rPr>
          <w:rStyle w:val="VodilnistavekUMAR"/>
          <w:b w:val="0"/>
          <w:bCs/>
        </w:rPr>
        <w:t xml:space="preserve">večjih družb </w:t>
      </w:r>
      <w:r w:rsidR="00394AB5" w:rsidRPr="00BB6717">
        <w:rPr>
          <w:rStyle w:val="VodilnistavekUMAR"/>
          <w:b w:val="0"/>
          <w:bCs/>
        </w:rPr>
        <w:t>v dejavno</w:t>
      </w:r>
      <w:r w:rsidR="00394AB5">
        <w:rPr>
          <w:rStyle w:val="VodilnistavekUMAR"/>
          <w:b w:val="0"/>
          <w:bCs/>
        </w:rPr>
        <w:t xml:space="preserve">sti). </w:t>
      </w:r>
    </w:p>
    <w:p w14:paraId="1A6DA396" w14:textId="6082DA05" w:rsidR="00E95220" w:rsidRDefault="00E95220" w:rsidP="00125AE5">
      <w:pPr>
        <w:pStyle w:val="Caption"/>
        <w:rPr>
          <w:rStyle w:val="VodilnistavekUMAR"/>
          <w:b/>
          <w:bCs w:val="0"/>
        </w:rPr>
      </w:pPr>
      <w:r>
        <w:t xml:space="preserve">Slika </w:t>
      </w:r>
      <w:r>
        <w:fldChar w:fldCharType="begin"/>
      </w:r>
      <w:r>
        <w:instrText xml:space="preserve"> SEQ Slika \* ARABIC </w:instrText>
      </w:r>
      <w:r>
        <w:fldChar w:fldCharType="separate"/>
      </w:r>
      <w:r w:rsidR="00FE6FDF">
        <w:t>4</w:t>
      </w:r>
      <w:r>
        <w:fldChar w:fldCharType="end"/>
      </w:r>
      <w:r>
        <w:t xml:space="preserve">: </w:t>
      </w:r>
      <w:r w:rsidR="00125AE5">
        <w:t>Ob nadaljnji rasti zaposlenosti so predelovalne družbe v večini dejavnosti zaposlovale več ljudi kot pred epidemijo covida-19</w:t>
      </w:r>
    </w:p>
    <w:p w14:paraId="7E0D9005" w14:textId="57A48D61" w:rsidR="00E95220" w:rsidRDefault="00230876" w:rsidP="00E60966">
      <w:pPr>
        <w:pStyle w:val="BesediloUMAR"/>
        <w:rPr>
          <w:rStyle w:val="VodilnistavekUMAR"/>
          <w:b w:val="0"/>
          <w:bCs/>
        </w:rPr>
      </w:pPr>
      <w:r w:rsidRPr="00230876">
        <w:rPr>
          <w:rStyle w:val="VodilnistavekUMAR"/>
          <w:b w:val="0"/>
          <w:noProof/>
        </w:rPr>
        <w:drawing>
          <wp:inline distT="0" distB="0" distL="0" distR="0" wp14:anchorId="51FD0553" wp14:editId="68AC3503">
            <wp:extent cx="5759450" cy="2752090"/>
            <wp:effectExtent l="0" t="0" r="0" b="0"/>
            <wp:docPr id="10675420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2752090"/>
                    </a:xfrm>
                    <a:prstGeom prst="rect">
                      <a:avLst/>
                    </a:prstGeom>
                    <a:noFill/>
                    <a:ln>
                      <a:noFill/>
                    </a:ln>
                  </pic:spPr>
                </pic:pic>
              </a:graphicData>
            </a:graphic>
          </wp:inline>
        </w:drawing>
      </w:r>
    </w:p>
    <w:p w14:paraId="45D4C81D" w14:textId="173ADD79" w:rsidR="00125AE5" w:rsidRDefault="00177A3A" w:rsidP="00125AE5">
      <w:pPr>
        <w:pStyle w:val="VirUMAR"/>
      </w:pPr>
      <w:r>
        <w:t xml:space="preserve">Opomba: Število zaposlenih v usnjarstvu se je od leta 2019 zmanjšalo za 40,3 %. </w:t>
      </w:r>
      <w:r w:rsidR="00125AE5">
        <w:t xml:space="preserve">Vir: </w:t>
      </w:r>
      <w:r w:rsidR="00125AE5" w:rsidRPr="004B5A7C">
        <w:t>AJPES (</w:t>
      </w:r>
      <w:r w:rsidR="00125AE5">
        <w:t>2023</w:t>
      </w:r>
      <w:r w:rsidR="00125AE5" w:rsidRPr="00923B83">
        <w:t>)</w:t>
      </w:r>
      <w:r w:rsidR="00125AE5">
        <w:t>, lastni izračuni.</w:t>
      </w:r>
      <w:r w:rsidR="00125AE5" w:rsidRPr="00923B83">
        <w:t xml:space="preserve"> </w:t>
      </w:r>
    </w:p>
    <w:p w14:paraId="093B0127" w14:textId="77777777" w:rsidR="00125AE5" w:rsidRPr="00894E6F" w:rsidRDefault="00125AE5" w:rsidP="00894E6F">
      <w:pPr>
        <w:pStyle w:val="BesediloUMAR"/>
        <w:rPr>
          <w:rStyle w:val="VodilnistavekUMAR"/>
          <w:b w:val="0"/>
        </w:rPr>
      </w:pPr>
    </w:p>
    <w:p w14:paraId="0A7B4CE5" w14:textId="5684DE6C" w:rsidR="009C01BB" w:rsidRPr="009C01BB" w:rsidRDefault="00F42FED" w:rsidP="00E60966">
      <w:pPr>
        <w:pStyle w:val="BesediloUMAR"/>
        <w:rPr>
          <w:bCs/>
        </w:rPr>
      </w:pPr>
      <w:r w:rsidRPr="0089009A">
        <w:rPr>
          <w:rStyle w:val="VodilnistavekUMAR"/>
        </w:rPr>
        <w:t xml:space="preserve">Dodana vrednost na zaposlenega v predelovalnih družbah </w:t>
      </w:r>
      <w:r w:rsidR="001A7A59">
        <w:rPr>
          <w:rStyle w:val="VodilnistavekUMAR"/>
        </w:rPr>
        <w:t>je</w:t>
      </w:r>
      <w:r w:rsidR="0050242D">
        <w:rPr>
          <w:rStyle w:val="VodilnistavekUMAR"/>
        </w:rPr>
        <w:t xml:space="preserve"> </w:t>
      </w:r>
      <w:r w:rsidR="00617934" w:rsidRPr="0089009A">
        <w:rPr>
          <w:rStyle w:val="VodilnistavekUMAR"/>
        </w:rPr>
        <w:t>presegla 57.000</w:t>
      </w:r>
      <w:r w:rsidR="0089009A" w:rsidRPr="0089009A">
        <w:rPr>
          <w:rStyle w:val="VodilnistavekUMAR"/>
        </w:rPr>
        <w:t xml:space="preserve"> EUR</w:t>
      </w:r>
      <w:r w:rsidR="00617934" w:rsidRPr="0089009A">
        <w:rPr>
          <w:rStyle w:val="VodilnistavekUMAR"/>
        </w:rPr>
        <w:t>.</w:t>
      </w:r>
      <w:r w:rsidR="00617934">
        <w:rPr>
          <w:rStyle w:val="VodilnistavekUMAR"/>
          <w:b w:val="0"/>
          <w:bCs/>
        </w:rPr>
        <w:t xml:space="preserve"> </w:t>
      </w:r>
      <w:r w:rsidR="00FB3041">
        <w:rPr>
          <w:rStyle w:val="VodilnistavekUMAR"/>
          <w:b w:val="0"/>
          <w:bCs/>
        </w:rPr>
        <w:t>V letu 2022 se je dodana vrednost na zaposlenega drugo leto zapored precej povečala (za 8,6 %, za 9,3 % v letu 2021)</w:t>
      </w:r>
      <w:r w:rsidR="00F9003D">
        <w:rPr>
          <w:rStyle w:val="VodilnistavekUMAR"/>
          <w:b w:val="0"/>
          <w:bCs/>
        </w:rPr>
        <w:t>,</w:t>
      </w:r>
      <w:r w:rsidR="00FB3041">
        <w:rPr>
          <w:rStyle w:val="VodilnistavekUMAR"/>
          <w:b w:val="0"/>
          <w:bCs/>
        </w:rPr>
        <w:t xml:space="preserve"> po skromnejši rasti v letih 2015–2020 (okoli 3-ods</w:t>
      </w:r>
      <w:r w:rsidR="006C3929">
        <w:rPr>
          <w:rStyle w:val="VodilnistavekUMAR"/>
          <w:b w:val="0"/>
          <w:bCs/>
        </w:rPr>
        <w:t>t</w:t>
      </w:r>
      <w:r w:rsidR="00FB3041">
        <w:rPr>
          <w:rStyle w:val="VodilnistavekUMAR"/>
          <w:b w:val="0"/>
          <w:bCs/>
        </w:rPr>
        <w:t xml:space="preserve">otna rast). </w:t>
      </w:r>
      <w:r w:rsidR="00EC5D26">
        <w:rPr>
          <w:rStyle w:val="VodilnistavekUMAR"/>
          <w:b w:val="0"/>
          <w:bCs/>
        </w:rPr>
        <w:t>Najbolj, z</w:t>
      </w:r>
      <w:r w:rsidR="00223457">
        <w:rPr>
          <w:rStyle w:val="VodilnistavekUMAR"/>
          <w:b w:val="0"/>
          <w:bCs/>
        </w:rPr>
        <w:t>a četrtino</w:t>
      </w:r>
      <w:r w:rsidR="00EC5D26">
        <w:rPr>
          <w:rStyle w:val="VodilnistavekUMAR"/>
          <w:b w:val="0"/>
          <w:bCs/>
        </w:rPr>
        <w:t xml:space="preserve">, se je </w:t>
      </w:r>
      <w:r w:rsidR="00FB3041">
        <w:rPr>
          <w:rStyle w:val="VodilnistavekUMAR"/>
          <w:b w:val="0"/>
          <w:bCs/>
        </w:rPr>
        <w:t xml:space="preserve">v letu 2022 </w:t>
      </w:r>
      <w:r w:rsidR="00EC5D26">
        <w:rPr>
          <w:rStyle w:val="VodilnistavekUMAR"/>
          <w:b w:val="0"/>
          <w:bCs/>
        </w:rPr>
        <w:t xml:space="preserve">povečala </w:t>
      </w:r>
      <w:r w:rsidR="00125AE5">
        <w:rPr>
          <w:rStyle w:val="VodilnistavekUMAR"/>
          <w:b w:val="0"/>
          <w:bCs/>
        </w:rPr>
        <w:t xml:space="preserve">dodana vrednost na zaposlenega </w:t>
      </w:r>
      <w:r w:rsidR="00A064C7">
        <w:rPr>
          <w:rStyle w:val="VodilnistavekUMAR"/>
          <w:b w:val="0"/>
          <w:bCs/>
        </w:rPr>
        <w:t xml:space="preserve">družbam </w:t>
      </w:r>
      <w:r w:rsidR="00223457">
        <w:rPr>
          <w:rStyle w:val="VodilnistavekUMAR"/>
          <w:b w:val="0"/>
          <w:bCs/>
        </w:rPr>
        <w:t xml:space="preserve">v </w:t>
      </w:r>
      <w:r>
        <w:rPr>
          <w:rStyle w:val="VodilnistavekUMAR"/>
          <w:b w:val="0"/>
          <w:bCs/>
        </w:rPr>
        <w:t xml:space="preserve">papirni industriji </w:t>
      </w:r>
      <w:r w:rsidR="00223457">
        <w:rPr>
          <w:rStyle w:val="VodilnistavekUMAR"/>
          <w:b w:val="0"/>
          <w:bCs/>
        </w:rPr>
        <w:t xml:space="preserve">in </w:t>
      </w:r>
      <w:r>
        <w:rPr>
          <w:rStyle w:val="VodilnistavekUMAR"/>
          <w:b w:val="0"/>
          <w:bCs/>
        </w:rPr>
        <w:t xml:space="preserve">drugo leto zapored </w:t>
      </w:r>
      <w:r w:rsidR="00EC5D26">
        <w:rPr>
          <w:rStyle w:val="VodilnistavekUMAR"/>
          <w:b w:val="0"/>
          <w:bCs/>
        </w:rPr>
        <w:t xml:space="preserve">v </w:t>
      </w:r>
      <w:r>
        <w:rPr>
          <w:rStyle w:val="VodilnistavekUMAR"/>
          <w:b w:val="0"/>
          <w:bCs/>
        </w:rPr>
        <w:t>proizvodnji kovin</w:t>
      </w:r>
      <w:r w:rsidR="00EC5D26">
        <w:rPr>
          <w:rStyle w:val="VodilnistavekUMAR"/>
          <w:b w:val="0"/>
          <w:bCs/>
        </w:rPr>
        <w:t xml:space="preserve">. </w:t>
      </w:r>
      <w:r w:rsidR="00FE6FDF">
        <w:rPr>
          <w:rStyle w:val="VodilnistavekUMAR"/>
          <w:b w:val="0"/>
          <w:bCs/>
        </w:rPr>
        <w:t>V obeh panogah je k</w:t>
      </w:r>
      <w:r w:rsidR="00EC5D26">
        <w:rPr>
          <w:rStyle w:val="VodilnistavekUMAR"/>
          <w:b w:val="0"/>
          <w:bCs/>
        </w:rPr>
        <w:t xml:space="preserve"> rasti največ prispevala </w:t>
      </w:r>
      <w:r w:rsidR="00223457">
        <w:rPr>
          <w:rStyle w:val="VodilnistavekUMAR"/>
          <w:b w:val="0"/>
          <w:bCs/>
        </w:rPr>
        <w:t>visok</w:t>
      </w:r>
      <w:r w:rsidR="00EC5D26">
        <w:rPr>
          <w:rStyle w:val="VodilnistavekUMAR"/>
          <w:b w:val="0"/>
          <w:bCs/>
        </w:rPr>
        <w:t>a</w:t>
      </w:r>
      <w:r w:rsidR="00223457">
        <w:rPr>
          <w:rStyle w:val="VodilnistavekUMAR"/>
          <w:b w:val="0"/>
          <w:bCs/>
        </w:rPr>
        <w:t xml:space="preserve"> rast </w:t>
      </w:r>
      <w:r w:rsidR="00125AE5">
        <w:rPr>
          <w:rStyle w:val="VodilnistavekUMAR"/>
          <w:b w:val="0"/>
          <w:bCs/>
        </w:rPr>
        <w:t>dodane vrednosti</w:t>
      </w:r>
      <w:r w:rsidR="00EC5D26">
        <w:rPr>
          <w:rStyle w:val="VodilnistavekUMAR"/>
          <w:b w:val="0"/>
          <w:bCs/>
        </w:rPr>
        <w:t xml:space="preserve">, </w:t>
      </w:r>
      <w:r>
        <w:rPr>
          <w:rStyle w:val="VodilnistavekUMAR"/>
          <w:b w:val="0"/>
          <w:bCs/>
        </w:rPr>
        <w:t xml:space="preserve">v proizvodnji kovin </w:t>
      </w:r>
      <w:r w:rsidR="00EC5D26">
        <w:rPr>
          <w:rStyle w:val="VodilnistavekUMAR"/>
          <w:b w:val="0"/>
          <w:bCs/>
        </w:rPr>
        <w:t xml:space="preserve">pa tudi skoraj nespremenjeno število </w:t>
      </w:r>
      <w:r>
        <w:rPr>
          <w:rStyle w:val="VodilnistavekUMAR"/>
          <w:b w:val="0"/>
          <w:bCs/>
        </w:rPr>
        <w:t>zaposlenih</w:t>
      </w:r>
      <w:r w:rsidR="00D15EF3">
        <w:rPr>
          <w:rStyle w:val="VodilnistavekUMAR"/>
          <w:b w:val="0"/>
          <w:bCs/>
        </w:rPr>
        <w:t xml:space="preserve">. </w:t>
      </w:r>
      <w:r w:rsidR="00FE6FDF">
        <w:rPr>
          <w:rStyle w:val="VodilnistavekUMAR"/>
          <w:b w:val="0"/>
          <w:bCs/>
        </w:rPr>
        <w:t>Najs</w:t>
      </w:r>
      <w:r w:rsidR="00E96D5E">
        <w:rPr>
          <w:rStyle w:val="VodilnistavekUMAR"/>
          <w:b w:val="0"/>
          <w:bCs/>
        </w:rPr>
        <w:t>kromn</w:t>
      </w:r>
      <w:r w:rsidR="00FE6FDF">
        <w:rPr>
          <w:rStyle w:val="VodilnistavekUMAR"/>
          <w:b w:val="0"/>
          <w:bCs/>
        </w:rPr>
        <w:t>eje</w:t>
      </w:r>
      <w:r w:rsidR="00E96D5E">
        <w:rPr>
          <w:rStyle w:val="VodilnistavekUMAR"/>
          <w:b w:val="0"/>
          <w:bCs/>
        </w:rPr>
        <w:t xml:space="preserve"> se je dodana vrednost na zaposlenega izboljšala </w:t>
      </w:r>
      <w:r>
        <w:rPr>
          <w:rStyle w:val="VodilnistavekUMAR"/>
          <w:b w:val="0"/>
          <w:bCs/>
        </w:rPr>
        <w:t xml:space="preserve">družbam iz </w:t>
      </w:r>
      <w:r w:rsidR="00956946">
        <w:rPr>
          <w:rStyle w:val="VodilnistavekUMAR"/>
          <w:b w:val="0"/>
          <w:bCs/>
        </w:rPr>
        <w:t xml:space="preserve">kemične industrije </w:t>
      </w:r>
      <w:r w:rsidR="0089009A">
        <w:rPr>
          <w:rStyle w:val="VodilnistavekUMAR"/>
          <w:b w:val="0"/>
          <w:bCs/>
        </w:rPr>
        <w:t>in</w:t>
      </w:r>
      <w:r w:rsidR="00956946" w:rsidRPr="00956946">
        <w:rPr>
          <w:rStyle w:val="VodilnistavekUMAR"/>
          <w:b w:val="0"/>
          <w:bCs/>
        </w:rPr>
        <w:t xml:space="preserve"> </w:t>
      </w:r>
      <w:r w:rsidR="00956946">
        <w:rPr>
          <w:rStyle w:val="VodilnistavekUMAR"/>
          <w:b w:val="0"/>
          <w:bCs/>
        </w:rPr>
        <w:t>proizvodnje motornih vozil</w:t>
      </w:r>
      <w:r w:rsidR="0089009A">
        <w:rPr>
          <w:rStyle w:val="VodilnistavekUMAR"/>
          <w:b w:val="0"/>
          <w:bCs/>
        </w:rPr>
        <w:t xml:space="preserve">, kjer je padec zaposlenosti </w:t>
      </w:r>
      <w:r w:rsidR="00E96D5E" w:rsidRPr="001A0759">
        <w:rPr>
          <w:rStyle w:val="VodilnistavekUMAR"/>
          <w:b w:val="0"/>
          <w:bCs/>
        </w:rPr>
        <w:t>presegel skrčenje dodane</w:t>
      </w:r>
      <w:r w:rsidR="00E96D5E">
        <w:rPr>
          <w:rStyle w:val="VodilnistavekUMAR"/>
          <w:b w:val="0"/>
          <w:bCs/>
        </w:rPr>
        <w:t xml:space="preserve"> vrednosti</w:t>
      </w:r>
      <w:r w:rsidR="00FE6FDF">
        <w:rPr>
          <w:rStyle w:val="VodilnistavekUMAR"/>
          <w:b w:val="0"/>
          <w:bCs/>
        </w:rPr>
        <w:t>.</w:t>
      </w:r>
      <w:r w:rsidR="009C01BB">
        <w:rPr>
          <w:rStyle w:val="VodilnistavekUMAR"/>
          <w:b w:val="0"/>
          <w:bCs/>
        </w:rPr>
        <w:t xml:space="preserve"> </w:t>
      </w:r>
      <w:r w:rsidR="00FB3041">
        <w:rPr>
          <w:rStyle w:val="VodilnistavekUMAR"/>
          <w:b w:val="0"/>
          <w:bCs/>
        </w:rPr>
        <w:t>V družbah iz proizvodnje drugih vozil in plovil, kjer se je zaposlenost povečala ob manjši ustvarjeni dodani vrednosti, pa se je dodana vrednost na zaposlenega zmanjšala.</w:t>
      </w:r>
    </w:p>
    <w:p w14:paraId="40668D9B" w14:textId="564DA438" w:rsidR="00C324D7" w:rsidRDefault="009C01BB" w:rsidP="009C01BB">
      <w:pPr>
        <w:pStyle w:val="Caption"/>
        <w:rPr>
          <w:rStyle w:val="VodilnistavekUMAR"/>
          <w:b/>
          <w:bCs w:val="0"/>
        </w:rPr>
      </w:pPr>
      <w:r>
        <w:t xml:space="preserve">Slika </w:t>
      </w:r>
      <w:r>
        <w:fldChar w:fldCharType="begin"/>
      </w:r>
      <w:r>
        <w:instrText xml:space="preserve"> SEQ Slika \* ARABIC </w:instrText>
      </w:r>
      <w:r>
        <w:fldChar w:fldCharType="separate"/>
      </w:r>
      <w:r w:rsidR="00F65D2F">
        <w:t>5</w:t>
      </w:r>
      <w:r>
        <w:fldChar w:fldCharType="end"/>
      </w:r>
      <w:r>
        <w:t xml:space="preserve">: Dodana vrednost na zaposlenega je </w:t>
      </w:r>
      <w:r w:rsidR="00B15A11">
        <w:t xml:space="preserve">leta 2022 </w:t>
      </w:r>
      <w:r w:rsidR="00DC554C">
        <w:t xml:space="preserve">v povprečju </w:t>
      </w:r>
      <w:r>
        <w:t>presegla 57.000 EUR</w:t>
      </w:r>
      <w:r w:rsidR="00DC554C">
        <w:t>, najvišja je v farmacevtski industriji</w:t>
      </w:r>
    </w:p>
    <w:p w14:paraId="52D51024" w14:textId="53889C44" w:rsidR="003F6456" w:rsidRDefault="008C55AA" w:rsidP="00E60966">
      <w:pPr>
        <w:pStyle w:val="BesediloUMAR"/>
        <w:rPr>
          <w:rStyle w:val="VodilnistavekUMAR"/>
          <w:b w:val="0"/>
          <w:bCs/>
        </w:rPr>
      </w:pPr>
      <w:r w:rsidRPr="008C55AA">
        <w:rPr>
          <w:rStyle w:val="VodilnistavekUMAR"/>
          <w:b w:val="0"/>
          <w:noProof/>
        </w:rPr>
        <w:drawing>
          <wp:inline distT="0" distB="0" distL="0" distR="0" wp14:anchorId="07578222" wp14:editId="2F259E5A">
            <wp:extent cx="5759450" cy="2837815"/>
            <wp:effectExtent l="0" t="0" r="0" b="635"/>
            <wp:docPr id="1042839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2837815"/>
                    </a:xfrm>
                    <a:prstGeom prst="rect">
                      <a:avLst/>
                    </a:prstGeom>
                    <a:noFill/>
                    <a:ln>
                      <a:noFill/>
                    </a:ln>
                  </pic:spPr>
                </pic:pic>
              </a:graphicData>
            </a:graphic>
          </wp:inline>
        </w:drawing>
      </w:r>
    </w:p>
    <w:p w14:paraId="7AF26648" w14:textId="77777777" w:rsidR="001E10C8" w:rsidRPr="00C22B1E" w:rsidRDefault="001E10C8" w:rsidP="001E10C8">
      <w:pPr>
        <w:pStyle w:val="VirUMAR"/>
        <w:rPr>
          <w:rStyle w:val="VodilnistavekUMAR"/>
          <w:b w:val="0"/>
        </w:rPr>
      </w:pPr>
      <w:r>
        <w:t xml:space="preserve">Vir: </w:t>
      </w:r>
      <w:r w:rsidRPr="004B5A7C">
        <w:t>AJPES (</w:t>
      </w:r>
      <w:r>
        <w:t>2023</w:t>
      </w:r>
      <w:r w:rsidRPr="00923B83">
        <w:t>)</w:t>
      </w:r>
      <w:r>
        <w:t>, lastni izračuni.</w:t>
      </w:r>
      <w:r w:rsidRPr="00923B83">
        <w:t xml:space="preserve"> </w:t>
      </w:r>
    </w:p>
    <w:p w14:paraId="1D60DF23" w14:textId="25908090" w:rsidR="00FB3041" w:rsidRPr="00FB3041" w:rsidRDefault="00FB3041" w:rsidP="00535C8D">
      <w:pPr>
        <w:pStyle w:val="Caption"/>
        <w:rPr>
          <w:b w:val="0"/>
          <w:bCs w:val="0"/>
        </w:rPr>
      </w:pPr>
      <w:r>
        <w:rPr>
          <w:rStyle w:val="VodilnistavekUMAR"/>
          <w:b/>
          <w:bCs w:val="0"/>
        </w:rPr>
        <w:t>R</w:t>
      </w:r>
      <w:r w:rsidRPr="00FB3041">
        <w:rPr>
          <w:rStyle w:val="VodilnistavekUMAR"/>
          <w:b/>
          <w:bCs w:val="0"/>
        </w:rPr>
        <w:t xml:space="preserve">ast stroškov dela na zaposlenega, ki se je </w:t>
      </w:r>
      <w:r>
        <w:rPr>
          <w:rStyle w:val="VodilnistavekUMAR"/>
          <w:b/>
          <w:bCs w:val="0"/>
        </w:rPr>
        <w:t xml:space="preserve">v letu 2022 </w:t>
      </w:r>
      <w:r w:rsidRPr="00FB3041">
        <w:rPr>
          <w:rStyle w:val="VodilnistavekUMAR"/>
          <w:b/>
          <w:bCs w:val="0"/>
        </w:rPr>
        <w:t>nadalje okrepila, je ostala nižja od rasti dodane vrednosti na zaposlenega</w:t>
      </w:r>
      <w:r>
        <w:rPr>
          <w:rStyle w:val="VodilnistavekUMAR"/>
          <w:b/>
          <w:bCs w:val="0"/>
        </w:rPr>
        <w:t xml:space="preserve">. </w:t>
      </w:r>
      <w:r>
        <w:rPr>
          <w:rStyle w:val="VodilnistavekUMAR"/>
        </w:rPr>
        <w:t xml:space="preserve">Stroški dela na zaposlenega so se povečali za 6,9 % </w:t>
      </w:r>
      <w:r w:rsidR="00ED31E0">
        <w:rPr>
          <w:rStyle w:val="VodilnistavekUMAR"/>
        </w:rPr>
        <w:t xml:space="preserve">(na okoli 34.500 EUR) </w:t>
      </w:r>
      <w:r>
        <w:rPr>
          <w:rStyle w:val="VodilnistavekUMAR"/>
        </w:rPr>
        <w:t xml:space="preserve">oz. največ v opazovanem obdobju. Najbolj, za desetino, so se povečali družbam v tiskarstvu, proizvodnji motornih vozil, </w:t>
      </w:r>
      <w:r w:rsidRPr="00FB3041">
        <w:rPr>
          <w:rStyle w:val="VodilnistavekUMAR"/>
        </w:rPr>
        <w:t>proizvodnji IKT opreme</w:t>
      </w:r>
      <w:r>
        <w:rPr>
          <w:rStyle w:val="VodilnistavekUMAR"/>
        </w:rPr>
        <w:t xml:space="preserve"> in v kemični industriji. </w:t>
      </w:r>
      <w:r w:rsidR="00ED31E0">
        <w:rPr>
          <w:rStyle w:val="VodilnistavekUMAR"/>
        </w:rPr>
        <w:t xml:space="preserve">Najmanj so se povečali farmacevtskim družbam (za 2,8 %) in družbam v proizvodnji pijač </w:t>
      </w:r>
      <w:r w:rsidR="00EA570E">
        <w:rPr>
          <w:rStyle w:val="VodilnistavekUMAR"/>
        </w:rPr>
        <w:t xml:space="preserve">(1,6 %), v </w:t>
      </w:r>
      <w:r w:rsidR="006F6BB0">
        <w:rPr>
          <w:rStyle w:val="VodilnistavekUMAR"/>
        </w:rPr>
        <w:t>katerih</w:t>
      </w:r>
      <w:r w:rsidR="00EA570E">
        <w:rPr>
          <w:rStyle w:val="VodilnistavekUMAR"/>
        </w:rPr>
        <w:t xml:space="preserve"> so stroški dela sicer višji od povprečja predelovalnih družb. </w:t>
      </w:r>
      <w:r w:rsidR="007339A4">
        <w:rPr>
          <w:rStyle w:val="VodilnistavekUMAR"/>
        </w:rPr>
        <w:t xml:space="preserve">Delež stroškov dela v dodani vrednosti se je v povprečju vseh predelovalnih družb zmanjšal </w:t>
      </w:r>
      <w:r w:rsidR="006F6BB0">
        <w:rPr>
          <w:rStyle w:val="VodilnistavekUMAR"/>
        </w:rPr>
        <w:t xml:space="preserve">(na 59,7 %) </w:t>
      </w:r>
      <w:r w:rsidR="00FE26E9">
        <w:rPr>
          <w:rStyle w:val="VodilnistavekUMAR"/>
        </w:rPr>
        <w:t>na najnižjo vrednost</w:t>
      </w:r>
      <w:r w:rsidR="004C7F84">
        <w:rPr>
          <w:rStyle w:val="VodilnistavekUMAR"/>
        </w:rPr>
        <w:t xml:space="preserve"> </w:t>
      </w:r>
      <w:r w:rsidR="007339A4">
        <w:rPr>
          <w:rStyle w:val="VodilnistavekUMAR"/>
        </w:rPr>
        <w:t>v opazovanem obdobju. Z</w:t>
      </w:r>
      <w:r w:rsidR="00ED31E0">
        <w:rPr>
          <w:rStyle w:val="VodilnistavekUMAR"/>
        </w:rPr>
        <w:t xml:space="preserve">aradi skrčenja dodane vrednosti </w:t>
      </w:r>
      <w:r w:rsidR="006F6BB0">
        <w:rPr>
          <w:rStyle w:val="VodilnistavekUMAR"/>
        </w:rPr>
        <w:t xml:space="preserve">pa </w:t>
      </w:r>
      <w:r w:rsidR="007339A4">
        <w:rPr>
          <w:rStyle w:val="VodilnistavekUMAR"/>
        </w:rPr>
        <w:t xml:space="preserve">se je </w:t>
      </w:r>
      <w:r w:rsidRPr="00FB3041">
        <w:rPr>
          <w:rStyle w:val="VodilnistavekUMAR"/>
        </w:rPr>
        <w:t xml:space="preserve">precej </w:t>
      </w:r>
      <w:r w:rsidR="00ED31E0">
        <w:rPr>
          <w:rStyle w:val="VodilnistavekUMAR"/>
        </w:rPr>
        <w:t>povečala</w:t>
      </w:r>
      <w:r w:rsidRPr="00FB3041">
        <w:rPr>
          <w:rStyle w:val="VodilnistavekUMAR"/>
        </w:rPr>
        <w:t xml:space="preserve"> obremenjenost dodane vrednosti s stroški</w:t>
      </w:r>
      <w:r>
        <w:rPr>
          <w:rStyle w:val="VodilnistavekUMAR"/>
        </w:rPr>
        <w:t xml:space="preserve"> dela </w:t>
      </w:r>
      <w:r w:rsidR="007339A4">
        <w:rPr>
          <w:rStyle w:val="VodilnistavekUMAR"/>
        </w:rPr>
        <w:t>v nekaterih srednje visoko</w:t>
      </w:r>
      <w:r w:rsidR="006F6BB0">
        <w:rPr>
          <w:rStyle w:val="VodilnistavekUMAR"/>
        </w:rPr>
        <w:t xml:space="preserve"> </w:t>
      </w:r>
      <w:r w:rsidR="007339A4">
        <w:rPr>
          <w:rStyle w:val="VodilnistavekUMAR"/>
        </w:rPr>
        <w:t>tehnološko zahtevnih panogah (kemična industrija, proizvodnja motornih vozil, proizvodnja drugih vozil in plovil).</w:t>
      </w:r>
    </w:p>
    <w:p w14:paraId="130BB565" w14:textId="77777777" w:rsidR="00FB3041" w:rsidRDefault="00FB3041" w:rsidP="00535C8D">
      <w:pPr>
        <w:pStyle w:val="Caption"/>
      </w:pPr>
    </w:p>
    <w:p w14:paraId="2EB018EC" w14:textId="285D0168" w:rsidR="00535C8D" w:rsidRPr="00FB3041" w:rsidRDefault="0019506A" w:rsidP="00FB3041">
      <w:pPr>
        <w:pStyle w:val="Caption"/>
      </w:pPr>
      <w:r w:rsidRPr="00FB3041">
        <w:t xml:space="preserve">Slika </w:t>
      </w:r>
      <w:r w:rsidRPr="00FB3041">
        <w:fldChar w:fldCharType="begin"/>
      </w:r>
      <w:r w:rsidRPr="00FB3041">
        <w:instrText xml:space="preserve"> SEQ Slika \* ARABIC </w:instrText>
      </w:r>
      <w:r w:rsidRPr="00FB3041">
        <w:fldChar w:fldCharType="separate"/>
      </w:r>
      <w:r w:rsidRPr="00FB3041">
        <w:t>6</w:t>
      </w:r>
      <w:r w:rsidRPr="00FB3041">
        <w:fldChar w:fldCharType="end"/>
      </w:r>
      <w:r w:rsidRPr="00FB3041">
        <w:t xml:space="preserve">: </w:t>
      </w:r>
      <w:r w:rsidR="00535C8D" w:rsidRPr="00FB3041">
        <w:t>Rast stroškov dela na zaposlenega se od leta 2018 krepi</w:t>
      </w:r>
      <w:r w:rsidR="00351AD4" w:rsidRPr="00FB3041">
        <w:t>;</w:t>
      </w:r>
      <w:r w:rsidR="00535C8D" w:rsidRPr="00FB3041">
        <w:t xml:space="preserve"> </w:t>
      </w:r>
      <w:r w:rsidR="00351AD4" w:rsidRPr="00FB3041">
        <w:t xml:space="preserve">delež stroškov dela v dodani vrednosti se je </w:t>
      </w:r>
      <w:r w:rsidR="00535C8D" w:rsidRPr="00FB3041">
        <w:t xml:space="preserve">po </w:t>
      </w:r>
      <w:r w:rsidR="008D394F" w:rsidRPr="00FB3041">
        <w:t xml:space="preserve">povečanju v </w:t>
      </w:r>
      <w:r w:rsidR="00535C8D" w:rsidRPr="00FB3041">
        <w:t>epidemiji covid-19 zmanjšal na najnižjo vrednost v opazovanem obdobju</w:t>
      </w:r>
    </w:p>
    <w:p w14:paraId="37375720" w14:textId="5882F00D" w:rsidR="001120E8" w:rsidRDefault="00230876" w:rsidP="00E60966">
      <w:pPr>
        <w:pStyle w:val="BesediloUMAR"/>
        <w:rPr>
          <w:rStyle w:val="VodilnistavekUMAR"/>
          <w:b w:val="0"/>
          <w:bCs/>
        </w:rPr>
      </w:pPr>
      <w:r w:rsidRPr="00230876">
        <w:rPr>
          <w:rStyle w:val="VodilnistavekUMAR"/>
          <w:b w:val="0"/>
          <w:noProof/>
        </w:rPr>
        <w:drawing>
          <wp:inline distT="0" distB="0" distL="0" distR="0" wp14:anchorId="6A718271" wp14:editId="37449500">
            <wp:extent cx="5759450" cy="2095500"/>
            <wp:effectExtent l="0" t="0" r="0" b="0"/>
            <wp:docPr id="104516156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2095500"/>
                    </a:xfrm>
                    <a:prstGeom prst="rect">
                      <a:avLst/>
                    </a:prstGeom>
                    <a:noFill/>
                    <a:ln>
                      <a:noFill/>
                    </a:ln>
                  </pic:spPr>
                </pic:pic>
              </a:graphicData>
            </a:graphic>
          </wp:inline>
        </w:drawing>
      </w:r>
    </w:p>
    <w:p w14:paraId="19EEE75C" w14:textId="77777777" w:rsidR="00535C8D" w:rsidRPr="00C22B1E" w:rsidRDefault="00535C8D" w:rsidP="00535C8D">
      <w:pPr>
        <w:pStyle w:val="VirUMAR"/>
        <w:rPr>
          <w:rStyle w:val="VodilnistavekUMAR"/>
          <w:b w:val="0"/>
        </w:rPr>
      </w:pPr>
      <w:r>
        <w:t xml:space="preserve">Vir: </w:t>
      </w:r>
      <w:r w:rsidRPr="004B5A7C">
        <w:t>AJPES (</w:t>
      </w:r>
      <w:r>
        <w:t>2023</w:t>
      </w:r>
      <w:r w:rsidRPr="00923B83">
        <w:t>)</w:t>
      </w:r>
      <w:r>
        <w:t>, lastni izračuni.</w:t>
      </w:r>
      <w:r w:rsidRPr="00923B83">
        <w:t xml:space="preserve"> </w:t>
      </w:r>
    </w:p>
    <w:p w14:paraId="29EF17D2" w14:textId="77777777" w:rsidR="00FB3041" w:rsidRDefault="00FB3041" w:rsidP="00335E23">
      <w:pPr>
        <w:pStyle w:val="BesediloUMAR"/>
        <w:rPr>
          <w:rStyle w:val="VodilnistavekUMAR"/>
        </w:rPr>
      </w:pPr>
    </w:p>
    <w:p w14:paraId="6B15C7DF" w14:textId="77777777" w:rsidR="00894E6F" w:rsidRDefault="00894E6F" w:rsidP="00335E23">
      <w:pPr>
        <w:pStyle w:val="BesediloUMAR"/>
        <w:rPr>
          <w:rStyle w:val="VodilnistavekUMAR"/>
        </w:rPr>
      </w:pPr>
    </w:p>
    <w:p w14:paraId="1C352A15" w14:textId="2743B224" w:rsidR="00A064C7" w:rsidRPr="00C66F89" w:rsidRDefault="00076B8A" w:rsidP="00335E23">
      <w:pPr>
        <w:pStyle w:val="BesediloUMAR"/>
        <w:rPr>
          <w:rStyle w:val="VodilnistavekUMAR"/>
        </w:rPr>
      </w:pPr>
      <w:r>
        <w:rPr>
          <w:rStyle w:val="VodilnistavekUMAR"/>
        </w:rPr>
        <w:t xml:space="preserve">Po visoki 20-odstotni rasti se je v letu 2022 rast </w:t>
      </w:r>
      <w:r w:rsidR="00C66F89">
        <w:rPr>
          <w:rStyle w:val="VodilnistavekUMAR"/>
        </w:rPr>
        <w:t>p</w:t>
      </w:r>
      <w:r w:rsidR="00335E23">
        <w:rPr>
          <w:rStyle w:val="VodilnistavekUMAR"/>
        </w:rPr>
        <w:t>rihodk</w:t>
      </w:r>
      <w:r w:rsidR="00C66F89">
        <w:rPr>
          <w:rStyle w:val="VodilnistavekUMAR"/>
        </w:rPr>
        <w:t>ov</w:t>
      </w:r>
      <w:r w:rsidR="00335E23">
        <w:rPr>
          <w:rStyle w:val="VodilnistavekUMAR"/>
        </w:rPr>
        <w:t xml:space="preserve"> od prodaje</w:t>
      </w:r>
      <w:r w:rsidR="008D1313" w:rsidRPr="00515C94">
        <w:rPr>
          <w:rStyle w:val="VodilnistavekUMAR"/>
        </w:rPr>
        <w:t xml:space="preserve"> </w:t>
      </w:r>
      <w:r w:rsidR="00351AD4">
        <w:rPr>
          <w:rStyle w:val="VodilnistavekUMAR"/>
        </w:rPr>
        <w:t xml:space="preserve">v povprečju </w:t>
      </w:r>
      <w:r w:rsidR="008D1313" w:rsidRPr="00515C94">
        <w:rPr>
          <w:rStyle w:val="VodilnistavekUMAR"/>
        </w:rPr>
        <w:t xml:space="preserve">predelovalnih družb </w:t>
      </w:r>
      <w:r w:rsidR="00CF38C4">
        <w:rPr>
          <w:rStyle w:val="VodilnistavekUMAR"/>
        </w:rPr>
        <w:t>nekoliko</w:t>
      </w:r>
      <w:r w:rsidR="00C66F89">
        <w:rPr>
          <w:rStyle w:val="VodilnistavekUMAR"/>
        </w:rPr>
        <w:t xml:space="preserve"> umirila</w:t>
      </w:r>
      <w:r w:rsidR="0066534E">
        <w:rPr>
          <w:rStyle w:val="VodilnistavekUMAR"/>
        </w:rPr>
        <w:t xml:space="preserve">, </w:t>
      </w:r>
      <w:r w:rsidR="001120E8">
        <w:rPr>
          <w:rStyle w:val="VodilnistavekUMAR"/>
        </w:rPr>
        <w:t xml:space="preserve">v povprečju </w:t>
      </w:r>
      <w:r w:rsidR="00684899">
        <w:rPr>
          <w:rStyle w:val="VodilnistavekUMAR"/>
        </w:rPr>
        <w:t>na 16,7 %</w:t>
      </w:r>
      <w:r w:rsidR="0066534E">
        <w:rPr>
          <w:rStyle w:val="VodilnistavekUMAR"/>
        </w:rPr>
        <w:t xml:space="preserve">, </w:t>
      </w:r>
      <w:r w:rsidR="00CF38C4">
        <w:rPr>
          <w:rStyle w:val="VodilnistavekUMAR"/>
        </w:rPr>
        <w:t>v visoko tehnološko zahtevnih panogah je bila višja</w:t>
      </w:r>
      <w:r w:rsidR="00063288" w:rsidRPr="00515C94">
        <w:rPr>
          <w:rStyle w:val="VodilnistavekUMAR"/>
        </w:rPr>
        <w:t>.</w:t>
      </w:r>
      <w:r w:rsidR="00063288">
        <w:rPr>
          <w:rStyle w:val="VodilnistavekUMAR"/>
          <w:b w:val="0"/>
          <w:bCs/>
        </w:rPr>
        <w:t xml:space="preserve"> </w:t>
      </w:r>
      <w:r w:rsidR="00DA1F8B">
        <w:rPr>
          <w:rStyle w:val="VodilnistavekUMAR"/>
          <w:b w:val="0"/>
          <w:bCs/>
        </w:rPr>
        <w:t>Rast prihodkov od prodaje je bila n</w:t>
      </w:r>
      <w:r w:rsidR="002E42A5">
        <w:rPr>
          <w:rStyle w:val="VodilnistavekUMAR"/>
          <w:b w:val="0"/>
          <w:bCs/>
        </w:rPr>
        <w:t>a vseh skupinah trgov (doma, v EU in izven EU) nižja kot v letu 2021</w:t>
      </w:r>
      <w:r w:rsidR="00DA1F8B">
        <w:rPr>
          <w:rStyle w:val="VodilnistavekUMAR"/>
          <w:b w:val="0"/>
          <w:bCs/>
        </w:rPr>
        <w:t>, n</w:t>
      </w:r>
      <w:r w:rsidR="002E42A5">
        <w:rPr>
          <w:rStyle w:val="VodilnistavekUMAR"/>
          <w:b w:val="0"/>
          <w:bCs/>
        </w:rPr>
        <w:t xml:space="preserve">ajbolj </w:t>
      </w:r>
      <w:r w:rsidR="009671FB">
        <w:rPr>
          <w:rStyle w:val="VodilnistavekUMAR"/>
          <w:b w:val="0"/>
          <w:bCs/>
        </w:rPr>
        <w:t xml:space="preserve">pa </w:t>
      </w:r>
      <w:r w:rsidR="002E42A5">
        <w:rPr>
          <w:rStyle w:val="VodilnistavekUMAR"/>
          <w:b w:val="0"/>
          <w:bCs/>
        </w:rPr>
        <w:t xml:space="preserve">se je </w:t>
      </w:r>
      <w:r w:rsidR="00DA1F8B">
        <w:rPr>
          <w:rStyle w:val="VodilnistavekUMAR"/>
          <w:b w:val="0"/>
          <w:bCs/>
        </w:rPr>
        <w:t xml:space="preserve">umirila </w:t>
      </w:r>
      <w:r w:rsidR="00B37B3A">
        <w:rPr>
          <w:rStyle w:val="VodilnistavekUMAR"/>
          <w:b w:val="0"/>
          <w:bCs/>
        </w:rPr>
        <w:t>na trgih izven EU</w:t>
      </w:r>
      <w:r w:rsidR="00DA1F8B">
        <w:rPr>
          <w:rStyle w:val="VodilnistavekUMAR"/>
          <w:b w:val="0"/>
          <w:bCs/>
        </w:rPr>
        <w:t xml:space="preserve"> </w:t>
      </w:r>
      <w:r w:rsidR="00845851">
        <w:rPr>
          <w:rStyle w:val="VodilnistavekUMAR"/>
          <w:b w:val="0"/>
          <w:bCs/>
        </w:rPr>
        <w:t>(</w:t>
      </w:r>
      <w:r w:rsidR="00C140E9">
        <w:rPr>
          <w:rStyle w:val="VodilnistavekUMAR"/>
          <w:b w:val="0"/>
          <w:bCs/>
        </w:rPr>
        <w:t xml:space="preserve">iz 30,2 % na </w:t>
      </w:r>
      <w:r w:rsidR="00845851">
        <w:rPr>
          <w:rStyle w:val="VodilnistavekUMAR"/>
          <w:b w:val="0"/>
          <w:bCs/>
        </w:rPr>
        <w:t>19,7 %)</w:t>
      </w:r>
      <w:r w:rsidR="00351AD4">
        <w:rPr>
          <w:rStyle w:val="FootnoteReference"/>
          <w:bCs/>
        </w:rPr>
        <w:footnoteReference w:id="7"/>
      </w:r>
      <w:r w:rsidR="004539D1">
        <w:rPr>
          <w:rStyle w:val="VodilnistavekUMAR"/>
          <w:b w:val="0"/>
          <w:bCs/>
        </w:rPr>
        <w:t xml:space="preserve">. </w:t>
      </w:r>
      <w:r w:rsidR="00DA1F8B">
        <w:rPr>
          <w:rStyle w:val="VodilnistavekUMAR"/>
          <w:b w:val="0"/>
          <w:bCs/>
        </w:rPr>
        <w:t xml:space="preserve">Po visoki 87,2-odstotni rasti v letu 2021 je bila </w:t>
      </w:r>
      <w:r w:rsidR="00351AD4">
        <w:rPr>
          <w:rStyle w:val="VodilnistavekUMAR"/>
          <w:b w:val="0"/>
          <w:bCs/>
        </w:rPr>
        <w:t xml:space="preserve">rast na trgih izven EU </w:t>
      </w:r>
      <w:r w:rsidR="00C140E9">
        <w:rPr>
          <w:rStyle w:val="VodilnistavekUMAR"/>
          <w:b w:val="0"/>
          <w:bCs/>
        </w:rPr>
        <w:t xml:space="preserve">precej </w:t>
      </w:r>
      <w:r w:rsidR="00DA1F8B">
        <w:rPr>
          <w:rStyle w:val="VodilnistavekUMAR"/>
          <w:b w:val="0"/>
          <w:bCs/>
        </w:rPr>
        <w:t xml:space="preserve">nižja v </w:t>
      </w:r>
      <w:r w:rsidR="0010440F">
        <w:rPr>
          <w:rStyle w:val="VodilnistavekUMAR"/>
          <w:b w:val="0"/>
          <w:bCs/>
        </w:rPr>
        <w:t xml:space="preserve">proizvodnji motornih vozil, v pohištveni industriji pa so bili prihodki od prodaje </w:t>
      </w:r>
      <w:r w:rsidR="009671FB">
        <w:rPr>
          <w:rStyle w:val="VodilnistavekUMAR"/>
          <w:b w:val="0"/>
          <w:bCs/>
        </w:rPr>
        <w:t>(po visoki 109,3-odstotni rasti</w:t>
      </w:r>
      <w:r w:rsidR="00C140E9">
        <w:rPr>
          <w:rStyle w:val="VodilnistavekUMAR"/>
          <w:b w:val="0"/>
          <w:bCs/>
        </w:rPr>
        <w:t xml:space="preserve"> v letu 2021</w:t>
      </w:r>
      <w:r w:rsidR="009671FB">
        <w:rPr>
          <w:rStyle w:val="VodilnistavekUMAR"/>
          <w:b w:val="0"/>
          <w:bCs/>
        </w:rPr>
        <w:t xml:space="preserve">) za polovico </w:t>
      </w:r>
      <w:r w:rsidR="0010440F">
        <w:rPr>
          <w:rStyle w:val="VodilnistavekUMAR"/>
          <w:b w:val="0"/>
          <w:bCs/>
        </w:rPr>
        <w:t xml:space="preserve">nižji. </w:t>
      </w:r>
      <w:r w:rsidR="00E27B3A">
        <w:rPr>
          <w:rStyle w:val="VodilnistavekUMAR"/>
          <w:b w:val="0"/>
          <w:bCs/>
        </w:rPr>
        <w:t>R</w:t>
      </w:r>
      <w:r w:rsidR="004539D1">
        <w:rPr>
          <w:rStyle w:val="VodilnistavekUMAR"/>
          <w:b w:val="0"/>
          <w:bCs/>
        </w:rPr>
        <w:t>ast prodaje na trgih EU</w:t>
      </w:r>
      <w:r w:rsidR="00845851">
        <w:rPr>
          <w:rStyle w:val="VodilnistavekUMAR"/>
          <w:b w:val="0"/>
          <w:bCs/>
        </w:rPr>
        <w:t xml:space="preserve"> (</w:t>
      </w:r>
      <w:r w:rsidR="00C140E9">
        <w:rPr>
          <w:rStyle w:val="VodilnistavekUMAR"/>
          <w:b w:val="0"/>
          <w:bCs/>
        </w:rPr>
        <w:t xml:space="preserve">iz 17,0 % na </w:t>
      </w:r>
      <w:r w:rsidR="00845851">
        <w:rPr>
          <w:rStyle w:val="VodilnistavekUMAR"/>
          <w:b w:val="0"/>
          <w:bCs/>
        </w:rPr>
        <w:t>14,5 %)</w:t>
      </w:r>
      <w:r w:rsidR="00E27B3A">
        <w:rPr>
          <w:rStyle w:val="VodilnistavekUMAR"/>
          <w:b w:val="0"/>
          <w:bCs/>
        </w:rPr>
        <w:t xml:space="preserve"> se je najbolj umirila</w:t>
      </w:r>
      <w:r w:rsidR="00921B28">
        <w:rPr>
          <w:rStyle w:val="VodilnistavekUMAR"/>
          <w:b w:val="0"/>
          <w:bCs/>
        </w:rPr>
        <w:t xml:space="preserve"> v proizvodnji električnih naprav. V proizvodnji motornih vozil in plovil </w:t>
      </w:r>
      <w:r w:rsidR="00351AD4">
        <w:rPr>
          <w:rStyle w:val="VodilnistavekUMAR"/>
          <w:b w:val="0"/>
          <w:bCs/>
        </w:rPr>
        <w:t xml:space="preserve">pa </w:t>
      </w:r>
      <w:r w:rsidR="00921B28">
        <w:rPr>
          <w:rStyle w:val="VodilnistavekUMAR"/>
          <w:b w:val="0"/>
          <w:bCs/>
        </w:rPr>
        <w:t xml:space="preserve">so se prihodki od prodaje zmanjšali tretje leto zapored. </w:t>
      </w:r>
      <w:r w:rsidR="0010440F">
        <w:rPr>
          <w:rStyle w:val="VodilnistavekUMAR"/>
          <w:b w:val="0"/>
          <w:bCs/>
        </w:rPr>
        <w:t>N</w:t>
      </w:r>
      <w:r w:rsidR="008D1313">
        <w:rPr>
          <w:rStyle w:val="VodilnistavekUMAR"/>
          <w:b w:val="0"/>
          <w:bCs/>
        </w:rPr>
        <w:t>a domač</w:t>
      </w:r>
      <w:r w:rsidR="00063288">
        <w:rPr>
          <w:rStyle w:val="VodilnistavekUMAR"/>
          <w:b w:val="0"/>
          <w:bCs/>
        </w:rPr>
        <w:t>e</w:t>
      </w:r>
      <w:r w:rsidR="008D1313">
        <w:rPr>
          <w:rStyle w:val="VodilnistavekUMAR"/>
          <w:b w:val="0"/>
          <w:bCs/>
        </w:rPr>
        <w:t>m trgu</w:t>
      </w:r>
      <w:r w:rsidR="009D1672">
        <w:rPr>
          <w:rStyle w:val="VodilnistavekUMAR"/>
          <w:b w:val="0"/>
          <w:bCs/>
        </w:rPr>
        <w:t xml:space="preserve"> se </w:t>
      </w:r>
      <w:r w:rsidR="0010440F">
        <w:rPr>
          <w:rStyle w:val="VodilnistavekUMAR"/>
          <w:b w:val="0"/>
          <w:bCs/>
        </w:rPr>
        <w:t>je rast prihodkov od prodaje</w:t>
      </w:r>
      <w:r w:rsidR="008D1313">
        <w:rPr>
          <w:rStyle w:val="VodilnistavekUMAR"/>
          <w:b w:val="0"/>
          <w:bCs/>
        </w:rPr>
        <w:t xml:space="preserve"> </w:t>
      </w:r>
      <w:r w:rsidR="009D1672">
        <w:rPr>
          <w:rStyle w:val="VodilnistavekUMAR"/>
          <w:b w:val="0"/>
          <w:bCs/>
        </w:rPr>
        <w:t xml:space="preserve">umirila najmanj </w:t>
      </w:r>
      <w:r w:rsidR="00063288">
        <w:rPr>
          <w:rStyle w:val="VodilnistavekUMAR"/>
          <w:b w:val="0"/>
          <w:bCs/>
        </w:rPr>
        <w:t>(</w:t>
      </w:r>
      <w:r w:rsidR="00351AD4">
        <w:rPr>
          <w:rStyle w:val="VodilnistavekUMAR"/>
          <w:b w:val="0"/>
          <w:bCs/>
        </w:rPr>
        <w:t xml:space="preserve">na </w:t>
      </w:r>
      <w:r w:rsidR="00063288">
        <w:rPr>
          <w:rStyle w:val="VodilnistavekUMAR"/>
          <w:b w:val="0"/>
          <w:bCs/>
        </w:rPr>
        <w:t>19,0</w:t>
      </w:r>
      <w:r w:rsidR="0010440F">
        <w:rPr>
          <w:rStyle w:val="VodilnistavekUMAR"/>
          <w:b w:val="0"/>
          <w:bCs/>
        </w:rPr>
        <w:t> %</w:t>
      </w:r>
      <w:r w:rsidR="009D1672">
        <w:rPr>
          <w:rStyle w:val="VodilnistavekUMAR"/>
          <w:b w:val="0"/>
          <w:bCs/>
        </w:rPr>
        <w:t>, 19,4 % v letu 2021</w:t>
      </w:r>
      <w:r w:rsidR="00063288">
        <w:rPr>
          <w:rStyle w:val="VodilnistavekUMAR"/>
          <w:b w:val="0"/>
          <w:bCs/>
        </w:rPr>
        <w:t>)</w:t>
      </w:r>
      <w:r w:rsidR="00E27B3A">
        <w:rPr>
          <w:rStyle w:val="VodilnistavekUMAR"/>
          <w:b w:val="0"/>
          <w:bCs/>
        </w:rPr>
        <w:t>.</w:t>
      </w:r>
      <w:r w:rsidR="009671FB">
        <w:rPr>
          <w:rStyle w:val="VodilnistavekUMAR"/>
          <w:b w:val="0"/>
          <w:bCs/>
        </w:rPr>
        <w:t xml:space="preserve"> </w:t>
      </w:r>
      <w:r w:rsidR="00E27B3A">
        <w:rPr>
          <w:rStyle w:val="VodilnistavekUMAR"/>
          <w:b w:val="0"/>
          <w:bCs/>
        </w:rPr>
        <w:t>M</w:t>
      </w:r>
      <w:r w:rsidR="00063288">
        <w:rPr>
          <w:rStyle w:val="VodilnistavekUMAR"/>
          <w:b w:val="0"/>
          <w:bCs/>
        </w:rPr>
        <w:t xml:space="preserve">anj </w:t>
      </w:r>
      <w:r w:rsidR="00E27B3A">
        <w:rPr>
          <w:rStyle w:val="VodilnistavekUMAR"/>
          <w:b w:val="0"/>
          <w:bCs/>
        </w:rPr>
        <w:t xml:space="preserve">kot pred letom </w:t>
      </w:r>
      <w:r w:rsidR="009D1672">
        <w:rPr>
          <w:rStyle w:val="VodilnistavekUMAR"/>
          <w:b w:val="0"/>
          <w:bCs/>
        </w:rPr>
        <w:t xml:space="preserve">so </w:t>
      </w:r>
      <w:r w:rsidR="00063288">
        <w:rPr>
          <w:rStyle w:val="VodilnistavekUMAR"/>
          <w:b w:val="0"/>
          <w:bCs/>
        </w:rPr>
        <w:t>prodala le podjetja iz proizvodnje vozil in plovil</w:t>
      </w:r>
      <w:r w:rsidR="003F2EF0">
        <w:rPr>
          <w:rStyle w:val="VodilnistavekUMAR"/>
          <w:b w:val="0"/>
          <w:bCs/>
        </w:rPr>
        <w:t>, ki na domačem trgu ustvarijo najmanj svojih prihodkov od prodaje (6,7 % v letu 2022)</w:t>
      </w:r>
      <w:r w:rsidR="00063288">
        <w:rPr>
          <w:rStyle w:val="VodilnistavekUMAR"/>
          <w:b w:val="0"/>
          <w:bCs/>
        </w:rPr>
        <w:t>.</w:t>
      </w:r>
      <w:r w:rsidR="009671FB" w:rsidRPr="009671FB">
        <w:rPr>
          <w:rStyle w:val="VodilnistavekUMAR"/>
          <w:b w:val="0"/>
          <w:bCs/>
        </w:rPr>
        <w:t xml:space="preserve"> </w:t>
      </w:r>
      <w:r w:rsidR="009671FB">
        <w:rPr>
          <w:rStyle w:val="VodilnistavekUMAR"/>
          <w:b w:val="0"/>
          <w:bCs/>
        </w:rPr>
        <w:t xml:space="preserve">Na vseh treh skupinah trgov so </w:t>
      </w:r>
      <w:r w:rsidR="005F5924">
        <w:rPr>
          <w:rStyle w:val="VodilnistavekUMAR"/>
          <w:b w:val="0"/>
          <w:bCs/>
        </w:rPr>
        <w:t xml:space="preserve">rast </w:t>
      </w:r>
      <w:r w:rsidR="009671FB">
        <w:rPr>
          <w:rStyle w:val="VodilnistavekUMAR"/>
          <w:b w:val="0"/>
          <w:bCs/>
        </w:rPr>
        <w:t>prihodk</w:t>
      </w:r>
      <w:r w:rsidR="005F5924">
        <w:rPr>
          <w:rStyle w:val="VodilnistavekUMAR"/>
          <w:b w:val="0"/>
          <w:bCs/>
        </w:rPr>
        <w:t>ov</w:t>
      </w:r>
      <w:r w:rsidR="009671FB">
        <w:rPr>
          <w:rStyle w:val="VodilnistavekUMAR"/>
          <w:b w:val="0"/>
          <w:bCs/>
        </w:rPr>
        <w:t xml:space="preserve"> od prodaje povečale visoko tehnološko zahtevne panoge</w:t>
      </w:r>
      <w:r w:rsidR="003F2EF0">
        <w:rPr>
          <w:rStyle w:val="VodilnistavekUMAR"/>
          <w:b w:val="0"/>
          <w:bCs/>
        </w:rPr>
        <w:t>,</w:t>
      </w:r>
      <w:r w:rsidR="009671FB">
        <w:rPr>
          <w:rStyle w:val="VodilnistavekUMAR"/>
          <w:b w:val="0"/>
          <w:bCs/>
        </w:rPr>
        <w:t xml:space="preserve"> </w:t>
      </w:r>
      <w:r w:rsidR="005F5924">
        <w:rPr>
          <w:rStyle w:val="VodilnistavekUMAR"/>
          <w:b w:val="0"/>
          <w:bCs/>
        </w:rPr>
        <w:t xml:space="preserve">predvsem na domačem in trgu EU pa tudi </w:t>
      </w:r>
      <w:r w:rsidR="009671FB">
        <w:rPr>
          <w:rStyle w:val="VodilnistavekUMAR"/>
          <w:b w:val="0"/>
          <w:bCs/>
        </w:rPr>
        <w:t xml:space="preserve">nekatere tehnološko manj zahtevne panoge. </w:t>
      </w:r>
    </w:p>
    <w:p w14:paraId="57ABB8F8" w14:textId="1A2E5F47" w:rsidR="00334E1D" w:rsidRDefault="006830D3" w:rsidP="0042100E">
      <w:pPr>
        <w:pStyle w:val="Caption"/>
      </w:pPr>
      <w:bookmarkStart w:id="4" w:name="_Ref139530839"/>
      <w:r>
        <w:t xml:space="preserve">Slika </w:t>
      </w:r>
      <w:r>
        <w:fldChar w:fldCharType="begin"/>
      </w:r>
      <w:r>
        <w:instrText xml:space="preserve"> SEQ Slika \* ARABIC </w:instrText>
      </w:r>
      <w:r>
        <w:fldChar w:fldCharType="separate"/>
      </w:r>
      <w:r w:rsidR="0019506A">
        <w:t>7</w:t>
      </w:r>
      <w:r>
        <w:fldChar w:fldCharType="end"/>
      </w:r>
      <w:bookmarkEnd w:id="4"/>
      <w:r>
        <w:t xml:space="preserve">: </w:t>
      </w:r>
      <w:r w:rsidR="005F5924">
        <w:t>Rast</w:t>
      </w:r>
      <w:r w:rsidR="005A77CC">
        <w:t xml:space="preserve"> prihodk</w:t>
      </w:r>
      <w:r w:rsidR="005F5924">
        <w:t>ov</w:t>
      </w:r>
      <w:r w:rsidR="005A77CC">
        <w:t xml:space="preserve"> od prodaje</w:t>
      </w:r>
      <w:r w:rsidR="005F5924">
        <w:t xml:space="preserve"> predelovalnih družb</w:t>
      </w:r>
      <w:r w:rsidR="00334E1D">
        <w:t>, ki okoli 72 % prihodkov od prodaje ustvarijo na tujih trgih,</w:t>
      </w:r>
      <w:r w:rsidR="005F5924">
        <w:t xml:space="preserve"> se </w:t>
      </w:r>
      <w:r w:rsidR="0042100E">
        <w:t>je najmanj</w:t>
      </w:r>
      <w:r w:rsidR="005F5924">
        <w:t xml:space="preserve"> umiril</w:t>
      </w:r>
      <w:r w:rsidR="0042100E">
        <w:t xml:space="preserve">a </w:t>
      </w:r>
      <w:r w:rsidR="00334E1D" w:rsidRPr="00334E1D">
        <w:t>na domačem trgu</w:t>
      </w:r>
    </w:p>
    <w:p w14:paraId="2702D9B8" w14:textId="18A58458" w:rsidR="00DA18D7" w:rsidRDefault="005E58B5" w:rsidP="00DA18D7">
      <w:pPr>
        <w:pStyle w:val="BesediloUMAR"/>
      </w:pPr>
      <w:r>
        <w:rPr>
          <w:noProof/>
        </w:rPr>
        <w:drawing>
          <wp:inline distT="0" distB="0" distL="0" distR="0" wp14:anchorId="12744407" wp14:editId="20D2F438">
            <wp:extent cx="2808000" cy="267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8000" cy="2671200"/>
                    </a:xfrm>
                    <a:prstGeom prst="rect">
                      <a:avLst/>
                    </a:prstGeom>
                    <a:noFill/>
                  </pic:spPr>
                </pic:pic>
              </a:graphicData>
            </a:graphic>
          </wp:inline>
        </w:drawing>
      </w:r>
      <w:r w:rsidR="00894E6F">
        <w:t xml:space="preserve">     </w:t>
      </w:r>
      <w:r>
        <w:rPr>
          <w:noProof/>
        </w:rPr>
        <w:drawing>
          <wp:inline distT="0" distB="0" distL="0" distR="0" wp14:anchorId="474D1A92" wp14:editId="57EFD06C">
            <wp:extent cx="2804400" cy="2671200"/>
            <wp:effectExtent l="0" t="0" r="0" b="0"/>
            <wp:docPr id="4" name="Picture 4" descr="A graph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aph with text and numbers&#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4400" cy="2671200"/>
                    </a:xfrm>
                    <a:prstGeom prst="rect">
                      <a:avLst/>
                    </a:prstGeom>
                    <a:noFill/>
                  </pic:spPr>
                </pic:pic>
              </a:graphicData>
            </a:graphic>
          </wp:inline>
        </w:drawing>
      </w:r>
    </w:p>
    <w:p w14:paraId="786B2325" w14:textId="77777777" w:rsidR="005E58B5" w:rsidRDefault="005E58B5" w:rsidP="005A77CC">
      <w:pPr>
        <w:pStyle w:val="VirUMAR"/>
      </w:pPr>
      <w:r>
        <w:rPr>
          <w:noProof/>
        </w:rPr>
        <w:drawing>
          <wp:inline distT="0" distB="0" distL="0" distR="0" wp14:anchorId="25F8B976" wp14:editId="261BB566">
            <wp:extent cx="2808000" cy="267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08000" cy="2671200"/>
                    </a:xfrm>
                    <a:prstGeom prst="rect">
                      <a:avLst/>
                    </a:prstGeom>
                    <a:noFill/>
                  </pic:spPr>
                </pic:pic>
              </a:graphicData>
            </a:graphic>
          </wp:inline>
        </w:drawing>
      </w:r>
    </w:p>
    <w:p w14:paraId="6605071C" w14:textId="6132E43F" w:rsidR="005A77CC" w:rsidRPr="00C22B1E" w:rsidRDefault="005A77CC" w:rsidP="005A77CC">
      <w:pPr>
        <w:pStyle w:val="VirUMAR"/>
        <w:rPr>
          <w:rStyle w:val="VodilnistavekUMAR"/>
          <w:b w:val="0"/>
        </w:rPr>
      </w:pPr>
      <w:r>
        <w:t xml:space="preserve">Vir: </w:t>
      </w:r>
      <w:r w:rsidRPr="004B5A7C">
        <w:t>AJPES (</w:t>
      </w:r>
      <w:r>
        <w:t>2023</w:t>
      </w:r>
      <w:r w:rsidRPr="00923B83">
        <w:t>)</w:t>
      </w:r>
      <w:r>
        <w:t>, lastni izračuni.</w:t>
      </w:r>
      <w:r w:rsidRPr="00923B83">
        <w:t xml:space="preserve"> </w:t>
      </w:r>
    </w:p>
    <w:p w14:paraId="40769B05" w14:textId="73EE1D8F" w:rsidR="00071FAA" w:rsidRDefault="00D3004A" w:rsidP="00E60966">
      <w:pPr>
        <w:pStyle w:val="BesediloUMAR"/>
        <w:rPr>
          <w:rStyle w:val="VodilnistavekUMAR"/>
          <w:b w:val="0"/>
          <w:bCs/>
        </w:rPr>
      </w:pPr>
      <w:r w:rsidRPr="001A6BA1">
        <w:rPr>
          <w:rStyle w:val="VodilnistavekUMAR"/>
        </w:rPr>
        <w:t>Tudi rast poslovnih odhodkov</w:t>
      </w:r>
      <w:r w:rsidR="00A11EAE" w:rsidRPr="001A6BA1">
        <w:rPr>
          <w:rStyle w:val="VodilnistavekUMAR"/>
        </w:rPr>
        <w:t xml:space="preserve"> </w:t>
      </w:r>
      <w:r w:rsidR="008F3D50" w:rsidRPr="001A6BA1">
        <w:rPr>
          <w:rStyle w:val="VodilnistavekUMAR"/>
        </w:rPr>
        <w:t xml:space="preserve">je </w:t>
      </w:r>
      <w:r w:rsidR="00CF38C4" w:rsidRPr="001A6BA1">
        <w:rPr>
          <w:rStyle w:val="VodilnistavekUMAR"/>
        </w:rPr>
        <w:t xml:space="preserve">bila </w:t>
      </w:r>
      <w:r w:rsidRPr="001A6BA1">
        <w:rPr>
          <w:rStyle w:val="VodilnistavekUMAR"/>
        </w:rPr>
        <w:t xml:space="preserve">nekoliko </w:t>
      </w:r>
      <w:r w:rsidR="00CF38C4" w:rsidRPr="001A6BA1">
        <w:rPr>
          <w:rStyle w:val="VodilnistavekUMAR"/>
        </w:rPr>
        <w:t>nižja</w:t>
      </w:r>
      <w:r w:rsidR="00C51375" w:rsidRPr="001A6BA1">
        <w:rPr>
          <w:rStyle w:val="VodilnistavekUMAR"/>
        </w:rPr>
        <w:t xml:space="preserve"> (17,2 </w:t>
      </w:r>
      <w:r w:rsidR="00060E55" w:rsidRPr="001A6BA1">
        <w:rPr>
          <w:rStyle w:val="VodilnistavekUMAR"/>
        </w:rPr>
        <w:t>%</w:t>
      </w:r>
      <w:r w:rsidR="00C51375" w:rsidRPr="001A6BA1">
        <w:rPr>
          <w:rStyle w:val="VodilnistavekUMAR"/>
        </w:rPr>
        <w:t>)</w:t>
      </w:r>
      <w:r w:rsidR="00647F60">
        <w:rPr>
          <w:rStyle w:val="VodilnistavekUMAR"/>
        </w:rPr>
        <w:t xml:space="preserve">, </w:t>
      </w:r>
      <w:r w:rsidR="00774A60" w:rsidRPr="00743991">
        <w:rPr>
          <w:rStyle w:val="VodilnistavekUMAR"/>
        </w:rPr>
        <w:t xml:space="preserve">pričakovano se </w:t>
      </w:r>
      <w:r w:rsidR="008F3D50" w:rsidRPr="009D2195">
        <w:rPr>
          <w:rStyle w:val="VodilnistavekUMAR"/>
        </w:rPr>
        <w:t>je pospešila rast</w:t>
      </w:r>
      <w:r w:rsidR="008F3D50" w:rsidRPr="001A6BA1">
        <w:rPr>
          <w:rStyle w:val="VodilnistavekUMAR"/>
        </w:rPr>
        <w:t xml:space="preserve"> </w:t>
      </w:r>
      <w:r w:rsidRPr="001A6BA1">
        <w:rPr>
          <w:rStyle w:val="VodilnistavekUMAR"/>
        </w:rPr>
        <w:t>strošk</w:t>
      </w:r>
      <w:r w:rsidR="008F3D50" w:rsidRPr="001A6BA1">
        <w:rPr>
          <w:rStyle w:val="VodilnistavekUMAR"/>
        </w:rPr>
        <w:t>ov</w:t>
      </w:r>
      <w:r w:rsidRPr="001A6BA1">
        <w:rPr>
          <w:rStyle w:val="VodilnistavekUMAR"/>
        </w:rPr>
        <w:t xml:space="preserve"> energije</w:t>
      </w:r>
      <w:r w:rsidR="00404570" w:rsidRPr="001A6BA1">
        <w:rPr>
          <w:rStyle w:val="VodilnistavekUMAR"/>
        </w:rPr>
        <w:t>.</w:t>
      </w:r>
      <w:r w:rsidR="00404570">
        <w:rPr>
          <w:rStyle w:val="VodilnistavekUMAR"/>
          <w:b w:val="0"/>
          <w:bCs/>
        </w:rPr>
        <w:t xml:space="preserve"> Stroški energije so se po skoraj 20-odstotni rasti v letu 2021, v letu 2022 povečali za 87,1 % in bili za 116,5 % višji od dolgoletnega povprečja 2008</w:t>
      </w:r>
      <w:r>
        <w:rPr>
          <w:rStyle w:val="VodilnistavekUMAR"/>
          <w:b w:val="0"/>
          <w:bCs/>
        </w:rPr>
        <w:t>–</w:t>
      </w:r>
      <w:r w:rsidR="00404570">
        <w:rPr>
          <w:rStyle w:val="VodilnistavekUMAR"/>
          <w:b w:val="0"/>
          <w:bCs/>
        </w:rPr>
        <w:t xml:space="preserve">2018. </w:t>
      </w:r>
      <w:r w:rsidR="00F048A8">
        <w:rPr>
          <w:rStyle w:val="VodilnistavekUMAR"/>
          <w:b w:val="0"/>
          <w:bCs/>
        </w:rPr>
        <w:t>Stroški energije so predstavljali 5,3</w:t>
      </w:r>
      <w:r w:rsidR="00FB6E55">
        <w:rPr>
          <w:rStyle w:val="VodilnistavekUMAR"/>
          <w:b w:val="0"/>
          <w:bCs/>
        </w:rPr>
        <w:t> </w:t>
      </w:r>
      <w:r w:rsidR="00F048A8">
        <w:rPr>
          <w:rStyle w:val="VodilnistavekUMAR"/>
          <w:b w:val="0"/>
          <w:bCs/>
        </w:rPr>
        <w:t>% stroškov blaga, materiala in storitev</w:t>
      </w:r>
      <w:r>
        <w:rPr>
          <w:rStyle w:val="VodilnistavekUMAR"/>
          <w:b w:val="0"/>
          <w:bCs/>
        </w:rPr>
        <w:t xml:space="preserve"> (4,1 % v povprečju opazovanega obdobja)</w:t>
      </w:r>
      <w:r w:rsidR="00F048A8">
        <w:rPr>
          <w:rStyle w:val="VodilnistavekUMAR"/>
          <w:b w:val="0"/>
          <w:bCs/>
        </w:rPr>
        <w:t xml:space="preserve">, njihov delež v poslovnih prihodkih pa se je povečal </w:t>
      </w:r>
      <w:r>
        <w:rPr>
          <w:rStyle w:val="VodilnistavekUMAR"/>
          <w:b w:val="0"/>
          <w:bCs/>
        </w:rPr>
        <w:t xml:space="preserve">iz 2,4 % (oz. dolgoletnega povprečja 3,0 %) </w:t>
      </w:r>
      <w:r w:rsidR="00F048A8">
        <w:rPr>
          <w:rStyle w:val="VodilnistavekUMAR"/>
          <w:b w:val="0"/>
          <w:bCs/>
        </w:rPr>
        <w:t xml:space="preserve">na 3,9 %. </w:t>
      </w:r>
      <w:r w:rsidR="00B83C3E">
        <w:rPr>
          <w:rStyle w:val="VodilnistavekUMAR"/>
          <w:b w:val="0"/>
          <w:bCs/>
        </w:rPr>
        <w:t xml:space="preserve">Stroški energije so se najbolj povečali v farmacevtski industriji in proizvodnji motornih vozil, od energetsko intenzivnih panog so se bolj od povprečja </w:t>
      </w:r>
      <w:r>
        <w:rPr>
          <w:rStyle w:val="VodilnistavekUMAR"/>
          <w:b w:val="0"/>
          <w:bCs/>
        </w:rPr>
        <w:t xml:space="preserve">povečali </w:t>
      </w:r>
      <w:r w:rsidR="00B83C3E">
        <w:rPr>
          <w:rStyle w:val="VodilnistavekUMAR"/>
          <w:b w:val="0"/>
          <w:bCs/>
        </w:rPr>
        <w:t xml:space="preserve">le v papirni industriji in proizvodnji kovin. Ob precejšnji rasti se je obremenjenost poslovnih prihodkov s stroški energije v farmacevtskih družbah in družbah v proizvodnji motornih vozil vsaj podvojila. </w:t>
      </w:r>
      <w:r w:rsidR="001C2EAB">
        <w:rPr>
          <w:rStyle w:val="VodilnistavekUMAR"/>
          <w:b w:val="0"/>
          <w:bCs/>
        </w:rPr>
        <w:t xml:space="preserve">Delež stroškov energije v poslovnih prihodkih pa je ostal največji v energetsko intenzivnih panogah. V povprečju vseh predelovalnih družb se je delež stroškov blaga, materiala in storitev v poslovnih prihodkih povečal na račun rasti stroškov energije in bil največji po letu 2013. Gospodarnost poslovanja predelovalnih družb je </w:t>
      </w:r>
      <w:r w:rsidR="00B54A1A">
        <w:rPr>
          <w:rStyle w:val="VodilnistavekUMAR"/>
          <w:b w:val="0"/>
          <w:bCs/>
        </w:rPr>
        <w:t xml:space="preserve">kljub temu </w:t>
      </w:r>
      <w:r w:rsidR="001C2EAB">
        <w:rPr>
          <w:rStyle w:val="VodilnistavekUMAR"/>
          <w:b w:val="0"/>
          <w:bCs/>
        </w:rPr>
        <w:t>ostala visoka.</w:t>
      </w:r>
    </w:p>
    <w:p w14:paraId="46BDA5B8" w14:textId="5FA61C36" w:rsidR="00071FAA" w:rsidRDefault="00071FAA" w:rsidP="00071FAA">
      <w:pPr>
        <w:pStyle w:val="Caption"/>
        <w:rPr>
          <w:rStyle w:val="VodilnistavekUMAR"/>
          <w:b/>
          <w:bCs w:val="0"/>
        </w:rPr>
      </w:pPr>
      <w:r>
        <w:t xml:space="preserve">Slika </w:t>
      </w:r>
      <w:r>
        <w:fldChar w:fldCharType="begin"/>
      </w:r>
      <w:r>
        <w:instrText xml:space="preserve"> SEQ Slika \* ARABIC </w:instrText>
      </w:r>
      <w:r>
        <w:fldChar w:fldCharType="separate"/>
      </w:r>
      <w:r>
        <w:t>8</w:t>
      </w:r>
      <w:r>
        <w:fldChar w:fldCharType="end"/>
      </w:r>
      <w:r>
        <w:t>: Visoka rast stroškov energije je prispevala k večji obremenjenosti poslovnih prihodkov s stroški blaga, materiala in storitev</w:t>
      </w:r>
    </w:p>
    <w:p w14:paraId="489A2CD6" w14:textId="2E3B6A3B" w:rsidR="00071FAA" w:rsidRDefault="005E58B5" w:rsidP="00E60966">
      <w:pPr>
        <w:pStyle w:val="BesediloUMAR"/>
        <w:rPr>
          <w:rStyle w:val="VodilnistavekUMAR"/>
          <w:b w:val="0"/>
          <w:bCs/>
        </w:rPr>
      </w:pPr>
      <w:r>
        <w:rPr>
          <w:rStyle w:val="VodilnistavekUMAR"/>
          <w:b w:val="0"/>
          <w:bCs/>
          <w:noProof/>
        </w:rPr>
        <w:drawing>
          <wp:inline distT="0" distB="0" distL="0" distR="0" wp14:anchorId="0250EDDB" wp14:editId="3867257D">
            <wp:extent cx="2815200" cy="2304000"/>
            <wp:effectExtent l="0" t="0" r="444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5200" cy="2304000"/>
                    </a:xfrm>
                    <a:prstGeom prst="rect">
                      <a:avLst/>
                    </a:prstGeom>
                    <a:noFill/>
                  </pic:spPr>
                </pic:pic>
              </a:graphicData>
            </a:graphic>
          </wp:inline>
        </w:drawing>
      </w:r>
      <w:r w:rsidR="00894E6F">
        <w:rPr>
          <w:rStyle w:val="VodilnistavekUMAR"/>
          <w:b w:val="0"/>
          <w:bCs/>
        </w:rPr>
        <w:t xml:space="preserve">     </w:t>
      </w:r>
      <w:r>
        <w:rPr>
          <w:rStyle w:val="VodilnistavekUMAR"/>
          <w:b w:val="0"/>
          <w:noProof/>
        </w:rPr>
        <w:drawing>
          <wp:inline distT="0" distB="0" distL="0" distR="0" wp14:anchorId="572CF822" wp14:editId="6815EDE5">
            <wp:extent cx="2815200" cy="2304000"/>
            <wp:effectExtent l="0" t="0" r="4445" b="1270"/>
            <wp:docPr id="22" name="Picture 22" descr="A graph with a line going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graph with a line going up&#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5200" cy="2304000"/>
                    </a:xfrm>
                    <a:prstGeom prst="rect">
                      <a:avLst/>
                    </a:prstGeom>
                    <a:noFill/>
                  </pic:spPr>
                </pic:pic>
              </a:graphicData>
            </a:graphic>
          </wp:inline>
        </w:drawing>
      </w:r>
    </w:p>
    <w:p w14:paraId="2F45A346" w14:textId="77777777" w:rsidR="0094038E" w:rsidRDefault="0094038E" w:rsidP="0094038E">
      <w:pPr>
        <w:pStyle w:val="VirUMAR"/>
      </w:pPr>
      <w:r>
        <w:t xml:space="preserve">Vir: </w:t>
      </w:r>
      <w:r w:rsidRPr="004B5A7C">
        <w:t>AJPES (</w:t>
      </w:r>
      <w:r>
        <w:t>2023</w:t>
      </w:r>
      <w:r w:rsidRPr="00923B83">
        <w:t>)</w:t>
      </w:r>
      <w:r>
        <w:t>, lastni izračuni.</w:t>
      </w:r>
      <w:r w:rsidRPr="00923B83">
        <w:t xml:space="preserve"> </w:t>
      </w:r>
    </w:p>
    <w:p w14:paraId="2C0E7BC7" w14:textId="700B548F" w:rsidR="00BC0E15" w:rsidRDefault="0094038E" w:rsidP="0094038E">
      <w:pPr>
        <w:pStyle w:val="Caption"/>
        <w:rPr>
          <w:rStyle w:val="VodilnistavekUMAR"/>
          <w:b/>
          <w:bCs w:val="0"/>
        </w:rPr>
      </w:pPr>
      <w:bookmarkStart w:id="5" w:name="_Ref139531087"/>
      <w:r>
        <w:t xml:space="preserve">Slika </w:t>
      </w:r>
      <w:r>
        <w:fldChar w:fldCharType="begin"/>
      </w:r>
      <w:r>
        <w:instrText xml:space="preserve"> SEQ Slika \* ARABIC </w:instrText>
      </w:r>
      <w:r>
        <w:fldChar w:fldCharType="separate"/>
      </w:r>
      <w:r>
        <w:t>9</w:t>
      </w:r>
      <w:r>
        <w:fldChar w:fldCharType="end"/>
      </w:r>
      <w:bookmarkEnd w:id="5"/>
      <w:r>
        <w:t xml:space="preserve">: </w:t>
      </w:r>
      <w:r w:rsidR="00BF6F60">
        <w:t>Obremenjenost poslovnih prihodkov s stroški energije se je povečala v vseh panogah predelovalnih dejavnosti</w:t>
      </w:r>
    </w:p>
    <w:p w14:paraId="493C815D" w14:textId="7C03CDA8" w:rsidR="00DA18D7" w:rsidRDefault="005E58B5" w:rsidP="0065204D">
      <w:pPr>
        <w:pStyle w:val="VirUMAR"/>
        <w:rPr>
          <w:noProof/>
        </w:rPr>
      </w:pPr>
      <w:r>
        <w:rPr>
          <w:noProof/>
        </w:rPr>
        <w:drawing>
          <wp:inline distT="0" distB="0" distL="0" distR="0" wp14:anchorId="2E2D8111" wp14:editId="38F5B25F">
            <wp:extent cx="2822400" cy="270000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22400" cy="2700000"/>
                    </a:xfrm>
                    <a:prstGeom prst="rect">
                      <a:avLst/>
                    </a:prstGeom>
                    <a:noFill/>
                  </pic:spPr>
                </pic:pic>
              </a:graphicData>
            </a:graphic>
          </wp:inline>
        </w:drawing>
      </w:r>
      <w:r w:rsidR="00894E6F">
        <w:rPr>
          <w:noProof/>
        </w:rPr>
        <w:t xml:space="preserve">     </w:t>
      </w:r>
      <w:r>
        <w:rPr>
          <w:noProof/>
        </w:rPr>
        <w:drawing>
          <wp:inline distT="0" distB="0" distL="0" distR="0" wp14:anchorId="028956AA" wp14:editId="44C8C898">
            <wp:extent cx="2815200" cy="2689200"/>
            <wp:effectExtent l="0" t="0" r="4445" b="0"/>
            <wp:docPr id="7" name="Picture 7"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graph&#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15200" cy="2689200"/>
                    </a:xfrm>
                    <a:prstGeom prst="rect">
                      <a:avLst/>
                    </a:prstGeom>
                    <a:noFill/>
                  </pic:spPr>
                </pic:pic>
              </a:graphicData>
            </a:graphic>
          </wp:inline>
        </w:drawing>
      </w:r>
    </w:p>
    <w:p w14:paraId="5391D3F2" w14:textId="65C44024" w:rsidR="0065204D" w:rsidRDefault="0065204D" w:rsidP="0065204D">
      <w:pPr>
        <w:pStyle w:val="VirUMAR"/>
        <w:rPr>
          <w:rStyle w:val="VodilnistavekUMAR"/>
          <w:b w:val="0"/>
          <w:bCs/>
        </w:rPr>
      </w:pPr>
      <w:r>
        <w:t xml:space="preserve">Vir: </w:t>
      </w:r>
      <w:r w:rsidRPr="004B5A7C">
        <w:t>AJPES (</w:t>
      </w:r>
      <w:r>
        <w:t>2023</w:t>
      </w:r>
      <w:r w:rsidRPr="00923B83">
        <w:t>)</w:t>
      </w:r>
      <w:r>
        <w:t>, lastni izračuni.</w:t>
      </w:r>
    </w:p>
    <w:tbl>
      <w:tblPr>
        <w:tblStyle w:val="UMARokvi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4"/>
      </w:tblGrid>
      <w:tr w:rsidR="001A6BA1" w14:paraId="708C4434" w14:textId="77777777" w:rsidTr="00894E6F">
        <w:tc>
          <w:tcPr>
            <w:tcW w:w="9060" w:type="dxa"/>
          </w:tcPr>
          <w:p w14:paraId="3BE90259" w14:textId="7806706F" w:rsidR="001A6BA1" w:rsidRDefault="001A6BA1" w:rsidP="00894E6F">
            <w:pPr>
              <w:pStyle w:val="Caption"/>
            </w:pPr>
            <w:r>
              <w:t xml:space="preserve">Okvir </w:t>
            </w:r>
            <w:r>
              <w:fldChar w:fldCharType="begin"/>
            </w:r>
            <w:r>
              <w:instrText xml:space="preserve"> SEQ Okvir \* ARABIC </w:instrText>
            </w:r>
            <w:r>
              <w:fldChar w:fldCharType="separate"/>
            </w:r>
            <w:r>
              <w:t>1</w:t>
            </w:r>
            <w:r>
              <w:fldChar w:fldCharType="end"/>
            </w:r>
            <w:r>
              <w:t>: Vpliv stroškov energije na neto rezultat iz poslovanja gospodarskih družb iz energetsko intenzivnih panog predelovalnih dejavnosti v letu 2022</w:t>
            </w:r>
          </w:p>
          <w:p w14:paraId="2A1455C0" w14:textId="77777777" w:rsidR="00894E6F" w:rsidRPr="00894E6F" w:rsidRDefault="00894E6F" w:rsidP="00894E6F">
            <w:pPr>
              <w:pStyle w:val="BesediloUMAR"/>
            </w:pPr>
          </w:p>
          <w:p w14:paraId="750BD749" w14:textId="090A0489" w:rsidR="001A6BA1" w:rsidRDefault="001A6BA1" w:rsidP="00DA5A5B">
            <w:pPr>
              <w:pStyle w:val="BesediloUMAR"/>
            </w:pPr>
            <w:r>
              <w:t>Stroški energije v energetsko intenzivnih panogah so se po 22,6-odstotni rasti v 2021 tudi v letu 2022 povečali nekoliko bolj kot v preostalih predelovalnih družbah (v povprečju za 88,3 %</w:t>
            </w:r>
            <w:r w:rsidR="0052371A">
              <w:t>,</w:t>
            </w:r>
            <w:r>
              <w:t xml:space="preserve"> v preostalih predelovalnih družbah za 85,9 %). Obremenjenost poslovnih prihodkov s stroški energije, ki je v teh panogah najvišja med predelovalnimi dejavnostmi, se je povečala, v povprečju iz 5,8 % na 8,7 % (v preostalih predelovalnih družbah iz 1,6 % na 2,5 %). Skupaj stroški energije družb iz štirih energetsko intenzivnih panog predstavljajo skoraj </w:t>
            </w:r>
            <w:r w:rsidRPr="00A0781D">
              <w:t>polovico teh</w:t>
            </w:r>
            <w:r>
              <w:t xml:space="preserve"> v predelovalnih družbah (gl. </w:t>
            </w:r>
            <w:fldSimple w:instr=" REF _Ref139531087 ">
              <w:r w:rsidR="00A72ED3">
                <w:t>s</w:t>
              </w:r>
              <w:r>
                <w:t>lika 9</w:t>
              </w:r>
            </w:fldSimple>
            <w:r>
              <w:t>).</w:t>
            </w:r>
          </w:p>
          <w:p w14:paraId="624F0C3F" w14:textId="02C762AA" w:rsidR="001A6BA1" w:rsidRDefault="001A6BA1" w:rsidP="00DA5A5B">
            <w:pPr>
              <w:pStyle w:val="Caption"/>
            </w:pPr>
            <w:r w:rsidRPr="00B26F04">
              <w:t>Slika</w:t>
            </w:r>
            <w:r>
              <w:t>: V papirni industriji so se drugo leto zapored stroški energije med energetsko intenzivnimi panogami najbolj povečali, obremenjenost poslovnih prihodkov je ostala največja</w:t>
            </w:r>
          </w:p>
          <w:p w14:paraId="39D77928" w14:textId="09638207" w:rsidR="005E58B5" w:rsidRDefault="005E58B5" w:rsidP="00DA5A5B">
            <w:pPr>
              <w:pStyle w:val="VirUMAR"/>
            </w:pPr>
            <w:r>
              <w:rPr>
                <w:noProof/>
              </w:rPr>
              <w:drawing>
                <wp:inline distT="0" distB="0" distL="0" distR="0" wp14:anchorId="0B4C45B6" wp14:editId="70298CEA">
                  <wp:extent cx="2656800" cy="217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56800" cy="2174400"/>
                          </a:xfrm>
                          <a:prstGeom prst="rect">
                            <a:avLst/>
                          </a:prstGeom>
                          <a:noFill/>
                        </pic:spPr>
                      </pic:pic>
                    </a:graphicData>
                  </a:graphic>
                </wp:inline>
              </w:drawing>
            </w:r>
            <w:r w:rsidR="00894E6F">
              <w:t xml:space="preserve">     </w:t>
            </w:r>
            <w:r>
              <w:rPr>
                <w:noProof/>
              </w:rPr>
              <w:drawing>
                <wp:inline distT="0" distB="0" distL="0" distR="0" wp14:anchorId="3F74C42B" wp14:editId="050FDC6E">
                  <wp:extent cx="2656800" cy="2174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56800" cy="2174400"/>
                          </a:xfrm>
                          <a:prstGeom prst="rect">
                            <a:avLst/>
                          </a:prstGeom>
                          <a:noFill/>
                        </pic:spPr>
                      </pic:pic>
                    </a:graphicData>
                  </a:graphic>
                </wp:inline>
              </w:drawing>
            </w:r>
          </w:p>
          <w:p w14:paraId="0D95A920" w14:textId="134B1C91" w:rsidR="001A6BA1" w:rsidRPr="00E379B7" w:rsidRDefault="001A6BA1" w:rsidP="00DA5A5B">
            <w:pPr>
              <w:pStyle w:val="VirUMAR"/>
              <w:rPr>
                <w:b/>
                <w:bCs/>
                <w:noProof/>
                <w:szCs w:val="20"/>
              </w:rPr>
            </w:pPr>
            <w:r>
              <w:t xml:space="preserve">Vir: </w:t>
            </w:r>
            <w:r w:rsidRPr="004B5A7C">
              <w:t>AJPES (</w:t>
            </w:r>
            <w:r>
              <w:t>2023</w:t>
            </w:r>
            <w:r w:rsidRPr="00923B83">
              <w:t>)</w:t>
            </w:r>
            <w:r>
              <w:t>, lastni izračuni.</w:t>
            </w:r>
            <w:r w:rsidRPr="00923B83">
              <w:t xml:space="preserve"> </w:t>
            </w:r>
          </w:p>
          <w:p w14:paraId="4185FB1B" w14:textId="334BC049" w:rsidR="001A6BA1" w:rsidRDefault="001A6BA1" w:rsidP="00DA5A5B">
            <w:pPr>
              <w:pStyle w:val="BesediloUMAR"/>
            </w:pPr>
          </w:p>
          <w:p w14:paraId="4BFF036A" w14:textId="0D1CBB65" w:rsidR="001A6BA1" w:rsidRDefault="001A6BA1" w:rsidP="00DA5A5B">
            <w:pPr>
              <w:pStyle w:val="BesediloUMAR"/>
            </w:pPr>
            <w:r w:rsidRPr="001A6BA1">
              <w:t>Dužbe iz energetsko intenzivnih panog so ob nadaljnji visoki rasti prihodkov od prodaje v letu 2022 ustvarile večji neto dobiček iz poslovanja</w:t>
            </w:r>
            <w:r>
              <w:rPr>
                <w:rStyle w:val="FootnoteReference"/>
              </w:rPr>
              <w:footnoteReference w:id="8"/>
            </w:r>
            <w:r w:rsidRPr="001A6BA1">
              <w:t>. Rast poslovnih prihodkov energetsko intenzivnih panog</w:t>
            </w:r>
            <w:r>
              <w:t xml:space="preserve"> se je v letu 2022 nadaljevala (skromnejša je bila le rast prodaje na trgih izven EU), po 26,5-odstotni rasti v letu 2021 je bila </w:t>
            </w:r>
            <w:r w:rsidR="007D35AE">
              <w:t xml:space="preserve">lani </w:t>
            </w:r>
            <w:r>
              <w:t>rast v povprečju 25,4-odstotna (</w:t>
            </w:r>
            <w:r w:rsidRPr="00E12530">
              <w:t>gl</w:t>
            </w:r>
            <w:r w:rsidRPr="00D44E1D">
              <w:t xml:space="preserve">. </w:t>
            </w:r>
            <w:r w:rsidRPr="00FB6E55">
              <w:fldChar w:fldCharType="begin"/>
            </w:r>
            <w:r w:rsidRPr="00FB6E55">
              <w:instrText xml:space="preserve"> REF _Ref139530839 </w:instrText>
            </w:r>
            <w:r w:rsidR="0052371A" w:rsidRPr="00FB6E55">
              <w:instrText xml:space="preserve"> \* MERGEFORMAT </w:instrText>
            </w:r>
            <w:r w:rsidRPr="00FB6E55">
              <w:fldChar w:fldCharType="separate"/>
            </w:r>
            <w:r w:rsidR="007C6F32" w:rsidRPr="00FB6E55">
              <w:t>s</w:t>
            </w:r>
            <w:r w:rsidRPr="00D44E1D">
              <w:t>lika 7</w:t>
            </w:r>
            <w:r w:rsidRPr="00FB6E55">
              <w:fldChar w:fldCharType="end"/>
            </w:r>
            <w:r w:rsidRPr="00D44E1D">
              <w:t>). Neto dobiček</w:t>
            </w:r>
            <w:r>
              <w:t xml:space="preserve"> iz poslovanja družb iz energetsko intenzivnih panog se je v povprečju povečal za četrtino (v ostalih predelovaln</w:t>
            </w:r>
            <w:r w:rsidR="00C02F10">
              <w:t>ih</w:t>
            </w:r>
            <w:r>
              <w:t xml:space="preserve"> družb</w:t>
            </w:r>
            <w:r w:rsidR="00C02F10">
              <w:t>ah</w:t>
            </w:r>
            <w:r>
              <w:t xml:space="preserve"> za 15,5 %) kljub nižjemu neto dobičku iz poslovanja v kemični industriji (gl. </w:t>
            </w:r>
            <w:fldSimple w:instr=" REF _Ref139530818 ">
              <w:r w:rsidR="009B2A81">
                <w:t>s</w:t>
              </w:r>
              <w:r w:rsidRPr="00B26F04">
                <w:t xml:space="preserve">lika </w:t>
              </w:r>
              <w:r>
                <w:t>10</w:t>
              </w:r>
            </w:fldSimple>
            <w:r>
              <w:t>). Družbe iz kemične industrije so poslabšale tudi gospodarnost poslovanja.</w:t>
            </w:r>
          </w:p>
          <w:p w14:paraId="1D26E2A3" w14:textId="77777777" w:rsidR="00894E6F" w:rsidRDefault="00894E6F" w:rsidP="00DA5A5B">
            <w:pPr>
              <w:pStyle w:val="Caption"/>
            </w:pPr>
          </w:p>
          <w:p w14:paraId="33158F55" w14:textId="77777777" w:rsidR="00894E6F" w:rsidRDefault="00894E6F" w:rsidP="00DA5A5B">
            <w:pPr>
              <w:pStyle w:val="Caption"/>
            </w:pPr>
          </w:p>
          <w:p w14:paraId="766932D3" w14:textId="77777777" w:rsidR="00894E6F" w:rsidRDefault="00894E6F" w:rsidP="00DA5A5B">
            <w:pPr>
              <w:pStyle w:val="Caption"/>
            </w:pPr>
          </w:p>
          <w:p w14:paraId="08C11DAC" w14:textId="77777777" w:rsidR="00894E6F" w:rsidRDefault="00894E6F" w:rsidP="00DA5A5B">
            <w:pPr>
              <w:pStyle w:val="Caption"/>
            </w:pPr>
          </w:p>
          <w:p w14:paraId="459A2CFA" w14:textId="77777777" w:rsidR="00894E6F" w:rsidRDefault="00894E6F" w:rsidP="00DA5A5B">
            <w:pPr>
              <w:pStyle w:val="Caption"/>
            </w:pPr>
          </w:p>
          <w:p w14:paraId="3EFE5647" w14:textId="77777777" w:rsidR="00894E6F" w:rsidRDefault="00894E6F" w:rsidP="00DA5A5B">
            <w:pPr>
              <w:pStyle w:val="Caption"/>
            </w:pPr>
          </w:p>
          <w:p w14:paraId="522661A5" w14:textId="77777777" w:rsidR="00894E6F" w:rsidRDefault="00894E6F" w:rsidP="00DA5A5B">
            <w:pPr>
              <w:pStyle w:val="Caption"/>
            </w:pPr>
          </w:p>
          <w:p w14:paraId="44562CCE" w14:textId="77777777" w:rsidR="00894E6F" w:rsidRDefault="00894E6F" w:rsidP="00DA5A5B">
            <w:pPr>
              <w:pStyle w:val="Caption"/>
            </w:pPr>
          </w:p>
          <w:p w14:paraId="127FD6E2" w14:textId="77777777" w:rsidR="00894E6F" w:rsidRDefault="00894E6F" w:rsidP="00DA5A5B">
            <w:pPr>
              <w:pStyle w:val="Caption"/>
            </w:pPr>
          </w:p>
          <w:p w14:paraId="77C81D3A" w14:textId="77777777" w:rsidR="00894E6F" w:rsidRDefault="00894E6F" w:rsidP="00DA5A5B">
            <w:pPr>
              <w:pStyle w:val="Caption"/>
            </w:pPr>
          </w:p>
          <w:p w14:paraId="1328CAD3" w14:textId="77777777" w:rsidR="00894E6F" w:rsidRDefault="00894E6F" w:rsidP="00DA5A5B">
            <w:pPr>
              <w:pStyle w:val="Caption"/>
            </w:pPr>
          </w:p>
          <w:p w14:paraId="4DA8A1FE" w14:textId="77777777" w:rsidR="00894E6F" w:rsidRDefault="00894E6F" w:rsidP="00DA5A5B">
            <w:pPr>
              <w:pStyle w:val="Caption"/>
            </w:pPr>
          </w:p>
          <w:p w14:paraId="0CB83A03" w14:textId="77777777" w:rsidR="00894E6F" w:rsidRDefault="00894E6F" w:rsidP="00DA5A5B">
            <w:pPr>
              <w:pStyle w:val="Caption"/>
            </w:pPr>
          </w:p>
          <w:p w14:paraId="25E2BCEC" w14:textId="77777777" w:rsidR="00894E6F" w:rsidRDefault="00894E6F" w:rsidP="00DA5A5B">
            <w:pPr>
              <w:pStyle w:val="Caption"/>
            </w:pPr>
          </w:p>
          <w:p w14:paraId="1132D3BA" w14:textId="12962A55" w:rsidR="001A6BA1" w:rsidRDefault="00894E6F" w:rsidP="00DA5A5B">
            <w:pPr>
              <w:pStyle w:val="Caption"/>
            </w:pPr>
            <w:r w:rsidRPr="00230876">
              <w:drawing>
                <wp:anchor distT="0" distB="0" distL="114300" distR="114300" simplePos="0" relativeHeight="251666432" behindDoc="0" locked="0" layoutInCell="1" allowOverlap="1" wp14:anchorId="29390E39" wp14:editId="0F7CC5C7">
                  <wp:simplePos x="0" y="0"/>
                  <wp:positionH relativeFrom="column">
                    <wp:posOffset>-17145</wp:posOffset>
                  </wp:positionH>
                  <wp:positionV relativeFrom="paragraph">
                    <wp:posOffset>449580</wp:posOffset>
                  </wp:positionV>
                  <wp:extent cx="5459095" cy="2007870"/>
                  <wp:effectExtent l="0" t="0" r="8255" b="0"/>
                  <wp:wrapSquare wrapText="bothSides"/>
                  <wp:docPr id="201820064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59095" cy="200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BA1" w:rsidRPr="00B26F04">
              <w:t>Slika</w:t>
            </w:r>
            <w:r w:rsidR="001A6BA1">
              <w:t>: Neto dobiček iz poslovanja so najbolj povečale družbe iz proizvodnje kovin, manjš</w:t>
            </w:r>
            <w:r w:rsidR="00A563FD">
              <w:t xml:space="preserve">i je bil v </w:t>
            </w:r>
            <w:r w:rsidR="001A6BA1">
              <w:t>kemičn</w:t>
            </w:r>
            <w:r w:rsidR="00A563FD">
              <w:t>i</w:t>
            </w:r>
            <w:r w:rsidR="001A6BA1">
              <w:t xml:space="preserve"> industrij</w:t>
            </w:r>
            <w:r w:rsidR="00A563FD">
              <w:t>i</w:t>
            </w:r>
            <w:r w:rsidR="001A6BA1">
              <w:t xml:space="preserve">, </w:t>
            </w:r>
            <w:r w:rsidR="00A563FD">
              <w:t>vendar</w:t>
            </w:r>
            <w:r w:rsidR="001A6BA1">
              <w:t xml:space="preserve"> je zaostal le za rekordnim iz leta 2021</w:t>
            </w:r>
          </w:p>
          <w:p w14:paraId="25C89018" w14:textId="5F2F8EF8" w:rsidR="001A6BA1" w:rsidRDefault="001A6BA1" w:rsidP="00894E6F">
            <w:pPr>
              <w:pStyle w:val="VirUMAR"/>
              <w:spacing w:before="120"/>
            </w:pPr>
            <w:r>
              <w:t xml:space="preserve">Vir: </w:t>
            </w:r>
            <w:r w:rsidRPr="004B5A7C">
              <w:t>AJPES (</w:t>
            </w:r>
            <w:r>
              <w:t>2023</w:t>
            </w:r>
            <w:r w:rsidRPr="00923B83">
              <w:t>)</w:t>
            </w:r>
            <w:r>
              <w:t>, lastni izračuni.</w:t>
            </w:r>
          </w:p>
          <w:p w14:paraId="65F12E5B" w14:textId="595B7C9E" w:rsidR="00894E6F" w:rsidRPr="00747002" w:rsidRDefault="00894E6F" w:rsidP="002821AB">
            <w:pPr>
              <w:pStyle w:val="VirUMAR"/>
            </w:pPr>
          </w:p>
        </w:tc>
      </w:tr>
    </w:tbl>
    <w:p w14:paraId="090D68E6" w14:textId="77777777" w:rsidR="00894E6F" w:rsidRDefault="00894E6F" w:rsidP="009509A0">
      <w:pPr>
        <w:pStyle w:val="BesediloUMAR"/>
        <w:rPr>
          <w:rStyle w:val="VodilnistavekUMAR"/>
          <w:b w:val="0"/>
          <w:bCs/>
        </w:rPr>
      </w:pPr>
    </w:p>
    <w:p w14:paraId="39E25ED9" w14:textId="73D47985" w:rsidR="00B13538" w:rsidRDefault="00AE0E78" w:rsidP="0052292F">
      <w:pPr>
        <w:pStyle w:val="BesediloUMAR"/>
        <w:rPr>
          <w:rStyle w:val="VodilnistavekUMAR"/>
          <w:b w:val="0"/>
          <w:bCs/>
        </w:rPr>
      </w:pPr>
      <w:r w:rsidRPr="00F45155">
        <w:rPr>
          <w:rStyle w:val="VodilnistavekUMAR"/>
        </w:rPr>
        <w:t>Ob nadaljnji rasti poslovnih prihodkov</w:t>
      </w:r>
      <w:r w:rsidR="00060E55">
        <w:rPr>
          <w:rStyle w:val="VodilnistavekUMAR"/>
        </w:rPr>
        <w:t xml:space="preserve"> (17,2</w:t>
      </w:r>
      <w:r w:rsidR="00083FBA">
        <w:rPr>
          <w:rStyle w:val="VodilnistavekUMAR"/>
        </w:rPr>
        <w:t> </w:t>
      </w:r>
      <w:r w:rsidR="00060E55">
        <w:rPr>
          <w:rStyle w:val="VodilnistavekUMAR"/>
        </w:rPr>
        <w:t>%)</w:t>
      </w:r>
      <w:r w:rsidR="00C51375" w:rsidRPr="00F45155">
        <w:rPr>
          <w:rStyle w:val="VodilnistavekUMAR"/>
        </w:rPr>
        <w:t xml:space="preserve">, k čemur so </w:t>
      </w:r>
      <w:r w:rsidR="00060E55">
        <w:rPr>
          <w:rStyle w:val="VodilnistavekUMAR"/>
        </w:rPr>
        <w:t>ob</w:t>
      </w:r>
      <w:r w:rsidR="00C718C3" w:rsidRPr="00F45155">
        <w:rPr>
          <w:rStyle w:val="VodilnistavekUMAR"/>
        </w:rPr>
        <w:t xml:space="preserve"> </w:t>
      </w:r>
      <w:r w:rsidR="00F45155" w:rsidRPr="00F45155">
        <w:rPr>
          <w:rStyle w:val="VodilnistavekUMAR"/>
        </w:rPr>
        <w:t>višjih</w:t>
      </w:r>
      <w:r w:rsidR="00C718C3" w:rsidRPr="00F45155">
        <w:rPr>
          <w:rStyle w:val="VodilnistavekUMAR"/>
        </w:rPr>
        <w:t xml:space="preserve"> prihodk</w:t>
      </w:r>
      <w:r w:rsidR="00060E55">
        <w:rPr>
          <w:rStyle w:val="VodilnistavekUMAR"/>
        </w:rPr>
        <w:t>ih</w:t>
      </w:r>
      <w:r w:rsidR="00C718C3" w:rsidRPr="00F45155">
        <w:rPr>
          <w:rStyle w:val="VodilnistavekUMAR"/>
        </w:rPr>
        <w:t xml:space="preserve"> od prodaje </w:t>
      </w:r>
      <w:r w:rsidR="00083FBA">
        <w:rPr>
          <w:rStyle w:val="VodilnistavekUMAR"/>
        </w:rPr>
        <w:t xml:space="preserve">nekoliko </w:t>
      </w:r>
      <w:r w:rsidR="00C51375" w:rsidRPr="00F45155">
        <w:rPr>
          <w:rStyle w:val="VodilnistavekUMAR"/>
        </w:rPr>
        <w:t xml:space="preserve">prispevale tudi višje subvencije, </w:t>
      </w:r>
      <w:r w:rsidRPr="00F45155">
        <w:rPr>
          <w:rStyle w:val="VodilnistavekUMAR"/>
        </w:rPr>
        <w:t>se je neto dobiček iz poslovanja še povečal in bil največji v zadnjih 15 letih.</w:t>
      </w:r>
      <w:r>
        <w:rPr>
          <w:rStyle w:val="VodilnistavekUMAR"/>
          <w:b w:val="0"/>
          <w:bCs/>
        </w:rPr>
        <w:t xml:space="preserve"> </w:t>
      </w:r>
      <w:r w:rsidR="00C51375">
        <w:rPr>
          <w:rStyle w:val="VodilnistavekUMAR"/>
          <w:b w:val="0"/>
          <w:bCs/>
        </w:rPr>
        <w:t>Neto dobiček iz poslovanja se je, po visoki 36,1-odstotni rasti v letu 2021, povečal za 17,6 %</w:t>
      </w:r>
      <w:r w:rsidR="005C075C">
        <w:rPr>
          <w:rStyle w:val="VodilnistavekUMAR"/>
          <w:b w:val="0"/>
          <w:bCs/>
        </w:rPr>
        <w:t xml:space="preserve"> na 2.706,4</w:t>
      </w:r>
      <w:r w:rsidR="00083FBA">
        <w:rPr>
          <w:rStyle w:val="VodilnistavekUMAR"/>
          <w:b w:val="0"/>
          <w:bCs/>
        </w:rPr>
        <w:t> </w:t>
      </w:r>
      <w:r w:rsidR="005C075C">
        <w:rPr>
          <w:rStyle w:val="VodilnistavekUMAR"/>
          <w:b w:val="0"/>
          <w:bCs/>
        </w:rPr>
        <w:t>mio</w:t>
      </w:r>
      <w:r w:rsidR="00083FBA">
        <w:rPr>
          <w:rStyle w:val="VodilnistavekUMAR"/>
          <w:b w:val="0"/>
          <w:bCs/>
        </w:rPr>
        <w:t> </w:t>
      </w:r>
      <w:r w:rsidR="005C075C">
        <w:rPr>
          <w:rStyle w:val="VodilnistavekUMAR"/>
          <w:b w:val="0"/>
          <w:bCs/>
        </w:rPr>
        <w:t>EUR</w:t>
      </w:r>
      <w:r w:rsidR="00C51375">
        <w:rPr>
          <w:rStyle w:val="VodilnistavekUMAR"/>
          <w:b w:val="0"/>
          <w:bCs/>
        </w:rPr>
        <w:t xml:space="preserve">. </w:t>
      </w:r>
      <w:r w:rsidR="001035C2">
        <w:rPr>
          <w:rStyle w:val="VodilnistavekUMAR"/>
          <w:b w:val="0"/>
          <w:bCs/>
        </w:rPr>
        <w:t>Okoli petino</w:t>
      </w:r>
      <w:r w:rsidR="00C51375">
        <w:rPr>
          <w:rStyle w:val="VodilnistavekUMAR"/>
          <w:b w:val="0"/>
          <w:bCs/>
        </w:rPr>
        <w:t xml:space="preserve"> neto dobičk</w:t>
      </w:r>
      <w:r w:rsidR="001035C2">
        <w:rPr>
          <w:rStyle w:val="VodilnistavekUMAR"/>
          <w:b w:val="0"/>
          <w:bCs/>
        </w:rPr>
        <w:t>a</w:t>
      </w:r>
      <w:r w:rsidR="00C51375">
        <w:rPr>
          <w:rStyle w:val="VodilnistavekUMAR"/>
          <w:b w:val="0"/>
          <w:bCs/>
        </w:rPr>
        <w:t xml:space="preserve"> iz poslovanja </w:t>
      </w:r>
      <w:r w:rsidR="00C80AD7">
        <w:rPr>
          <w:rStyle w:val="VodilnistavekUMAR"/>
          <w:b w:val="0"/>
          <w:bCs/>
        </w:rPr>
        <w:t xml:space="preserve">predelovalnih družb </w:t>
      </w:r>
      <w:r w:rsidR="001035C2">
        <w:rPr>
          <w:rStyle w:val="VodilnistavekUMAR"/>
          <w:b w:val="0"/>
          <w:bCs/>
        </w:rPr>
        <w:t xml:space="preserve">so v zadnjih dveh letih </w:t>
      </w:r>
      <w:r w:rsidR="00C51375">
        <w:rPr>
          <w:rStyle w:val="VodilnistavekUMAR"/>
          <w:b w:val="0"/>
          <w:bCs/>
        </w:rPr>
        <w:t>ustvari</w:t>
      </w:r>
      <w:r w:rsidR="001035C2">
        <w:rPr>
          <w:rStyle w:val="VodilnistavekUMAR"/>
          <w:b w:val="0"/>
          <w:bCs/>
        </w:rPr>
        <w:t>le</w:t>
      </w:r>
      <w:r w:rsidR="00C51375">
        <w:rPr>
          <w:rStyle w:val="VodilnistavekUMAR"/>
          <w:b w:val="0"/>
          <w:bCs/>
        </w:rPr>
        <w:t xml:space="preserve"> farmacevtske družbe, </w:t>
      </w:r>
      <w:r w:rsidR="00C80AD7">
        <w:rPr>
          <w:rStyle w:val="VodilnistavekUMAR"/>
          <w:b w:val="0"/>
          <w:bCs/>
        </w:rPr>
        <w:t>v letu 2022 so ga povečale za četrtino</w:t>
      </w:r>
      <w:r w:rsidR="00E4304E">
        <w:rPr>
          <w:rStyle w:val="VodilnistavekUMAR"/>
          <w:b w:val="0"/>
          <w:bCs/>
        </w:rPr>
        <w:t xml:space="preserve">, </w:t>
      </w:r>
      <w:r w:rsidR="00C80AD7">
        <w:rPr>
          <w:rStyle w:val="VodilnistavekUMAR"/>
          <w:b w:val="0"/>
          <w:bCs/>
        </w:rPr>
        <w:t>po zmanjšanju v letu 2021</w:t>
      </w:r>
      <w:r w:rsidR="001035C2">
        <w:rPr>
          <w:rStyle w:val="VodilnistavekUMAR"/>
          <w:b w:val="0"/>
          <w:bCs/>
        </w:rPr>
        <w:t>.</w:t>
      </w:r>
      <w:r w:rsidR="00C80AD7">
        <w:rPr>
          <w:rStyle w:val="VodilnistavekUMAR"/>
          <w:b w:val="0"/>
          <w:bCs/>
        </w:rPr>
        <w:t xml:space="preserve"> </w:t>
      </w:r>
      <w:r w:rsidR="001035C2">
        <w:rPr>
          <w:rStyle w:val="VodilnistavekUMAR"/>
          <w:b w:val="0"/>
          <w:bCs/>
        </w:rPr>
        <w:t xml:space="preserve">Po </w:t>
      </w:r>
      <w:r w:rsidR="003B3DF2">
        <w:rPr>
          <w:rStyle w:val="VodilnistavekUMAR"/>
          <w:b w:val="0"/>
          <w:bCs/>
        </w:rPr>
        <w:t>zmanjševanju</w:t>
      </w:r>
      <w:r w:rsidR="001035C2">
        <w:rPr>
          <w:rStyle w:val="VodilnistavekUMAR"/>
          <w:b w:val="0"/>
          <w:bCs/>
        </w:rPr>
        <w:t xml:space="preserve"> v let</w:t>
      </w:r>
      <w:r w:rsidR="003B3DF2">
        <w:rPr>
          <w:rStyle w:val="VodilnistavekUMAR"/>
          <w:b w:val="0"/>
          <w:bCs/>
        </w:rPr>
        <w:t>ih 2018–</w:t>
      </w:r>
      <w:r w:rsidR="001035C2">
        <w:rPr>
          <w:rStyle w:val="VodilnistavekUMAR"/>
          <w:b w:val="0"/>
          <w:bCs/>
        </w:rPr>
        <w:t>2020 se je precej povečal neto dobiček iz poslovanja kovinskih družb (</w:t>
      </w:r>
      <w:r w:rsidR="0087011C">
        <w:rPr>
          <w:rStyle w:val="VodilnistavekUMAR"/>
          <w:b w:val="0"/>
          <w:bCs/>
        </w:rPr>
        <w:t xml:space="preserve">družb iz </w:t>
      </w:r>
      <w:r w:rsidR="001035C2">
        <w:rPr>
          <w:rStyle w:val="VodilnistavekUMAR"/>
          <w:b w:val="0"/>
          <w:bCs/>
        </w:rPr>
        <w:t>proizvodnj</w:t>
      </w:r>
      <w:r w:rsidR="0087011C">
        <w:rPr>
          <w:rStyle w:val="VodilnistavekUMAR"/>
          <w:b w:val="0"/>
          <w:bCs/>
        </w:rPr>
        <w:t>e</w:t>
      </w:r>
      <w:r w:rsidR="001035C2">
        <w:rPr>
          <w:rStyle w:val="VodilnistavekUMAR"/>
          <w:b w:val="0"/>
          <w:bCs/>
        </w:rPr>
        <w:t xml:space="preserve"> kovin in proizvodnj</w:t>
      </w:r>
      <w:r w:rsidR="0087011C">
        <w:rPr>
          <w:rStyle w:val="VodilnistavekUMAR"/>
          <w:b w:val="0"/>
          <w:bCs/>
        </w:rPr>
        <w:t>e</w:t>
      </w:r>
      <w:r w:rsidR="001035C2">
        <w:rPr>
          <w:rStyle w:val="VodilnistavekUMAR"/>
          <w:b w:val="0"/>
          <w:bCs/>
        </w:rPr>
        <w:t xml:space="preserve"> kovinskih izdelkov), ki so v letu 2022 </w:t>
      </w:r>
      <w:r w:rsidR="00083FBA">
        <w:rPr>
          <w:rStyle w:val="VodilnistavekUMAR"/>
          <w:b w:val="0"/>
          <w:bCs/>
        </w:rPr>
        <w:t xml:space="preserve">(znova po letu 2016) </w:t>
      </w:r>
      <w:r w:rsidR="001035C2">
        <w:rPr>
          <w:rStyle w:val="VodilnistavekUMAR"/>
          <w:b w:val="0"/>
          <w:bCs/>
        </w:rPr>
        <w:t>skupaj ustvarile večji neto dobiček iz poslovanja kot farmacevtsk</w:t>
      </w:r>
      <w:r w:rsidR="0087011C">
        <w:rPr>
          <w:rStyle w:val="VodilnistavekUMAR"/>
          <w:b w:val="0"/>
          <w:bCs/>
        </w:rPr>
        <w:t>e</w:t>
      </w:r>
      <w:r w:rsidR="001035C2">
        <w:rPr>
          <w:rStyle w:val="VodilnistavekUMAR"/>
          <w:b w:val="0"/>
          <w:bCs/>
        </w:rPr>
        <w:t xml:space="preserve"> družbe. </w:t>
      </w:r>
      <w:r w:rsidR="00C718C3">
        <w:rPr>
          <w:rStyle w:val="VodilnistavekUMAR"/>
          <w:b w:val="0"/>
          <w:bCs/>
        </w:rPr>
        <w:t>N</w:t>
      </w:r>
      <w:r w:rsidR="001035C2">
        <w:rPr>
          <w:rStyle w:val="VodilnistavekUMAR"/>
          <w:b w:val="0"/>
          <w:bCs/>
        </w:rPr>
        <w:t xml:space="preserve">eto dobiček iz poslovanja so povečale </w:t>
      </w:r>
      <w:r w:rsidR="0087011C">
        <w:rPr>
          <w:rStyle w:val="VodilnistavekUMAR"/>
          <w:b w:val="0"/>
          <w:bCs/>
        </w:rPr>
        <w:t xml:space="preserve">tudi </w:t>
      </w:r>
      <w:r w:rsidR="001035C2">
        <w:rPr>
          <w:rStyle w:val="VodilnistavekUMAR"/>
          <w:b w:val="0"/>
          <w:bCs/>
        </w:rPr>
        <w:t>družbe iz večine ostalih predelovalnih</w:t>
      </w:r>
      <w:r w:rsidR="00C718C3">
        <w:rPr>
          <w:rStyle w:val="VodilnistavekUMAR"/>
          <w:b w:val="0"/>
          <w:bCs/>
        </w:rPr>
        <w:t xml:space="preserve"> </w:t>
      </w:r>
      <w:r w:rsidR="001035C2">
        <w:rPr>
          <w:rStyle w:val="VodilnistavekUMAR"/>
          <w:b w:val="0"/>
          <w:bCs/>
        </w:rPr>
        <w:t xml:space="preserve">dejavnosti, </w:t>
      </w:r>
      <w:r w:rsidR="0087011C">
        <w:rPr>
          <w:rStyle w:val="VodilnistavekUMAR"/>
          <w:b w:val="0"/>
          <w:bCs/>
        </w:rPr>
        <w:t xml:space="preserve">nižjega so ustvarile </w:t>
      </w:r>
      <w:r w:rsidR="004E18ED">
        <w:rPr>
          <w:rStyle w:val="VodilnistavekUMAR"/>
          <w:b w:val="0"/>
          <w:bCs/>
        </w:rPr>
        <w:t xml:space="preserve">le </w:t>
      </w:r>
      <w:r w:rsidR="0087011C">
        <w:rPr>
          <w:rStyle w:val="VodilnistavekUMAR"/>
          <w:b w:val="0"/>
          <w:bCs/>
        </w:rPr>
        <w:t xml:space="preserve">družbe </w:t>
      </w:r>
      <w:r w:rsidR="004E18ED">
        <w:rPr>
          <w:rStyle w:val="VodilnistavekUMAR"/>
          <w:b w:val="0"/>
          <w:bCs/>
        </w:rPr>
        <w:t xml:space="preserve">v srednje visoko tehnološko zahtevnih </w:t>
      </w:r>
      <w:r w:rsidR="001035C2">
        <w:rPr>
          <w:rStyle w:val="VodilnistavekUMAR"/>
          <w:b w:val="0"/>
          <w:bCs/>
        </w:rPr>
        <w:t>proizvodnji vozil in plovil in kemični industriji</w:t>
      </w:r>
      <w:r w:rsidR="00C718C3">
        <w:rPr>
          <w:rStyle w:val="VodilnistavekUMAR"/>
          <w:b w:val="0"/>
          <w:bCs/>
        </w:rPr>
        <w:t xml:space="preserve"> ter </w:t>
      </w:r>
      <w:r w:rsidR="004E18ED">
        <w:rPr>
          <w:rStyle w:val="VodilnistavekUMAR"/>
          <w:b w:val="0"/>
          <w:bCs/>
        </w:rPr>
        <w:t xml:space="preserve">v nizko tehnološko zahtevni in v strukturi manj pomembni </w:t>
      </w:r>
      <w:r w:rsidR="00C718C3">
        <w:rPr>
          <w:rStyle w:val="VodilnistavekUMAR"/>
          <w:b w:val="0"/>
          <w:bCs/>
        </w:rPr>
        <w:t>pohištveni industriji</w:t>
      </w:r>
      <w:r w:rsidR="001035C2">
        <w:rPr>
          <w:rStyle w:val="VodilnistavekUMAR"/>
          <w:b w:val="0"/>
          <w:bCs/>
        </w:rPr>
        <w:t xml:space="preserve">. </w:t>
      </w:r>
      <w:r w:rsidR="004E18ED">
        <w:rPr>
          <w:rStyle w:val="VodilnistavekUMAR"/>
          <w:b w:val="0"/>
          <w:bCs/>
        </w:rPr>
        <w:t>R</w:t>
      </w:r>
      <w:r w:rsidR="001035C2">
        <w:rPr>
          <w:rStyle w:val="VodilnistavekUMAR"/>
          <w:b w:val="0"/>
          <w:bCs/>
        </w:rPr>
        <w:t>ekorden neto dobiček iz poslovanja</w:t>
      </w:r>
      <w:r w:rsidR="004E18ED">
        <w:rPr>
          <w:rStyle w:val="VodilnistavekUMAR"/>
          <w:b w:val="0"/>
          <w:bCs/>
        </w:rPr>
        <w:t xml:space="preserve"> kemičnih družb v letu 2021 se je skrčil </w:t>
      </w:r>
      <w:r w:rsidR="001035C2">
        <w:rPr>
          <w:rStyle w:val="VodilnistavekUMAR"/>
          <w:b w:val="0"/>
          <w:bCs/>
        </w:rPr>
        <w:t>za 17,5 %</w:t>
      </w:r>
      <w:r w:rsidR="004E18ED">
        <w:rPr>
          <w:rStyle w:val="VodilnistavekUMAR"/>
          <w:b w:val="0"/>
          <w:bCs/>
        </w:rPr>
        <w:t>, a</w:t>
      </w:r>
      <w:r w:rsidR="001035C2">
        <w:rPr>
          <w:rStyle w:val="VodilnistavekUMAR"/>
          <w:b w:val="0"/>
          <w:bCs/>
        </w:rPr>
        <w:t xml:space="preserve"> je ostal višji kot v obdobju pred </w:t>
      </w:r>
      <w:r w:rsidR="004E18ED">
        <w:rPr>
          <w:rStyle w:val="VodilnistavekUMAR"/>
          <w:b w:val="0"/>
          <w:bCs/>
        </w:rPr>
        <w:t xml:space="preserve">letom </w:t>
      </w:r>
      <w:r w:rsidR="001035C2">
        <w:rPr>
          <w:rStyle w:val="VodilnistavekUMAR"/>
          <w:b w:val="0"/>
          <w:bCs/>
        </w:rPr>
        <w:t>2021</w:t>
      </w:r>
      <w:r w:rsidR="00C718C3">
        <w:rPr>
          <w:rStyle w:val="VodilnistavekUMAR"/>
          <w:b w:val="0"/>
          <w:bCs/>
        </w:rPr>
        <w:t xml:space="preserve">. </w:t>
      </w:r>
      <w:r w:rsidR="0087011C">
        <w:rPr>
          <w:rStyle w:val="VodilnistavekUMAR"/>
          <w:b w:val="0"/>
          <w:bCs/>
        </w:rPr>
        <w:t>Neto dobiček iz poslovanja d</w:t>
      </w:r>
      <w:r w:rsidR="00C718C3">
        <w:rPr>
          <w:rStyle w:val="VodilnistavekUMAR"/>
          <w:b w:val="0"/>
          <w:bCs/>
        </w:rPr>
        <w:t>ružb iz proizvodnje motornih vozil</w:t>
      </w:r>
      <w:r w:rsidR="0087011C">
        <w:rPr>
          <w:rStyle w:val="VodilnistavekUMAR"/>
          <w:b w:val="0"/>
          <w:bCs/>
        </w:rPr>
        <w:t>, ki</w:t>
      </w:r>
      <w:r w:rsidR="00C718C3">
        <w:rPr>
          <w:rStyle w:val="VodilnistavekUMAR"/>
          <w:b w:val="0"/>
          <w:bCs/>
        </w:rPr>
        <w:t xml:space="preserve"> s</w:t>
      </w:r>
      <w:r w:rsidR="0087011C">
        <w:rPr>
          <w:rStyle w:val="VodilnistavekUMAR"/>
          <w:b w:val="0"/>
          <w:bCs/>
        </w:rPr>
        <w:t>e je</w:t>
      </w:r>
      <w:r w:rsidR="00C718C3">
        <w:rPr>
          <w:rStyle w:val="VodilnistavekUMAR"/>
          <w:b w:val="0"/>
          <w:bCs/>
        </w:rPr>
        <w:t xml:space="preserve"> od leta 2017 do 2020 zmanjševal, </w:t>
      </w:r>
      <w:r w:rsidR="0087011C">
        <w:rPr>
          <w:rStyle w:val="VodilnistavekUMAR"/>
          <w:b w:val="0"/>
          <w:bCs/>
        </w:rPr>
        <w:t xml:space="preserve">se je </w:t>
      </w:r>
      <w:r w:rsidR="00C718C3">
        <w:rPr>
          <w:rStyle w:val="VodilnistavekUMAR"/>
          <w:b w:val="0"/>
          <w:bCs/>
        </w:rPr>
        <w:t xml:space="preserve">po povečanju v </w:t>
      </w:r>
      <w:r w:rsidR="0087011C">
        <w:rPr>
          <w:rStyle w:val="VodilnistavekUMAR"/>
          <w:b w:val="0"/>
          <w:bCs/>
        </w:rPr>
        <w:t xml:space="preserve">letu </w:t>
      </w:r>
      <w:r w:rsidR="00C718C3">
        <w:rPr>
          <w:rStyle w:val="VodilnistavekUMAR"/>
          <w:b w:val="0"/>
          <w:bCs/>
        </w:rPr>
        <w:t xml:space="preserve">2021 </w:t>
      </w:r>
      <w:r w:rsidR="00C80AD7">
        <w:rPr>
          <w:rStyle w:val="VodilnistavekUMAR"/>
          <w:b w:val="0"/>
          <w:bCs/>
        </w:rPr>
        <w:t xml:space="preserve">znova </w:t>
      </w:r>
      <w:r w:rsidR="00C718C3">
        <w:rPr>
          <w:rStyle w:val="VodilnistavekUMAR"/>
          <w:b w:val="0"/>
          <w:bCs/>
        </w:rPr>
        <w:t>zmanjšal (za 27,2 %). Družbe iz proizvodnje drugih vozil in plovil</w:t>
      </w:r>
      <w:r w:rsidR="00271AEA">
        <w:rPr>
          <w:rStyle w:val="VodilnistavekUMAR"/>
          <w:b w:val="0"/>
          <w:bCs/>
        </w:rPr>
        <w:t>, ki so od leta 2015 izboljševale neto rezultat iz poslovanja,</w:t>
      </w:r>
      <w:r w:rsidR="00C718C3">
        <w:rPr>
          <w:rStyle w:val="VodilnistavekUMAR"/>
          <w:b w:val="0"/>
          <w:bCs/>
        </w:rPr>
        <w:t xml:space="preserve"> </w:t>
      </w:r>
      <w:r w:rsidR="0087011C">
        <w:rPr>
          <w:rStyle w:val="VodilnistavekUMAR"/>
          <w:b w:val="0"/>
          <w:bCs/>
        </w:rPr>
        <w:t xml:space="preserve">pa </w:t>
      </w:r>
      <w:r w:rsidR="00C718C3">
        <w:rPr>
          <w:rStyle w:val="VodilnistavekUMAR"/>
          <w:b w:val="0"/>
          <w:bCs/>
        </w:rPr>
        <w:t xml:space="preserve">so znova po letu 2014 poslovale z neto izgubo iz poslovanja. </w:t>
      </w:r>
    </w:p>
    <w:p w14:paraId="14736A34" w14:textId="0EF8C5CE" w:rsidR="00453390" w:rsidRDefault="00453390" w:rsidP="00C51375">
      <w:pPr>
        <w:pStyle w:val="Caption"/>
      </w:pPr>
      <w:bookmarkStart w:id="6" w:name="_Ref139530818"/>
      <w:r w:rsidRPr="00B26F04">
        <w:t xml:space="preserve">Slika </w:t>
      </w:r>
      <w:r w:rsidRPr="00B26F04">
        <w:fldChar w:fldCharType="begin"/>
      </w:r>
      <w:r w:rsidRPr="00B26F04">
        <w:instrText xml:space="preserve"> SEQ Slika \* ARABIC </w:instrText>
      </w:r>
      <w:r w:rsidRPr="00B26F04">
        <w:fldChar w:fldCharType="separate"/>
      </w:r>
      <w:r w:rsidR="00C51375">
        <w:t>10</w:t>
      </w:r>
      <w:r w:rsidRPr="00B26F04">
        <w:fldChar w:fldCharType="end"/>
      </w:r>
      <w:bookmarkEnd w:id="6"/>
      <w:r w:rsidRPr="00B26F04">
        <w:t xml:space="preserve">: </w:t>
      </w:r>
      <w:r w:rsidR="00C32C16">
        <w:t xml:space="preserve">Neto dobiček iz poslovanja </w:t>
      </w:r>
      <w:r w:rsidR="00A1411F">
        <w:t>predelovalnih družb se je v letu 2022 še povečal</w:t>
      </w:r>
      <w:r w:rsidR="00B94E0E">
        <w:t xml:space="preserve">, </w:t>
      </w:r>
      <w:r w:rsidR="00A1411F">
        <w:t>največ so k temu prispevale farmacevtske in kovinske družbe</w:t>
      </w:r>
      <w:r w:rsidR="00543774">
        <w:t xml:space="preserve"> </w:t>
      </w:r>
    </w:p>
    <w:p w14:paraId="098D0CE1" w14:textId="78F153D4" w:rsidR="00F2792B" w:rsidRDefault="00DA18D7" w:rsidP="0052292F">
      <w:pPr>
        <w:pStyle w:val="BesediloUMAR"/>
      </w:pPr>
      <w:r>
        <w:rPr>
          <w:noProof/>
        </w:rPr>
        <w:drawing>
          <wp:inline distT="0" distB="0" distL="0" distR="0" wp14:anchorId="46DB399D" wp14:editId="723E9303">
            <wp:extent cx="5774400" cy="276120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74400" cy="2761200"/>
                    </a:xfrm>
                    <a:prstGeom prst="rect">
                      <a:avLst/>
                    </a:prstGeom>
                    <a:noFill/>
                  </pic:spPr>
                </pic:pic>
              </a:graphicData>
            </a:graphic>
          </wp:inline>
        </w:drawing>
      </w:r>
    </w:p>
    <w:p w14:paraId="7CFAE6B8" w14:textId="1F8E9EBE" w:rsidR="008E1BC5" w:rsidRDefault="008E1BC5" w:rsidP="008E1BC5">
      <w:pPr>
        <w:pStyle w:val="VirUMAR"/>
      </w:pPr>
      <w:r>
        <w:t xml:space="preserve">Vir: </w:t>
      </w:r>
      <w:r w:rsidR="004C62D0" w:rsidRPr="004B5A7C">
        <w:t>AJPES (</w:t>
      </w:r>
      <w:r w:rsidR="004C62D0">
        <w:t>202</w:t>
      </w:r>
      <w:r w:rsidR="009F3C2D">
        <w:t>3</w:t>
      </w:r>
      <w:r w:rsidR="004C62D0" w:rsidRPr="00923B83">
        <w:t>)</w:t>
      </w:r>
      <w:r w:rsidR="004C62D0">
        <w:t>, lastni izračuni</w:t>
      </w:r>
      <w:r>
        <w:t>.</w:t>
      </w:r>
      <w:r w:rsidRPr="00923B83">
        <w:t xml:space="preserve"> </w:t>
      </w:r>
    </w:p>
    <w:p w14:paraId="259AB1AC" w14:textId="77777777" w:rsidR="008E1BC5" w:rsidRDefault="008E1BC5" w:rsidP="0052292F">
      <w:pPr>
        <w:pStyle w:val="BesediloUMAR"/>
      </w:pPr>
    </w:p>
    <w:p w14:paraId="04220B6C" w14:textId="5AFCFBF6" w:rsidR="00246349" w:rsidRDefault="004215D0" w:rsidP="0052292F">
      <w:pPr>
        <w:pStyle w:val="BesediloUMAR"/>
      </w:pPr>
      <w:r w:rsidRPr="004215D0">
        <w:rPr>
          <w:b/>
          <w:bCs/>
        </w:rPr>
        <w:t>Predelovalne družbe so nadalje izboljšale tudi neto rezultat iz financiranja</w:t>
      </w:r>
      <w:r w:rsidR="00616516">
        <w:rPr>
          <w:b/>
          <w:bCs/>
        </w:rPr>
        <w:t xml:space="preserve"> in</w:t>
      </w:r>
      <w:r w:rsidRPr="004215D0">
        <w:rPr>
          <w:b/>
          <w:bCs/>
        </w:rPr>
        <w:t xml:space="preserve"> prvič v opazovanem obdobju ustvarile neto dobiček</w:t>
      </w:r>
      <w:r w:rsidR="001A4191">
        <w:rPr>
          <w:b/>
          <w:bCs/>
        </w:rPr>
        <w:t xml:space="preserve"> </w:t>
      </w:r>
      <w:r w:rsidR="009E1CB9">
        <w:rPr>
          <w:b/>
          <w:bCs/>
        </w:rPr>
        <w:t xml:space="preserve">iz financiranja </w:t>
      </w:r>
      <w:r w:rsidR="001A4191">
        <w:rPr>
          <w:b/>
          <w:bCs/>
        </w:rPr>
        <w:t>v višini 89,1</w:t>
      </w:r>
      <w:r w:rsidR="00543774">
        <w:rPr>
          <w:b/>
          <w:bCs/>
        </w:rPr>
        <w:t> </w:t>
      </w:r>
      <w:r w:rsidR="001A4191">
        <w:rPr>
          <w:b/>
          <w:bCs/>
        </w:rPr>
        <w:t>mio</w:t>
      </w:r>
      <w:r w:rsidR="00543774">
        <w:rPr>
          <w:b/>
          <w:bCs/>
        </w:rPr>
        <w:t> </w:t>
      </w:r>
      <w:r w:rsidR="001A4191">
        <w:rPr>
          <w:b/>
          <w:bCs/>
        </w:rPr>
        <w:t>EUR</w:t>
      </w:r>
      <w:r w:rsidRPr="004215D0">
        <w:rPr>
          <w:b/>
          <w:bCs/>
        </w:rPr>
        <w:t>.</w:t>
      </w:r>
      <w:r>
        <w:t xml:space="preserve"> </w:t>
      </w:r>
      <w:r w:rsidR="005373E0">
        <w:t>Finančni prihodki predelovalnih družb so se precej povečali (za 83,1 %), finančni odhodki, ki so se leto prej zmanjšali, pa za 29,8 %</w:t>
      </w:r>
      <w:r w:rsidR="00543774">
        <w:rPr>
          <w:rStyle w:val="FootnoteReference"/>
        </w:rPr>
        <w:footnoteReference w:id="9"/>
      </w:r>
      <w:r w:rsidR="005373E0">
        <w:t xml:space="preserve">. </w:t>
      </w:r>
      <w:r w:rsidR="009E1CB9">
        <w:t>Rast finančnih prihodkov se je umirila le v d</w:t>
      </w:r>
      <w:r w:rsidR="005373E0">
        <w:t>ružb</w:t>
      </w:r>
      <w:r w:rsidR="009E1CB9">
        <w:t>ah</w:t>
      </w:r>
      <w:r w:rsidR="005373E0">
        <w:t xml:space="preserve"> iz srednje nizko tehnološko zahtevnih proizvodnje nekovinskih mineralnih izdelkov in proizvodnje kovin. Skupaj z višj</w:t>
      </w:r>
      <w:r w:rsidR="009E1CB9">
        <w:t>o rastjo</w:t>
      </w:r>
      <w:r w:rsidR="005373E0">
        <w:t xml:space="preserve"> finančni</w:t>
      </w:r>
      <w:r w:rsidR="009E1CB9">
        <w:t>h</w:t>
      </w:r>
      <w:r w:rsidR="005373E0">
        <w:t xml:space="preserve"> odhodk</w:t>
      </w:r>
      <w:r w:rsidR="009E1CB9">
        <w:t>ov</w:t>
      </w:r>
      <w:r w:rsidR="005373E0">
        <w:t xml:space="preserve"> so družbe iz proizvodnje nekovinskih mineralnih izdelkov, ki so v letih 2016–2021 imele neto dobiček iz financiranja, imele neto finančno izgubo. </w:t>
      </w:r>
      <w:r w:rsidR="00616516">
        <w:t>D</w:t>
      </w:r>
      <w:r w:rsidR="005373E0">
        <w:t xml:space="preserve">ružbe iz proizvodnje kovin </w:t>
      </w:r>
      <w:r w:rsidR="00616516">
        <w:t>pa so ob nižji</w:t>
      </w:r>
      <w:r w:rsidR="009E1CB9">
        <w:t xml:space="preserve"> rasti</w:t>
      </w:r>
      <w:r w:rsidR="00616516">
        <w:t xml:space="preserve"> finančnih odhodk</w:t>
      </w:r>
      <w:r w:rsidR="009E1CB9">
        <w:t>ov</w:t>
      </w:r>
      <w:r w:rsidR="00616516">
        <w:t xml:space="preserve"> </w:t>
      </w:r>
      <w:r w:rsidR="005373E0">
        <w:t>zmanjšale neto izgubo iz financiranja</w:t>
      </w:r>
      <w:r w:rsidR="00395D5C">
        <w:t>, ki je bila najmanjša v opazovanem obdobju.</w:t>
      </w:r>
      <w:r w:rsidR="005373E0">
        <w:t xml:space="preserve"> Finančni prihodki so se močno povečali d</w:t>
      </w:r>
      <w:r>
        <w:t>ružb</w:t>
      </w:r>
      <w:r w:rsidR="005373E0">
        <w:t>am</w:t>
      </w:r>
      <w:r>
        <w:t xml:space="preserve"> iz visoko tehno</w:t>
      </w:r>
      <w:r w:rsidR="005373E0">
        <w:t>l</w:t>
      </w:r>
      <w:r>
        <w:t>oško zahtevnih farmacevtsk</w:t>
      </w:r>
      <w:r w:rsidR="005373E0">
        <w:t>e</w:t>
      </w:r>
      <w:r>
        <w:t xml:space="preserve"> industrije in proizvodnje IKT opreme</w:t>
      </w:r>
      <w:r w:rsidR="00616516">
        <w:t xml:space="preserve"> (v povprečju za 147,8 %)</w:t>
      </w:r>
      <w:r w:rsidR="005373E0">
        <w:t>, ki</w:t>
      </w:r>
      <w:r>
        <w:t xml:space="preserve"> so neto dobiček iz financiranja najbolj povečale </w:t>
      </w:r>
      <w:r w:rsidR="000B7FD2">
        <w:t xml:space="preserve">(farmacevtske družbe so imele tudi nižje finančne odhodke) </w:t>
      </w:r>
      <w:r>
        <w:t>in tudi največ prispevale k izboljšanju neto rezultata iz financiranja</w:t>
      </w:r>
      <w:r w:rsidR="005373E0">
        <w:t xml:space="preserve"> predelovalnih družb</w:t>
      </w:r>
      <w:r>
        <w:t xml:space="preserve">. Neto rezultat iz financiranja so </w:t>
      </w:r>
      <w:r w:rsidR="005373E0">
        <w:t xml:space="preserve">večinoma na račun višjih finančnih prihodkov </w:t>
      </w:r>
      <w:r>
        <w:t xml:space="preserve">vidneje izboljšale tudi družbe iz nekaterih nizko (družbe iz proizvodnje živil, drugih raznovrstnih predelovalnih dejavnosti), srednje nizko (gumarske družbe) </w:t>
      </w:r>
      <w:r w:rsidR="00395D5C">
        <w:t>in</w:t>
      </w:r>
      <w:r>
        <w:t xml:space="preserve"> srednje visoko tehnološko zahtevnih panog (družbe iz proizvodnje motornih vozil).</w:t>
      </w:r>
    </w:p>
    <w:p w14:paraId="0646CE53" w14:textId="5E8BE439" w:rsidR="00385D75" w:rsidRDefault="00385D75" w:rsidP="00385D75">
      <w:pPr>
        <w:pStyle w:val="Caption"/>
      </w:pPr>
      <w:r w:rsidRPr="00B26F04">
        <w:t xml:space="preserve">Slika </w:t>
      </w:r>
      <w:r w:rsidRPr="00B26F04">
        <w:fldChar w:fldCharType="begin"/>
      </w:r>
      <w:r w:rsidRPr="00B26F04">
        <w:instrText xml:space="preserve"> SEQ Slika \* ARABIC </w:instrText>
      </w:r>
      <w:r w:rsidRPr="00B26F04">
        <w:fldChar w:fldCharType="separate"/>
      </w:r>
      <w:r>
        <w:t>11</w:t>
      </w:r>
      <w:r w:rsidRPr="00B26F04">
        <w:fldChar w:fldCharType="end"/>
      </w:r>
      <w:r w:rsidRPr="00B26F04">
        <w:t xml:space="preserve">: </w:t>
      </w:r>
      <w:r>
        <w:t xml:space="preserve">Predelovalne družbe so ob </w:t>
      </w:r>
      <w:r w:rsidR="009E1CB9">
        <w:t xml:space="preserve">visoki </w:t>
      </w:r>
      <w:r>
        <w:t xml:space="preserve">rasti finančnih prihodkov </w:t>
      </w:r>
      <w:r w:rsidR="009B26EB">
        <w:t xml:space="preserve">prvič v opazovanem obdobju </w:t>
      </w:r>
      <w:r>
        <w:t xml:space="preserve">ustvarile neto dobiček iz financiranja </w:t>
      </w:r>
    </w:p>
    <w:p w14:paraId="135D3037" w14:textId="251474A4" w:rsidR="00385D75" w:rsidRDefault="0042100E" w:rsidP="0052292F">
      <w:pPr>
        <w:pStyle w:val="BesediloUMAR"/>
      </w:pPr>
      <w:r w:rsidRPr="0042100E">
        <w:rPr>
          <w:noProof/>
        </w:rPr>
        <w:drawing>
          <wp:inline distT="0" distB="0" distL="0" distR="0" wp14:anchorId="5D526AF1" wp14:editId="430D9C21">
            <wp:extent cx="5760000" cy="2008800"/>
            <wp:effectExtent l="0" t="0" r="0" b="0"/>
            <wp:docPr id="10100349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000" cy="2008800"/>
                    </a:xfrm>
                    <a:prstGeom prst="rect">
                      <a:avLst/>
                    </a:prstGeom>
                    <a:noFill/>
                    <a:ln>
                      <a:noFill/>
                    </a:ln>
                  </pic:spPr>
                </pic:pic>
              </a:graphicData>
            </a:graphic>
          </wp:inline>
        </w:drawing>
      </w:r>
    </w:p>
    <w:p w14:paraId="28AF0672" w14:textId="46D9ACDA" w:rsidR="00616516" w:rsidRDefault="000B7FD2" w:rsidP="009B26EB">
      <w:pPr>
        <w:pStyle w:val="VirUMAR"/>
      </w:pPr>
      <w:r>
        <w:t xml:space="preserve">Vir: </w:t>
      </w:r>
      <w:r w:rsidRPr="004B5A7C">
        <w:t>AJPES (</w:t>
      </w:r>
      <w:r>
        <w:t>2023</w:t>
      </w:r>
      <w:r w:rsidRPr="00923B83">
        <w:t>)</w:t>
      </w:r>
      <w:r>
        <w:t>, lastni izračuni.</w:t>
      </w:r>
      <w:r w:rsidRPr="00923B83">
        <w:t xml:space="preserve"> </w:t>
      </w:r>
    </w:p>
    <w:p w14:paraId="64E525DA" w14:textId="651FC38D" w:rsidR="000B7FD2" w:rsidRPr="00894E6F" w:rsidRDefault="009B26EB" w:rsidP="009B26EB">
      <w:pPr>
        <w:pStyle w:val="Caption"/>
        <w:rPr>
          <w:spacing w:val="-1"/>
        </w:rPr>
      </w:pPr>
      <w:r w:rsidRPr="00894E6F">
        <w:rPr>
          <w:spacing w:val="-1"/>
        </w:rPr>
        <w:t xml:space="preserve">Slika </w:t>
      </w:r>
      <w:r w:rsidRPr="00894E6F">
        <w:rPr>
          <w:spacing w:val="-1"/>
        </w:rPr>
        <w:fldChar w:fldCharType="begin"/>
      </w:r>
      <w:r w:rsidRPr="00894E6F">
        <w:rPr>
          <w:spacing w:val="-1"/>
        </w:rPr>
        <w:instrText xml:space="preserve"> SEQ Slika \* ARABIC </w:instrText>
      </w:r>
      <w:r w:rsidRPr="00894E6F">
        <w:rPr>
          <w:spacing w:val="-1"/>
        </w:rPr>
        <w:fldChar w:fldCharType="separate"/>
      </w:r>
      <w:r w:rsidRPr="00894E6F">
        <w:rPr>
          <w:spacing w:val="-1"/>
        </w:rPr>
        <w:t>12</w:t>
      </w:r>
      <w:r w:rsidRPr="00894E6F">
        <w:rPr>
          <w:spacing w:val="-1"/>
        </w:rPr>
        <w:fldChar w:fldCharType="end"/>
      </w:r>
      <w:r w:rsidRPr="00894E6F">
        <w:rPr>
          <w:spacing w:val="-1"/>
        </w:rPr>
        <w:t xml:space="preserve">: </w:t>
      </w:r>
      <w:r w:rsidR="006D6440" w:rsidRPr="00894E6F">
        <w:rPr>
          <w:spacing w:val="-1"/>
        </w:rPr>
        <w:t>K izboljšanju neto rezultata iz financiranja so poleg družb iz visoko tehnološko zahtevnih panog pomembneje prispevale tudi družbe iz proizvodnje kovin, živil, motornih vozil in</w:t>
      </w:r>
      <w:r w:rsidR="0052441B" w:rsidRPr="00894E6F">
        <w:rPr>
          <w:spacing w:val="-1"/>
        </w:rPr>
        <w:t xml:space="preserve"> gumarske industrije</w:t>
      </w:r>
    </w:p>
    <w:p w14:paraId="3D22F6D6" w14:textId="6B930A6B" w:rsidR="000B7FD2" w:rsidRDefault="005E58B5" w:rsidP="0052292F">
      <w:pPr>
        <w:pStyle w:val="BesediloUMAR"/>
      </w:pPr>
      <w:r>
        <w:rPr>
          <w:noProof/>
        </w:rPr>
        <w:drawing>
          <wp:inline distT="0" distB="0" distL="0" distR="0" wp14:anchorId="6C4F23BF" wp14:editId="5E39D9EE">
            <wp:extent cx="2714400" cy="262800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14400" cy="2628000"/>
                    </a:xfrm>
                    <a:prstGeom prst="rect">
                      <a:avLst/>
                    </a:prstGeom>
                    <a:noFill/>
                  </pic:spPr>
                </pic:pic>
              </a:graphicData>
            </a:graphic>
          </wp:inline>
        </w:drawing>
      </w:r>
      <w:r w:rsidR="00894E6F">
        <w:t xml:space="preserve">        </w:t>
      </w:r>
      <w:r>
        <w:rPr>
          <w:noProof/>
        </w:rPr>
        <w:drawing>
          <wp:inline distT="0" distB="0" distL="0" distR="0" wp14:anchorId="395427D7" wp14:editId="6C6A76E5">
            <wp:extent cx="2721600" cy="2638800"/>
            <wp:effectExtent l="0" t="0" r="3175" b="0"/>
            <wp:docPr id="11" name="Picture 11" descr="A graph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aph with text on it&#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21600" cy="2638800"/>
                    </a:xfrm>
                    <a:prstGeom prst="rect">
                      <a:avLst/>
                    </a:prstGeom>
                    <a:noFill/>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0"/>
        <w:gridCol w:w="4530"/>
      </w:tblGrid>
      <w:tr w:rsidR="00894E6F" w14:paraId="65FEC1BB" w14:textId="77777777" w:rsidTr="009509A0">
        <w:tc>
          <w:tcPr>
            <w:tcW w:w="4530" w:type="dxa"/>
          </w:tcPr>
          <w:p w14:paraId="5D304B4F" w14:textId="19835788" w:rsidR="00894E6F" w:rsidRDefault="00894E6F" w:rsidP="0052292F">
            <w:pPr>
              <w:pStyle w:val="BesediloUMAR"/>
            </w:pPr>
            <w:r>
              <w:rPr>
                <w:noProof/>
              </w:rPr>
              <w:drawing>
                <wp:inline distT="0" distB="0" distL="0" distR="0" wp14:anchorId="5EC1A9D0" wp14:editId="4B601D8F">
                  <wp:extent cx="2732400" cy="2649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32400" cy="2649600"/>
                          </a:xfrm>
                          <a:prstGeom prst="rect">
                            <a:avLst/>
                          </a:prstGeom>
                          <a:noFill/>
                        </pic:spPr>
                      </pic:pic>
                    </a:graphicData>
                  </a:graphic>
                </wp:inline>
              </w:drawing>
            </w:r>
          </w:p>
        </w:tc>
        <w:tc>
          <w:tcPr>
            <w:tcW w:w="4530" w:type="dxa"/>
            <w:vAlign w:val="bottom"/>
          </w:tcPr>
          <w:p w14:paraId="573EC211" w14:textId="77777777" w:rsidR="00894E6F" w:rsidRDefault="00894E6F" w:rsidP="009509A0">
            <w:pPr>
              <w:pStyle w:val="VirUMAR"/>
            </w:pPr>
            <w:r>
              <w:t xml:space="preserve">Opomba: Panoge so v vseh grafih razporejene po ustvarjenem neto rezultatu iz financiranja. Vir: </w:t>
            </w:r>
            <w:r w:rsidRPr="004B5A7C">
              <w:t>AJPES (</w:t>
            </w:r>
            <w:r>
              <w:t>2023</w:t>
            </w:r>
            <w:r w:rsidRPr="00923B83">
              <w:t>)</w:t>
            </w:r>
            <w:r>
              <w:t>, lastni izračuni.</w:t>
            </w:r>
            <w:r w:rsidRPr="00923B83">
              <w:t xml:space="preserve"> </w:t>
            </w:r>
          </w:p>
          <w:p w14:paraId="4DD0B989" w14:textId="77777777" w:rsidR="009509A0" w:rsidRDefault="009509A0" w:rsidP="009509A0">
            <w:pPr>
              <w:pStyle w:val="VirUMAR"/>
            </w:pPr>
          </w:p>
          <w:p w14:paraId="20C5F96E" w14:textId="1DA7EA35" w:rsidR="009509A0" w:rsidRDefault="009509A0" w:rsidP="009509A0">
            <w:pPr>
              <w:pStyle w:val="VirUMAR"/>
            </w:pPr>
          </w:p>
        </w:tc>
      </w:tr>
    </w:tbl>
    <w:p w14:paraId="3CB8BF03" w14:textId="4034CDB6" w:rsidR="00246349" w:rsidRDefault="001A4191" w:rsidP="0052292F">
      <w:pPr>
        <w:pStyle w:val="BesediloUMAR"/>
      </w:pPr>
      <w:r w:rsidRPr="001A4191">
        <w:rPr>
          <w:b/>
          <w:bCs/>
        </w:rPr>
        <w:t xml:space="preserve">Skladno z boljšimi </w:t>
      </w:r>
      <w:r w:rsidR="009E1CB9">
        <w:rPr>
          <w:b/>
          <w:bCs/>
        </w:rPr>
        <w:t xml:space="preserve">neto </w:t>
      </w:r>
      <w:r w:rsidRPr="001A4191">
        <w:rPr>
          <w:b/>
          <w:bCs/>
        </w:rPr>
        <w:t>rezultati iz poslovanja in financiranja je bil rekordno visok tudi n</w:t>
      </w:r>
      <w:r w:rsidR="00246349" w:rsidRPr="001A4191">
        <w:rPr>
          <w:b/>
          <w:bCs/>
        </w:rPr>
        <w:t>eto čisti dobiček</w:t>
      </w:r>
      <w:r w:rsidRPr="001A4191">
        <w:rPr>
          <w:b/>
          <w:bCs/>
        </w:rPr>
        <w:t xml:space="preserve"> predelovalnih družb, ki je znašal 2.384,3 mio EUR.</w:t>
      </w:r>
      <w:r w:rsidRPr="001A4191">
        <w:rPr>
          <w:rStyle w:val="FootnoteReference"/>
          <w:b/>
          <w:bCs/>
        </w:rPr>
        <w:footnoteReference w:id="10"/>
      </w:r>
      <w:r>
        <w:rPr>
          <w:b/>
          <w:bCs/>
        </w:rPr>
        <w:t xml:space="preserve"> </w:t>
      </w:r>
      <w:r w:rsidRPr="001A4191">
        <w:t xml:space="preserve">Po </w:t>
      </w:r>
      <w:r>
        <w:t xml:space="preserve">zmanjšanju v letu 2020 se je v naslednjih dveh letih neto čisti dobiček precej povečal, </w:t>
      </w:r>
      <w:r w:rsidR="004045FC">
        <w:t xml:space="preserve">lani </w:t>
      </w:r>
      <w:r>
        <w:t xml:space="preserve">za 20,8 %. Poleg družb iz obeh visoko tehnološko zahtevnih panog </w:t>
      </w:r>
      <w:r w:rsidR="00167422">
        <w:t xml:space="preserve">so neto čisti dobiček precej </w:t>
      </w:r>
      <w:r w:rsidR="009E1CB9">
        <w:t>povečale</w:t>
      </w:r>
      <w:r w:rsidR="00167422">
        <w:t xml:space="preserve"> družbe iz kovinske industrije. Skupaj so družbe iz teh panog v letu 2022 ustvarile več kot 45 % neto čistega dobička predelovalnih družb. Vidneje so k večjemu neto čistemu dobičku predelovalnih družb prispevale še družbe iz proizvodnje </w:t>
      </w:r>
      <w:r w:rsidR="009E1CB9">
        <w:t>živil</w:t>
      </w:r>
      <w:r w:rsidR="00167422">
        <w:t xml:space="preserve"> (povečale </w:t>
      </w:r>
      <w:r w:rsidR="0015560E">
        <w:t xml:space="preserve">so predvsem </w:t>
      </w:r>
      <w:r w:rsidR="00167422">
        <w:t xml:space="preserve">neto dobiček iz financiranja) </w:t>
      </w:r>
      <w:r w:rsidR="00632732">
        <w:t>ter</w:t>
      </w:r>
      <w:r w:rsidR="00167422">
        <w:t xml:space="preserve"> družbe iz proizvodnje drugih strojev in naprav, ki so </w:t>
      </w:r>
      <w:r w:rsidR="009E1CB9">
        <w:t>povečale</w:t>
      </w:r>
      <w:r w:rsidR="00167422">
        <w:t xml:space="preserve"> predvsem neto dobiček iz poslovanja.</w:t>
      </w:r>
    </w:p>
    <w:p w14:paraId="78E89833" w14:textId="4A28E9E3" w:rsidR="0015560E" w:rsidRDefault="002B12AE" w:rsidP="002B12AE">
      <w:pPr>
        <w:pStyle w:val="Caption"/>
      </w:pPr>
      <w:r w:rsidRPr="00B26F04">
        <w:t xml:space="preserve">Slika </w:t>
      </w:r>
      <w:r w:rsidRPr="00B26F04">
        <w:fldChar w:fldCharType="begin"/>
      </w:r>
      <w:r w:rsidRPr="00B26F04">
        <w:instrText xml:space="preserve"> SEQ Slika \* ARABIC </w:instrText>
      </w:r>
      <w:r w:rsidRPr="00B26F04">
        <w:fldChar w:fldCharType="separate"/>
      </w:r>
      <w:r>
        <w:t>13</w:t>
      </w:r>
      <w:r w:rsidRPr="00B26F04">
        <w:fldChar w:fldCharType="end"/>
      </w:r>
      <w:r w:rsidRPr="00B26F04">
        <w:t xml:space="preserve">: </w:t>
      </w:r>
      <w:r>
        <w:t>Neto čisti dobiček predelovalnih družb je v letu 2022 presegel 2 mrd EUR</w:t>
      </w:r>
    </w:p>
    <w:p w14:paraId="3DA46821" w14:textId="5449E111" w:rsidR="002B12AE" w:rsidRDefault="00DA18D7" w:rsidP="0052292F">
      <w:pPr>
        <w:pStyle w:val="BesediloUMAR"/>
      </w:pPr>
      <w:r>
        <w:rPr>
          <w:noProof/>
        </w:rPr>
        <w:drawing>
          <wp:inline distT="0" distB="0" distL="0" distR="0" wp14:anchorId="4632D52A" wp14:editId="14397E27">
            <wp:extent cx="5761843" cy="27521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77586" cy="2759685"/>
                    </a:xfrm>
                    <a:prstGeom prst="rect">
                      <a:avLst/>
                    </a:prstGeom>
                    <a:noFill/>
                  </pic:spPr>
                </pic:pic>
              </a:graphicData>
            </a:graphic>
          </wp:inline>
        </w:drawing>
      </w:r>
    </w:p>
    <w:p w14:paraId="07C6B195" w14:textId="4F3C39EB" w:rsidR="00E27DF7" w:rsidRDefault="00E27DF7" w:rsidP="00E27DF7">
      <w:pPr>
        <w:pStyle w:val="VirUMAR"/>
      </w:pPr>
      <w:r>
        <w:t xml:space="preserve">Vir: </w:t>
      </w:r>
      <w:r w:rsidRPr="004B5A7C">
        <w:t>AJPES (</w:t>
      </w:r>
      <w:r>
        <w:t>2023</w:t>
      </w:r>
      <w:r w:rsidRPr="00923B83">
        <w:t>)</w:t>
      </w:r>
      <w:r>
        <w:t>, lastni izračuni.</w:t>
      </w:r>
    </w:p>
    <w:p w14:paraId="71A63493" w14:textId="77777777" w:rsidR="002B12AE" w:rsidRDefault="002B12AE" w:rsidP="0052292F">
      <w:pPr>
        <w:pStyle w:val="BesediloUMAR"/>
      </w:pPr>
    </w:p>
    <w:p w14:paraId="772D2E8F" w14:textId="75026EEC" w:rsidR="00623B8C" w:rsidRDefault="00BF34E6" w:rsidP="0052292F">
      <w:pPr>
        <w:pStyle w:val="BesediloUMAR"/>
      </w:pPr>
      <w:r>
        <w:rPr>
          <w:b/>
          <w:bCs/>
        </w:rPr>
        <w:t>Z</w:t>
      </w:r>
      <w:r w:rsidR="00950E84">
        <w:rPr>
          <w:b/>
          <w:bCs/>
        </w:rPr>
        <w:t>adolženost</w:t>
      </w:r>
      <w:r w:rsidR="00950E84">
        <w:rPr>
          <w:rStyle w:val="FootnoteReference"/>
          <w:b/>
          <w:bCs/>
        </w:rPr>
        <w:footnoteReference w:id="11"/>
      </w:r>
      <w:r w:rsidR="00BB04B6" w:rsidRPr="004C2F7F">
        <w:rPr>
          <w:b/>
          <w:bCs/>
        </w:rPr>
        <w:t xml:space="preserve"> predelovalnih družb</w:t>
      </w:r>
      <w:r w:rsidR="004E47D6">
        <w:rPr>
          <w:b/>
          <w:bCs/>
        </w:rPr>
        <w:t xml:space="preserve"> </w:t>
      </w:r>
      <w:r>
        <w:rPr>
          <w:b/>
          <w:bCs/>
        </w:rPr>
        <w:t>je</w:t>
      </w:r>
      <w:r w:rsidR="00BB04B6" w:rsidRPr="004C2F7F">
        <w:rPr>
          <w:b/>
          <w:bCs/>
        </w:rPr>
        <w:t xml:space="preserve"> </w:t>
      </w:r>
      <w:r w:rsidR="004E47D6">
        <w:rPr>
          <w:b/>
          <w:bCs/>
        </w:rPr>
        <w:t xml:space="preserve">v letu 2022 </w:t>
      </w:r>
      <w:r w:rsidR="00BB04B6" w:rsidRPr="004C2F7F">
        <w:rPr>
          <w:b/>
          <w:bCs/>
        </w:rPr>
        <w:t>ostal</w:t>
      </w:r>
      <w:r w:rsidR="00950E84">
        <w:rPr>
          <w:b/>
          <w:bCs/>
        </w:rPr>
        <w:t>a</w:t>
      </w:r>
      <w:r w:rsidR="00BB04B6" w:rsidRPr="004C2F7F">
        <w:rPr>
          <w:b/>
          <w:bCs/>
        </w:rPr>
        <w:t xml:space="preserve"> </w:t>
      </w:r>
      <w:r w:rsidR="00BD6D2E">
        <w:rPr>
          <w:b/>
          <w:bCs/>
        </w:rPr>
        <w:t>nižj</w:t>
      </w:r>
      <w:r w:rsidR="00FE554B">
        <w:rPr>
          <w:b/>
          <w:bCs/>
        </w:rPr>
        <w:t>a</w:t>
      </w:r>
      <w:r w:rsidR="00BD6D2E">
        <w:rPr>
          <w:b/>
          <w:bCs/>
        </w:rPr>
        <w:t xml:space="preserve"> od dolgoletnega povprečja</w:t>
      </w:r>
      <w:r w:rsidR="00BB04B6" w:rsidRPr="004C2F7F">
        <w:rPr>
          <w:b/>
          <w:bCs/>
        </w:rPr>
        <w:t>.</w:t>
      </w:r>
      <w:r w:rsidR="00BB04B6">
        <w:t xml:space="preserve"> </w:t>
      </w:r>
      <w:r>
        <w:t xml:space="preserve">Delež dolga v virih sredstev </w:t>
      </w:r>
      <w:r w:rsidR="00FE554B">
        <w:t>se je zmanjševal od leta 2011</w:t>
      </w:r>
      <w:r w:rsidR="008A03C0">
        <w:t xml:space="preserve"> in bil n</w:t>
      </w:r>
      <w:r w:rsidR="00FE554B">
        <w:t>ajnižj</w:t>
      </w:r>
      <w:r>
        <w:t xml:space="preserve">i </w:t>
      </w:r>
      <w:r w:rsidR="008F241C">
        <w:t>leta 2020 (45,3</w:t>
      </w:r>
      <w:r w:rsidR="008A03C0">
        <w:t> </w:t>
      </w:r>
      <w:r w:rsidR="008F241C">
        <w:t>%)</w:t>
      </w:r>
      <w:r>
        <w:t>, v</w:t>
      </w:r>
      <w:r w:rsidR="008F241C">
        <w:t xml:space="preserve"> naslednjih dveh letih </w:t>
      </w:r>
      <w:r>
        <w:t xml:space="preserve">pa </w:t>
      </w:r>
      <w:r w:rsidR="00FE554B">
        <w:t xml:space="preserve">se je zadolženost </w:t>
      </w:r>
      <w:r w:rsidR="008F241C">
        <w:t>nekoliko povečal</w:t>
      </w:r>
      <w:r w:rsidR="00FE554B">
        <w:t>a</w:t>
      </w:r>
      <w:r w:rsidR="008F241C">
        <w:t>. Leta 2022 je d</w:t>
      </w:r>
      <w:r w:rsidR="00BD6D2E">
        <w:t>olg predstavljal 46,8 % virov sredstev (46,9 % v letu 2021)</w:t>
      </w:r>
      <w:r w:rsidR="008F241C">
        <w:t xml:space="preserve">. </w:t>
      </w:r>
      <w:r w:rsidR="0093011E">
        <w:t>Kapital</w:t>
      </w:r>
      <w:r w:rsidR="00950E84">
        <w:t xml:space="preserve"> predelovalnih družb</w:t>
      </w:r>
      <w:r w:rsidR="008F241C">
        <w:t>, ki se povečuje od leta 2014,</w:t>
      </w:r>
      <w:r w:rsidR="0093011E">
        <w:t xml:space="preserve"> se je povečal</w:t>
      </w:r>
      <w:r w:rsidR="008F241C">
        <w:t xml:space="preserve"> </w:t>
      </w:r>
      <w:r w:rsidR="0093011E">
        <w:t xml:space="preserve">podobno kot v </w:t>
      </w:r>
      <w:r>
        <w:t xml:space="preserve">letu </w:t>
      </w:r>
      <w:r w:rsidR="0093011E">
        <w:t>2021</w:t>
      </w:r>
      <w:r w:rsidR="009E3555">
        <w:t xml:space="preserve"> (za 8,7 %)</w:t>
      </w:r>
      <w:r w:rsidR="008A03C0">
        <w:rPr>
          <w:rStyle w:val="FootnoteReference"/>
        </w:rPr>
        <w:footnoteReference w:id="12"/>
      </w:r>
      <w:r w:rsidR="009E3555">
        <w:t xml:space="preserve">. </w:t>
      </w:r>
      <w:r w:rsidR="00950E84">
        <w:t xml:space="preserve">Rast obveznosti se je skoraj razpolovila (iz 15,6 % na 8,4 %). </w:t>
      </w:r>
      <w:r>
        <w:t>Precej se je upočasnila r</w:t>
      </w:r>
      <w:r w:rsidR="00345236">
        <w:t>ast kratkoročnih obveznosti, ki predstavljajo okol</w:t>
      </w:r>
      <w:r w:rsidR="00A076A9">
        <w:t>i</w:t>
      </w:r>
      <w:r w:rsidR="00345236">
        <w:t xml:space="preserve"> tretjino obveznosti (iz 24,0 % na 8,9 %). Okrepila pa se je rast dolgoročnih obveznosti (iz 1,3 % na 8,3 %). </w:t>
      </w:r>
      <w:r w:rsidR="00950E84">
        <w:t xml:space="preserve">Kapital je bil nižji </w:t>
      </w:r>
      <w:r w:rsidR="009E3555">
        <w:t xml:space="preserve">le </w:t>
      </w:r>
      <w:r w:rsidR="00950E84">
        <w:t xml:space="preserve">v </w:t>
      </w:r>
      <w:r w:rsidR="009E3555">
        <w:t>družba</w:t>
      </w:r>
      <w:r w:rsidR="00950E84">
        <w:t>h</w:t>
      </w:r>
      <w:r w:rsidR="009E3555">
        <w:t xml:space="preserve"> iz proizvodnje tekstilij in proizvodnje drugih vozil in plovil</w:t>
      </w:r>
      <w:r w:rsidR="0093011E">
        <w:t>,</w:t>
      </w:r>
      <w:r w:rsidR="008F241C">
        <w:t xml:space="preserve"> </w:t>
      </w:r>
      <w:r w:rsidR="009E3555">
        <w:t xml:space="preserve">nekoliko tudi </w:t>
      </w:r>
      <w:r w:rsidR="00950E84">
        <w:t>v d</w:t>
      </w:r>
      <w:r w:rsidR="009E3555">
        <w:t>ružba</w:t>
      </w:r>
      <w:r w:rsidR="00950E84">
        <w:t>h iz</w:t>
      </w:r>
      <w:r w:rsidR="009E3555">
        <w:t xml:space="preserve"> proizvodnj</w:t>
      </w:r>
      <w:r w:rsidR="00950E84">
        <w:t>e</w:t>
      </w:r>
      <w:r w:rsidR="009E3555">
        <w:t xml:space="preserve"> motornih vozil. Ob večjih obveznostih do virov sredstev se je </w:t>
      </w:r>
      <w:r>
        <w:t>zadolženost</w:t>
      </w:r>
      <w:r w:rsidR="009E3555">
        <w:t xml:space="preserve"> v teh panogah povečal</w:t>
      </w:r>
      <w:r>
        <w:t>a</w:t>
      </w:r>
      <w:r w:rsidR="00EC515F">
        <w:t xml:space="preserve">, </w:t>
      </w:r>
      <w:r>
        <w:t>naj</w:t>
      </w:r>
      <w:r w:rsidR="00EC515F">
        <w:t xml:space="preserve">manj družbam v proizvodnji motornih vozil, kjer je bila rast obveznosti </w:t>
      </w:r>
      <w:r w:rsidR="008A03C0">
        <w:t>nizka.</w:t>
      </w:r>
      <w:r w:rsidR="009E3555">
        <w:t xml:space="preserve"> </w:t>
      </w:r>
      <w:r w:rsidR="0027061C">
        <w:t xml:space="preserve">Bolj zadolžene </w:t>
      </w:r>
      <w:r w:rsidR="00623B8C">
        <w:t xml:space="preserve">kot pred letom </w:t>
      </w:r>
      <w:r w:rsidR="0027061C">
        <w:t xml:space="preserve">so bile tudi </w:t>
      </w:r>
      <w:r w:rsidR="0027061C" w:rsidRPr="008A03C0">
        <w:t xml:space="preserve">papirne družbe, </w:t>
      </w:r>
      <w:r w:rsidR="00623B8C" w:rsidRPr="008A03C0">
        <w:t xml:space="preserve">kjer so se </w:t>
      </w:r>
      <w:r w:rsidR="0027061C" w:rsidRPr="008A03C0">
        <w:t>ob skromni rasti kapitala povečale obveznosti</w:t>
      </w:r>
      <w:r w:rsidR="00A71C3C" w:rsidRPr="008A03C0">
        <w:t xml:space="preserve">, ter </w:t>
      </w:r>
      <w:r w:rsidR="00845914" w:rsidRPr="008A03C0">
        <w:t xml:space="preserve">nekoliko tudi </w:t>
      </w:r>
      <w:r w:rsidR="00A71C3C" w:rsidRPr="008A03C0">
        <w:t>večina tehnološko zahtevnejših panog</w:t>
      </w:r>
      <w:r w:rsidR="008A03C0" w:rsidRPr="008A03C0">
        <w:t xml:space="preserve"> (</w:t>
      </w:r>
      <w:r w:rsidR="008A03C0">
        <w:t>z izjemo ke</w:t>
      </w:r>
      <w:r w:rsidR="00903662">
        <w:t>m</w:t>
      </w:r>
      <w:r w:rsidR="008A03C0">
        <w:t>ične industrije, kjer je rast kapitala presegla rast obveznosti)</w:t>
      </w:r>
      <w:r w:rsidR="0027061C">
        <w:t xml:space="preserve">. </w:t>
      </w:r>
      <w:r w:rsidR="00632042">
        <w:t xml:space="preserve">Manjša kot pred letom pa je bila </w:t>
      </w:r>
      <w:r w:rsidR="0027061C">
        <w:t xml:space="preserve">predvsem </w:t>
      </w:r>
      <w:r w:rsidR="00632042">
        <w:t>za</w:t>
      </w:r>
      <w:r w:rsidR="0027061C">
        <w:t>dolženost v farmacevtskih družbah</w:t>
      </w:r>
      <w:r w:rsidR="00DC6E5D">
        <w:t xml:space="preserve"> (nižje obveznosti)</w:t>
      </w:r>
      <w:r w:rsidR="0027061C">
        <w:t xml:space="preserve">, </w:t>
      </w:r>
      <w:r w:rsidR="009E3555">
        <w:t xml:space="preserve">družbah </w:t>
      </w:r>
      <w:r w:rsidR="008C1F0E">
        <w:t xml:space="preserve">iz proizvodnje kovin </w:t>
      </w:r>
      <w:r w:rsidR="0027061C">
        <w:t>ter drugih raznovrstnih predelovalnih dejavnostih</w:t>
      </w:r>
      <w:r w:rsidR="00DC6E5D">
        <w:t xml:space="preserve"> (nižje dolgoročne in manjša rast kratkoročnih</w:t>
      </w:r>
      <w:r w:rsidR="00623B8C" w:rsidRPr="00623B8C">
        <w:t xml:space="preserve"> </w:t>
      </w:r>
      <w:r w:rsidR="00623B8C">
        <w:t>obveznosti</w:t>
      </w:r>
      <w:r w:rsidR="00DC6E5D">
        <w:t>)</w:t>
      </w:r>
      <w:r w:rsidR="0027061C">
        <w:t>.</w:t>
      </w:r>
    </w:p>
    <w:p w14:paraId="31F0E4F6" w14:textId="354F7688" w:rsidR="00623B8C" w:rsidRDefault="00623B8C" w:rsidP="00623B8C">
      <w:pPr>
        <w:pStyle w:val="Caption"/>
      </w:pPr>
      <w:r w:rsidRPr="00B26F04">
        <w:t xml:space="preserve">Slika </w:t>
      </w:r>
      <w:r w:rsidRPr="00B26F04">
        <w:fldChar w:fldCharType="begin"/>
      </w:r>
      <w:r w:rsidRPr="00B26F04">
        <w:instrText xml:space="preserve"> SEQ Slika \* ARABIC </w:instrText>
      </w:r>
      <w:r w:rsidRPr="00B26F04">
        <w:fldChar w:fldCharType="separate"/>
      </w:r>
      <w:r>
        <w:t>14</w:t>
      </w:r>
      <w:r w:rsidRPr="00B26F04">
        <w:fldChar w:fldCharType="end"/>
      </w:r>
      <w:r w:rsidRPr="00B26F04">
        <w:t xml:space="preserve">: </w:t>
      </w:r>
      <w:r>
        <w:t>Zadolženost predelovalnih družb je ostala podobn</w:t>
      </w:r>
      <w:r w:rsidR="00F407E1">
        <w:t>a</w:t>
      </w:r>
      <w:r>
        <w:t xml:space="preserve"> kot </w:t>
      </w:r>
      <w:r w:rsidR="000A77D1">
        <w:t>leta</w:t>
      </w:r>
      <w:r>
        <w:t xml:space="preserve"> 2021, umirila </w:t>
      </w:r>
      <w:r w:rsidR="007F6367">
        <w:t xml:space="preserve">se je </w:t>
      </w:r>
      <w:r>
        <w:t xml:space="preserve">rast </w:t>
      </w:r>
      <w:r w:rsidR="00BF34E6">
        <w:t xml:space="preserve">kratkoročnih </w:t>
      </w:r>
      <w:r>
        <w:t>obveznosti</w:t>
      </w:r>
      <w:r w:rsidR="009C1117">
        <w:t>, ki predstavljajo večino obveznosti do virov sredstev</w:t>
      </w:r>
    </w:p>
    <w:p w14:paraId="018C7DF3" w14:textId="57D4F2D0" w:rsidR="00623B8C" w:rsidRDefault="00230876" w:rsidP="00623B8C">
      <w:pPr>
        <w:pStyle w:val="BesediloUMAR"/>
      </w:pPr>
      <w:r w:rsidRPr="00230876">
        <w:rPr>
          <w:noProof/>
        </w:rPr>
        <w:drawing>
          <wp:inline distT="0" distB="0" distL="0" distR="0" wp14:anchorId="37945F30" wp14:editId="571BA8F0">
            <wp:extent cx="5773270" cy="2100528"/>
            <wp:effectExtent l="0" t="0" r="0" b="0"/>
            <wp:docPr id="29202099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29033" cy="2120817"/>
                    </a:xfrm>
                    <a:prstGeom prst="rect">
                      <a:avLst/>
                    </a:prstGeom>
                    <a:noFill/>
                    <a:ln>
                      <a:noFill/>
                    </a:ln>
                  </pic:spPr>
                </pic:pic>
              </a:graphicData>
            </a:graphic>
          </wp:inline>
        </w:drawing>
      </w:r>
    </w:p>
    <w:p w14:paraId="05C878D2" w14:textId="77777777" w:rsidR="00623B8C" w:rsidRDefault="00623B8C" w:rsidP="00623B8C">
      <w:pPr>
        <w:pStyle w:val="VirUMAR"/>
      </w:pPr>
      <w:r>
        <w:t xml:space="preserve">Vir: </w:t>
      </w:r>
      <w:r w:rsidRPr="004B5A7C">
        <w:t>AJPES (</w:t>
      </w:r>
      <w:r>
        <w:t>2023</w:t>
      </w:r>
      <w:r w:rsidRPr="00923B83">
        <w:t>)</w:t>
      </w:r>
      <w:r>
        <w:t>, lastni izračuni.</w:t>
      </w:r>
      <w:r w:rsidRPr="00923B83">
        <w:t xml:space="preserve"> </w:t>
      </w:r>
    </w:p>
    <w:p w14:paraId="65A80F85" w14:textId="728FA132" w:rsidR="009509A0" w:rsidRDefault="009509A0" w:rsidP="00A346CA">
      <w:pPr>
        <w:pStyle w:val="BesediloUMAR"/>
      </w:pPr>
    </w:p>
    <w:p w14:paraId="0B27EABC" w14:textId="77777777" w:rsidR="00882C9B" w:rsidRDefault="00882C9B" w:rsidP="00A346CA">
      <w:pPr>
        <w:pStyle w:val="BesediloUMAR"/>
        <w:rPr>
          <w:b/>
          <w:bCs/>
          <w:noProof/>
          <w:szCs w:val="20"/>
        </w:rPr>
      </w:pPr>
    </w:p>
    <w:p w14:paraId="33EE45B6" w14:textId="5B2CEDB5" w:rsidR="00A346CA" w:rsidRDefault="00A346CA" w:rsidP="00A346CA">
      <w:pPr>
        <w:pStyle w:val="BesediloUMAR"/>
        <w:rPr>
          <w:b/>
          <w:bCs/>
          <w:noProof/>
          <w:szCs w:val="20"/>
        </w:rPr>
      </w:pPr>
      <w:r w:rsidRPr="00B26F04">
        <w:rPr>
          <w:b/>
          <w:bCs/>
          <w:noProof/>
          <w:szCs w:val="20"/>
        </w:rPr>
        <w:t xml:space="preserve">Slika </w:t>
      </w:r>
      <w:r w:rsidRPr="00B26F04">
        <w:rPr>
          <w:b/>
          <w:bCs/>
          <w:noProof/>
          <w:szCs w:val="20"/>
        </w:rPr>
        <w:fldChar w:fldCharType="begin"/>
      </w:r>
      <w:r w:rsidRPr="00B26F04">
        <w:rPr>
          <w:b/>
          <w:bCs/>
          <w:noProof/>
          <w:szCs w:val="20"/>
        </w:rPr>
        <w:instrText xml:space="preserve"> SEQ Slika \* ARABIC </w:instrText>
      </w:r>
      <w:r w:rsidRPr="00B26F04">
        <w:rPr>
          <w:b/>
          <w:bCs/>
          <w:noProof/>
          <w:szCs w:val="20"/>
        </w:rPr>
        <w:fldChar w:fldCharType="separate"/>
      </w:r>
      <w:r>
        <w:rPr>
          <w:b/>
          <w:bCs/>
          <w:noProof/>
          <w:szCs w:val="20"/>
        </w:rPr>
        <w:t>15</w:t>
      </w:r>
      <w:r w:rsidRPr="00B26F04">
        <w:rPr>
          <w:b/>
          <w:bCs/>
          <w:noProof/>
          <w:szCs w:val="20"/>
        </w:rPr>
        <w:fldChar w:fldCharType="end"/>
      </w:r>
      <w:r w:rsidRPr="00B26F04">
        <w:rPr>
          <w:b/>
          <w:bCs/>
          <w:noProof/>
          <w:szCs w:val="20"/>
        </w:rPr>
        <w:t xml:space="preserve">: </w:t>
      </w:r>
      <w:r w:rsidR="007514FF">
        <w:rPr>
          <w:b/>
          <w:bCs/>
          <w:noProof/>
          <w:szCs w:val="20"/>
        </w:rPr>
        <w:t xml:space="preserve">V letu 2022 </w:t>
      </w:r>
      <w:r w:rsidR="002E4E8E">
        <w:rPr>
          <w:b/>
          <w:bCs/>
          <w:noProof/>
          <w:szCs w:val="20"/>
        </w:rPr>
        <w:t>se je zmanjšala</w:t>
      </w:r>
      <w:r w:rsidR="007514FF">
        <w:rPr>
          <w:b/>
          <w:bCs/>
          <w:noProof/>
          <w:szCs w:val="20"/>
        </w:rPr>
        <w:t xml:space="preserve"> predvsem</w:t>
      </w:r>
      <w:r w:rsidR="002E4E8E">
        <w:rPr>
          <w:b/>
          <w:bCs/>
          <w:noProof/>
          <w:szCs w:val="20"/>
        </w:rPr>
        <w:t xml:space="preserve"> zadolženost kovinskih in farmacevtskih družb</w:t>
      </w:r>
      <w:r w:rsidR="007514FF">
        <w:rPr>
          <w:b/>
          <w:bCs/>
          <w:noProof/>
          <w:szCs w:val="20"/>
        </w:rPr>
        <w:t xml:space="preserve"> ter</w:t>
      </w:r>
      <w:r w:rsidR="002E4E8E">
        <w:rPr>
          <w:b/>
          <w:bCs/>
          <w:noProof/>
          <w:szCs w:val="20"/>
        </w:rPr>
        <w:t xml:space="preserve"> družb iz drugih raznovrstnih </w:t>
      </w:r>
      <w:r w:rsidR="007514FF">
        <w:rPr>
          <w:b/>
          <w:bCs/>
          <w:noProof/>
          <w:szCs w:val="20"/>
        </w:rPr>
        <w:t>predelovalnih dejavnosti</w:t>
      </w:r>
    </w:p>
    <w:p w14:paraId="56F5262A" w14:textId="5D7AFA11" w:rsidR="00A346CA" w:rsidRDefault="00DA18D7" w:rsidP="00A346CA">
      <w:pPr>
        <w:pStyle w:val="BesediloUMAR"/>
      </w:pPr>
      <w:r>
        <w:rPr>
          <w:noProof/>
        </w:rPr>
        <w:drawing>
          <wp:inline distT="0" distB="0" distL="0" distR="0" wp14:anchorId="234D56E2" wp14:editId="44582311">
            <wp:extent cx="5782235" cy="276594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10006" cy="2779228"/>
                    </a:xfrm>
                    <a:prstGeom prst="rect">
                      <a:avLst/>
                    </a:prstGeom>
                    <a:noFill/>
                  </pic:spPr>
                </pic:pic>
              </a:graphicData>
            </a:graphic>
          </wp:inline>
        </w:drawing>
      </w:r>
    </w:p>
    <w:p w14:paraId="15C60B4D" w14:textId="77777777" w:rsidR="00A346CA" w:rsidRDefault="00A346CA" w:rsidP="00A346CA">
      <w:pPr>
        <w:pStyle w:val="VirUMAR"/>
      </w:pPr>
      <w:r>
        <w:t xml:space="preserve">Vir: </w:t>
      </w:r>
      <w:r w:rsidRPr="004B5A7C">
        <w:t>AJPES (</w:t>
      </w:r>
      <w:r>
        <w:t>2023</w:t>
      </w:r>
      <w:r w:rsidRPr="00923B83">
        <w:t>)</w:t>
      </w:r>
      <w:r>
        <w:t>, lastni izračuni.</w:t>
      </w:r>
      <w:r w:rsidRPr="00923B83">
        <w:t xml:space="preserve"> </w:t>
      </w:r>
    </w:p>
    <w:p w14:paraId="51CAE453" w14:textId="77777777" w:rsidR="00623B8C" w:rsidRDefault="00623B8C" w:rsidP="0052292F">
      <w:pPr>
        <w:pStyle w:val="BesediloUMAR"/>
      </w:pPr>
    </w:p>
    <w:p w14:paraId="6B25015A" w14:textId="77777777" w:rsidR="00A346CA" w:rsidRDefault="00A346CA" w:rsidP="0052292F">
      <w:pPr>
        <w:pStyle w:val="BesediloUMAR"/>
      </w:pPr>
    </w:p>
    <w:p w14:paraId="076F6E49" w14:textId="77777777" w:rsidR="00CA0C57" w:rsidRDefault="00CA0C57">
      <w:pPr>
        <w:spacing w:after="0" w:line="240" w:lineRule="auto"/>
        <w:rPr>
          <w:rFonts w:ascii="Myriad Pro" w:hAnsi="Myriad Pro"/>
          <w:b/>
          <w:bCs/>
          <w:noProof/>
          <w:sz w:val="20"/>
          <w:szCs w:val="20"/>
        </w:rPr>
      </w:pPr>
      <w:r>
        <w:rPr>
          <w:b/>
          <w:bCs/>
          <w:noProof/>
          <w:szCs w:val="20"/>
        </w:rPr>
        <w:br w:type="page"/>
      </w:r>
    </w:p>
    <w:p w14:paraId="043CA7D3" w14:textId="15104591" w:rsidR="00931149" w:rsidRPr="00931149" w:rsidRDefault="00931149" w:rsidP="00931149">
      <w:pPr>
        <w:keepNext/>
        <w:keepLines/>
        <w:tabs>
          <w:tab w:val="right" w:leader="dot" w:pos="9070"/>
        </w:tabs>
        <w:spacing w:before="240" w:after="60" w:line="288" w:lineRule="auto"/>
        <w:contextualSpacing/>
        <w:jc w:val="both"/>
        <w:rPr>
          <w:rFonts w:ascii="Myriad Pro" w:eastAsia="Arial" w:hAnsi="Myriad Pro" w:cs="Times New Roman"/>
          <w:b/>
          <w:bCs/>
          <w:noProof/>
          <w:sz w:val="20"/>
        </w:rPr>
      </w:pPr>
      <w:bookmarkStart w:id="7" w:name="_Toc96409042"/>
      <w:r w:rsidRPr="00931149">
        <w:rPr>
          <w:rFonts w:ascii="Myriad Pro" w:eastAsia="Arial" w:hAnsi="Myriad Pro" w:cs="Times New Roman"/>
          <w:b/>
          <w:bCs/>
          <w:noProof/>
          <w:sz w:val="20"/>
          <w:szCs w:val="20"/>
        </w:rPr>
        <w:t xml:space="preserve">Tabela </w:t>
      </w:r>
      <w:r w:rsidRPr="00931149">
        <w:rPr>
          <w:rFonts w:ascii="Myriad Pro" w:eastAsia="Arial" w:hAnsi="Myriad Pro" w:cs="Times New Roman"/>
          <w:b/>
          <w:bCs/>
          <w:noProof/>
          <w:sz w:val="20"/>
          <w:szCs w:val="20"/>
        </w:rPr>
        <w:fldChar w:fldCharType="begin"/>
      </w:r>
      <w:r w:rsidRPr="00931149">
        <w:rPr>
          <w:rFonts w:ascii="Myriad Pro" w:eastAsia="Arial" w:hAnsi="Myriad Pro" w:cs="Times New Roman"/>
          <w:b/>
          <w:bCs/>
          <w:noProof/>
          <w:sz w:val="20"/>
          <w:szCs w:val="20"/>
        </w:rPr>
        <w:instrText xml:space="preserve"> SEQ Tabela \* ARABIC </w:instrText>
      </w:r>
      <w:r w:rsidRPr="00931149">
        <w:rPr>
          <w:rFonts w:ascii="Myriad Pro" w:eastAsia="Arial" w:hAnsi="Myriad Pro" w:cs="Times New Roman"/>
          <w:b/>
          <w:bCs/>
          <w:noProof/>
          <w:sz w:val="20"/>
          <w:szCs w:val="20"/>
        </w:rPr>
        <w:fldChar w:fldCharType="separate"/>
      </w:r>
      <w:r w:rsidR="00E62356">
        <w:rPr>
          <w:rFonts w:ascii="Myriad Pro" w:eastAsia="Arial" w:hAnsi="Myriad Pro" w:cs="Times New Roman"/>
          <w:b/>
          <w:bCs/>
          <w:noProof/>
          <w:sz w:val="20"/>
          <w:szCs w:val="20"/>
        </w:rPr>
        <w:t>1</w:t>
      </w:r>
      <w:r w:rsidRPr="00931149">
        <w:rPr>
          <w:rFonts w:ascii="Myriad Pro" w:eastAsia="Arial" w:hAnsi="Myriad Pro" w:cs="Times New Roman"/>
          <w:b/>
          <w:bCs/>
          <w:noProof/>
          <w:sz w:val="20"/>
          <w:szCs w:val="20"/>
        </w:rPr>
        <w:fldChar w:fldCharType="end"/>
      </w:r>
      <w:r w:rsidRPr="00931149">
        <w:rPr>
          <w:rFonts w:ascii="Myriad Pro" w:eastAsia="Arial" w:hAnsi="Myriad Pro" w:cs="Times New Roman"/>
          <w:b/>
          <w:bCs/>
          <w:noProof/>
          <w:sz w:val="20"/>
        </w:rPr>
        <w:t xml:space="preserve">: Kazalniki poslovanja gospodarskih družb v </w:t>
      </w:r>
      <w:r>
        <w:rPr>
          <w:rFonts w:ascii="Myriad Pro" w:eastAsia="Arial" w:hAnsi="Myriad Pro" w:cs="Times New Roman"/>
          <w:b/>
          <w:bCs/>
          <w:noProof/>
          <w:sz w:val="20"/>
        </w:rPr>
        <w:t>predelovalnih dejavnostih</w:t>
      </w:r>
      <w:r w:rsidRPr="00931149">
        <w:rPr>
          <w:rFonts w:ascii="Myriad Pro" w:eastAsia="Arial" w:hAnsi="Myriad Pro" w:cs="Times New Roman"/>
          <w:b/>
          <w:bCs/>
          <w:noProof/>
          <w:sz w:val="20"/>
        </w:rPr>
        <w:t xml:space="preserve"> v izbranih letih</w:t>
      </w:r>
      <w:bookmarkEnd w:id="7"/>
    </w:p>
    <w:tbl>
      <w:tblPr>
        <w:tblStyle w:val="TableGridLight"/>
        <w:tblW w:w="5000" w:type="pct"/>
        <w:tblCellMar>
          <w:left w:w="0" w:type="dxa"/>
        </w:tblCellMar>
        <w:tblLook w:val="01E0" w:firstRow="1" w:lastRow="1" w:firstColumn="1" w:lastColumn="1" w:noHBand="0" w:noVBand="0"/>
      </w:tblPr>
      <w:tblGrid>
        <w:gridCol w:w="3545"/>
        <w:gridCol w:w="789"/>
        <w:gridCol w:w="201"/>
        <w:gridCol w:w="588"/>
        <w:gridCol w:w="791"/>
        <w:gridCol w:w="789"/>
        <w:gridCol w:w="791"/>
        <w:gridCol w:w="789"/>
        <w:gridCol w:w="787"/>
      </w:tblGrid>
      <w:tr w:rsidR="00BC0E15" w:rsidRPr="00931149" w14:paraId="05DDE3DB" w14:textId="17D4CA4C" w:rsidTr="00882C9B">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tcPr>
          <w:p w14:paraId="25FEFD48" w14:textId="77777777" w:rsidR="00BC0E15" w:rsidRPr="00931149" w:rsidRDefault="00BC0E15" w:rsidP="00DA5A5B">
            <w:pPr>
              <w:spacing w:after="0" w:line="288" w:lineRule="auto"/>
              <w:jc w:val="both"/>
              <w:rPr>
                <w:rFonts w:ascii="Myriad Pro" w:eastAsia="Arial" w:hAnsi="Myriad Pro" w:cs="Times New Roman"/>
                <w:b/>
                <w:bCs/>
                <w:sz w:val="18"/>
              </w:rPr>
            </w:pP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hideMark/>
          </w:tcPr>
          <w:p w14:paraId="42476C67" w14:textId="77777777" w:rsidR="00BC0E15" w:rsidRPr="00931149" w:rsidRDefault="00BC0E15" w:rsidP="00DA5A5B">
            <w:pPr>
              <w:spacing w:before="10" w:after="10" w:line="220" w:lineRule="atLeast"/>
              <w:rPr>
                <w:rFonts w:ascii="Myriad Pro" w:eastAsia="Arial" w:hAnsi="Myriad Pro" w:cs="Calibri"/>
                <w:b/>
                <w:bCs/>
                <w:sz w:val="18"/>
                <w:szCs w:val="18"/>
              </w:rPr>
            </w:pPr>
            <w:r w:rsidRPr="00931149">
              <w:rPr>
                <w:rFonts w:ascii="Myriad Pro" w:eastAsia="Arial" w:hAnsi="Myriad Pro" w:cs="Calibri"/>
                <w:b/>
                <w:bCs/>
                <w:sz w:val="18"/>
                <w:szCs w:val="18"/>
              </w:rPr>
              <w:t>2008</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hideMark/>
          </w:tcPr>
          <w:p w14:paraId="49167C91" w14:textId="77777777" w:rsidR="00BC0E15" w:rsidRPr="00931149" w:rsidRDefault="00BC0E15" w:rsidP="00DA5A5B">
            <w:pPr>
              <w:spacing w:before="10" w:after="10" w:line="220" w:lineRule="atLeast"/>
              <w:rPr>
                <w:rFonts w:ascii="Myriad Pro" w:eastAsia="Arial" w:hAnsi="Myriad Pro" w:cs="Calibri"/>
                <w:b/>
                <w:bCs/>
                <w:sz w:val="18"/>
                <w:szCs w:val="18"/>
              </w:rPr>
            </w:pPr>
            <w:r w:rsidRPr="00931149">
              <w:rPr>
                <w:rFonts w:ascii="Myriad Pro" w:eastAsia="Arial" w:hAnsi="Myriad Pro" w:cs="Calibri"/>
                <w:b/>
                <w:bCs/>
                <w:sz w:val="18"/>
                <w:szCs w:val="18"/>
              </w:rPr>
              <w:t>2010</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hideMark/>
          </w:tcPr>
          <w:p w14:paraId="7EB595A6" w14:textId="77777777" w:rsidR="00BC0E15" w:rsidRPr="00931149" w:rsidRDefault="00BC0E15" w:rsidP="00DA5A5B">
            <w:pPr>
              <w:spacing w:before="10" w:after="10" w:line="220" w:lineRule="atLeast"/>
              <w:rPr>
                <w:rFonts w:ascii="Myriad Pro" w:eastAsia="Arial" w:hAnsi="Myriad Pro" w:cs="Calibri"/>
                <w:b/>
                <w:bCs/>
                <w:sz w:val="18"/>
                <w:szCs w:val="18"/>
              </w:rPr>
            </w:pPr>
            <w:r w:rsidRPr="00931149">
              <w:rPr>
                <w:rFonts w:ascii="Myriad Pro" w:eastAsia="Arial" w:hAnsi="Myriad Pro" w:cs="Calibri"/>
                <w:b/>
                <w:bCs/>
                <w:sz w:val="18"/>
                <w:szCs w:val="18"/>
              </w:rPr>
              <w:t>2015</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hideMark/>
          </w:tcPr>
          <w:p w14:paraId="173AEC61" w14:textId="77777777" w:rsidR="00BC0E15" w:rsidRPr="00931149" w:rsidRDefault="00BC0E15" w:rsidP="00DA5A5B">
            <w:pPr>
              <w:spacing w:before="10" w:after="10" w:line="220" w:lineRule="atLeast"/>
              <w:rPr>
                <w:rFonts w:ascii="Myriad Pro" w:eastAsia="Arial" w:hAnsi="Myriad Pro" w:cs="Calibri"/>
                <w:b/>
                <w:bCs/>
                <w:sz w:val="18"/>
                <w:szCs w:val="18"/>
              </w:rPr>
            </w:pPr>
            <w:r w:rsidRPr="00931149">
              <w:rPr>
                <w:rFonts w:ascii="Myriad Pro" w:eastAsia="Arial" w:hAnsi="Myriad Pro" w:cs="Calibri"/>
                <w:b/>
                <w:bCs/>
                <w:sz w:val="18"/>
                <w:szCs w:val="18"/>
              </w:rPr>
              <w:t>2019</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hideMark/>
          </w:tcPr>
          <w:p w14:paraId="4A8B0E71" w14:textId="77777777" w:rsidR="00BC0E15" w:rsidRPr="00931149" w:rsidRDefault="00BC0E15" w:rsidP="00DA5A5B">
            <w:pPr>
              <w:spacing w:before="10" w:after="10" w:line="220" w:lineRule="atLeast"/>
              <w:rPr>
                <w:rFonts w:ascii="Myriad Pro" w:eastAsia="Arial" w:hAnsi="Myriad Pro" w:cs="Calibri"/>
                <w:b/>
                <w:bCs/>
                <w:sz w:val="18"/>
                <w:szCs w:val="18"/>
              </w:rPr>
            </w:pPr>
            <w:r w:rsidRPr="00931149">
              <w:rPr>
                <w:rFonts w:ascii="Myriad Pro" w:eastAsia="Arial" w:hAnsi="Myriad Pro" w:cs="Calibri"/>
                <w:b/>
                <w:bCs/>
                <w:sz w:val="18"/>
                <w:szCs w:val="18"/>
              </w:rPr>
              <w:t>2020</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hideMark/>
          </w:tcPr>
          <w:p w14:paraId="53B5F0A6" w14:textId="77777777" w:rsidR="00BC0E15" w:rsidRPr="00931149" w:rsidRDefault="00BC0E15" w:rsidP="00DA5A5B">
            <w:pPr>
              <w:spacing w:before="10" w:after="10" w:line="220" w:lineRule="atLeast"/>
              <w:rPr>
                <w:rFonts w:ascii="Myriad Pro" w:eastAsia="Arial" w:hAnsi="Myriad Pro" w:cs="Calibri"/>
                <w:b/>
                <w:bCs/>
                <w:sz w:val="18"/>
                <w:szCs w:val="18"/>
              </w:rPr>
            </w:pPr>
            <w:r w:rsidRPr="00931149">
              <w:rPr>
                <w:rFonts w:ascii="Myriad Pro" w:eastAsia="Arial" w:hAnsi="Myriad Pro" w:cs="Calibri"/>
                <w:b/>
                <w:bCs/>
                <w:sz w:val="18"/>
                <w:szCs w:val="18"/>
              </w:rPr>
              <w:t>2021</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59619542" w14:textId="0F2453BE" w:rsidR="00BC0E15" w:rsidRPr="00931149" w:rsidRDefault="00BC0E15" w:rsidP="00DA5A5B">
            <w:pPr>
              <w:spacing w:before="10" w:after="10" w:line="220" w:lineRule="atLeast"/>
              <w:rPr>
                <w:rFonts w:ascii="Myriad Pro" w:eastAsia="Arial" w:hAnsi="Myriad Pro" w:cs="Calibri"/>
                <w:b/>
                <w:bCs/>
                <w:sz w:val="18"/>
                <w:szCs w:val="18"/>
              </w:rPr>
            </w:pPr>
            <w:r>
              <w:rPr>
                <w:rFonts w:ascii="Myriad Pro" w:eastAsia="Arial" w:hAnsi="Myriad Pro" w:cs="Calibri"/>
                <w:b/>
                <w:bCs/>
                <w:sz w:val="18"/>
                <w:szCs w:val="18"/>
              </w:rPr>
              <w:t>2</w:t>
            </w:r>
            <w:r>
              <w:rPr>
                <w:rFonts w:ascii="Myriad Pro" w:eastAsia="Arial" w:hAnsi="Myriad Pro" w:cs="Calibri"/>
                <w:b/>
                <w:sz w:val="18"/>
                <w:szCs w:val="18"/>
              </w:rPr>
              <w:t>022</w:t>
            </w:r>
          </w:p>
        </w:tc>
      </w:tr>
      <w:tr w:rsidR="00BC0E15" w:rsidRPr="00931149" w14:paraId="341004ED" w14:textId="0FA7E20A"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2C7AE9FA"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Število gospodarskih družb</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026EF61D" w14:textId="10E10CFE"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6.676</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75E4654A" w14:textId="56463418"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6.906</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560EAEE9" w14:textId="3EFC82B1"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7.879</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0C590820" w14:textId="10CED274"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8.234</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4E99612E" w14:textId="71E1BBAA"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8.369</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6D320C55" w14:textId="188861E0"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8.470</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3697640A" w14:textId="0534D521" w:rsidR="00BC0E15" w:rsidRDefault="0041680D"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8.604</w:t>
            </w:r>
          </w:p>
        </w:tc>
      </w:tr>
      <w:tr w:rsidR="00BC0E15" w:rsidRPr="00931149" w14:paraId="012324DE" w14:textId="68E59545"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6599CF3D" w14:textId="77777777" w:rsidR="00BC0E15" w:rsidRPr="00931149" w:rsidRDefault="00BC0E15" w:rsidP="00DA5A5B">
            <w:pPr>
              <w:spacing w:before="10" w:after="10" w:line="220" w:lineRule="atLeast"/>
              <w:rPr>
                <w:rFonts w:ascii="Myriad Pro" w:eastAsia="Arial" w:hAnsi="Myriad Pro" w:cs="Calibri"/>
                <w:bCs/>
                <w:sz w:val="18"/>
                <w:szCs w:val="18"/>
                <w:vertAlign w:val="superscript"/>
              </w:rPr>
            </w:pPr>
            <w:r w:rsidRPr="00931149">
              <w:rPr>
                <w:rFonts w:ascii="Myriad Pro" w:eastAsia="Arial" w:hAnsi="Myriad Pro" w:cs="Calibri"/>
                <w:bCs/>
                <w:sz w:val="18"/>
                <w:szCs w:val="18"/>
              </w:rPr>
              <w:t>Število zaposlenih</w:t>
            </w:r>
            <w:r w:rsidRPr="00931149">
              <w:rPr>
                <w:rFonts w:ascii="Myriad Pro" w:eastAsia="Arial" w:hAnsi="Myriad Pro" w:cs="Calibri"/>
                <w:bCs/>
                <w:sz w:val="18"/>
                <w:szCs w:val="18"/>
                <w:vertAlign w:val="superscript"/>
              </w:rPr>
              <w:t>1</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58B03A84" w14:textId="6E4F6333"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198.011</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7BC1AE3E" w14:textId="26D40A9F"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166.685</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50468DFD" w14:textId="33DFE9A1"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163.597</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3DC1FA5A" w14:textId="2A67FF7C"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190.581</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55AE278F" w14:textId="7137D6DA"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183.353</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15308320" w14:textId="2452BEA5"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188.723</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4A9C5667" w14:textId="2FD880CB" w:rsidR="00BC0E15"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w:t>
            </w:r>
            <w:r>
              <w:rPr>
                <w:rFonts w:ascii="Myriad Pro" w:eastAsia="Arial" w:hAnsi="Myriad Pro" w:cs="Calibri"/>
                <w:sz w:val="18"/>
                <w:szCs w:val="18"/>
              </w:rPr>
              <w:t>93.263</w:t>
            </w:r>
          </w:p>
        </w:tc>
      </w:tr>
      <w:tr w:rsidR="00BC0E15" w:rsidRPr="00931149" w14:paraId="26AAFC3E" w14:textId="6AAB7B31"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3C49FBA4"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Delež zaposlenih v vseh družbah (v %)</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7D4795BF" w14:textId="17545AF4"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38,8</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3E48BD84" w14:textId="3CF41AAB"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36,0</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079B57FC" w14:textId="0C13CD90"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36,8</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6D8B08A7" w14:textId="7598223C"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36,7</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09D7F205" w14:textId="32A5ED88"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36,0</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3C6C6D54" w14:textId="75700313"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36,1</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4FA1F578" w14:textId="7EE7A3E0" w:rsidR="00BC0E15"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w:t>
            </w:r>
            <w:r>
              <w:rPr>
                <w:rFonts w:ascii="Myriad Pro" w:eastAsia="Arial" w:hAnsi="Myriad Pro" w:cs="Calibri"/>
                <w:sz w:val="18"/>
                <w:szCs w:val="18"/>
              </w:rPr>
              <w:t>6,1</w:t>
            </w:r>
          </w:p>
        </w:tc>
      </w:tr>
      <w:tr w:rsidR="00BC0E15" w:rsidRPr="00931149" w14:paraId="2DA25809" w14:textId="1352E14D"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089BB05E"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Delež dodane vrednosti v vseh družbah (v %)</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57C9B175" w14:textId="0739ABA3"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35,2</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6FA9AEE4" w14:textId="6FCD3849"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34,2</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5BA7556A" w14:textId="37BDD389"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37,5</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3D84B5A0" w14:textId="6C37AD8F"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36,6</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2738871B" w14:textId="60215A83"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37,1</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3EA3D154" w14:textId="3B07DC84"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36,2</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6D99FF3E" w14:textId="2A4AEDFD" w:rsidR="00BC0E15"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w:t>
            </w:r>
            <w:r>
              <w:rPr>
                <w:rFonts w:ascii="Myriad Pro" w:eastAsia="Arial" w:hAnsi="Myriad Pro" w:cs="Calibri"/>
                <w:sz w:val="18"/>
                <w:szCs w:val="18"/>
              </w:rPr>
              <w:t>7,4</w:t>
            </w:r>
          </w:p>
        </w:tc>
      </w:tr>
      <w:tr w:rsidR="00BC0E15" w:rsidRPr="00931149" w14:paraId="57CB8715" w14:textId="47E1D72C"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481826EA"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Neto</w:t>
            </w:r>
            <w:r w:rsidRPr="00931149">
              <w:rPr>
                <w:rFonts w:ascii="Myriad Pro" w:eastAsia="Arial" w:hAnsi="Myriad Pro" w:cs="Calibri"/>
                <w:bCs/>
                <w:sz w:val="18"/>
                <w:szCs w:val="18"/>
                <w:vertAlign w:val="superscript"/>
              </w:rPr>
              <w:t>2</w:t>
            </w:r>
            <w:r w:rsidRPr="00931149">
              <w:rPr>
                <w:rFonts w:ascii="Myriad Pro" w:eastAsia="Arial" w:hAnsi="Myriad Pro" w:cs="Calibri"/>
                <w:bCs/>
                <w:sz w:val="18"/>
                <w:szCs w:val="18"/>
              </w:rPr>
              <w:t xml:space="preserve"> čisti dobiček/izguba (v mio EUR)</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6199AA16" w14:textId="0307C839"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588,1</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5F1EE7FB" w14:textId="13EDDEC8"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360,8</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3FB667CB" w14:textId="2C98A0AA"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1.111,9</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53B8A7E4" w14:textId="6364BB41"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1.532,7</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6E0DCB2A" w14:textId="2A61D34A"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1.356,6</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2237F555" w14:textId="0C93421E"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1.974,5</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3E089152" w14:textId="64D9D632" w:rsidR="00BC0E15"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w:t>
            </w:r>
            <w:r>
              <w:rPr>
                <w:rFonts w:ascii="Myriad Pro" w:eastAsia="Arial" w:hAnsi="Myriad Pro" w:cs="Calibri"/>
                <w:sz w:val="18"/>
                <w:szCs w:val="18"/>
              </w:rPr>
              <w:t>.384,3</w:t>
            </w:r>
          </w:p>
        </w:tc>
      </w:tr>
      <w:tr w:rsidR="00BC0E15" w:rsidRPr="00931149" w14:paraId="3CE9B09E" w14:textId="69BBC490" w:rsidTr="00882C9B">
        <w:trPr>
          <w:trHeight w:val="301"/>
        </w:trPr>
        <w:tc>
          <w:tcPr>
            <w:cnfStyle w:val="001000000000" w:firstRow="0" w:lastRow="0" w:firstColumn="1" w:lastColumn="0" w:oddVBand="0" w:evenVBand="0" w:oddHBand="0" w:evenHBand="0" w:firstRowFirstColumn="0" w:firstRowLastColumn="0" w:lastRowFirstColumn="0" w:lastRowLastColumn="0"/>
            <w:tcW w:w="2500" w:type="pct"/>
            <w:gridSpan w:val="3"/>
            <w:tcBorders>
              <w:top w:val="single" w:sz="4" w:space="0" w:color="auto"/>
              <w:left w:val="nil"/>
              <w:bottom w:val="single" w:sz="4" w:space="0" w:color="auto"/>
              <w:right w:val="nil"/>
            </w:tcBorders>
            <w:hideMark/>
          </w:tcPr>
          <w:p w14:paraId="360A1C3A"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VELIKOST</w:t>
            </w:r>
          </w:p>
        </w:tc>
        <w:tc>
          <w:tcPr>
            <w:cnfStyle w:val="000100000000" w:firstRow="0" w:lastRow="0" w:firstColumn="0" w:lastColumn="1" w:oddVBand="0" w:evenVBand="0" w:oddHBand="0" w:evenHBand="0" w:firstRowFirstColumn="0" w:firstRowLastColumn="0" w:lastRowFirstColumn="0" w:lastRowLastColumn="0"/>
            <w:tcW w:w="2500" w:type="pct"/>
            <w:gridSpan w:val="6"/>
            <w:tcBorders>
              <w:top w:val="single" w:sz="4" w:space="0" w:color="auto"/>
              <w:left w:val="nil"/>
              <w:bottom w:val="single" w:sz="4" w:space="0" w:color="auto"/>
              <w:right w:val="nil"/>
            </w:tcBorders>
          </w:tcPr>
          <w:p w14:paraId="6370B6FB" w14:textId="77777777" w:rsidR="00BC0E15" w:rsidRPr="00931149" w:rsidRDefault="00BC0E15" w:rsidP="00DA5A5B">
            <w:pPr>
              <w:spacing w:before="10" w:after="10" w:line="220" w:lineRule="atLeast"/>
              <w:rPr>
                <w:rFonts w:ascii="Myriad Pro" w:eastAsia="Arial" w:hAnsi="Myriad Pro" w:cs="Calibri"/>
                <w:bCs/>
                <w:sz w:val="18"/>
                <w:szCs w:val="18"/>
              </w:rPr>
            </w:pPr>
          </w:p>
        </w:tc>
      </w:tr>
      <w:tr w:rsidR="00BC0E15" w:rsidRPr="00931149" w14:paraId="074740DA" w14:textId="76289FE2"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6C29652D"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Sredstva/podjetje (v tisoč EUR)</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0B1B7001" w14:textId="77FCE453"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3.512</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36A48532" w14:textId="07B742C8"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3.259</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609696CB" w14:textId="623CBA61"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2.825</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0C23DC77" w14:textId="05BD680D"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3.307</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56CD783A" w14:textId="64443981"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3.310</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238A2F59" w14:textId="33E677B6"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3.659</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0F8AA61A" w14:textId="208DE7D9" w:rsidR="00BC0E15" w:rsidRDefault="0041680D"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3.910</w:t>
            </w:r>
          </w:p>
        </w:tc>
      </w:tr>
      <w:tr w:rsidR="00BC0E15" w:rsidRPr="00931149" w14:paraId="5D9B0F1A" w14:textId="5512F6CE"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538FA4AA"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Število zaposlenih/podjetje</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48ACF3CF" w14:textId="73A14A14"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29,7</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2E12352D" w14:textId="042F827D"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24,1</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0B8EC52F" w14:textId="6B5343C7"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20,8</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7F2F5AA3" w14:textId="00601BCE"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23,1</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56B512C1" w14:textId="211846E9"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21,9</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7B9D538C" w14:textId="7A825170"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22,3</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539321FD" w14:textId="205EE996" w:rsidR="00BC0E15"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22,5</w:t>
            </w:r>
          </w:p>
        </w:tc>
      </w:tr>
      <w:tr w:rsidR="00BC0E15" w:rsidRPr="00931149" w14:paraId="1B2734D8" w14:textId="4E8BC8FE" w:rsidTr="00882C9B">
        <w:trPr>
          <w:trHeight w:val="301"/>
        </w:trPr>
        <w:tc>
          <w:tcPr>
            <w:cnfStyle w:val="001000000000" w:firstRow="0" w:lastRow="0" w:firstColumn="1" w:lastColumn="0" w:oddVBand="0" w:evenVBand="0" w:oddHBand="0" w:evenHBand="0" w:firstRowFirstColumn="0" w:firstRowLastColumn="0" w:lastRowFirstColumn="0" w:lastRowLastColumn="0"/>
            <w:tcW w:w="2500" w:type="pct"/>
            <w:gridSpan w:val="3"/>
            <w:tcBorders>
              <w:top w:val="single" w:sz="4" w:space="0" w:color="auto"/>
              <w:left w:val="nil"/>
              <w:bottom w:val="single" w:sz="4" w:space="0" w:color="auto"/>
              <w:right w:val="nil"/>
            </w:tcBorders>
            <w:hideMark/>
          </w:tcPr>
          <w:p w14:paraId="209F525B"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OPREMLJENOST DELA S SREDSTVI</w:t>
            </w:r>
          </w:p>
        </w:tc>
        <w:tc>
          <w:tcPr>
            <w:cnfStyle w:val="000100000000" w:firstRow="0" w:lastRow="0" w:firstColumn="0" w:lastColumn="1" w:oddVBand="0" w:evenVBand="0" w:oddHBand="0" w:evenHBand="0" w:firstRowFirstColumn="0" w:firstRowLastColumn="0" w:lastRowFirstColumn="0" w:lastRowLastColumn="0"/>
            <w:tcW w:w="2500" w:type="pct"/>
            <w:gridSpan w:val="6"/>
            <w:tcBorders>
              <w:top w:val="single" w:sz="4" w:space="0" w:color="auto"/>
              <w:left w:val="nil"/>
              <w:bottom w:val="single" w:sz="4" w:space="0" w:color="auto"/>
              <w:right w:val="nil"/>
            </w:tcBorders>
          </w:tcPr>
          <w:p w14:paraId="63AA8932" w14:textId="77777777" w:rsidR="00BC0E15" w:rsidRPr="00931149" w:rsidRDefault="00BC0E15" w:rsidP="00DA5A5B">
            <w:pPr>
              <w:spacing w:before="10" w:after="10" w:line="220" w:lineRule="atLeast"/>
              <w:rPr>
                <w:rFonts w:ascii="Myriad Pro" w:eastAsia="Arial" w:hAnsi="Myriad Pro" w:cs="Calibri"/>
                <w:bCs/>
                <w:sz w:val="18"/>
                <w:szCs w:val="18"/>
              </w:rPr>
            </w:pPr>
          </w:p>
        </w:tc>
      </w:tr>
      <w:tr w:rsidR="00BC0E15" w:rsidRPr="00931149" w14:paraId="361215DF" w14:textId="205E2399"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4A22F665"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Povprečna sredstva/zaposlenega (v tisoč EUR)</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3A5355D0" w14:textId="24158DCC"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114</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2A0FCD3A" w14:textId="7A28AD6B"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132</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3B40FA8B" w14:textId="629E4172"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134</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46D8837B" w14:textId="54584BF0"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139</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7B38EF7B" w14:textId="04C0865D"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149</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52482DCE" w14:textId="54E9095A"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155</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568875A7" w14:textId="4F5A4761" w:rsidR="00BC0E15" w:rsidRDefault="0041680D"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167</w:t>
            </w:r>
          </w:p>
        </w:tc>
      </w:tr>
      <w:tr w:rsidR="00BC0E15" w:rsidRPr="00931149" w14:paraId="518B5095" w14:textId="4C167609" w:rsidTr="00882C9B">
        <w:trPr>
          <w:trHeight w:val="301"/>
        </w:trPr>
        <w:tc>
          <w:tcPr>
            <w:cnfStyle w:val="001000000000" w:firstRow="0" w:lastRow="0" w:firstColumn="1" w:lastColumn="0" w:oddVBand="0" w:evenVBand="0" w:oddHBand="0" w:evenHBand="0" w:firstRowFirstColumn="0" w:firstRowLastColumn="0" w:lastRowFirstColumn="0" w:lastRowLastColumn="0"/>
            <w:tcW w:w="2500" w:type="pct"/>
            <w:gridSpan w:val="3"/>
            <w:tcBorders>
              <w:top w:val="single" w:sz="4" w:space="0" w:color="auto"/>
              <w:left w:val="nil"/>
              <w:bottom w:val="single" w:sz="4" w:space="0" w:color="auto"/>
              <w:right w:val="nil"/>
            </w:tcBorders>
            <w:hideMark/>
          </w:tcPr>
          <w:p w14:paraId="6EDDE446"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GOSPODARNOST</w:t>
            </w:r>
          </w:p>
        </w:tc>
        <w:tc>
          <w:tcPr>
            <w:cnfStyle w:val="000100000000" w:firstRow="0" w:lastRow="0" w:firstColumn="0" w:lastColumn="1" w:oddVBand="0" w:evenVBand="0" w:oddHBand="0" w:evenHBand="0" w:firstRowFirstColumn="0" w:firstRowLastColumn="0" w:lastRowFirstColumn="0" w:lastRowLastColumn="0"/>
            <w:tcW w:w="2500" w:type="pct"/>
            <w:gridSpan w:val="6"/>
            <w:tcBorders>
              <w:top w:val="single" w:sz="4" w:space="0" w:color="auto"/>
              <w:left w:val="nil"/>
              <w:bottom w:val="single" w:sz="4" w:space="0" w:color="auto"/>
              <w:right w:val="nil"/>
            </w:tcBorders>
          </w:tcPr>
          <w:p w14:paraId="14BB2677" w14:textId="77777777" w:rsidR="00BC0E15" w:rsidRPr="00931149" w:rsidRDefault="00BC0E15" w:rsidP="00DA5A5B">
            <w:pPr>
              <w:spacing w:before="10" w:after="10" w:line="220" w:lineRule="atLeast"/>
              <w:rPr>
                <w:rFonts w:ascii="Myriad Pro" w:eastAsia="Arial" w:hAnsi="Myriad Pro" w:cs="Calibri"/>
                <w:bCs/>
                <w:sz w:val="18"/>
                <w:szCs w:val="18"/>
              </w:rPr>
            </w:pPr>
          </w:p>
        </w:tc>
      </w:tr>
      <w:tr w:rsidR="00BC0E15" w:rsidRPr="00931149" w14:paraId="38D6E710" w14:textId="6ABF6BFC"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689F4768"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Gospodarnost poslovanja</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41835479" w14:textId="48884829"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1,046</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664C6AD0" w14:textId="08853534"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1,038</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1CAAAAFF" w14:textId="69FBBA5C"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1,058</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5A6EAEA9" w14:textId="51EA337C"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1,059</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632F61CF" w14:textId="5A3F52CE"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1,060</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2BC828ED" w14:textId="5D4DD67F"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1,069</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4C9E8AB2" w14:textId="3F920709" w:rsidR="00BC0E15"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1,069</w:t>
            </w:r>
          </w:p>
        </w:tc>
      </w:tr>
      <w:tr w:rsidR="00BC0E15" w:rsidRPr="00931149" w14:paraId="52817AAC" w14:textId="793BBAEF" w:rsidTr="00882C9B">
        <w:trPr>
          <w:trHeight w:val="301"/>
        </w:trPr>
        <w:tc>
          <w:tcPr>
            <w:cnfStyle w:val="001000000000" w:firstRow="0" w:lastRow="0" w:firstColumn="1" w:lastColumn="0" w:oddVBand="0" w:evenVBand="0" w:oddHBand="0" w:evenHBand="0" w:firstRowFirstColumn="0" w:firstRowLastColumn="0" w:lastRowFirstColumn="0" w:lastRowLastColumn="0"/>
            <w:tcW w:w="2500" w:type="pct"/>
            <w:gridSpan w:val="3"/>
            <w:tcBorders>
              <w:top w:val="single" w:sz="4" w:space="0" w:color="auto"/>
              <w:left w:val="nil"/>
              <w:bottom w:val="single" w:sz="4" w:space="0" w:color="auto"/>
              <w:right w:val="nil"/>
            </w:tcBorders>
            <w:hideMark/>
          </w:tcPr>
          <w:p w14:paraId="276B17EC"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DONOSNOST</w:t>
            </w:r>
          </w:p>
        </w:tc>
        <w:tc>
          <w:tcPr>
            <w:cnfStyle w:val="000100000000" w:firstRow="0" w:lastRow="0" w:firstColumn="0" w:lastColumn="1" w:oddVBand="0" w:evenVBand="0" w:oddHBand="0" w:evenHBand="0" w:firstRowFirstColumn="0" w:firstRowLastColumn="0" w:lastRowFirstColumn="0" w:lastRowLastColumn="0"/>
            <w:tcW w:w="2500" w:type="pct"/>
            <w:gridSpan w:val="6"/>
            <w:tcBorders>
              <w:top w:val="single" w:sz="4" w:space="0" w:color="auto"/>
              <w:left w:val="nil"/>
              <w:bottom w:val="single" w:sz="4" w:space="0" w:color="auto"/>
              <w:right w:val="nil"/>
            </w:tcBorders>
          </w:tcPr>
          <w:p w14:paraId="037F4EBA" w14:textId="77777777" w:rsidR="00BC0E15" w:rsidRPr="00931149" w:rsidRDefault="00BC0E15" w:rsidP="00DA5A5B">
            <w:pPr>
              <w:spacing w:before="10" w:after="10" w:line="220" w:lineRule="atLeast"/>
              <w:rPr>
                <w:rFonts w:ascii="Myriad Pro" w:eastAsia="Arial" w:hAnsi="Myriad Pro" w:cs="Calibri"/>
                <w:bCs/>
                <w:sz w:val="18"/>
                <w:szCs w:val="18"/>
              </w:rPr>
            </w:pPr>
          </w:p>
        </w:tc>
      </w:tr>
      <w:tr w:rsidR="00BC0E15" w:rsidRPr="00931149" w14:paraId="0B8CA172" w14:textId="45FBD843"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4C4BEC54"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Donosnost sredstev (v %)</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17B6362C" w14:textId="17B7F3B0"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2,60</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4448FFCA" w14:textId="3D704877"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1,63</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3F89BF00" w14:textId="010A3BC7"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5,06</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22713BF1" w14:textId="5B9547AC"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5,78</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6D155754" w14:textId="40CF53E8"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4,96</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66C415FE" w14:textId="2A5EC650"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6,75</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69A45FFF" w14:textId="0A2DA420" w:rsidR="00BC0E15"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7,38</w:t>
            </w:r>
          </w:p>
        </w:tc>
      </w:tr>
      <w:tr w:rsidR="00BC0E15" w:rsidRPr="00931149" w14:paraId="030A194A" w14:textId="6203BBC9"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2D1A42AB"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Donosnost prihodkov (v %)</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637C730F" w14:textId="6B75200C"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2,35</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3856F797" w14:textId="03E274D3"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1,61</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7B654055" w14:textId="0E047B85"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4,41</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7661ECF8" w14:textId="720408CC"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4,81</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25CCDC1C" w14:textId="55D8DD85"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4,50</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3F24D4F2" w14:textId="5FA20187"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5,46</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4447FB6A" w14:textId="4E6D2CC0" w:rsidR="00BC0E15"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5,61</w:t>
            </w:r>
          </w:p>
        </w:tc>
      </w:tr>
      <w:tr w:rsidR="00BC0E15" w:rsidRPr="00931149" w14:paraId="7A9ECCC3" w14:textId="1884F2D8" w:rsidTr="00882C9B">
        <w:trPr>
          <w:trHeight w:val="301"/>
        </w:trPr>
        <w:tc>
          <w:tcPr>
            <w:cnfStyle w:val="001000000000" w:firstRow="0" w:lastRow="0" w:firstColumn="1" w:lastColumn="0" w:oddVBand="0" w:evenVBand="0" w:oddHBand="0" w:evenHBand="0" w:firstRowFirstColumn="0" w:firstRowLastColumn="0" w:lastRowFirstColumn="0" w:lastRowLastColumn="0"/>
            <w:tcW w:w="2500" w:type="pct"/>
            <w:gridSpan w:val="3"/>
            <w:tcBorders>
              <w:top w:val="single" w:sz="4" w:space="0" w:color="auto"/>
              <w:left w:val="nil"/>
              <w:bottom w:val="single" w:sz="4" w:space="0" w:color="auto"/>
              <w:right w:val="nil"/>
            </w:tcBorders>
            <w:hideMark/>
          </w:tcPr>
          <w:p w14:paraId="3578E966"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PRODUKTIVNOST</w:t>
            </w:r>
          </w:p>
        </w:tc>
        <w:tc>
          <w:tcPr>
            <w:cnfStyle w:val="000100000000" w:firstRow="0" w:lastRow="0" w:firstColumn="0" w:lastColumn="1" w:oddVBand="0" w:evenVBand="0" w:oddHBand="0" w:evenHBand="0" w:firstRowFirstColumn="0" w:firstRowLastColumn="0" w:lastRowFirstColumn="0" w:lastRowLastColumn="0"/>
            <w:tcW w:w="2500" w:type="pct"/>
            <w:gridSpan w:val="6"/>
            <w:tcBorders>
              <w:top w:val="single" w:sz="4" w:space="0" w:color="auto"/>
              <w:left w:val="nil"/>
              <w:bottom w:val="single" w:sz="4" w:space="0" w:color="auto"/>
              <w:right w:val="nil"/>
            </w:tcBorders>
          </w:tcPr>
          <w:p w14:paraId="3F64FA12" w14:textId="77777777" w:rsidR="00BC0E15" w:rsidRPr="00931149" w:rsidRDefault="00BC0E15" w:rsidP="00DA5A5B">
            <w:pPr>
              <w:spacing w:before="10" w:after="10" w:line="220" w:lineRule="atLeast"/>
              <w:rPr>
                <w:rFonts w:ascii="Myriad Pro" w:eastAsia="Arial" w:hAnsi="Myriad Pro" w:cs="Calibri"/>
                <w:bCs/>
                <w:sz w:val="18"/>
                <w:szCs w:val="18"/>
              </w:rPr>
            </w:pPr>
          </w:p>
        </w:tc>
      </w:tr>
      <w:tr w:rsidR="00BC0E15" w:rsidRPr="00931149" w14:paraId="74FA9ABD" w14:textId="1FDA67D2"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39225C76"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Dodana vrednost/zaposlenega (v EUR)</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7641EC03" w14:textId="083B6B5D"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32.003</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5A08246D" w14:textId="6743C731"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34.205</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056A54D3" w14:textId="3A40A4CA"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41.884</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5B44D35B" w14:textId="3C173CA8"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46.663</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7A6D2671" w14:textId="361B5F8D"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48.612</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4868BBD4" w14:textId="5C786A84"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53.155</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18CDB09E" w14:textId="6BD595BB" w:rsidR="00BC0E15"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57.723</w:t>
            </w:r>
          </w:p>
        </w:tc>
      </w:tr>
      <w:tr w:rsidR="00BC0E15" w:rsidRPr="00931149" w14:paraId="5DFCC22A" w14:textId="25FD6242" w:rsidTr="00882C9B">
        <w:trPr>
          <w:trHeight w:val="301"/>
        </w:trPr>
        <w:tc>
          <w:tcPr>
            <w:cnfStyle w:val="001000000000" w:firstRow="0" w:lastRow="0" w:firstColumn="1" w:lastColumn="0" w:oddVBand="0" w:evenVBand="0" w:oddHBand="0" w:evenHBand="0" w:firstRowFirstColumn="0" w:firstRowLastColumn="0" w:lastRowFirstColumn="0" w:lastRowLastColumn="0"/>
            <w:tcW w:w="2500" w:type="pct"/>
            <w:gridSpan w:val="3"/>
            <w:tcBorders>
              <w:top w:val="single" w:sz="4" w:space="0" w:color="auto"/>
              <w:left w:val="nil"/>
              <w:bottom w:val="single" w:sz="4" w:space="0" w:color="auto"/>
              <w:right w:val="nil"/>
            </w:tcBorders>
            <w:hideMark/>
          </w:tcPr>
          <w:p w14:paraId="4D0F45FC"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STROŠKI DELA</w:t>
            </w:r>
          </w:p>
        </w:tc>
        <w:tc>
          <w:tcPr>
            <w:cnfStyle w:val="000100000000" w:firstRow="0" w:lastRow="0" w:firstColumn="0" w:lastColumn="1" w:oddVBand="0" w:evenVBand="0" w:oddHBand="0" w:evenHBand="0" w:firstRowFirstColumn="0" w:firstRowLastColumn="0" w:lastRowFirstColumn="0" w:lastRowLastColumn="0"/>
            <w:tcW w:w="2500" w:type="pct"/>
            <w:gridSpan w:val="6"/>
            <w:tcBorders>
              <w:top w:val="single" w:sz="4" w:space="0" w:color="auto"/>
              <w:left w:val="nil"/>
              <w:bottom w:val="single" w:sz="4" w:space="0" w:color="auto"/>
              <w:right w:val="nil"/>
            </w:tcBorders>
          </w:tcPr>
          <w:p w14:paraId="04AF550C" w14:textId="77777777" w:rsidR="00BC0E15" w:rsidRPr="00931149" w:rsidRDefault="00BC0E15" w:rsidP="00DA5A5B">
            <w:pPr>
              <w:spacing w:before="10" w:after="10" w:line="220" w:lineRule="atLeast"/>
              <w:rPr>
                <w:rFonts w:ascii="Myriad Pro" w:eastAsia="Arial" w:hAnsi="Myriad Pro" w:cs="Calibri"/>
                <w:bCs/>
                <w:sz w:val="18"/>
                <w:szCs w:val="18"/>
              </w:rPr>
            </w:pPr>
          </w:p>
        </w:tc>
      </w:tr>
      <w:tr w:rsidR="00BC0E15" w:rsidRPr="00931149" w14:paraId="7A4FF34F" w14:textId="555E6362"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44B1BB7F"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Stroški dela/zaposlenega (v EUR)</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7172C2BD" w14:textId="502A5FE7"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20.135</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5AA5B110" w14:textId="304B865B"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21.955</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21869BF0" w14:textId="2990AE09"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25.288</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441919F5" w14:textId="5CA8516D"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29.124</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1205A8B1" w14:textId="55D19F20"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30.584</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7E255C39" w14:textId="2B2E1FDF"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32.247</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21177F05" w14:textId="400FC13A" w:rsidR="00BC0E15"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34.485</w:t>
            </w:r>
          </w:p>
        </w:tc>
      </w:tr>
      <w:tr w:rsidR="00BC0E15" w:rsidRPr="00931149" w14:paraId="25F1FAAF" w14:textId="1D70A32F"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68362099"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Delež stroškov dela v dodani vrednosti (v %)</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7F8D7401" w14:textId="2EC4F3B5"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62,9</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70A8562D" w14:textId="6B57697F"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64,2</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04FEFA75" w14:textId="28275295"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60,4</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44DB0297" w14:textId="711A40B2"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62,4</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20FF3B84" w14:textId="481B1733"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62,9</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7A9AF690" w14:textId="714A20AF"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60,7</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0530F6AE" w14:textId="7F3D04B2" w:rsidR="00BC0E15"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59,7</w:t>
            </w:r>
          </w:p>
        </w:tc>
      </w:tr>
      <w:tr w:rsidR="00BC0E15" w:rsidRPr="00931149" w14:paraId="394E8099" w14:textId="427411F4" w:rsidTr="00882C9B">
        <w:trPr>
          <w:trHeight w:val="301"/>
        </w:trPr>
        <w:tc>
          <w:tcPr>
            <w:cnfStyle w:val="001000000000" w:firstRow="0" w:lastRow="0" w:firstColumn="1" w:lastColumn="0" w:oddVBand="0" w:evenVBand="0" w:oddHBand="0" w:evenHBand="0" w:firstRowFirstColumn="0" w:firstRowLastColumn="0" w:lastRowFirstColumn="0" w:lastRowLastColumn="0"/>
            <w:tcW w:w="2500" w:type="pct"/>
            <w:gridSpan w:val="3"/>
            <w:tcBorders>
              <w:top w:val="single" w:sz="4" w:space="0" w:color="auto"/>
              <w:left w:val="nil"/>
              <w:bottom w:val="single" w:sz="4" w:space="0" w:color="auto"/>
              <w:right w:val="nil"/>
            </w:tcBorders>
            <w:hideMark/>
          </w:tcPr>
          <w:p w14:paraId="4F2AD587"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FINANCIRANJE IN PLAČILNA SPOSOBNOST</w:t>
            </w:r>
          </w:p>
        </w:tc>
        <w:tc>
          <w:tcPr>
            <w:cnfStyle w:val="000100000000" w:firstRow="0" w:lastRow="0" w:firstColumn="0" w:lastColumn="1" w:oddVBand="0" w:evenVBand="0" w:oddHBand="0" w:evenHBand="0" w:firstRowFirstColumn="0" w:firstRowLastColumn="0" w:lastRowFirstColumn="0" w:lastRowLastColumn="0"/>
            <w:tcW w:w="2500" w:type="pct"/>
            <w:gridSpan w:val="6"/>
            <w:tcBorders>
              <w:top w:val="single" w:sz="4" w:space="0" w:color="auto"/>
              <w:left w:val="nil"/>
              <w:bottom w:val="single" w:sz="4" w:space="0" w:color="auto"/>
              <w:right w:val="nil"/>
            </w:tcBorders>
          </w:tcPr>
          <w:p w14:paraId="79E1A5F0" w14:textId="77777777" w:rsidR="00BC0E15" w:rsidRPr="00931149" w:rsidRDefault="00BC0E15" w:rsidP="00DA5A5B">
            <w:pPr>
              <w:spacing w:before="10" w:after="10" w:line="220" w:lineRule="atLeast"/>
              <w:rPr>
                <w:rFonts w:ascii="Myriad Pro" w:eastAsia="Arial" w:hAnsi="Myriad Pro" w:cs="Calibri"/>
                <w:bCs/>
                <w:sz w:val="18"/>
                <w:szCs w:val="18"/>
              </w:rPr>
            </w:pPr>
          </w:p>
        </w:tc>
      </w:tr>
      <w:tr w:rsidR="00BC0E15" w:rsidRPr="00931149" w14:paraId="214FF4A6" w14:textId="60A7E265"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13A83E48"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Delež dolga v virih sredstev (v %)</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386A1BAF" w14:textId="350F5138"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57,9</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59B4E602" w14:textId="062C8443"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57,3</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0BE8C7FA" w14:textId="581B656C"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50,0</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7C4C6ED9" w14:textId="7459558B"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47,0</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1B458168" w14:textId="5DA86AF9"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45,3</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54822EF3" w14:textId="4323BFFB"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46,9</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23A5206C" w14:textId="0BD060B9" w:rsidR="00BC0E15"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46,8</w:t>
            </w:r>
          </w:p>
        </w:tc>
      </w:tr>
      <w:tr w:rsidR="00BC0E15" w:rsidRPr="00931149" w14:paraId="0050DA0E" w14:textId="10D9A003"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13694C04"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Delež kratk. obveznosti v virih sredstev (v %)</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4995E269" w14:textId="4B3C3760"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39,3</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161BAF63" w14:textId="5608E281"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38,1</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3F242941" w14:textId="13084745"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30,7</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694F769B" w14:textId="0A3DFB3F"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30,5</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288609E7" w14:textId="53A1B76C"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29,0</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3936A47B" w14:textId="0D7DFEE8"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32,0</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07DC3F3A" w14:textId="27731929" w:rsidR="00BC0E15"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32,2</w:t>
            </w:r>
          </w:p>
        </w:tc>
      </w:tr>
      <w:tr w:rsidR="00BC0E15" w:rsidRPr="00931149" w14:paraId="568B7D4C" w14:textId="27724706"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38C9F69F"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Kapitalska pokritost dolg. sredstev (v %)</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3706F9B2" w14:textId="7F990D53"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76,5</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21A5F1EA" w14:textId="2B7427D9"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78,7</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763E6616" w14:textId="6FD44491"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92,2</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52DF5027" w14:textId="22B896BC"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100,5</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5C12D33D" w14:textId="7F2ED6C7"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106,0</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593EBAA7" w14:textId="4863260E"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109,4</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661B786F" w14:textId="1EA45281" w:rsidR="00BC0E15"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112,0</w:t>
            </w:r>
          </w:p>
        </w:tc>
      </w:tr>
      <w:tr w:rsidR="00BC0E15" w:rsidRPr="00931149" w14:paraId="45D19AF1" w14:textId="46E83090"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4052A447"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Dolg. pokritost dolg. sredstev in zalog (v %)</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3D74FF33" w14:textId="282E1815"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87,3</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4C6F2556" w14:textId="317F8DB3"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91,6</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5EF83DF7" w14:textId="4A530A21"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100,2</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746E11E1" w14:textId="503F54B0"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100,5</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3DB0ED2F" w14:textId="769F7F46"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104,5</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4787F512" w14:textId="27B7AC9B"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101,4</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549BCFEA" w14:textId="0163C270" w:rsidR="00BC0E15"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99,8</w:t>
            </w:r>
          </w:p>
        </w:tc>
      </w:tr>
      <w:tr w:rsidR="00BC0E15" w:rsidRPr="00931149" w14:paraId="34E5093F" w14:textId="78842869" w:rsidTr="00882C9B">
        <w:trPr>
          <w:trHeight w:val="301"/>
        </w:trPr>
        <w:tc>
          <w:tcPr>
            <w:cnfStyle w:val="001000000000" w:firstRow="0" w:lastRow="0" w:firstColumn="1" w:lastColumn="0" w:oddVBand="0" w:evenVBand="0" w:oddHBand="0" w:evenHBand="0" w:firstRowFirstColumn="0" w:firstRowLastColumn="0" w:lastRowFirstColumn="0" w:lastRowLastColumn="0"/>
            <w:tcW w:w="2500" w:type="pct"/>
            <w:gridSpan w:val="3"/>
            <w:tcBorders>
              <w:top w:val="single" w:sz="4" w:space="0" w:color="auto"/>
              <w:left w:val="nil"/>
              <w:bottom w:val="single" w:sz="4" w:space="0" w:color="auto"/>
              <w:right w:val="nil"/>
            </w:tcBorders>
            <w:hideMark/>
          </w:tcPr>
          <w:p w14:paraId="1531DC81"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IZVOZNA USMERJENOST</w:t>
            </w:r>
          </w:p>
        </w:tc>
        <w:tc>
          <w:tcPr>
            <w:cnfStyle w:val="000100000000" w:firstRow="0" w:lastRow="0" w:firstColumn="0" w:lastColumn="1" w:oddVBand="0" w:evenVBand="0" w:oddHBand="0" w:evenHBand="0" w:firstRowFirstColumn="0" w:firstRowLastColumn="0" w:lastRowFirstColumn="0" w:lastRowLastColumn="0"/>
            <w:tcW w:w="2500" w:type="pct"/>
            <w:gridSpan w:val="6"/>
            <w:tcBorders>
              <w:top w:val="single" w:sz="4" w:space="0" w:color="auto"/>
              <w:left w:val="nil"/>
              <w:bottom w:val="single" w:sz="4" w:space="0" w:color="auto"/>
              <w:right w:val="nil"/>
            </w:tcBorders>
          </w:tcPr>
          <w:p w14:paraId="010F2D46" w14:textId="77777777" w:rsidR="00BC0E15" w:rsidRPr="00931149" w:rsidRDefault="00BC0E15" w:rsidP="00DA5A5B">
            <w:pPr>
              <w:spacing w:before="10" w:after="10" w:line="220" w:lineRule="atLeast"/>
              <w:rPr>
                <w:rFonts w:ascii="Myriad Pro" w:eastAsia="Arial" w:hAnsi="Myriad Pro" w:cs="Calibri"/>
                <w:bCs/>
                <w:sz w:val="18"/>
                <w:szCs w:val="18"/>
              </w:rPr>
            </w:pPr>
          </w:p>
        </w:tc>
      </w:tr>
      <w:tr w:rsidR="00BC0E15" w:rsidRPr="00931149" w14:paraId="68AF48BB" w14:textId="3E4883E9"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51A07B32"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Delež čistih prihodkov od prodaje na tujem trgu (v %)</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14A307AE" w14:textId="3015EFF7"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62,6</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4D6A61DF" w14:textId="4D79372C"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64,8</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053982AE" w14:textId="157CC314"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69,5</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0A56F873" w14:textId="30F356F7"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71,8</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4585FFD6" w14:textId="70B2FCAC"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72,2</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40B48717" w14:textId="6755A24B"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72,3</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7EF9654C" w14:textId="42AE1FD6" w:rsidR="00BC0E15"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71,8</w:t>
            </w:r>
          </w:p>
        </w:tc>
      </w:tr>
      <w:tr w:rsidR="00BC0E15" w:rsidRPr="00931149" w14:paraId="6018183B" w14:textId="40B0103E" w:rsidTr="00882C9B">
        <w:trPr>
          <w:trHeight w:val="301"/>
        </w:trPr>
        <w:tc>
          <w:tcPr>
            <w:cnfStyle w:val="001000000000" w:firstRow="0" w:lastRow="0" w:firstColumn="1" w:lastColumn="0" w:oddVBand="0" w:evenVBand="0" w:oddHBand="0" w:evenHBand="0" w:firstRowFirstColumn="0" w:firstRowLastColumn="0" w:lastRowFirstColumn="0" w:lastRowLastColumn="0"/>
            <w:tcW w:w="2500" w:type="pct"/>
            <w:gridSpan w:val="3"/>
            <w:tcBorders>
              <w:top w:val="single" w:sz="4" w:space="0" w:color="auto"/>
              <w:left w:val="nil"/>
              <w:bottom w:val="single" w:sz="4" w:space="0" w:color="auto"/>
              <w:right w:val="nil"/>
            </w:tcBorders>
            <w:hideMark/>
          </w:tcPr>
          <w:p w14:paraId="278623CC"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STRUKTURA SREDSTEV</w:t>
            </w:r>
          </w:p>
        </w:tc>
        <w:tc>
          <w:tcPr>
            <w:cnfStyle w:val="000100000000" w:firstRow="0" w:lastRow="0" w:firstColumn="0" w:lastColumn="1" w:oddVBand="0" w:evenVBand="0" w:oddHBand="0" w:evenHBand="0" w:firstRowFirstColumn="0" w:firstRowLastColumn="0" w:lastRowFirstColumn="0" w:lastRowLastColumn="0"/>
            <w:tcW w:w="2500" w:type="pct"/>
            <w:gridSpan w:val="6"/>
            <w:tcBorders>
              <w:top w:val="single" w:sz="4" w:space="0" w:color="auto"/>
              <w:left w:val="nil"/>
              <w:bottom w:val="single" w:sz="4" w:space="0" w:color="auto"/>
              <w:right w:val="nil"/>
            </w:tcBorders>
          </w:tcPr>
          <w:p w14:paraId="3D6BE946" w14:textId="77777777" w:rsidR="00BC0E15" w:rsidRPr="00931149" w:rsidRDefault="00BC0E15" w:rsidP="00DA5A5B">
            <w:pPr>
              <w:spacing w:before="10" w:after="10" w:line="220" w:lineRule="atLeast"/>
              <w:rPr>
                <w:rFonts w:ascii="Myriad Pro" w:eastAsia="Arial" w:hAnsi="Myriad Pro" w:cs="Calibri"/>
                <w:bCs/>
                <w:sz w:val="18"/>
                <w:szCs w:val="18"/>
              </w:rPr>
            </w:pPr>
          </w:p>
        </w:tc>
      </w:tr>
      <w:tr w:rsidR="00BC0E15" w:rsidRPr="00931149" w14:paraId="324C6A29" w14:textId="6FE0F898"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17668872"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Delež dolg. sredstev v sredstvih (v %)</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538D3E4D" w14:textId="751C7036"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55,0</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6C9BF559" w14:textId="16952471"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54,2</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36204E52" w14:textId="1320A1A9"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54,3</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1069645A" w14:textId="43059A62"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52,7</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363B8BE4" w14:textId="513EEE77"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51,5</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25727056" w14:textId="7ABC4DE8"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48,6</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24ADDB14" w14:textId="3600E61A" w:rsidR="00BC0E15"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47,5</w:t>
            </w:r>
          </w:p>
        </w:tc>
      </w:tr>
      <w:tr w:rsidR="00BC0E15" w:rsidRPr="00931149" w14:paraId="4D50D442" w14:textId="3CBA4B7C" w:rsidTr="00882C9B">
        <w:trPr>
          <w:trHeight w:val="301"/>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nil"/>
              <w:bottom w:val="single" w:sz="4" w:space="0" w:color="auto"/>
              <w:right w:val="single" w:sz="4" w:space="0" w:color="auto"/>
            </w:tcBorders>
            <w:hideMark/>
          </w:tcPr>
          <w:p w14:paraId="38917558" w14:textId="77777777" w:rsidR="00BC0E15" w:rsidRPr="00931149" w:rsidRDefault="00BC0E15" w:rsidP="00DA5A5B">
            <w:pPr>
              <w:spacing w:before="10" w:after="10" w:line="220" w:lineRule="atLeast"/>
              <w:rPr>
                <w:rFonts w:ascii="Myriad Pro" w:eastAsia="Arial" w:hAnsi="Myriad Pro" w:cs="Calibri"/>
                <w:bCs/>
                <w:sz w:val="18"/>
                <w:szCs w:val="18"/>
              </w:rPr>
            </w:pPr>
            <w:r w:rsidRPr="00931149">
              <w:rPr>
                <w:rFonts w:ascii="Myriad Pro" w:eastAsia="Arial" w:hAnsi="Myriad Pro" w:cs="Calibri"/>
                <w:bCs/>
                <w:sz w:val="18"/>
                <w:szCs w:val="18"/>
              </w:rPr>
              <w:t>Delež strojev in naprav ter druge opreme in naprav v dolgoročnih sredstvih (v %)</w:t>
            </w:r>
          </w:p>
        </w:tc>
        <w:tc>
          <w:tcPr>
            <w:cnfStyle w:val="000010000000" w:firstRow="0" w:lastRow="0" w:firstColumn="0" w:lastColumn="0" w:oddVBand="1" w:evenVBand="0"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3F4F91A0" w14:textId="0E83A23E"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30,1</w:t>
            </w:r>
          </w:p>
        </w:tc>
        <w:tc>
          <w:tcPr>
            <w:cnfStyle w:val="000001000000" w:firstRow="0" w:lastRow="0" w:firstColumn="0" w:lastColumn="0" w:oddVBand="0" w:evenVBand="1" w:oddHBand="0" w:evenHBand="0" w:firstRowFirstColumn="0" w:firstRowLastColumn="0" w:lastRowFirstColumn="0" w:lastRowLastColumn="0"/>
            <w:tcW w:w="435" w:type="pct"/>
            <w:gridSpan w:val="2"/>
            <w:tcBorders>
              <w:top w:val="single" w:sz="4" w:space="0" w:color="auto"/>
              <w:left w:val="single" w:sz="4" w:space="0" w:color="auto"/>
              <w:bottom w:val="single" w:sz="4" w:space="0" w:color="auto"/>
              <w:right w:val="single" w:sz="4" w:space="0" w:color="auto"/>
            </w:tcBorders>
          </w:tcPr>
          <w:p w14:paraId="6A928D1A" w14:textId="3ACAAF11"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30,4</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133C0074" w14:textId="322962C8"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31,0</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single" w:sz="4" w:space="0" w:color="auto"/>
            </w:tcBorders>
          </w:tcPr>
          <w:p w14:paraId="7FEA2C17" w14:textId="2237A2C8"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32,2</w:t>
            </w:r>
          </w:p>
        </w:tc>
        <w:tc>
          <w:tcPr>
            <w:cnfStyle w:val="000010000000" w:firstRow="0" w:lastRow="0" w:firstColumn="0" w:lastColumn="0" w:oddVBand="1"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single" w:sz="4" w:space="0" w:color="auto"/>
            </w:tcBorders>
          </w:tcPr>
          <w:p w14:paraId="55AA7946" w14:textId="7BCFB4E1"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33,0</w:t>
            </w:r>
          </w:p>
        </w:tc>
        <w:tc>
          <w:tcPr>
            <w:cnfStyle w:val="000001000000" w:firstRow="0" w:lastRow="0" w:firstColumn="0" w:lastColumn="0" w:oddVBand="0" w:evenVBand="1" w:oddHBand="0" w:evenHBand="0" w:firstRowFirstColumn="0" w:firstRowLastColumn="0" w:lastRowFirstColumn="0" w:lastRowLastColumn="0"/>
            <w:tcW w:w="435" w:type="pct"/>
            <w:tcBorders>
              <w:top w:val="single" w:sz="4" w:space="0" w:color="auto"/>
              <w:left w:val="single" w:sz="4" w:space="0" w:color="auto"/>
              <w:bottom w:val="single" w:sz="4" w:space="0" w:color="auto"/>
              <w:right w:val="nil"/>
            </w:tcBorders>
          </w:tcPr>
          <w:p w14:paraId="07FB4348" w14:textId="734FA977" w:rsidR="00BC0E15" w:rsidRPr="00931149"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32,3</w:t>
            </w:r>
          </w:p>
        </w:tc>
        <w:tc>
          <w:tcPr>
            <w:cnfStyle w:val="000100000000" w:firstRow="0" w:lastRow="0" w:firstColumn="0" w:lastColumn="1" w:oddVBand="0" w:evenVBand="0" w:oddHBand="0" w:evenHBand="0" w:firstRowFirstColumn="0" w:firstRowLastColumn="0" w:lastRowFirstColumn="0" w:lastRowLastColumn="0"/>
            <w:tcW w:w="436" w:type="pct"/>
            <w:tcBorders>
              <w:top w:val="single" w:sz="4" w:space="0" w:color="auto"/>
              <w:left w:val="single" w:sz="4" w:space="0" w:color="auto"/>
              <w:bottom w:val="single" w:sz="4" w:space="0" w:color="auto"/>
              <w:right w:val="nil"/>
            </w:tcBorders>
          </w:tcPr>
          <w:p w14:paraId="51EE96E2" w14:textId="0F51E478" w:rsidR="00BC0E15" w:rsidRDefault="00BC0E15" w:rsidP="00DA5A5B">
            <w:pPr>
              <w:spacing w:before="10" w:after="10" w:line="220" w:lineRule="atLeast"/>
              <w:rPr>
                <w:rFonts w:ascii="Myriad Pro" w:eastAsia="Arial" w:hAnsi="Myriad Pro" w:cs="Calibri"/>
                <w:bCs/>
                <w:sz w:val="18"/>
                <w:szCs w:val="18"/>
              </w:rPr>
            </w:pPr>
            <w:r>
              <w:rPr>
                <w:rFonts w:ascii="Myriad Pro" w:eastAsia="Arial" w:hAnsi="Myriad Pro" w:cs="Calibri"/>
                <w:bCs/>
                <w:sz w:val="18"/>
                <w:szCs w:val="18"/>
              </w:rPr>
              <w:t>31,6</w:t>
            </w:r>
          </w:p>
        </w:tc>
      </w:tr>
    </w:tbl>
    <w:p w14:paraId="30EBBD2C" w14:textId="3EF2B955" w:rsidR="00931149" w:rsidRPr="00882C9B" w:rsidRDefault="00931149" w:rsidP="00882C9B">
      <w:pPr>
        <w:pStyle w:val="VirUMAR"/>
      </w:pPr>
      <w:r w:rsidRPr="00882C9B">
        <w:t xml:space="preserve">Vir podatkov: </w:t>
      </w:r>
      <w:r w:rsidRPr="00882C9B">
        <w:fldChar w:fldCharType="begin"/>
      </w:r>
      <w:r w:rsidR="00A968C3" w:rsidRPr="00882C9B">
        <w:instrText xml:space="preserve"> ADDIN ZOTERO_ITEM CSL_CITATION {"citationID":"JW2lcBQk","properties":{"formattedCitation":"(AJPES, 2022)","plainCitation":"(AJPES, 2022)","dontUpdate":true,"noteIndex":0},"citationItems":[{"id":"7a3XQN1F/T0aEdmF7","uris":["http://zotero.org/users/8372339/items/IC2SCV5C"],"itemData":{"id":1801,"type":"report","event-place":"Ljubljana","publisher":"Agencija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rsidRPr="00882C9B">
        <w:fldChar w:fldCharType="separate"/>
      </w:r>
      <w:r w:rsidRPr="00882C9B">
        <w:t>AJPES (202</w:t>
      </w:r>
      <w:r w:rsidR="009F3C2D" w:rsidRPr="00882C9B">
        <w:t>3</w:t>
      </w:r>
      <w:r w:rsidRPr="00882C9B">
        <w:t>)</w:t>
      </w:r>
      <w:r w:rsidRPr="00882C9B">
        <w:fldChar w:fldCharType="end"/>
      </w:r>
      <w:r w:rsidRPr="00882C9B">
        <w:t>, lastni izračuni.</w:t>
      </w:r>
    </w:p>
    <w:p w14:paraId="195C47D6" w14:textId="47E861C0" w:rsidR="00931149" w:rsidRDefault="00931149" w:rsidP="00931149">
      <w:pPr>
        <w:pStyle w:val="VirUMAR"/>
        <w:rPr>
          <w:noProof/>
        </w:rPr>
      </w:pPr>
      <w:r w:rsidRPr="00931149">
        <w:rPr>
          <w:noProof/>
        </w:rPr>
        <w:t xml:space="preserve">Opombe: </w:t>
      </w:r>
      <w:r w:rsidRPr="00931149">
        <w:rPr>
          <w:noProof/>
          <w:vertAlign w:val="superscript"/>
        </w:rPr>
        <w:t>1</w:t>
      </w:r>
      <w:r w:rsidRPr="00931149">
        <w:rPr>
          <w:noProof/>
        </w:rPr>
        <w:t xml:space="preserve"> Podatki o številu zaposlenih pomenijo povprečno število zaposlenih na podlagi delovnih ur v obračunskem obdobju in se razlikujejo od podatkov o številu zaposlenih, ki jih objavlja SURS. </w:t>
      </w:r>
      <w:r w:rsidRPr="00931149">
        <w:rPr>
          <w:noProof/>
          <w:vertAlign w:val="superscript"/>
        </w:rPr>
        <w:t>2</w:t>
      </w:r>
      <w:r w:rsidRPr="00931149">
        <w:rPr>
          <w:noProof/>
        </w:rPr>
        <w:t xml:space="preserve"> Razlika med čistim dobičkom in izgubo obračunskega obdobja.</w:t>
      </w:r>
    </w:p>
    <w:p w14:paraId="38FAE01D" w14:textId="77777777" w:rsidR="00931149" w:rsidRDefault="00931149" w:rsidP="00931149">
      <w:pPr>
        <w:pStyle w:val="BesediloUMAR"/>
        <w:rPr>
          <w:rStyle w:val="VodilnistavekUMAR"/>
        </w:rPr>
      </w:pPr>
    </w:p>
    <w:p w14:paraId="57368A16" w14:textId="77777777" w:rsidR="00170FA1" w:rsidRDefault="00170FA1" w:rsidP="0004147D">
      <w:pPr>
        <w:pStyle w:val="Caption"/>
      </w:pPr>
      <w:bookmarkStart w:id="8" w:name="_Toc528327263"/>
    </w:p>
    <w:p w14:paraId="4C3FE4CE" w14:textId="77777777" w:rsidR="00151B85" w:rsidRDefault="00151B85">
      <w:pPr>
        <w:spacing w:after="0" w:line="240" w:lineRule="auto"/>
        <w:rPr>
          <w:rFonts w:ascii="Myriad Pro" w:hAnsi="Myriad Pro"/>
          <w:b/>
          <w:bCs/>
          <w:noProof/>
          <w:sz w:val="20"/>
          <w:szCs w:val="20"/>
          <w:highlight w:val="yellow"/>
        </w:rPr>
      </w:pPr>
      <w:r>
        <w:rPr>
          <w:highlight w:val="yellow"/>
        </w:rPr>
        <w:br w:type="page"/>
      </w:r>
    </w:p>
    <w:bookmarkEnd w:id="8"/>
    <w:p w14:paraId="69CF4556" w14:textId="77777777" w:rsidR="00D35FA2" w:rsidRPr="00D35FA2" w:rsidRDefault="00D35FA2" w:rsidP="00D35FA2">
      <w:pPr>
        <w:pStyle w:val="Heading1"/>
      </w:pPr>
      <w:r w:rsidRPr="00D35FA2">
        <w:t xml:space="preserve">Zaključek </w:t>
      </w:r>
    </w:p>
    <w:p w14:paraId="0FE27EFE" w14:textId="77777777" w:rsidR="009509A0" w:rsidRDefault="009509A0" w:rsidP="00151B85">
      <w:pPr>
        <w:pStyle w:val="BesediloUMAR"/>
      </w:pPr>
      <w:bookmarkStart w:id="9" w:name="_Hlk109127228"/>
    </w:p>
    <w:p w14:paraId="74C6209F" w14:textId="044616BA" w:rsidR="00151B85" w:rsidRPr="006F6A02" w:rsidRDefault="00151B85" w:rsidP="00151B85">
      <w:pPr>
        <w:pStyle w:val="BesediloUMAR"/>
      </w:pPr>
      <w:r w:rsidRPr="006533B9">
        <w:t xml:space="preserve">Po poslabšanju pod vplivom epidemije covida-19 v letu 2020 so se rezultati poslovanja </w:t>
      </w:r>
      <w:r w:rsidR="00556A45">
        <w:t xml:space="preserve">in premoženjsko-finančni položaj </w:t>
      </w:r>
      <w:r w:rsidRPr="006533B9">
        <w:t xml:space="preserve">predelovalnih družb v </w:t>
      </w:r>
      <w:r w:rsidR="00C70AEF">
        <w:t>naslednjih dveh letih</w:t>
      </w:r>
      <w:r w:rsidR="00F407E1" w:rsidRPr="006533B9">
        <w:t xml:space="preserve"> </w:t>
      </w:r>
      <w:r w:rsidRPr="006533B9">
        <w:t xml:space="preserve">izboljšali. Ob rasti dodane vrednosti in skromnejši okrepitvi zaposlenosti se je produktivnost predelovalnih družb </w:t>
      </w:r>
      <w:r w:rsidR="00C70AEF">
        <w:t>l</w:t>
      </w:r>
      <w:r w:rsidR="00FA37A8">
        <w:t xml:space="preserve">ani </w:t>
      </w:r>
      <w:r w:rsidRPr="006533B9">
        <w:t>dvignila nad 5</w:t>
      </w:r>
      <w:r w:rsidR="00F407E1" w:rsidRPr="006533B9">
        <w:t>7</w:t>
      </w:r>
      <w:r w:rsidRPr="006533B9">
        <w:t xml:space="preserve">.000 evrov. </w:t>
      </w:r>
      <w:r w:rsidR="003B3DF2" w:rsidRPr="006533B9">
        <w:t>K rasti dodane vrednosti (in poslovnih prihodkov) so nekoliko prispevale tudi subvencije</w:t>
      </w:r>
      <w:r w:rsidR="0044574C">
        <w:t>,</w:t>
      </w:r>
      <w:r w:rsidR="003B3DF2" w:rsidRPr="006533B9">
        <w:t xml:space="preserve"> namenjene blaženju energetske draginje, vendar je bil njihov vpliv </w:t>
      </w:r>
      <w:r w:rsidR="00C70AEF">
        <w:t xml:space="preserve">leta 2022 </w:t>
      </w:r>
      <w:r w:rsidR="003B3DF2" w:rsidRPr="006533B9">
        <w:t xml:space="preserve">manjši kot v letu 2020. Četrtino subvencij so prejele družbe iz energetsko intenzivnih panog, v katerih je delež stroškov energije v poslovnih prihodkih največji. </w:t>
      </w:r>
      <w:r w:rsidR="00556A45">
        <w:t xml:space="preserve">Dodana vrednost teh družb se je povečala bolj kot v povprečju predelovalnih dejavnosti tudi brez upoštevanja subvencij, </w:t>
      </w:r>
      <w:r w:rsidR="00AB1EDA">
        <w:t xml:space="preserve">prav tako se je </w:t>
      </w:r>
      <w:r w:rsidR="00495E91">
        <w:t xml:space="preserve">povečal </w:t>
      </w:r>
      <w:r w:rsidR="00556A45">
        <w:t>njihov delež v ustvarjeni dodani vrednosti. Le družbe iz kemične industrije so med energetsko intenzivnimi dejavnostmi ustvarile nižjo dodano vrednost</w:t>
      </w:r>
      <w:r w:rsidR="001001E5">
        <w:t>. S</w:t>
      </w:r>
      <w:r w:rsidR="00556A45">
        <w:t>kupaj s proizvodnjo vozil in plovil so tudi največ prispevale k zmanjšanju deleža srednje visoko tehnološko zahtevnih panog v ustvarjeni dodani vrednosti predelovalnih družb.</w:t>
      </w:r>
      <w:r w:rsidR="00103518">
        <w:t xml:space="preserve"> Prav tako so d</w:t>
      </w:r>
      <w:r w:rsidR="00495E91">
        <w:t xml:space="preserve">ružbe obeh panog imele manjši </w:t>
      </w:r>
      <w:r w:rsidR="00556A45">
        <w:t xml:space="preserve">neto dobiček iz poslovanja. </w:t>
      </w:r>
      <w:r w:rsidR="00F407E1" w:rsidRPr="00FB3F43">
        <w:t>N</w:t>
      </w:r>
      <w:r w:rsidRPr="00FB3F43">
        <w:t xml:space="preserve">eto dobiček iz poslovanja predelovalnih družb </w:t>
      </w:r>
      <w:r w:rsidR="00F407E1" w:rsidRPr="00FB3F43">
        <w:t xml:space="preserve">se je </w:t>
      </w:r>
      <w:r w:rsidR="00556A45">
        <w:t xml:space="preserve">sicer </w:t>
      </w:r>
      <w:r w:rsidR="00F407E1" w:rsidRPr="00FB3F43">
        <w:t xml:space="preserve">nadalje </w:t>
      </w:r>
      <w:r w:rsidRPr="00FB3F43">
        <w:t>povečal</w:t>
      </w:r>
      <w:r w:rsidR="00F21B2A" w:rsidRPr="00FB3F43">
        <w:t xml:space="preserve">, </w:t>
      </w:r>
      <w:r w:rsidR="00DA5A5B">
        <w:t xml:space="preserve">ob tem so </w:t>
      </w:r>
      <w:r w:rsidR="00F21B2A" w:rsidRPr="00FB3F43">
        <w:t>prvič v opazovanem o</w:t>
      </w:r>
      <w:r w:rsidR="00556A45">
        <w:t>bd</w:t>
      </w:r>
      <w:r w:rsidR="00F21B2A" w:rsidRPr="00FB3F43">
        <w:t>obju</w:t>
      </w:r>
      <w:r w:rsidR="00495E91">
        <w:t xml:space="preserve"> </w:t>
      </w:r>
      <w:r w:rsidR="00C70AEF">
        <w:t xml:space="preserve">predelovalne družbe </w:t>
      </w:r>
      <w:r w:rsidR="00F21B2A" w:rsidRPr="00FB3F43">
        <w:t>ustv</w:t>
      </w:r>
      <w:r w:rsidR="00FB3F43" w:rsidRPr="00FB3F43">
        <w:t>a</w:t>
      </w:r>
      <w:r w:rsidR="00F21B2A" w:rsidRPr="00FB3F43">
        <w:t xml:space="preserve">rile </w:t>
      </w:r>
      <w:r w:rsidR="00495E91">
        <w:t xml:space="preserve">tudi </w:t>
      </w:r>
      <w:r w:rsidR="00F21B2A" w:rsidRPr="00FB3F43">
        <w:t>neto dobiček iz financiranja</w:t>
      </w:r>
      <w:r w:rsidRPr="00FB3F43">
        <w:t xml:space="preserve">. </w:t>
      </w:r>
      <w:r w:rsidR="003B3DF2" w:rsidRPr="00FB3F43">
        <w:t xml:space="preserve">Družbe iz dveh največjih panog, farmacevtske in kovinske družbe, </w:t>
      </w:r>
      <w:r w:rsidR="00556A45">
        <w:t xml:space="preserve">ki </w:t>
      </w:r>
      <w:r w:rsidR="003B3DF2" w:rsidRPr="00FB3F43">
        <w:t xml:space="preserve">so </w:t>
      </w:r>
      <w:r w:rsidR="00F21B2A" w:rsidRPr="00FB3F43">
        <w:t>neto dobiček iz poslovanja</w:t>
      </w:r>
      <w:r w:rsidR="003B3DF2" w:rsidRPr="00FB3F43">
        <w:t xml:space="preserve"> povečale za četrtino oz</w:t>
      </w:r>
      <w:r w:rsidR="002F3B10">
        <w:t>iroma</w:t>
      </w:r>
      <w:r w:rsidR="003B3DF2" w:rsidRPr="00FB3F43">
        <w:t xml:space="preserve"> za okoli dve petini</w:t>
      </w:r>
      <w:r w:rsidR="00556A45">
        <w:t>, so</w:t>
      </w:r>
      <w:r w:rsidR="003B3DF2" w:rsidRPr="00FB3F43">
        <w:t xml:space="preserve"> skupaj ustvarile</w:t>
      </w:r>
      <w:r w:rsidR="005054FA" w:rsidRPr="00FB3F43">
        <w:t xml:space="preserve"> dve petin</w:t>
      </w:r>
      <w:r w:rsidR="00F21B2A" w:rsidRPr="00FB3F43">
        <w:t>i</w:t>
      </w:r>
      <w:r w:rsidR="005054FA" w:rsidRPr="00FB3F43">
        <w:t xml:space="preserve"> neto dobička </w:t>
      </w:r>
      <w:r w:rsidR="00C70AEF">
        <w:t xml:space="preserve">iz poslovanja </w:t>
      </w:r>
      <w:r w:rsidR="005054FA" w:rsidRPr="00FB3F43">
        <w:t>predelovalnih družb.</w:t>
      </w:r>
      <w:r w:rsidR="003B3DF2" w:rsidRPr="00FB3F43">
        <w:t xml:space="preserve"> </w:t>
      </w:r>
      <w:r w:rsidR="00DA5A5B">
        <w:t>Hkrati so p</w:t>
      </w:r>
      <w:r w:rsidR="00F21B2A" w:rsidRPr="00FB3F43">
        <w:t>rispevale k izboljšanju neto rezultata iz financiranja</w:t>
      </w:r>
      <w:r w:rsidR="00FB3F43">
        <w:t xml:space="preserve">, ki so ga </w:t>
      </w:r>
      <w:r w:rsidR="00FB3F43" w:rsidRPr="00FB3F43">
        <w:t>vidneje izboljšale tudi družbe iz proizvodnje živil, IKT opreme, gum in drugih plastičnih mas, vozil</w:t>
      </w:r>
      <w:r w:rsidR="00FB3F43">
        <w:t xml:space="preserve"> in plovil</w:t>
      </w:r>
      <w:r w:rsidR="00FB3F43" w:rsidRPr="00FB3F43">
        <w:t xml:space="preserve"> ter drugih raznovrstnih predelovalnih </w:t>
      </w:r>
      <w:r w:rsidR="00FB3F43" w:rsidRPr="00556A45">
        <w:t xml:space="preserve">dejavnosti. </w:t>
      </w:r>
      <w:r w:rsidRPr="00556A45">
        <w:t xml:space="preserve">Ob izboljšanju neto poslovnega in finančnega razultata je bil neto čisti dobiček predelovalnih družb najvišji v opazovanem obdobju. </w:t>
      </w:r>
      <w:r w:rsidR="00F407E1" w:rsidRPr="00556A45">
        <w:t>D</w:t>
      </w:r>
      <w:r w:rsidRPr="00556A45">
        <w:t>elež dolga v virih sredstev</w:t>
      </w:r>
      <w:r w:rsidR="00F407E1" w:rsidRPr="00556A45">
        <w:t xml:space="preserve"> je ostal podoben kot leto prej</w:t>
      </w:r>
      <w:r w:rsidR="00556A45" w:rsidRPr="00556A45">
        <w:t>.</w:t>
      </w:r>
    </w:p>
    <w:p w14:paraId="6F740F16" w14:textId="5273B96D" w:rsidR="006F6A02" w:rsidRPr="006F6A02" w:rsidRDefault="006F6A02" w:rsidP="006F6A02">
      <w:pPr>
        <w:pStyle w:val="BesediloUMAR"/>
        <w:rPr>
          <w:highlight w:val="yellow"/>
        </w:rPr>
      </w:pPr>
    </w:p>
    <w:bookmarkEnd w:id="9"/>
    <w:p w14:paraId="5D9C3FC0" w14:textId="77777777" w:rsidR="00D35FA2" w:rsidRDefault="00D35FA2">
      <w:pPr>
        <w:spacing w:after="0" w:line="240" w:lineRule="auto"/>
        <w:rPr>
          <w:rFonts w:ascii="Myriad Pro" w:hAnsi="Myriad Pro" w:cs="Arial"/>
          <w:b/>
          <w:bCs/>
          <w:color w:val="9E001A" w:themeColor="accent1"/>
          <w:sz w:val="24"/>
          <w:szCs w:val="26"/>
        </w:rPr>
      </w:pPr>
      <w:r>
        <w:br w:type="page"/>
      </w:r>
    </w:p>
    <w:p w14:paraId="30F0B9AA" w14:textId="2910276B" w:rsidR="001908FD" w:rsidRDefault="001908FD" w:rsidP="001908FD">
      <w:pPr>
        <w:pStyle w:val="Heading3"/>
        <w:numPr>
          <w:ilvl w:val="0"/>
          <w:numId w:val="0"/>
        </w:numPr>
      </w:pPr>
      <w:r>
        <w:t>Literatura in viri</w:t>
      </w:r>
      <w:r w:rsidR="005A6C05">
        <w:t xml:space="preserve"> </w:t>
      </w:r>
    </w:p>
    <w:p w14:paraId="1E0F6F33" w14:textId="77777777" w:rsidR="001908FD" w:rsidRDefault="001908FD" w:rsidP="00882C9B">
      <w:pPr>
        <w:pStyle w:val="BesediloUMAR"/>
      </w:pPr>
    </w:p>
    <w:p w14:paraId="537E3B61" w14:textId="7255D2FC" w:rsidR="00A968C3" w:rsidRPr="00A968C3" w:rsidRDefault="00A968C3" w:rsidP="009509A0">
      <w:pPr>
        <w:pStyle w:val="Bibliography"/>
        <w:spacing w:line="288" w:lineRule="auto"/>
        <w:jc w:val="both"/>
        <w:rPr>
          <w:rFonts w:ascii="Myriad Pro" w:hAnsi="Myriad Pro"/>
          <w:sz w:val="20"/>
        </w:rPr>
      </w:pPr>
      <w:r>
        <w:fldChar w:fldCharType="begin"/>
      </w:r>
      <w:r>
        <w:instrText xml:space="preserve"> ADDIN ZOTERO_BIBL {"uncited":[],"omitted":[],"custom":[]} CSL_BIBLIOGRAPHY </w:instrText>
      </w:r>
      <w:r>
        <w:fldChar w:fldCharType="separate"/>
      </w:r>
      <w:r w:rsidRPr="00A968C3">
        <w:rPr>
          <w:rFonts w:ascii="Myriad Pro" w:hAnsi="Myriad Pro"/>
          <w:sz w:val="20"/>
        </w:rPr>
        <w:t>AJPES. (202</w:t>
      </w:r>
      <w:r>
        <w:rPr>
          <w:rFonts w:ascii="Myriad Pro" w:hAnsi="Myriad Pro"/>
          <w:sz w:val="20"/>
        </w:rPr>
        <w:t>3</w:t>
      </w:r>
      <w:r w:rsidRPr="00A968C3">
        <w:rPr>
          <w:rFonts w:ascii="Myriad Pro" w:hAnsi="Myriad Pro"/>
          <w:sz w:val="20"/>
        </w:rPr>
        <w:t>). Statistični podatki iz bilance stanja in izkaza poslovnega izida za gospodarske družbe in samostojne podjetnike. Ljubljana: Agencija Republike Slovenije za javnopravne evidence in storitve.</w:t>
      </w:r>
    </w:p>
    <w:p w14:paraId="2CB8D1B4" w14:textId="77777777" w:rsidR="00A968C3" w:rsidRPr="00A968C3" w:rsidRDefault="00A968C3" w:rsidP="009509A0">
      <w:pPr>
        <w:pStyle w:val="Bibliography"/>
        <w:spacing w:line="288" w:lineRule="auto"/>
        <w:rPr>
          <w:rFonts w:ascii="Myriad Pro" w:hAnsi="Myriad Pro"/>
          <w:sz w:val="20"/>
        </w:rPr>
      </w:pPr>
      <w:r w:rsidRPr="00A968C3">
        <w:rPr>
          <w:rFonts w:ascii="Myriad Pro" w:hAnsi="Myriad Pro"/>
          <w:sz w:val="20"/>
        </w:rPr>
        <w:t>Eurostat. (2023). Eurostat [podatkovna baza]. Pridobljeno s https://ec.europa.eu/eurostat/data/database</w:t>
      </w:r>
    </w:p>
    <w:p w14:paraId="5036612B" w14:textId="1FE764FB" w:rsidR="006B27A2" w:rsidRPr="003C1506" w:rsidRDefault="00A968C3" w:rsidP="009509A0">
      <w:pPr>
        <w:pStyle w:val="BesediloUMAR"/>
        <w:spacing w:before="80"/>
      </w:pPr>
      <w:r>
        <w:fldChar w:fldCharType="end"/>
      </w:r>
    </w:p>
    <w:p w14:paraId="687BB4A1" w14:textId="198935E2" w:rsidR="003C1506" w:rsidRDefault="003C1506" w:rsidP="001908FD">
      <w:pPr>
        <w:pStyle w:val="BesediloUMAR"/>
      </w:pPr>
    </w:p>
    <w:p w14:paraId="3FE4CE3B" w14:textId="12E5775F" w:rsidR="00216DBF" w:rsidRDefault="00216DBF">
      <w:pPr>
        <w:spacing w:after="0" w:line="240" w:lineRule="auto"/>
        <w:rPr>
          <w:rFonts w:ascii="Myriad Pro" w:hAnsi="Myriad Pro"/>
          <w:sz w:val="20"/>
        </w:rPr>
      </w:pPr>
      <w:r>
        <w:br w:type="page"/>
      </w:r>
    </w:p>
    <w:p w14:paraId="43572924" w14:textId="6476C8F6" w:rsidR="00216DBF" w:rsidRPr="00216DBF" w:rsidRDefault="00216DBF" w:rsidP="00216DBF">
      <w:pPr>
        <w:pStyle w:val="Heading3"/>
        <w:numPr>
          <w:ilvl w:val="0"/>
          <w:numId w:val="0"/>
        </w:numPr>
      </w:pPr>
      <w:r w:rsidRPr="00216DBF">
        <w:t xml:space="preserve">Priloga: </w:t>
      </w:r>
      <w:r w:rsidR="009509A0">
        <w:br/>
      </w:r>
      <w:r w:rsidRPr="00216DBF">
        <w:t xml:space="preserve">Opredelitev kazalnikov, uporabljenih v analizi poslovanja </w:t>
      </w:r>
      <w:r>
        <w:t>gospodarskih</w:t>
      </w:r>
      <w:r w:rsidRPr="00216DBF">
        <w:t xml:space="preserve"> družb</w:t>
      </w:r>
    </w:p>
    <w:p w14:paraId="01D235C1" w14:textId="77777777" w:rsidR="00216DBF" w:rsidRDefault="00216DBF" w:rsidP="00882C9B">
      <w:pPr>
        <w:pStyle w:val="BesediloUMAR"/>
      </w:pPr>
    </w:p>
    <w:p w14:paraId="7864E143" w14:textId="77777777" w:rsidR="00216DBF" w:rsidRDefault="00216DBF" w:rsidP="00216DBF">
      <w:pPr>
        <w:pStyle w:val="BesediloUMAR"/>
      </w:pPr>
      <w:r>
        <w:t>KAZALNIKA VELIKOSTI</w:t>
      </w:r>
    </w:p>
    <w:p w14:paraId="5122B15D" w14:textId="77777777" w:rsidR="00216DBF" w:rsidRDefault="00216DBF" w:rsidP="00216DBF">
      <w:pPr>
        <w:pStyle w:val="BesediloUMAR"/>
        <w:rPr>
          <w:b/>
        </w:rPr>
      </w:pPr>
      <w:r>
        <w:rPr>
          <w:b/>
        </w:rPr>
        <w:t xml:space="preserve">Sredstva na podjetje </w:t>
      </w:r>
    </w:p>
    <w:p w14:paraId="3AFB2E74" w14:textId="77777777" w:rsidR="00216DBF" w:rsidRDefault="00216DBF" w:rsidP="00216DBF">
      <w:pPr>
        <w:pStyle w:val="BesediloUMAR"/>
      </w:pPr>
      <w:r>
        <w:t>001/število podjetij</w:t>
      </w:r>
    </w:p>
    <w:p w14:paraId="5131E0AC" w14:textId="77777777" w:rsidR="00216DBF" w:rsidRDefault="00216DBF" w:rsidP="00216DBF">
      <w:pPr>
        <w:pStyle w:val="BesediloUMAR"/>
        <w:rPr>
          <w:b/>
        </w:rPr>
      </w:pPr>
      <w:r>
        <w:rPr>
          <w:b/>
        </w:rPr>
        <w:t xml:space="preserve">Število zaposlenih na podjetje </w:t>
      </w:r>
    </w:p>
    <w:p w14:paraId="0184F9BC" w14:textId="77777777" w:rsidR="00216DBF" w:rsidRDefault="00216DBF" w:rsidP="00216DBF">
      <w:pPr>
        <w:pStyle w:val="BesediloUMAR"/>
      </w:pPr>
      <w:r>
        <w:t>188/število podjetij</w:t>
      </w:r>
    </w:p>
    <w:p w14:paraId="656D4D34" w14:textId="77777777" w:rsidR="00216DBF" w:rsidRDefault="00216DBF" w:rsidP="00216DBF">
      <w:pPr>
        <w:pStyle w:val="BesediloUMAR"/>
      </w:pPr>
    </w:p>
    <w:p w14:paraId="2D37AEAB" w14:textId="77777777" w:rsidR="00216DBF" w:rsidRDefault="00216DBF" w:rsidP="00216DBF">
      <w:pPr>
        <w:pStyle w:val="BesediloUMAR"/>
      </w:pPr>
      <w:r>
        <w:t>KAZALNIK OPREMLJENOSTI DELA S SREDSTVI</w:t>
      </w:r>
    </w:p>
    <w:p w14:paraId="4C348ED7" w14:textId="77777777" w:rsidR="00216DBF" w:rsidRDefault="00216DBF" w:rsidP="00216DBF">
      <w:pPr>
        <w:pStyle w:val="BesediloUMAR"/>
        <w:rPr>
          <w:b/>
        </w:rPr>
      </w:pPr>
      <w:r>
        <w:rPr>
          <w:b/>
        </w:rPr>
        <w:t>Povprečna* sredstva na zaposlenega</w:t>
      </w:r>
    </w:p>
    <w:p w14:paraId="1758BB34" w14:textId="77777777" w:rsidR="00216DBF" w:rsidRDefault="00216DBF" w:rsidP="00216DBF">
      <w:pPr>
        <w:pStyle w:val="BesediloUMAR"/>
      </w:pPr>
      <w:r>
        <w:t>((001</w:t>
      </w:r>
      <w:r>
        <w:rPr>
          <w:vertAlign w:val="subscript"/>
        </w:rPr>
        <w:t>1</w:t>
      </w:r>
      <w:r>
        <w:t xml:space="preserve"> + 001</w:t>
      </w:r>
      <w:r>
        <w:rPr>
          <w:vertAlign w:val="subscript"/>
        </w:rPr>
        <w:t>0</w:t>
      </w:r>
      <w:r>
        <w:t>)/2)/188</w:t>
      </w:r>
    </w:p>
    <w:p w14:paraId="42127F59" w14:textId="77777777" w:rsidR="00216DBF" w:rsidRDefault="00216DBF" w:rsidP="00216DBF">
      <w:pPr>
        <w:pStyle w:val="BesediloUMAR"/>
      </w:pPr>
    </w:p>
    <w:p w14:paraId="5AAC61C8" w14:textId="77777777" w:rsidR="00216DBF" w:rsidRDefault="00216DBF" w:rsidP="00216DBF">
      <w:pPr>
        <w:pStyle w:val="BesediloUMAR"/>
      </w:pPr>
      <w:r>
        <w:t>KAZALNIK GOSPODARNOSTI</w:t>
      </w:r>
    </w:p>
    <w:p w14:paraId="22301771" w14:textId="77777777" w:rsidR="00216DBF" w:rsidRDefault="00216DBF" w:rsidP="00216DBF">
      <w:pPr>
        <w:pStyle w:val="BesediloUMAR"/>
        <w:rPr>
          <w:b/>
        </w:rPr>
      </w:pPr>
      <w:r>
        <w:rPr>
          <w:b/>
        </w:rPr>
        <w:t xml:space="preserve">Gospodarnost poslovanja = poslovni prihodki/poslovni odhodki </w:t>
      </w:r>
    </w:p>
    <w:p w14:paraId="29FFFF1A" w14:textId="77777777" w:rsidR="00216DBF" w:rsidRDefault="00216DBF" w:rsidP="00216DBF">
      <w:pPr>
        <w:pStyle w:val="BesediloUMAR"/>
      </w:pPr>
      <w:r>
        <w:t>(126/127)</w:t>
      </w:r>
    </w:p>
    <w:p w14:paraId="5CEA52FF" w14:textId="77777777" w:rsidR="00216DBF" w:rsidRDefault="00216DBF" w:rsidP="00216DBF">
      <w:pPr>
        <w:pStyle w:val="BesediloUMAR"/>
      </w:pPr>
    </w:p>
    <w:p w14:paraId="247EF693" w14:textId="77777777" w:rsidR="00216DBF" w:rsidRDefault="00216DBF" w:rsidP="00216DBF">
      <w:pPr>
        <w:pStyle w:val="BesediloUMAR"/>
      </w:pPr>
      <w:r>
        <w:t>KAZALNIKI DONOSNOSTI</w:t>
      </w:r>
    </w:p>
    <w:p w14:paraId="35C63B7F" w14:textId="77777777" w:rsidR="00216DBF" w:rsidRDefault="00216DBF" w:rsidP="00216DBF">
      <w:pPr>
        <w:pStyle w:val="BesediloUMAR"/>
        <w:rPr>
          <w:b/>
        </w:rPr>
      </w:pPr>
      <w:r>
        <w:rPr>
          <w:b/>
        </w:rPr>
        <w:t>Donosnost sredstev = neto čisti dobiček (izguba) obračunskega obdobja/povprečna* sredstva</w:t>
      </w:r>
    </w:p>
    <w:p w14:paraId="10E545AA" w14:textId="77777777" w:rsidR="00216DBF" w:rsidRDefault="00216DBF" w:rsidP="00216DBF">
      <w:pPr>
        <w:pStyle w:val="BesediloUMAR"/>
      </w:pPr>
      <w:r>
        <w:t>(186–187)/((001</w:t>
      </w:r>
      <w:r>
        <w:rPr>
          <w:vertAlign w:val="subscript"/>
        </w:rPr>
        <w:t>1</w:t>
      </w:r>
      <w:r>
        <w:t xml:space="preserve"> + 001</w:t>
      </w:r>
      <w:r>
        <w:rPr>
          <w:vertAlign w:val="subscript"/>
        </w:rPr>
        <w:t>0</w:t>
      </w:r>
      <w:r>
        <w:t xml:space="preserve">)/2) </w:t>
      </w:r>
    </w:p>
    <w:p w14:paraId="46AE4C05" w14:textId="77777777" w:rsidR="00216DBF" w:rsidRDefault="00216DBF" w:rsidP="00216DBF">
      <w:pPr>
        <w:pStyle w:val="BesediloUMAR"/>
        <w:rPr>
          <w:b/>
        </w:rPr>
      </w:pPr>
      <w:r>
        <w:rPr>
          <w:b/>
        </w:rPr>
        <w:t>Donosnost prihodkov = neto čisti dobiček (izguba) obračunskega obdobja/celotni prihodki</w:t>
      </w:r>
    </w:p>
    <w:p w14:paraId="27A73DAD" w14:textId="77777777" w:rsidR="00216DBF" w:rsidRDefault="00216DBF" w:rsidP="00216DBF">
      <w:pPr>
        <w:pStyle w:val="BesediloUMAR"/>
      </w:pPr>
      <w:r>
        <w:t>(186–187)/(126 + 153 + 178)</w:t>
      </w:r>
    </w:p>
    <w:p w14:paraId="55F5D1DD" w14:textId="77777777" w:rsidR="00216DBF" w:rsidRDefault="00216DBF" w:rsidP="00216DBF">
      <w:pPr>
        <w:pStyle w:val="BesediloUMAR"/>
        <w:rPr>
          <w:b/>
        </w:rPr>
      </w:pPr>
      <w:r>
        <w:rPr>
          <w:b/>
        </w:rPr>
        <w:t>Donosnost kapitala = neto čisti dobiček (izguba) obračunskega obdobja/povprečni* kapital</w:t>
      </w:r>
    </w:p>
    <w:p w14:paraId="5280F815" w14:textId="77777777" w:rsidR="00216DBF" w:rsidRDefault="00216DBF" w:rsidP="00216DBF">
      <w:pPr>
        <w:pStyle w:val="BesediloUMAR"/>
      </w:pPr>
      <w:r>
        <w:t>(186–187)/((056</w:t>
      </w:r>
      <w:r>
        <w:rPr>
          <w:vertAlign w:val="subscript"/>
        </w:rPr>
        <w:t>1</w:t>
      </w:r>
      <w:r>
        <w:t xml:space="preserve"> + 056</w:t>
      </w:r>
      <w:r>
        <w:rPr>
          <w:vertAlign w:val="subscript"/>
        </w:rPr>
        <w:t>0</w:t>
      </w:r>
      <w:r>
        <w:t>)/2)</w:t>
      </w:r>
    </w:p>
    <w:p w14:paraId="38BA0D94" w14:textId="77777777" w:rsidR="00216DBF" w:rsidRDefault="00216DBF" w:rsidP="00216DBF">
      <w:pPr>
        <w:pStyle w:val="BesediloUMAR"/>
      </w:pPr>
    </w:p>
    <w:p w14:paraId="54A7B956" w14:textId="77777777" w:rsidR="00216DBF" w:rsidRDefault="00216DBF" w:rsidP="00216DBF">
      <w:pPr>
        <w:pStyle w:val="BesediloUMAR"/>
      </w:pPr>
      <w:r>
        <w:t>KAZALNIK PRODUKTIVNOSTI</w:t>
      </w:r>
    </w:p>
    <w:p w14:paraId="417DF886" w14:textId="77777777" w:rsidR="00216DBF" w:rsidRDefault="00216DBF" w:rsidP="00216DBF">
      <w:pPr>
        <w:pStyle w:val="BesediloUMAR"/>
        <w:rPr>
          <w:b/>
        </w:rPr>
      </w:pPr>
      <w:r>
        <w:rPr>
          <w:b/>
        </w:rPr>
        <w:t xml:space="preserve">Dodana vrednost na zaposlenega </w:t>
      </w:r>
    </w:p>
    <w:p w14:paraId="18B4162E" w14:textId="77777777" w:rsidR="00216DBF" w:rsidRDefault="00216DBF" w:rsidP="00216DBF">
      <w:pPr>
        <w:pStyle w:val="BesediloUMAR"/>
      </w:pPr>
      <w:r>
        <w:t xml:space="preserve">(126–128–148)/188 </w:t>
      </w:r>
    </w:p>
    <w:p w14:paraId="4FC3B2F5" w14:textId="77777777" w:rsidR="00216DBF" w:rsidRDefault="00216DBF" w:rsidP="00216DBF">
      <w:pPr>
        <w:pStyle w:val="BesediloUMAR"/>
      </w:pPr>
    </w:p>
    <w:p w14:paraId="21B54F73" w14:textId="77777777" w:rsidR="00216DBF" w:rsidRDefault="00216DBF" w:rsidP="00216DBF">
      <w:pPr>
        <w:pStyle w:val="BesediloUMAR"/>
      </w:pPr>
      <w:r>
        <w:t>KAZALNIKA STROŠKOV DELA</w:t>
      </w:r>
    </w:p>
    <w:p w14:paraId="43B5BE93" w14:textId="77777777" w:rsidR="00216DBF" w:rsidRDefault="00216DBF" w:rsidP="00216DBF">
      <w:pPr>
        <w:pStyle w:val="BesediloUMAR"/>
        <w:rPr>
          <w:b/>
        </w:rPr>
      </w:pPr>
      <w:r>
        <w:rPr>
          <w:b/>
        </w:rPr>
        <w:t xml:space="preserve">Stroški dela na zaposlenega </w:t>
      </w:r>
    </w:p>
    <w:p w14:paraId="2E5CF867" w14:textId="77777777" w:rsidR="00216DBF" w:rsidRDefault="00216DBF" w:rsidP="00216DBF">
      <w:pPr>
        <w:pStyle w:val="BesediloUMAR"/>
      </w:pPr>
      <w:r>
        <w:t>(139/188)</w:t>
      </w:r>
    </w:p>
    <w:p w14:paraId="3FB24994" w14:textId="77777777" w:rsidR="00216DBF" w:rsidRDefault="00216DBF" w:rsidP="00216DBF">
      <w:pPr>
        <w:pStyle w:val="BesediloUMAR"/>
        <w:rPr>
          <w:b/>
        </w:rPr>
      </w:pPr>
      <w:r>
        <w:rPr>
          <w:b/>
        </w:rPr>
        <w:t>Delež stroškov dela v dodani vrednosti</w:t>
      </w:r>
    </w:p>
    <w:p w14:paraId="35BD9B84" w14:textId="77777777" w:rsidR="00216DBF" w:rsidRDefault="00216DBF" w:rsidP="00216DBF">
      <w:pPr>
        <w:pStyle w:val="BesediloUMAR"/>
      </w:pPr>
      <w:r>
        <w:t>(139/(126–128–148))</w:t>
      </w:r>
    </w:p>
    <w:p w14:paraId="4603EE3F" w14:textId="77777777" w:rsidR="00216DBF" w:rsidRDefault="00216DBF" w:rsidP="00216DBF">
      <w:pPr>
        <w:pStyle w:val="BesediloUMAR"/>
      </w:pPr>
    </w:p>
    <w:p w14:paraId="1FD7B1D1" w14:textId="77777777" w:rsidR="00216DBF" w:rsidRDefault="00216DBF" w:rsidP="00216DBF">
      <w:pPr>
        <w:pStyle w:val="BesediloUMAR"/>
      </w:pPr>
      <w:r>
        <w:t>KAZALNIKI FINANCIRANJA IN PLAČILNE SPOSOBNOSTI</w:t>
      </w:r>
    </w:p>
    <w:p w14:paraId="30CD6AFB" w14:textId="77777777" w:rsidR="00216DBF" w:rsidRDefault="00216DBF" w:rsidP="00216DBF">
      <w:pPr>
        <w:pStyle w:val="BesediloUMAR"/>
        <w:rPr>
          <w:b/>
        </w:rPr>
      </w:pPr>
      <w:r>
        <w:rPr>
          <w:b/>
        </w:rPr>
        <w:t>Delež dolga (kratkoročne in dolgoročne finančne ter poslovne obveznosti, rezervacije in pasivne časovne razmejitve) v virih sredstev</w:t>
      </w:r>
    </w:p>
    <w:p w14:paraId="538DE0AC" w14:textId="77777777" w:rsidR="00216DBF" w:rsidRDefault="00216DBF" w:rsidP="00216DBF">
      <w:pPr>
        <w:pStyle w:val="BesediloUMAR"/>
      </w:pPr>
      <w:r>
        <w:t>((072 + 075 + 085 + 095)/055)</w:t>
      </w:r>
    </w:p>
    <w:p w14:paraId="04F0F6E3" w14:textId="77777777" w:rsidR="00216DBF" w:rsidRDefault="00216DBF" w:rsidP="00216DBF">
      <w:pPr>
        <w:pStyle w:val="BesediloUMAR"/>
        <w:rPr>
          <w:b/>
        </w:rPr>
      </w:pPr>
      <w:r>
        <w:rPr>
          <w:b/>
        </w:rPr>
        <w:t xml:space="preserve">Delež kratkoročnih obveznosti (s pasivnimi časovnimi razmejitvami) v virih sredstev </w:t>
      </w:r>
    </w:p>
    <w:p w14:paraId="2B3C121F" w14:textId="77777777" w:rsidR="00216DBF" w:rsidRDefault="00216DBF" w:rsidP="00216DBF">
      <w:pPr>
        <w:pStyle w:val="BesediloUMAR"/>
      </w:pPr>
      <w:r>
        <w:t>((085 + 095)/055)</w:t>
      </w:r>
    </w:p>
    <w:p w14:paraId="3A8FF6D2" w14:textId="77777777" w:rsidR="00216DBF" w:rsidRDefault="00216DBF" w:rsidP="00216DBF">
      <w:pPr>
        <w:pStyle w:val="BesediloUMAR"/>
        <w:rPr>
          <w:b/>
        </w:rPr>
      </w:pPr>
      <w:r>
        <w:rPr>
          <w:b/>
        </w:rPr>
        <w:t>Kapitalska pokritost dolgoročnih sredstev</w:t>
      </w:r>
    </w:p>
    <w:p w14:paraId="3FFC9BAC" w14:textId="77777777" w:rsidR="00216DBF" w:rsidRDefault="00216DBF" w:rsidP="00216DBF">
      <w:pPr>
        <w:pStyle w:val="BesediloUMAR"/>
      </w:pPr>
      <w:r>
        <w:t>(056/002)</w:t>
      </w:r>
    </w:p>
    <w:p w14:paraId="58ECF6F7" w14:textId="77777777" w:rsidR="00216DBF" w:rsidRDefault="00216DBF" w:rsidP="00216DBF">
      <w:pPr>
        <w:pStyle w:val="BesediloUMAR"/>
        <w:rPr>
          <w:b/>
        </w:rPr>
      </w:pPr>
      <w:r>
        <w:rPr>
          <w:b/>
        </w:rPr>
        <w:t>Dolgoročna pokritost dolgoročnih sredstev in zalog</w:t>
      </w:r>
    </w:p>
    <w:p w14:paraId="15CB47A3" w14:textId="77777777" w:rsidR="00216DBF" w:rsidRDefault="00216DBF" w:rsidP="00216DBF">
      <w:pPr>
        <w:pStyle w:val="BesediloUMAR"/>
      </w:pPr>
      <w:r>
        <w:t>(056 + 072 + 075)/(002 + 034)</w:t>
      </w:r>
    </w:p>
    <w:p w14:paraId="3287ECE4" w14:textId="77777777" w:rsidR="00216DBF" w:rsidRDefault="00216DBF" w:rsidP="00216DBF">
      <w:pPr>
        <w:pStyle w:val="BesediloUMAR"/>
      </w:pPr>
    </w:p>
    <w:p w14:paraId="2397B4E8" w14:textId="77777777" w:rsidR="00216DBF" w:rsidRDefault="00216DBF" w:rsidP="00216DBF">
      <w:pPr>
        <w:pStyle w:val="BesediloUMAR"/>
      </w:pPr>
    </w:p>
    <w:p w14:paraId="0E03E61A" w14:textId="77777777" w:rsidR="00216DBF" w:rsidRDefault="00216DBF" w:rsidP="00216DBF">
      <w:pPr>
        <w:pStyle w:val="BesediloUMAR"/>
      </w:pPr>
    </w:p>
    <w:p w14:paraId="469F214D" w14:textId="77777777" w:rsidR="00216DBF" w:rsidRDefault="00216DBF" w:rsidP="00216DBF">
      <w:pPr>
        <w:pStyle w:val="BesediloUMAR"/>
      </w:pPr>
      <w:r>
        <w:t>KAZALNIK IZVOZNE USMERJENOSTI</w:t>
      </w:r>
    </w:p>
    <w:p w14:paraId="61CD671B" w14:textId="77777777" w:rsidR="00216DBF" w:rsidRDefault="00216DBF" w:rsidP="00216DBF">
      <w:pPr>
        <w:pStyle w:val="BesediloUMAR"/>
        <w:rPr>
          <w:b/>
        </w:rPr>
      </w:pPr>
      <w:r>
        <w:rPr>
          <w:b/>
        </w:rPr>
        <w:t xml:space="preserve">Delež čistih prihodkov od prodaje na tujem trgu v celotnih čistih prihodkih od prodaje </w:t>
      </w:r>
    </w:p>
    <w:p w14:paraId="1FF95260" w14:textId="77777777" w:rsidR="00216DBF" w:rsidRDefault="00216DBF" w:rsidP="00216DBF">
      <w:pPr>
        <w:pStyle w:val="BesediloUMAR"/>
      </w:pPr>
      <w:r>
        <w:t>(115 + 118)/110</w:t>
      </w:r>
    </w:p>
    <w:p w14:paraId="3AD9DF01" w14:textId="77777777" w:rsidR="00216DBF" w:rsidRDefault="00216DBF" w:rsidP="00216DBF">
      <w:pPr>
        <w:pStyle w:val="BesediloUMAR"/>
      </w:pPr>
    </w:p>
    <w:p w14:paraId="534CF0B2" w14:textId="77777777" w:rsidR="00216DBF" w:rsidRDefault="00216DBF" w:rsidP="00216DBF">
      <w:pPr>
        <w:pStyle w:val="BesediloUMAR"/>
      </w:pPr>
      <w:r>
        <w:t xml:space="preserve">KAZALNIKA STRUKTURE SREDSTEV </w:t>
      </w:r>
    </w:p>
    <w:p w14:paraId="49BAB381" w14:textId="77777777" w:rsidR="00216DBF" w:rsidRDefault="00216DBF" w:rsidP="00216DBF">
      <w:pPr>
        <w:pStyle w:val="BesediloUMAR"/>
        <w:rPr>
          <w:b/>
        </w:rPr>
      </w:pPr>
      <w:r>
        <w:rPr>
          <w:b/>
        </w:rPr>
        <w:t xml:space="preserve">Delež dolgoročnih sredstev v sredstvih </w:t>
      </w:r>
    </w:p>
    <w:p w14:paraId="1A8549B6" w14:textId="77777777" w:rsidR="00216DBF" w:rsidRDefault="00216DBF" w:rsidP="00216DBF">
      <w:pPr>
        <w:pStyle w:val="BesediloUMAR"/>
      </w:pPr>
      <w:r>
        <w:t>(002/001)</w:t>
      </w:r>
    </w:p>
    <w:p w14:paraId="06698989" w14:textId="77777777" w:rsidR="00216DBF" w:rsidRDefault="00216DBF" w:rsidP="00216DBF">
      <w:pPr>
        <w:pStyle w:val="BesediloUMAR"/>
        <w:rPr>
          <w:b/>
        </w:rPr>
      </w:pPr>
      <w:r>
        <w:rPr>
          <w:b/>
        </w:rPr>
        <w:t xml:space="preserve">Delež proizvajalnih strojev in naprav ter druge opreme in naprav v dolgoročnih sredstvih </w:t>
      </w:r>
    </w:p>
    <w:p w14:paraId="19CE0C03" w14:textId="77777777" w:rsidR="00216DBF" w:rsidRDefault="00216DBF" w:rsidP="00216DBF">
      <w:pPr>
        <w:pStyle w:val="BesediloUMAR"/>
      </w:pPr>
      <w:r>
        <w:t>((013 + 014)/002)</w:t>
      </w:r>
    </w:p>
    <w:p w14:paraId="10AF8E42" w14:textId="77777777" w:rsidR="00216DBF" w:rsidRDefault="00216DBF" w:rsidP="00216DBF">
      <w:pPr>
        <w:pStyle w:val="BesediloUMAR"/>
      </w:pPr>
    </w:p>
    <w:p w14:paraId="39F1322C" w14:textId="77777777" w:rsidR="00216DBF" w:rsidRDefault="00216DBF" w:rsidP="00216DBF">
      <w:pPr>
        <w:pStyle w:val="BesediloUMAR"/>
        <w:rPr>
          <w:sz w:val="16"/>
        </w:rPr>
      </w:pPr>
      <w:r>
        <w:rPr>
          <w:sz w:val="16"/>
        </w:rPr>
        <w:t>Opombi: Številke v formulah pomenijo ustrezno šifro AOP. * Pri izračunu povprečne vrednosti sredstev in kapitala se upošteva podatek o vrednosti sredstev/kapitala ob koncu tekočega in ob koncu preteklega leta za družbe, ki so poslovale v tekočem letu.</w:t>
      </w:r>
    </w:p>
    <w:p w14:paraId="082123CC" w14:textId="77777777" w:rsidR="003C1506" w:rsidRPr="00AF2E43" w:rsidRDefault="003C1506" w:rsidP="001908FD">
      <w:pPr>
        <w:pStyle w:val="BesediloUMAR"/>
      </w:pPr>
    </w:p>
    <w:sectPr w:rsidR="003C1506" w:rsidRPr="00AF2E43" w:rsidSect="00DA3486">
      <w:headerReference w:type="default" r:id="rId36"/>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D4272" w14:textId="77777777" w:rsidR="00400D78" w:rsidRDefault="00400D78" w:rsidP="009E1648">
      <w:r>
        <w:separator/>
      </w:r>
    </w:p>
    <w:p w14:paraId="1BBAFE4F" w14:textId="77777777" w:rsidR="00400D78" w:rsidRDefault="00400D78" w:rsidP="009E1648"/>
    <w:p w14:paraId="6FBAEFF1" w14:textId="77777777" w:rsidR="00400D78" w:rsidRDefault="00400D78" w:rsidP="009E1648"/>
    <w:p w14:paraId="7193E92F" w14:textId="77777777" w:rsidR="00400D78" w:rsidRDefault="00400D78" w:rsidP="009E1648"/>
    <w:p w14:paraId="52659AFF" w14:textId="77777777" w:rsidR="00400D78" w:rsidRDefault="00400D78" w:rsidP="009E1648"/>
    <w:p w14:paraId="1EF80A45" w14:textId="77777777" w:rsidR="00400D78" w:rsidRDefault="00400D78" w:rsidP="009E1648"/>
    <w:p w14:paraId="2CAEC68B" w14:textId="77777777" w:rsidR="00400D78" w:rsidRDefault="00400D78" w:rsidP="009E1648"/>
    <w:p w14:paraId="4803954B" w14:textId="77777777" w:rsidR="00400D78" w:rsidRDefault="00400D78" w:rsidP="009E1648"/>
    <w:p w14:paraId="4C832D12" w14:textId="77777777" w:rsidR="00400D78" w:rsidRDefault="00400D78"/>
    <w:p w14:paraId="5F64E8AC" w14:textId="77777777" w:rsidR="00400D78" w:rsidRDefault="00400D78"/>
    <w:p w14:paraId="3D3F0638" w14:textId="77777777" w:rsidR="00400D78" w:rsidRDefault="00400D78" w:rsidP="00A540FA"/>
    <w:p w14:paraId="35DE7639" w14:textId="77777777" w:rsidR="00400D78" w:rsidRDefault="00400D78" w:rsidP="00A540FA"/>
    <w:p w14:paraId="326A476B" w14:textId="77777777" w:rsidR="00400D78" w:rsidRDefault="00400D78" w:rsidP="00A540FA"/>
    <w:p w14:paraId="32429E20" w14:textId="77777777" w:rsidR="00400D78" w:rsidRDefault="00400D78" w:rsidP="00A540FA"/>
    <w:p w14:paraId="40B90BB0" w14:textId="77777777" w:rsidR="00400D78" w:rsidRDefault="00400D78" w:rsidP="00A540FA"/>
    <w:p w14:paraId="16024584" w14:textId="77777777" w:rsidR="00400D78" w:rsidRDefault="00400D78"/>
  </w:endnote>
  <w:endnote w:type="continuationSeparator" w:id="0">
    <w:p w14:paraId="3BB95D89" w14:textId="77777777" w:rsidR="00400D78" w:rsidRDefault="00400D78" w:rsidP="009E1648">
      <w:r>
        <w:continuationSeparator/>
      </w:r>
    </w:p>
    <w:p w14:paraId="51461208" w14:textId="77777777" w:rsidR="00400D78" w:rsidRDefault="00400D78" w:rsidP="009E1648"/>
    <w:p w14:paraId="082E9EC4" w14:textId="77777777" w:rsidR="00400D78" w:rsidRDefault="00400D78" w:rsidP="009E1648"/>
    <w:p w14:paraId="7F8D8138" w14:textId="77777777" w:rsidR="00400D78" w:rsidRDefault="00400D78" w:rsidP="009E1648"/>
    <w:p w14:paraId="72A32E23" w14:textId="77777777" w:rsidR="00400D78" w:rsidRDefault="00400D78" w:rsidP="009E1648"/>
    <w:p w14:paraId="792DEB06" w14:textId="77777777" w:rsidR="00400D78" w:rsidRDefault="00400D78" w:rsidP="009E1648"/>
    <w:p w14:paraId="719E3E30" w14:textId="77777777" w:rsidR="00400D78" w:rsidRDefault="00400D78" w:rsidP="009E1648"/>
    <w:p w14:paraId="5EC49EC3" w14:textId="77777777" w:rsidR="00400D78" w:rsidRDefault="00400D78" w:rsidP="009E1648"/>
    <w:p w14:paraId="380B8B43" w14:textId="77777777" w:rsidR="00400D78" w:rsidRDefault="00400D78"/>
    <w:p w14:paraId="2DEA5CD0" w14:textId="77777777" w:rsidR="00400D78" w:rsidRDefault="00400D78"/>
    <w:p w14:paraId="12F75861" w14:textId="77777777" w:rsidR="00400D78" w:rsidRDefault="00400D78" w:rsidP="00A540FA"/>
    <w:p w14:paraId="36063949" w14:textId="77777777" w:rsidR="00400D78" w:rsidRDefault="00400D78" w:rsidP="00A540FA"/>
    <w:p w14:paraId="27D07A44" w14:textId="77777777" w:rsidR="00400D78" w:rsidRDefault="00400D78" w:rsidP="00A540FA"/>
    <w:p w14:paraId="03EF46E4" w14:textId="77777777" w:rsidR="00400D78" w:rsidRDefault="00400D78" w:rsidP="00A540FA"/>
    <w:p w14:paraId="0D7F578C" w14:textId="77777777" w:rsidR="00400D78" w:rsidRDefault="00400D78" w:rsidP="00A540FA"/>
    <w:p w14:paraId="694E4A9B" w14:textId="77777777" w:rsidR="00400D78" w:rsidRDefault="00400D78"/>
  </w:endnote>
  <w:endnote w:type="continuationNotice" w:id="1">
    <w:p w14:paraId="0847A78B" w14:textId="77777777" w:rsidR="00400D78" w:rsidRDefault="00400D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BE77B" w14:textId="77777777" w:rsidR="00DA5A5B" w:rsidRDefault="00DA5A5B" w:rsidP="00B35647">
    <w:pPr>
      <w:pStyle w:val="Footer"/>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E6597" w14:textId="77777777" w:rsidR="00400D78" w:rsidRPr="009B56EE" w:rsidRDefault="00400D78" w:rsidP="009B56EE">
      <w:pPr>
        <w:pStyle w:val="BesediloUMAR"/>
      </w:pPr>
      <w:r w:rsidRPr="009B56EE">
        <w:separator/>
      </w:r>
    </w:p>
  </w:footnote>
  <w:footnote w:type="continuationSeparator" w:id="0">
    <w:p w14:paraId="07AF1B75" w14:textId="77777777" w:rsidR="00400D78" w:rsidRDefault="00400D78">
      <w:r>
        <w:separator/>
      </w:r>
    </w:p>
  </w:footnote>
  <w:footnote w:type="continuationNotice" w:id="1">
    <w:p w14:paraId="68915760" w14:textId="049E40AE" w:rsidR="00400D78" w:rsidRPr="009509A0" w:rsidRDefault="00400D78" w:rsidP="009509A0">
      <w:pPr>
        <w:pStyle w:val="Footer"/>
        <w:framePr w:wrap="around"/>
      </w:pPr>
    </w:p>
  </w:footnote>
  <w:footnote w:id="2">
    <w:p w14:paraId="2CEFEF94" w14:textId="7A52B5C7" w:rsidR="00DA5A5B" w:rsidRDefault="00DA5A5B" w:rsidP="0011758F">
      <w:pPr>
        <w:pStyle w:val="FootnoteText"/>
      </w:pPr>
      <w:r>
        <w:rPr>
          <w:rStyle w:val="FootnoteReference"/>
        </w:rPr>
        <w:footnoteRef/>
      </w:r>
      <w:r>
        <w:t xml:space="preserve"> Energetsko intenzivne predelovalne dejavnosti so papirna industrija C17, kemična industrija C20, proizvodnja nekovinskih mineralnih izdelkov C23 in proizvodnja kovin C24. </w:t>
      </w:r>
    </w:p>
  </w:footnote>
  <w:footnote w:id="3">
    <w:p w14:paraId="2613E933" w14:textId="5E03F782" w:rsidR="00DA5A5B" w:rsidRDefault="00DA5A5B" w:rsidP="005B54DF">
      <w:pPr>
        <w:pStyle w:val="FootnoteText"/>
      </w:pPr>
      <w:r>
        <w:rPr>
          <w:rStyle w:val="FootnoteReference"/>
        </w:rPr>
        <w:footnoteRef/>
      </w:r>
      <w:r>
        <w:t xml:space="preserve"> </w:t>
      </w:r>
      <w:r>
        <w:rPr>
          <w:rStyle w:val="VodilnistavekUMAR"/>
          <w:b w:val="0"/>
          <w:bCs/>
        </w:rPr>
        <w:t xml:space="preserve">V primerjavi z letom 2021 so se subvencije družb iz energetsko intenzivnih </w:t>
      </w:r>
      <w:r w:rsidRPr="00AB7C3D">
        <w:rPr>
          <w:rStyle w:val="VodilnistavekUMAR"/>
          <w:b w:val="0"/>
          <w:bCs/>
        </w:rPr>
        <w:t>panog povečale za trikrat</w:t>
      </w:r>
      <w:r>
        <w:rPr>
          <w:rStyle w:val="VodilnistavekUMAR"/>
          <w:b w:val="0"/>
          <w:bCs/>
        </w:rPr>
        <w:t xml:space="preserve"> (iz 20,0 mio EUR na 63,1 mio EUR).</w:t>
      </w:r>
    </w:p>
  </w:footnote>
  <w:footnote w:id="4">
    <w:p w14:paraId="4CE8ECC0" w14:textId="19202DFC" w:rsidR="00DA5A5B" w:rsidRDefault="00DA5A5B" w:rsidP="0011758F">
      <w:pPr>
        <w:pStyle w:val="FootnoteText"/>
      </w:pPr>
      <w:r>
        <w:rPr>
          <w:rStyle w:val="FootnoteReference"/>
        </w:rPr>
        <w:footnoteRef/>
      </w:r>
      <w:r>
        <w:t xml:space="preserve"> Proizvodnja kovin v dodani vrednosti predelovalnih dejavnosti v Sloveniji po podatkih nacionalnih računov za leto 2020 predstavlja 4,4 %, v povprečju EU je njen delež manjši (2,8 %) </w:t>
      </w:r>
      <w:r>
        <w:fldChar w:fldCharType="begin"/>
      </w:r>
      <w:r>
        <w:instrText xml:space="preserve"> ADDIN ZOTERO_ITEM CSL_CITATION {"citationID":"GFtaFGQT","properties":{"formattedCitation":"(Eurostat, 2023)","plainCitation":"(Eurostat, 2023)","noteIndex":3},"citationItems":[{"id":2874,"uris":["http://zotero.org/users/10267274/items/SWRRKKWW"],"itemData":{"id":2874,"type":"report","genre":"podatkovna baza","title":"Eurostat","URL":"https://ec.europa.eu/eurostat/data/database","author":[{"family":"Eurostat","given":""}],"issued":{"date-parts":[["2023"]]}}}],"schema":"https://github.com/citation-style-language/schema/raw/master/csl-citation.json"} </w:instrText>
      </w:r>
      <w:r>
        <w:fldChar w:fldCharType="separate"/>
      </w:r>
      <w:r w:rsidRPr="00A968C3">
        <w:t>(Eurostat, 2023)</w:t>
      </w:r>
      <w:r>
        <w:fldChar w:fldCharType="end"/>
      </w:r>
      <w:r>
        <w:t>.</w:t>
      </w:r>
    </w:p>
  </w:footnote>
  <w:footnote w:id="5">
    <w:p w14:paraId="099AFCFB" w14:textId="77777777" w:rsidR="00DA5A5B" w:rsidRDefault="00DA5A5B" w:rsidP="00301FF3">
      <w:pPr>
        <w:pStyle w:val="FootnoteText"/>
      </w:pPr>
      <w:r>
        <w:rPr>
          <w:rStyle w:val="FootnoteReference"/>
        </w:rPr>
        <w:footnoteRef/>
      </w:r>
      <w:r>
        <w:t xml:space="preserve"> </w:t>
      </w:r>
      <w:r w:rsidRPr="00B523C4">
        <w:t xml:space="preserve">Na podlagi Eurostatove klasifikacije ločimo </w:t>
      </w:r>
      <w:r>
        <w:t>štiri</w:t>
      </w:r>
      <w:r w:rsidRPr="00B523C4">
        <w:t xml:space="preserve"> skupine panog po tehnološki zahtevnosti: (i) visoko tehnološko </w:t>
      </w:r>
      <w:r w:rsidRPr="00AF6973">
        <w:t>zahtevni farmacevtska</w:t>
      </w:r>
      <w:r w:rsidRPr="00B523C4">
        <w:t xml:space="preserve"> industrija (C21), proizvodnja IKT opreme (C26), (ii) srednje visoko tehnološko zahtevne kemična industrija (C20), proizvodnja električnih naprav (C27), proizvodnja drugih strojev in naprav (C28), proizvodnja vozil in plovil (C29-30), (iii) srednje nizko tehnološko zahtevne proizvodnja koksa in naftnih derivatov (C19), proizvodnja izdelkov iz gume in plastičnih mas (C22), proizvodnja drugih nekovinskih mineralnih izdelkov (C23), kovinska industrija (C24-25), popravila in montaža strojev in naprav (C33), (iv) nizko tehnološko zahtevne prehrambena industrija (C10-11), proizvodnja tobačnih izdelkov (C12), tekstilna industrija (C13-14), usnjarska industrija (C15), lesna industrija (C16), papirna industrija in tiskarstvo (C17-18), pohištvena industrija in druge raznovrstne predelovalne dejavnosti (C31-32). V nadaljnji analizi ne prikazujemo in analiziramo družb v proizvodnji tobačnih izdelkov ter proizvodnji koksa in naftnih derivatov, ki </w:t>
      </w:r>
      <w:r>
        <w:t xml:space="preserve">so v letu 2022 skupaj </w:t>
      </w:r>
      <w:r w:rsidRPr="00B523C4">
        <w:t>predstavlja</w:t>
      </w:r>
      <w:r>
        <w:t>le</w:t>
      </w:r>
      <w:r w:rsidRPr="00B523C4">
        <w:t xml:space="preserve"> le</w:t>
      </w:r>
      <w:r>
        <w:t xml:space="preserve"> okoli</w:t>
      </w:r>
      <w:r w:rsidRPr="00B523C4">
        <w:t xml:space="preserve"> 0,0</w:t>
      </w:r>
      <w:r>
        <w:t>07</w:t>
      </w:r>
      <w:r w:rsidRPr="00B523C4">
        <w:t> % dodane vrednosti in zaposlenosti predelovalnih družb.</w:t>
      </w:r>
    </w:p>
  </w:footnote>
  <w:footnote w:id="6">
    <w:p w14:paraId="1C349EA8" w14:textId="52F6BB3B" w:rsidR="00DA5A5B" w:rsidRDefault="00DA5A5B">
      <w:pPr>
        <w:pStyle w:val="FootnoteText"/>
      </w:pPr>
      <w:r>
        <w:rPr>
          <w:rStyle w:val="FootnoteReference"/>
        </w:rPr>
        <w:footnoteRef/>
      </w:r>
      <w:r>
        <w:t xml:space="preserve"> K rasti zaposlenosti v drugih raznovrstnih predelovalnih dejavnostih je pomembno prispevala največja družba, ki je precej povečala tudi ustvarjeno dodano vrednost. </w:t>
      </w:r>
    </w:p>
  </w:footnote>
  <w:footnote w:id="7">
    <w:p w14:paraId="4D34DF0A" w14:textId="09034B49" w:rsidR="00DA5A5B" w:rsidRDefault="00DA5A5B">
      <w:pPr>
        <w:pStyle w:val="FootnoteText"/>
      </w:pPr>
      <w:r>
        <w:rPr>
          <w:rStyle w:val="FootnoteReference"/>
        </w:rPr>
        <w:footnoteRef/>
      </w:r>
      <w:r>
        <w:t xml:space="preserve"> Na skromnejšo rast na trgih izven EU je vplivala tudi ruska agresija na Ukrajino in sprejete omejitve trgovanja z Rusijo.</w:t>
      </w:r>
    </w:p>
  </w:footnote>
  <w:footnote w:id="8">
    <w:p w14:paraId="7642189C" w14:textId="5A4810CC" w:rsidR="00DA5A5B" w:rsidRDefault="00DA5A5B">
      <w:pPr>
        <w:pStyle w:val="FootnoteText"/>
      </w:pPr>
      <w:r>
        <w:rPr>
          <w:rStyle w:val="FootnoteReference"/>
        </w:rPr>
        <w:footnoteRef/>
      </w:r>
      <w:r>
        <w:t xml:space="preserve"> Prihodki od prodaje predstavljajo največji del poslovnih prihodkov. Subvencije, ki so se najbolj povečale v energetsko intenzivnih panogah, predstavljajo manjši del (v povprečju vseh predelovalnih družb 0,5 % v obdobju 2008–2022; največ</w:t>
      </w:r>
      <w:r w:rsidR="00C355E6">
        <w:t>,</w:t>
      </w:r>
      <w:r>
        <w:t xml:space="preserve"> 1,2 %</w:t>
      </w:r>
      <w:r w:rsidR="00C355E6">
        <w:t>,</w:t>
      </w:r>
      <w:r>
        <w:t xml:space="preserve"> v letu 2020). V letu 2022 so predstavljale 0,7 % poslovnih prihodkov družb iz energetsko intenzivnih panog in 0,6 % v povprečju ostalih predelovalnih družb.</w:t>
      </w:r>
    </w:p>
  </w:footnote>
  <w:footnote w:id="9">
    <w:p w14:paraId="0A8E7429" w14:textId="521FA879" w:rsidR="00DA5A5B" w:rsidRDefault="00DA5A5B">
      <w:pPr>
        <w:pStyle w:val="FootnoteText"/>
      </w:pPr>
      <w:r>
        <w:rPr>
          <w:rStyle w:val="FootnoteReference"/>
        </w:rPr>
        <w:footnoteRef/>
      </w:r>
      <w:r>
        <w:t xml:space="preserve"> Precej so se povečali vsi finančni prihodki – iz deležev (za 62,7 %), iz danih posojil (po dveh letih krčenja za 138,1 %) in poslovnih terjatev (za 102,2 %). K rasti finančnih odhodkov so pomembno prispevali enkrat višji odhodki iz oslabitev in odpisov finančnih naložb, več kot četrtino višji so bili odhodki iz finančnih in več kot petino odhodki iz poslovnih obveznosti. </w:t>
      </w:r>
    </w:p>
  </w:footnote>
  <w:footnote w:id="10">
    <w:p w14:paraId="68B165F6" w14:textId="1BA53C88" w:rsidR="00DA5A5B" w:rsidRDefault="00DA5A5B">
      <w:pPr>
        <w:pStyle w:val="FootnoteText"/>
      </w:pPr>
      <w:r>
        <w:rPr>
          <w:rStyle w:val="FootnoteReference"/>
        </w:rPr>
        <w:footnoteRef/>
      </w:r>
      <w:r>
        <w:t xml:space="preserve"> Neto dobiček iz drugega poslovanja predelovalnih družb se je drugo leto zapored zmanjšal (iz 28,5 mio EUR v letu 2020 na 8,4 mio EUR v letu 2022), vendar predstavlja najmanjši delež neto čistega dobička (v obdobju 2015–2022 okoli 1,3 % oz. 0,4 % v letu 2022).</w:t>
      </w:r>
    </w:p>
  </w:footnote>
  <w:footnote w:id="11">
    <w:p w14:paraId="24C534EF" w14:textId="2DCA0FC0" w:rsidR="00DA5A5B" w:rsidRDefault="00DA5A5B">
      <w:pPr>
        <w:pStyle w:val="FootnoteText"/>
      </w:pPr>
      <w:r>
        <w:rPr>
          <w:rStyle w:val="FootnoteReference"/>
        </w:rPr>
        <w:footnoteRef/>
      </w:r>
      <w:r>
        <w:t xml:space="preserve"> Delež dolga v virih sredstev, v %.</w:t>
      </w:r>
    </w:p>
  </w:footnote>
  <w:footnote w:id="12">
    <w:p w14:paraId="67BDE3FD" w14:textId="3E4292C8" w:rsidR="00DA5A5B" w:rsidRDefault="00DA5A5B">
      <w:pPr>
        <w:pStyle w:val="FootnoteText"/>
      </w:pPr>
      <w:r>
        <w:rPr>
          <w:rStyle w:val="FootnoteReference"/>
        </w:rPr>
        <w:footnoteRef/>
      </w:r>
      <w:r>
        <w:t xml:space="preserve"> Kapitalska pokritost dolgoročnih sredstev se je še povečala – </w:t>
      </w:r>
      <w:r w:rsidRPr="009D2690">
        <w:t>na 112,0 %.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0" w:type="dxa"/>
        <w:right w:w="0" w:type="dxa"/>
      </w:tblCellMar>
      <w:tblLook w:val="04A0" w:firstRow="1" w:lastRow="0" w:firstColumn="1" w:lastColumn="0" w:noHBand="0" w:noVBand="1"/>
    </w:tblPr>
    <w:tblGrid>
      <w:gridCol w:w="8276"/>
      <w:gridCol w:w="796"/>
    </w:tblGrid>
    <w:tr w:rsidR="00DA5A5B" w:rsidRPr="00A540FA" w14:paraId="4D384F27" w14:textId="77777777" w:rsidTr="00287C4E">
      <w:trPr>
        <w:trHeight w:val="552"/>
      </w:trPr>
      <w:tc>
        <w:tcPr>
          <w:tcW w:w="8276" w:type="dxa"/>
        </w:tcPr>
        <w:p w14:paraId="58AEBF24" w14:textId="7263F121" w:rsidR="00DA5A5B" w:rsidRPr="00F43CB0" w:rsidRDefault="00DA5A5B" w:rsidP="004016AB">
          <w:pPr>
            <w:pStyle w:val="Header"/>
            <w:tabs>
              <w:tab w:val="clear" w:pos="4536"/>
              <w:tab w:val="clear" w:pos="9072"/>
              <w:tab w:val="right" w:pos="8276"/>
            </w:tabs>
            <w:spacing w:line="240" w:lineRule="auto"/>
            <w:rPr>
              <w:rFonts w:cstheme="minorHAnsi"/>
              <w:b/>
              <w:sz w:val="16"/>
            </w:rPr>
          </w:pPr>
          <w:r>
            <w:rPr>
              <w:rFonts w:cstheme="minorHAnsi"/>
              <w:b/>
              <w:sz w:val="16"/>
            </w:rPr>
            <w:t xml:space="preserve">UMAR </w:t>
          </w:r>
          <w:r w:rsidRPr="00F43CB0">
            <w:rPr>
              <w:rFonts w:cstheme="minorHAnsi"/>
              <w:b/>
              <w:sz w:val="16"/>
            </w:rPr>
            <w:t xml:space="preserve"> </w:t>
          </w:r>
          <w:r w:rsidRPr="00F43CB0">
            <w:rPr>
              <w:rFonts w:cstheme="minorHAnsi"/>
              <w:noProof/>
              <w:lang w:eastAsia="sl-SI"/>
            </w:rPr>
            <w:drawing>
              <wp:inline distT="0" distB="0" distL="0" distR="0" wp14:anchorId="6470A388" wp14:editId="503E8A12">
                <wp:extent cx="58825" cy="763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Pr>
              <w:rFonts w:cstheme="minorHAnsi"/>
              <w:b/>
              <w:sz w:val="16"/>
            </w:rPr>
            <w:t xml:space="preserve">  Analiza poslovanja predelovalnih družb v letu 2022</w:t>
          </w:r>
          <w:r>
            <w:rPr>
              <w:rFonts w:cstheme="minorHAnsi"/>
              <w:b/>
              <w:sz w:val="16"/>
            </w:rPr>
            <w:tab/>
          </w:r>
        </w:p>
      </w:tc>
      <w:tc>
        <w:tcPr>
          <w:tcW w:w="796" w:type="dxa"/>
        </w:tcPr>
        <w:p w14:paraId="42E7AF2E" w14:textId="77777777" w:rsidR="00DA5A5B" w:rsidRPr="00B607E3" w:rsidRDefault="00DA5A5B" w:rsidP="007444EC">
          <w:pPr>
            <w:pStyle w:val="Header"/>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Pr>
              <w:rFonts w:cstheme="minorHAnsi"/>
              <w:b/>
              <w:noProof/>
              <w:sz w:val="16"/>
              <w:szCs w:val="16"/>
            </w:rPr>
            <w:t>3</w:t>
          </w:r>
          <w:r w:rsidRPr="00B607E3">
            <w:rPr>
              <w:rFonts w:cstheme="minorHAnsi"/>
              <w:b/>
              <w:sz w:val="16"/>
              <w:szCs w:val="16"/>
            </w:rPr>
            <w:fldChar w:fldCharType="end"/>
          </w:r>
        </w:p>
      </w:tc>
    </w:tr>
  </w:tbl>
  <w:p w14:paraId="04416409" w14:textId="77777777" w:rsidR="00DA5A5B" w:rsidRDefault="00DA5A5B"/>
  <w:p w14:paraId="5BA77114" w14:textId="77777777" w:rsidR="00DA5A5B" w:rsidRDefault="00DA5A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4D68FD"/>
    <w:multiLevelType w:val="hybridMultilevel"/>
    <w:tmpl w:val="B0DA4936"/>
    <w:lvl w:ilvl="0" w:tplc="9F5ADDD4">
      <w:numFmt w:val="bullet"/>
      <w:lvlText w:val="-"/>
      <w:lvlJc w:val="left"/>
      <w:pPr>
        <w:ind w:left="720" w:hanging="360"/>
      </w:pPr>
      <w:rPr>
        <w:rFonts w:ascii="Myriad Pro" w:eastAsiaTheme="minorHAnsi" w:hAnsi="Myriad Pro"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B060CD8"/>
    <w:multiLevelType w:val="multilevel"/>
    <w:tmpl w:val="3E48A548"/>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5CB66A94"/>
    <w:multiLevelType w:val="singleLevel"/>
    <w:tmpl w:val="BEAEA458"/>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B43"/>
    <w:rsid w:val="000026EC"/>
    <w:rsid w:val="00002CAF"/>
    <w:rsid w:val="000032F1"/>
    <w:rsid w:val="00003E9D"/>
    <w:rsid w:val="0000446D"/>
    <w:rsid w:val="00004DAC"/>
    <w:rsid w:val="00006657"/>
    <w:rsid w:val="00006975"/>
    <w:rsid w:val="00006BC6"/>
    <w:rsid w:val="000071B5"/>
    <w:rsid w:val="00007719"/>
    <w:rsid w:val="000126C1"/>
    <w:rsid w:val="00013848"/>
    <w:rsid w:val="000141E1"/>
    <w:rsid w:val="00014DA7"/>
    <w:rsid w:val="0001563A"/>
    <w:rsid w:val="00016107"/>
    <w:rsid w:val="00020998"/>
    <w:rsid w:val="00021509"/>
    <w:rsid w:val="000222C1"/>
    <w:rsid w:val="00023A5C"/>
    <w:rsid w:val="00023FFD"/>
    <w:rsid w:val="0002452C"/>
    <w:rsid w:val="00024FA0"/>
    <w:rsid w:val="000267E2"/>
    <w:rsid w:val="00026ACB"/>
    <w:rsid w:val="0003011B"/>
    <w:rsid w:val="00033FF7"/>
    <w:rsid w:val="00035FBD"/>
    <w:rsid w:val="000365D0"/>
    <w:rsid w:val="0003707E"/>
    <w:rsid w:val="0003751E"/>
    <w:rsid w:val="00037DDD"/>
    <w:rsid w:val="0004147D"/>
    <w:rsid w:val="00041BCA"/>
    <w:rsid w:val="00042696"/>
    <w:rsid w:val="00042B8F"/>
    <w:rsid w:val="000438D4"/>
    <w:rsid w:val="000457C8"/>
    <w:rsid w:val="000533BB"/>
    <w:rsid w:val="0005448A"/>
    <w:rsid w:val="00054645"/>
    <w:rsid w:val="0005475A"/>
    <w:rsid w:val="000547F0"/>
    <w:rsid w:val="000572B9"/>
    <w:rsid w:val="00057AA1"/>
    <w:rsid w:val="00057C74"/>
    <w:rsid w:val="00057E00"/>
    <w:rsid w:val="00060302"/>
    <w:rsid w:val="00060E55"/>
    <w:rsid w:val="00062576"/>
    <w:rsid w:val="00063288"/>
    <w:rsid w:val="00066A45"/>
    <w:rsid w:val="0007025B"/>
    <w:rsid w:val="00070B55"/>
    <w:rsid w:val="00070BCA"/>
    <w:rsid w:val="00071FAA"/>
    <w:rsid w:val="00072E0A"/>
    <w:rsid w:val="0007354C"/>
    <w:rsid w:val="00074E21"/>
    <w:rsid w:val="00075C53"/>
    <w:rsid w:val="00075D73"/>
    <w:rsid w:val="00076B8A"/>
    <w:rsid w:val="00077993"/>
    <w:rsid w:val="00077B13"/>
    <w:rsid w:val="00077C63"/>
    <w:rsid w:val="00077E9C"/>
    <w:rsid w:val="00080229"/>
    <w:rsid w:val="00080BFE"/>
    <w:rsid w:val="0008109A"/>
    <w:rsid w:val="00081F2C"/>
    <w:rsid w:val="0008336A"/>
    <w:rsid w:val="00083E22"/>
    <w:rsid w:val="00083FBA"/>
    <w:rsid w:val="00084484"/>
    <w:rsid w:val="00086A3F"/>
    <w:rsid w:val="00090284"/>
    <w:rsid w:val="000918F3"/>
    <w:rsid w:val="00091B5F"/>
    <w:rsid w:val="0009247A"/>
    <w:rsid w:val="000929C6"/>
    <w:rsid w:val="00092DA8"/>
    <w:rsid w:val="000936DA"/>
    <w:rsid w:val="000951E6"/>
    <w:rsid w:val="000968B4"/>
    <w:rsid w:val="000969D0"/>
    <w:rsid w:val="00096DB6"/>
    <w:rsid w:val="00097272"/>
    <w:rsid w:val="000A1F78"/>
    <w:rsid w:val="000A4DCD"/>
    <w:rsid w:val="000A528A"/>
    <w:rsid w:val="000A5A36"/>
    <w:rsid w:val="000A5C74"/>
    <w:rsid w:val="000A6E55"/>
    <w:rsid w:val="000A7441"/>
    <w:rsid w:val="000A77D1"/>
    <w:rsid w:val="000A78C0"/>
    <w:rsid w:val="000B0C7C"/>
    <w:rsid w:val="000B177F"/>
    <w:rsid w:val="000B1E80"/>
    <w:rsid w:val="000B2CC4"/>
    <w:rsid w:val="000B3619"/>
    <w:rsid w:val="000B481B"/>
    <w:rsid w:val="000B48FF"/>
    <w:rsid w:val="000B508A"/>
    <w:rsid w:val="000B75F3"/>
    <w:rsid w:val="000B7FD2"/>
    <w:rsid w:val="000C1962"/>
    <w:rsid w:val="000C1C5A"/>
    <w:rsid w:val="000C2CAF"/>
    <w:rsid w:val="000C43BF"/>
    <w:rsid w:val="000C4E62"/>
    <w:rsid w:val="000C5063"/>
    <w:rsid w:val="000C5A80"/>
    <w:rsid w:val="000C66F6"/>
    <w:rsid w:val="000C776C"/>
    <w:rsid w:val="000D0C8F"/>
    <w:rsid w:val="000D1E72"/>
    <w:rsid w:val="000D4CA8"/>
    <w:rsid w:val="000E0B25"/>
    <w:rsid w:val="000E0CB3"/>
    <w:rsid w:val="000E1109"/>
    <w:rsid w:val="000E1358"/>
    <w:rsid w:val="000E3BEC"/>
    <w:rsid w:val="000E552E"/>
    <w:rsid w:val="000E70CE"/>
    <w:rsid w:val="000E7B27"/>
    <w:rsid w:val="000E7BCB"/>
    <w:rsid w:val="000F0B06"/>
    <w:rsid w:val="000F23D6"/>
    <w:rsid w:val="000F2B1C"/>
    <w:rsid w:val="000F37C8"/>
    <w:rsid w:val="000F47F5"/>
    <w:rsid w:val="000F67AE"/>
    <w:rsid w:val="000F6F5D"/>
    <w:rsid w:val="000F7677"/>
    <w:rsid w:val="001001E5"/>
    <w:rsid w:val="001003B0"/>
    <w:rsid w:val="00100DB9"/>
    <w:rsid w:val="001011CA"/>
    <w:rsid w:val="0010260B"/>
    <w:rsid w:val="00102756"/>
    <w:rsid w:val="00103518"/>
    <w:rsid w:val="001035C2"/>
    <w:rsid w:val="0010366B"/>
    <w:rsid w:val="0010440F"/>
    <w:rsid w:val="0010507E"/>
    <w:rsid w:val="00105330"/>
    <w:rsid w:val="00105A87"/>
    <w:rsid w:val="00105D95"/>
    <w:rsid w:val="00106B4D"/>
    <w:rsid w:val="00106BE5"/>
    <w:rsid w:val="00107A6B"/>
    <w:rsid w:val="00107A7C"/>
    <w:rsid w:val="00110C49"/>
    <w:rsid w:val="00110FEB"/>
    <w:rsid w:val="001120E8"/>
    <w:rsid w:val="00115051"/>
    <w:rsid w:val="001150FE"/>
    <w:rsid w:val="001153EC"/>
    <w:rsid w:val="0011551D"/>
    <w:rsid w:val="001170C5"/>
    <w:rsid w:val="00117115"/>
    <w:rsid w:val="00117342"/>
    <w:rsid w:val="0011758F"/>
    <w:rsid w:val="0011783D"/>
    <w:rsid w:val="00121772"/>
    <w:rsid w:val="00124C9D"/>
    <w:rsid w:val="00125AE5"/>
    <w:rsid w:val="001265BE"/>
    <w:rsid w:val="001267EF"/>
    <w:rsid w:val="00127B1E"/>
    <w:rsid w:val="00130706"/>
    <w:rsid w:val="00130A1A"/>
    <w:rsid w:val="00131F66"/>
    <w:rsid w:val="0013312D"/>
    <w:rsid w:val="0013548A"/>
    <w:rsid w:val="00135CF8"/>
    <w:rsid w:val="00137AB5"/>
    <w:rsid w:val="001406F5"/>
    <w:rsid w:val="00140706"/>
    <w:rsid w:val="00141E1A"/>
    <w:rsid w:val="00143E7F"/>
    <w:rsid w:val="00143F8E"/>
    <w:rsid w:val="001455D8"/>
    <w:rsid w:val="00147D61"/>
    <w:rsid w:val="00150E1F"/>
    <w:rsid w:val="00150E9F"/>
    <w:rsid w:val="00151B85"/>
    <w:rsid w:val="001538F8"/>
    <w:rsid w:val="0015392E"/>
    <w:rsid w:val="0015528E"/>
    <w:rsid w:val="0015560E"/>
    <w:rsid w:val="0015735B"/>
    <w:rsid w:val="00161445"/>
    <w:rsid w:val="00161611"/>
    <w:rsid w:val="0016173F"/>
    <w:rsid w:val="00162561"/>
    <w:rsid w:val="00163DBF"/>
    <w:rsid w:val="001652F5"/>
    <w:rsid w:val="00165810"/>
    <w:rsid w:val="001673B5"/>
    <w:rsid w:val="001673FC"/>
    <w:rsid w:val="00167422"/>
    <w:rsid w:val="00170663"/>
    <w:rsid w:val="001709CB"/>
    <w:rsid w:val="00170FA1"/>
    <w:rsid w:val="00175219"/>
    <w:rsid w:val="00175D93"/>
    <w:rsid w:val="001764AB"/>
    <w:rsid w:val="001770F0"/>
    <w:rsid w:val="00177A3A"/>
    <w:rsid w:val="001800CD"/>
    <w:rsid w:val="00181502"/>
    <w:rsid w:val="00181CCA"/>
    <w:rsid w:val="00184CCB"/>
    <w:rsid w:val="0018519C"/>
    <w:rsid w:val="00190139"/>
    <w:rsid w:val="001908FD"/>
    <w:rsid w:val="001910C2"/>
    <w:rsid w:val="001917B6"/>
    <w:rsid w:val="00192797"/>
    <w:rsid w:val="0019471E"/>
    <w:rsid w:val="0019506A"/>
    <w:rsid w:val="00195F97"/>
    <w:rsid w:val="00196E88"/>
    <w:rsid w:val="0019720D"/>
    <w:rsid w:val="001A0759"/>
    <w:rsid w:val="001A0885"/>
    <w:rsid w:val="001A106A"/>
    <w:rsid w:val="001A1629"/>
    <w:rsid w:val="001A4191"/>
    <w:rsid w:val="001A6BA1"/>
    <w:rsid w:val="001A7A59"/>
    <w:rsid w:val="001A7C25"/>
    <w:rsid w:val="001B2F40"/>
    <w:rsid w:val="001B6398"/>
    <w:rsid w:val="001B6E6B"/>
    <w:rsid w:val="001C20B3"/>
    <w:rsid w:val="001C2EAB"/>
    <w:rsid w:val="001C3A0A"/>
    <w:rsid w:val="001C487D"/>
    <w:rsid w:val="001C4D46"/>
    <w:rsid w:val="001C5AF2"/>
    <w:rsid w:val="001C723D"/>
    <w:rsid w:val="001D0A6E"/>
    <w:rsid w:val="001D0B2F"/>
    <w:rsid w:val="001D1834"/>
    <w:rsid w:val="001D3A3F"/>
    <w:rsid w:val="001D43C1"/>
    <w:rsid w:val="001D4C0C"/>
    <w:rsid w:val="001D65E7"/>
    <w:rsid w:val="001D663D"/>
    <w:rsid w:val="001E07FD"/>
    <w:rsid w:val="001E0960"/>
    <w:rsid w:val="001E10C8"/>
    <w:rsid w:val="001E3F72"/>
    <w:rsid w:val="001E70B8"/>
    <w:rsid w:val="001E7884"/>
    <w:rsid w:val="001E7BEE"/>
    <w:rsid w:val="001F0482"/>
    <w:rsid w:val="001F1537"/>
    <w:rsid w:val="001F166C"/>
    <w:rsid w:val="001F1F26"/>
    <w:rsid w:val="001F379C"/>
    <w:rsid w:val="001F60CF"/>
    <w:rsid w:val="001F62CF"/>
    <w:rsid w:val="001F6A0E"/>
    <w:rsid w:val="001F7D29"/>
    <w:rsid w:val="00200D78"/>
    <w:rsid w:val="00203468"/>
    <w:rsid w:val="002036A0"/>
    <w:rsid w:val="00203C04"/>
    <w:rsid w:val="00205616"/>
    <w:rsid w:val="002111FC"/>
    <w:rsid w:val="00211F82"/>
    <w:rsid w:val="00212697"/>
    <w:rsid w:val="00212C77"/>
    <w:rsid w:val="00214084"/>
    <w:rsid w:val="00214A8B"/>
    <w:rsid w:val="002158CE"/>
    <w:rsid w:val="00216769"/>
    <w:rsid w:val="00216DBF"/>
    <w:rsid w:val="002175A4"/>
    <w:rsid w:val="00217E32"/>
    <w:rsid w:val="00220A86"/>
    <w:rsid w:val="00220E84"/>
    <w:rsid w:val="002225D3"/>
    <w:rsid w:val="00223457"/>
    <w:rsid w:val="00225170"/>
    <w:rsid w:val="0022533F"/>
    <w:rsid w:val="002257A9"/>
    <w:rsid w:val="00227AD4"/>
    <w:rsid w:val="00230876"/>
    <w:rsid w:val="00230CD3"/>
    <w:rsid w:val="00230DE5"/>
    <w:rsid w:val="00232BBE"/>
    <w:rsid w:val="0023463D"/>
    <w:rsid w:val="00234DFD"/>
    <w:rsid w:val="00235E12"/>
    <w:rsid w:val="00236525"/>
    <w:rsid w:val="0023755C"/>
    <w:rsid w:val="00240BB2"/>
    <w:rsid w:val="00243D25"/>
    <w:rsid w:val="00244E0B"/>
    <w:rsid w:val="00245A46"/>
    <w:rsid w:val="00246349"/>
    <w:rsid w:val="002475D6"/>
    <w:rsid w:val="00250B99"/>
    <w:rsid w:val="00252640"/>
    <w:rsid w:val="00252660"/>
    <w:rsid w:val="00252F81"/>
    <w:rsid w:val="002531D4"/>
    <w:rsid w:val="00253567"/>
    <w:rsid w:val="00254094"/>
    <w:rsid w:val="002572F0"/>
    <w:rsid w:val="002577FF"/>
    <w:rsid w:val="0026157E"/>
    <w:rsid w:val="00261805"/>
    <w:rsid w:val="002628DA"/>
    <w:rsid w:val="00263E3D"/>
    <w:rsid w:val="002646E7"/>
    <w:rsid w:val="00265B02"/>
    <w:rsid w:val="00265E7B"/>
    <w:rsid w:val="00266B89"/>
    <w:rsid w:val="00267043"/>
    <w:rsid w:val="00267B7B"/>
    <w:rsid w:val="0027061C"/>
    <w:rsid w:val="002707B0"/>
    <w:rsid w:val="00271AEA"/>
    <w:rsid w:val="00271C1E"/>
    <w:rsid w:val="00272C68"/>
    <w:rsid w:val="00274A6B"/>
    <w:rsid w:val="00274A72"/>
    <w:rsid w:val="002750B5"/>
    <w:rsid w:val="0027588D"/>
    <w:rsid w:val="00275CAC"/>
    <w:rsid w:val="002800D2"/>
    <w:rsid w:val="00281355"/>
    <w:rsid w:val="002821AB"/>
    <w:rsid w:val="00282A01"/>
    <w:rsid w:val="00287AD3"/>
    <w:rsid w:val="00287C4E"/>
    <w:rsid w:val="002901C9"/>
    <w:rsid w:val="00291052"/>
    <w:rsid w:val="00291B55"/>
    <w:rsid w:val="0029204B"/>
    <w:rsid w:val="00295489"/>
    <w:rsid w:val="00296655"/>
    <w:rsid w:val="00296ADF"/>
    <w:rsid w:val="00296B59"/>
    <w:rsid w:val="00297E03"/>
    <w:rsid w:val="002A0E59"/>
    <w:rsid w:val="002A1940"/>
    <w:rsid w:val="002A368E"/>
    <w:rsid w:val="002A3FA3"/>
    <w:rsid w:val="002A6C97"/>
    <w:rsid w:val="002A7E20"/>
    <w:rsid w:val="002B046D"/>
    <w:rsid w:val="002B06FB"/>
    <w:rsid w:val="002B12AE"/>
    <w:rsid w:val="002B2495"/>
    <w:rsid w:val="002B3773"/>
    <w:rsid w:val="002B3890"/>
    <w:rsid w:val="002B3FA8"/>
    <w:rsid w:val="002B5937"/>
    <w:rsid w:val="002B5D48"/>
    <w:rsid w:val="002B631F"/>
    <w:rsid w:val="002B6B30"/>
    <w:rsid w:val="002B7D4B"/>
    <w:rsid w:val="002C0D76"/>
    <w:rsid w:val="002C42D3"/>
    <w:rsid w:val="002C4C14"/>
    <w:rsid w:val="002C5E69"/>
    <w:rsid w:val="002D0D1B"/>
    <w:rsid w:val="002D1D30"/>
    <w:rsid w:val="002D1D48"/>
    <w:rsid w:val="002D2923"/>
    <w:rsid w:val="002D4281"/>
    <w:rsid w:val="002D460E"/>
    <w:rsid w:val="002D5102"/>
    <w:rsid w:val="002E032A"/>
    <w:rsid w:val="002E036E"/>
    <w:rsid w:val="002E37AA"/>
    <w:rsid w:val="002E3FFC"/>
    <w:rsid w:val="002E42A5"/>
    <w:rsid w:val="002E45C6"/>
    <w:rsid w:val="002E4E8E"/>
    <w:rsid w:val="002E7227"/>
    <w:rsid w:val="002F0D0B"/>
    <w:rsid w:val="002F36AC"/>
    <w:rsid w:val="002F3B10"/>
    <w:rsid w:val="002F5D0F"/>
    <w:rsid w:val="002F62CB"/>
    <w:rsid w:val="0030011D"/>
    <w:rsid w:val="003003A8"/>
    <w:rsid w:val="0030126D"/>
    <w:rsid w:val="003014DC"/>
    <w:rsid w:val="00301FF3"/>
    <w:rsid w:val="00305924"/>
    <w:rsid w:val="00306706"/>
    <w:rsid w:val="00306968"/>
    <w:rsid w:val="003108D7"/>
    <w:rsid w:val="003119D2"/>
    <w:rsid w:val="00311FE5"/>
    <w:rsid w:val="0031515E"/>
    <w:rsid w:val="00315406"/>
    <w:rsid w:val="0031550F"/>
    <w:rsid w:val="00330829"/>
    <w:rsid w:val="0033107B"/>
    <w:rsid w:val="003312A2"/>
    <w:rsid w:val="00334607"/>
    <w:rsid w:val="00334E1D"/>
    <w:rsid w:val="00335E23"/>
    <w:rsid w:val="00336899"/>
    <w:rsid w:val="00340546"/>
    <w:rsid w:val="0034152B"/>
    <w:rsid w:val="00341E37"/>
    <w:rsid w:val="00341EEF"/>
    <w:rsid w:val="00343039"/>
    <w:rsid w:val="00344940"/>
    <w:rsid w:val="0034495C"/>
    <w:rsid w:val="00344FE4"/>
    <w:rsid w:val="00345236"/>
    <w:rsid w:val="00347515"/>
    <w:rsid w:val="0035126D"/>
    <w:rsid w:val="00351AD4"/>
    <w:rsid w:val="00351BD0"/>
    <w:rsid w:val="003529F5"/>
    <w:rsid w:val="00353175"/>
    <w:rsid w:val="003535FD"/>
    <w:rsid w:val="00353D73"/>
    <w:rsid w:val="00354A68"/>
    <w:rsid w:val="00355D20"/>
    <w:rsid w:val="00363A1A"/>
    <w:rsid w:val="00364CEA"/>
    <w:rsid w:val="00365468"/>
    <w:rsid w:val="003656BC"/>
    <w:rsid w:val="00365B36"/>
    <w:rsid w:val="00365CA9"/>
    <w:rsid w:val="00365CE1"/>
    <w:rsid w:val="003663C9"/>
    <w:rsid w:val="00367549"/>
    <w:rsid w:val="00370202"/>
    <w:rsid w:val="00373951"/>
    <w:rsid w:val="00373E63"/>
    <w:rsid w:val="0037416B"/>
    <w:rsid w:val="00374268"/>
    <w:rsid w:val="003743DD"/>
    <w:rsid w:val="00374A64"/>
    <w:rsid w:val="00375C3D"/>
    <w:rsid w:val="00376234"/>
    <w:rsid w:val="00376586"/>
    <w:rsid w:val="003766CF"/>
    <w:rsid w:val="003770B1"/>
    <w:rsid w:val="00380DEB"/>
    <w:rsid w:val="00383F11"/>
    <w:rsid w:val="003844E5"/>
    <w:rsid w:val="00385490"/>
    <w:rsid w:val="00385D75"/>
    <w:rsid w:val="00386ACD"/>
    <w:rsid w:val="0038783C"/>
    <w:rsid w:val="00390A78"/>
    <w:rsid w:val="00391645"/>
    <w:rsid w:val="003926AD"/>
    <w:rsid w:val="0039363C"/>
    <w:rsid w:val="003936E4"/>
    <w:rsid w:val="00394200"/>
    <w:rsid w:val="003944B6"/>
    <w:rsid w:val="00394AB5"/>
    <w:rsid w:val="00394B17"/>
    <w:rsid w:val="00395593"/>
    <w:rsid w:val="00395D5C"/>
    <w:rsid w:val="00396660"/>
    <w:rsid w:val="00397450"/>
    <w:rsid w:val="003A130C"/>
    <w:rsid w:val="003A1CC3"/>
    <w:rsid w:val="003A2EB1"/>
    <w:rsid w:val="003A4B98"/>
    <w:rsid w:val="003A4C58"/>
    <w:rsid w:val="003A5848"/>
    <w:rsid w:val="003A6C2F"/>
    <w:rsid w:val="003A7D45"/>
    <w:rsid w:val="003A7F44"/>
    <w:rsid w:val="003B0F99"/>
    <w:rsid w:val="003B16F8"/>
    <w:rsid w:val="003B1BDA"/>
    <w:rsid w:val="003B2E0E"/>
    <w:rsid w:val="003B3D3D"/>
    <w:rsid w:val="003B3DF2"/>
    <w:rsid w:val="003B5F73"/>
    <w:rsid w:val="003B601B"/>
    <w:rsid w:val="003B64A5"/>
    <w:rsid w:val="003B7CD1"/>
    <w:rsid w:val="003C1506"/>
    <w:rsid w:val="003C3E4B"/>
    <w:rsid w:val="003C5CB7"/>
    <w:rsid w:val="003C5D6C"/>
    <w:rsid w:val="003D2EFD"/>
    <w:rsid w:val="003D3564"/>
    <w:rsid w:val="003D3577"/>
    <w:rsid w:val="003D39EE"/>
    <w:rsid w:val="003D431F"/>
    <w:rsid w:val="003D546E"/>
    <w:rsid w:val="003D65E1"/>
    <w:rsid w:val="003D7EE3"/>
    <w:rsid w:val="003E0B22"/>
    <w:rsid w:val="003E193D"/>
    <w:rsid w:val="003E1D01"/>
    <w:rsid w:val="003E2BA4"/>
    <w:rsid w:val="003E31F6"/>
    <w:rsid w:val="003E3A2D"/>
    <w:rsid w:val="003E4990"/>
    <w:rsid w:val="003E5C63"/>
    <w:rsid w:val="003E70B8"/>
    <w:rsid w:val="003F058C"/>
    <w:rsid w:val="003F090C"/>
    <w:rsid w:val="003F18D2"/>
    <w:rsid w:val="003F1B14"/>
    <w:rsid w:val="003F1D22"/>
    <w:rsid w:val="003F26A8"/>
    <w:rsid w:val="003F2BB6"/>
    <w:rsid w:val="003F2EF0"/>
    <w:rsid w:val="003F33CD"/>
    <w:rsid w:val="003F5FD3"/>
    <w:rsid w:val="003F6456"/>
    <w:rsid w:val="003F6AB1"/>
    <w:rsid w:val="003F76E3"/>
    <w:rsid w:val="00400465"/>
    <w:rsid w:val="00400D78"/>
    <w:rsid w:val="00400DE5"/>
    <w:rsid w:val="004016AB"/>
    <w:rsid w:val="00402400"/>
    <w:rsid w:val="004029BB"/>
    <w:rsid w:val="00402B00"/>
    <w:rsid w:val="00403285"/>
    <w:rsid w:val="00404473"/>
    <w:rsid w:val="00404570"/>
    <w:rsid w:val="004045FC"/>
    <w:rsid w:val="00404841"/>
    <w:rsid w:val="004049B7"/>
    <w:rsid w:val="00406200"/>
    <w:rsid w:val="00407C0D"/>
    <w:rsid w:val="00407E3C"/>
    <w:rsid w:val="00411FE9"/>
    <w:rsid w:val="00412C58"/>
    <w:rsid w:val="00413A61"/>
    <w:rsid w:val="004155C8"/>
    <w:rsid w:val="00415D75"/>
    <w:rsid w:val="0041680D"/>
    <w:rsid w:val="00416D9C"/>
    <w:rsid w:val="0042100E"/>
    <w:rsid w:val="004215D0"/>
    <w:rsid w:val="00423439"/>
    <w:rsid w:val="0042350D"/>
    <w:rsid w:val="00423D6C"/>
    <w:rsid w:val="004248C0"/>
    <w:rsid w:val="00424D82"/>
    <w:rsid w:val="0042577D"/>
    <w:rsid w:val="00427E7B"/>
    <w:rsid w:val="00430947"/>
    <w:rsid w:val="004316F7"/>
    <w:rsid w:val="00431FB3"/>
    <w:rsid w:val="00432E5C"/>
    <w:rsid w:val="00433EC8"/>
    <w:rsid w:val="00435423"/>
    <w:rsid w:val="0043601F"/>
    <w:rsid w:val="00436CE8"/>
    <w:rsid w:val="00437CB6"/>
    <w:rsid w:val="00440FB2"/>
    <w:rsid w:val="00441504"/>
    <w:rsid w:val="0044242E"/>
    <w:rsid w:val="00442AC5"/>
    <w:rsid w:val="0044421E"/>
    <w:rsid w:val="004448D1"/>
    <w:rsid w:val="004448D3"/>
    <w:rsid w:val="0044574C"/>
    <w:rsid w:val="00446186"/>
    <w:rsid w:val="00446AA7"/>
    <w:rsid w:val="00447189"/>
    <w:rsid w:val="0044754D"/>
    <w:rsid w:val="00447A71"/>
    <w:rsid w:val="00452B84"/>
    <w:rsid w:val="00453390"/>
    <w:rsid w:val="004539D1"/>
    <w:rsid w:val="00454751"/>
    <w:rsid w:val="00454894"/>
    <w:rsid w:val="00455DEA"/>
    <w:rsid w:val="00457C59"/>
    <w:rsid w:val="004610CF"/>
    <w:rsid w:val="00461535"/>
    <w:rsid w:val="00463654"/>
    <w:rsid w:val="0046366D"/>
    <w:rsid w:val="00465064"/>
    <w:rsid w:val="00465AF0"/>
    <w:rsid w:val="004675AA"/>
    <w:rsid w:val="00467B42"/>
    <w:rsid w:val="00470031"/>
    <w:rsid w:val="00471237"/>
    <w:rsid w:val="00471568"/>
    <w:rsid w:val="00471713"/>
    <w:rsid w:val="00471D85"/>
    <w:rsid w:val="004730B8"/>
    <w:rsid w:val="004738C0"/>
    <w:rsid w:val="00474B26"/>
    <w:rsid w:val="00474F4F"/>
    <w:rsid w:val="0047533F"/>
    <w:rsid w:val="0047635E"/>
    <w:rsid w:val="004774EA"/>
    <w:rsid w:val="004774F9"/>
    <w:rsid w:val="00477DBE"/>
    <w:rsid w:val="00481B30"/>
    <w:rsid w:val="00481E14"/>
    <w:rsid w:val="00484C3C"/>
    <w:rsid w:val="00484DF1"/>
    <w:rsid w:val="00485096"/>
    <w:rsid w:val="00485174"/>
    <w:rsid w:val="004856A5"/>
    <w:rsid w:val="0048594C"/>
    <w:rsid w:val="0048599C"/>
    <w:rsid w:val="00486F2E"/>
    <w:rsid w:val="004870B5"/>
    <w:rsid w:val="00487357"/>
    <w:rsid w:val="00487D9F"/>
    <w:rsid w:val="00487DB9"/>
    <w:rsid w:val="00487FA1"/>
    <w:rsid w:val="004901C2"/>
    <w:rsid w:val="0049345B"/>
    <w:rsid w:val="0049356B"/>
    <w:rsid w:val="004945BD"/>
    <w:rsid w:val="00495854"/>
    <w:rsid w:val="00495889"/>
    <w:rsid w:val="00495E91"/>
    <w:rsid w:val="00496165"/>
    <w:rsid w:val="004964EE"/>
    <w:rsid w:val="004966FB"/>
    <w:rsid w:val="00497805"/>
    <w:rsid w:val="004A0335"/>
    <w:rsid w:val="004A2196"/>
    <w:rsid w:val="004A2B6C"/>
    <w:rsid w:val="004A318E"/>
    <w:rsid w:val="004A3312"/>
    <w:rsid w:val="004A453E"/>
    <w:rsid w:val="004A45DA"/>
    <w:rsid w:val="004B275E"/>
    <w:rsid w:val="004B3384"/>
    <w:rsid w:val="004B39ED"/>
    <w:rsid w:val="004B3A04"/>
    <w:rsid w:val="004B4450"/>
    <w:rsid w:val="004B4B54"/>
    <w:rsid w:val="004B538B"/>
    <w:rsid w:val="004B53B8"/>
    <w:rsid w:val="004B5A7C"/>
    <w:rsid w:val="004C0235"/>
    <w:rsid w:val="004C1588"/>
    <w:rsid w:val="004C1673"/>
    <w:rsid w:val="004C171C"/>
    <w:rsid w:val="004C1772"/>
    <w:rsid w:val="004C22C6"/>
    <w:rsid w:val="004C2F7F"/>
    <w:rsid w:val="004C4982"/>
    <w:rsid w:val="004C5AD3"/>
    <w:rsid w:val="004C62D0"/>
    <w:rsid w:val="004C6B99"/>
    <w:rsid w:val="004C6C82"/>
    <w:rsid w:val="004C7F84"/>
    <w:rsid w:val="004D1933"/>
    <w:rsid w:val="004D1C81"/>
    <w:rsid w:val="004D22FB"/>
    <w:rsid w:val="004D2B31"/>
    <w:rsid w:val="004D33D1"/>
    <w:rsid w:val="004D372F"/>
    <w:rsid w:val="004D51EA"/>
    <w:rsid w:val="004D541D"/>
    <w:rsid w:val="004D5670"/>
    <w:rsid w:val="004D6D6F"/>
    <w:rsid w:val="004D78A9"/>
    <w:rsid w:val="004E18ED"/>
    <w:rsid w:val="004E26C0"/>
    <w:rsid w:val="004E34D2"/>
    <w:rsid w:val="004E47D6"/>
    <w:rsid w:val="004E538D"/>
    <w:rsid w:val="004F09ED"/>
    <w:rsid w:val="004F0F3E"/>
    <w:rsid w:val="004F1872"/>
    <w:rsid w:val="004F25F6"/>
    <w:rsid w:val="004F2BE3"/>
    <w:rsid w:val="004F38FC"/>
    <w:rsid w:val="004F3C08"/>
    <w:rsid w:val="004F54A2"/>
    <w:rsid w:val="004F62F9"/>
    <w:rsid w:val="004F6889"/>
    <w:rsid w:val="0050010C"/>
    <w:rsid w:val="00501B23"/>
    <w:rsid w:val="00501BD9"/>
    <w:rsid w:val="0050242D"/>
    <w:rsid w:val="00502FA8"/>
    <w:rsid w:val="005054FA"/>
    <w:rsid w:val="0050550D"/>
    <w:rsid w:val="0050616E"/>
    <w:rsid w:val="00506574"/>
    <w:rsid w:val="00507640"/>
    <w:rsid w:val="0050798F"/>
    <w:rsid w:val="00510461"/>
    <w:rsid w:val="005139FA"/>
    <w:rsid w:val="00513F8E"/>
    <w:rsid w:val="0051582D"/>
    <w:rsid w:val="00515C94"/>
    <w:rsid w:val="0051702C"/>
    <w:rsid w:val="00520E00"/>
    <w:rsid w:val="005221C1"/>
    <w:rsid w:val="0052292F"/>
    <w:rsid w:val="0052371A"/>
    <w:rsid w:val="005237FD"/>
    <w:rsid w:val="0052441B"/>
    <w:rsid w:val="00524A74"/>
    <w:rsid w:val="00524B71"/>
    <w:rsid w:val="00524C6D"/>
    <w:rsid w:val="0052552A"/>
    <w:rsid w:val="00525FE4"/>
    <w:rsid w:val="00530590"/>
    <w:rsid w:val="0053228F"/>
    <w:rsid w:val="00532FEB"/>
    <w:rsid w:val="005331FB"/>
    <w:rsid w:val="00534995"/>
    <w:rsid w:val="00535C8D"/>
    <w:rsid w:val="00537053"/>
    <w:rsid w:val="005373E0"/>
    <w:rsid w:val="0054083E"/>
    <w:rsid w:val="00543646"/>
    <w:rsid w:val="00543748"/>
    <w:rsid w:val="00543774"/>
    <w:rsid w:val="0054632F"/>
    <w:rsid w:val="0054650F"/>
    <w:rsid w:val="005472C7"/>
    <w:rsid w:val="005476E2"/>
    <w:rsid w:val="005503FB"/>
    <w:rsid w:val="00550662"/>
    <w:rsid w:val="00551677"/>
    <w:rsid w:val="005519D3"/>
    <w:rsid w:val="00555663"/>
    <w:rsid w:val="00556A45"/>
    <w:rsid w:val="0055724C"/>
    <w:rsid w:val="00560321"/>
    <w:rsid w:val="005604EC"/>
    <w:rsid w:val="0056113D"/>
    <w:rsid w:val="00562453"/>
    <w:rsid w:val="00562DB3"/>
    <w:rsid w:val="005633C7"/>
    <w:rsid w:val="005642C1"/>
    <w:rsid w:val="00564898"/>
    <w:rsid w:val="00565868"/>
    <w:rsid w:val="00566646"/>
    <w:rsid w:val="005727D4"/>
    <w:rsid w:val="00573AD0"/>
    <w:rsid w:val="00575C6D"/>
    <w:rsid w:val="00576597"/>
    <w:rsid w:val="00577D88"/>
    <w:rsid w:val="00582272"/>
    <w:rsid w:val="00583DDC"/>
    <w:rsid w:val="00584A99"/>
    <w:rsid w:val="00585C7B"/>
    <w:rsid w:val="005861F1"/>
    <w:rsid w:val="0058622D"/>
    <w:rsid w:val="00586C8F"/>
    <w:rsid w:val="00587AA5"/>
    <w:rsid w:val="00590676"/>
    <w:rsid w:val="00591000"/>
    <w:rsid w:val="0059231A"/>
    <w:rsid w:val="005925B2"/>
    <w:rsid w:val="00592D0C"/>
    <w:rsid w:val="00593328"/>
    <w:rsid w:val="00594ACA"/>
    <w:rsid w:val="00594B4F"/>
    <w:rsid w:val="005955CD"/>
    <w:rsid w:val="00595FA3"/>
    <w:rsid w:val="00596071"/>
    <w:rsid w:val="00596BFA"/>
    <w:rsid w:val="005A1D18"/>
    <w:rsid w:val="005A243A"/>
    <w:rsid w:val="005A265B"/>
    <w:rsid w:val="005A3A71"/>
    <w:rsid w:val="005A6C05"/>
    <w:rsid w:val="005A753E"/>
    <w:rsid w:val="005A77CC"/>
    <w:rsid w:val="005A7F55"/>
    <w:rsid w:val="005B0540"/>
    <w:rsid w:val="005B0D84"/>
    <w:rsid w:val="005B3500"/>
    <w:rsid w:val="005B3B73"/>
    <w:rsid w:val="005B4654"/>
    <w:rsid w:val="005B54DF"/>
    <w:rsid w:val="005B6E4D"/>
    <w:rsid w:val="005C00FC"/>
    <w:rsid w:val="005C075C"/>
    <w:rsid w:val="005C161F"/>
    <w:rsid w:val="005C2526"/>
    <w:rsid w:val="005C2CEA"/>
    <w:rsid w:val="005C3954"/>
    <w:rsid w:val="005C3A19"/>
    <w:rsid w:val="005C441B"/>
    <w:rsid w:val="005C5C18"/>
    <w:rsid w:val="005C60A4"/>
    <w:rsid w:val="005C60C3"/>
    <w:rsid w:val="005C6830"/>
    <w:rsid w:val="005D0DF9"/>
    <w:rsid w:val="005D1010"/>
    <w:rsid w:val="005D17C6"/>
    <w:rsid w:val="005D1D02"/>
    <w:rsid w:val="005D1FEF"/>
    <w:rsid w:val="005D40BC"/>
    <w:rsid w:val="005D4425"/>
    <w:rsid w:val="005D46FD"/>
    <w:rsid w:val="005D50A8"/>
    <w:rsid w:val="005D6BEE"/>
    <w:rsid w:val="005D6EE4"/>
    <w:rsid w:val="005D6F33"/>
    <w:rsid w:val="005D741E"/>
    <w:rsid w:val="005E2A7C"/>
    <w:rsid w:val="005E3DEA"/>
    <w:rsid w:val="005E45CD"/>
    <w:rsid w:val="005E48DE"/>
    <w:rsid w:val="005E58B5"/>
    <w:rsid w:val="005F333F"/>
    <w:rsid w:val="005F3BD9"/>
    <w:rsid w:val="005F3C8A"/>
    <w:rsid w:val="005F4578"/>
    <w:rsid w:val="005F4B6E"/>
    <w:rsid w:val="005F52F4"/>
    <w:rsid w:val="005F5924"/>
    <w:rsid w:val="005F7CAB"/>
    <w:rsid w:val="005F7F54"/>
    <w:rsid w:val="005F7F5A"/>
    <w:rsid w:val="006000A1"/>
    <w:rsid w:val="0060146F"/>
    <w:rsid w:val="006035C0"/>
    <w:rsid w:val="006040E6"/>
    <w:rsid w:val="00604372"/>
    <w:rsid w:val="00604CE3"/>
    <w:rsid w:val="00605B8A"/>
    <w:rsid w:val="00607EEE"/>
    <w:rsid w:val="006119CB"/>
    <w:rsid w:val="00611D29"/>
    <w:rsid w:val="006134EC"/>
    <w:rsid w:val="0061384F"/>
    <w:rsid w:val="006151CF"/>
    <w:rsid w:val="0061586C"/>
    <w:rsid w:val="00616014"/>
    <w:rsid w:val="00616516"/>
    <w:rsid w:val="00617934"/>
    <w:rsid w:val="00617A5B"/>
    <w:rsid w:val="00617F94"/>
    <w:rsid w:val="006217FD"/>
    <w:rsid w:val="00622948"/>
    <w:rsid w:val="00623B8C"/>
    <w:rsid w:val="00624181"/>
    <w:rsid w:val="00626525"/>
    <w:rsid w:val="00632042"/>
    <w:rsid w:val="00632732"/>
    <w:rsid w:val="0063281E"/>
    <w:rsid w:val="00632C88"/>
    <w:rsid w:val="00633AA6"/>
    <w:rsid w:val="00634D6B"/>
    <w:rsid w:val="00637ECF"/>
    <w:rsid w:val="00641386"/>
    <w:rsid w:val="0064491A"/>
    <w:rsid w:val="00645C43"/>
    <w:rsid w:val="00645D13"/>
    <w:rsid w:val="00647A66"/>
    <w:rsid w:val="00647F60"/>
    <w:rsid w:val="006501DA"/>
    <w:rsid w:val="0065204D"/>
    <w:rsid w:val="006533B9"/>
    <w:rsid w:val="006547FD"/>
    <w:rsid w:val="006556AC"/>
    <w:rsid w:val="00655CD6"/>
    <w:rsid w:val="006564CB"/>
    <w:rsid w:val="0066357F"/>
    <w:rsid w:val="0066534E"/>
    <w:rsid w:val="006658A7"/>
    <w:rsid w:val="006667FE"/>
    <w:rsid w:val="00666BE2"/>
    <w:rsid w:val="006674A7"/>
    <w:rsid w:val="0066780A"/>
    <w:rsid w:val="0067227C"/>
    <w:rsid w:val="006730C0"/>
    <w:rsid w:val="00674223"/>
    <w:rsid w:val="006744C2"/>
    <w:rsid w:val="0067505F"/>
    <w:rsid w:val="00677210"/>
    <w:rsid w:val="00677435"/>
    <w:rsid w:val="006830D3"/>
    <w:rsid w:val="006839FC"/>
    <w:rsid w:val="00684899"/>
    <w:rsid w:val="006866CC"/>
    <w:rsid w:val="00686F72"/>
    <w:rsid w:val="006909E4"/>
    <w:rsid w:val="00691861"/>
    <w:rsid w:val="00693AF7"/>
    <w:rsid w:val="00693BD3"/>
    <w:rsid w:val="00694B82"/>
    <w:rsid w:val="006954CB"/>
    <w:rsid w:val="006966BC"/>
    <w:rsid w:val="006969C3"/>
    <w:rsid w:val="006979ED"/>
    <w:rsid w:val="006A20EB"/>
    <w:rsid w:val="006A2BFA"/>
    <w:rsid w:val="006A2EF0"/>
    <w:rsid w:val="006A412C"/>
    <w:rsid w:val="006A4294"/>
    <w:rsid w:val="006B0B24"/>
    <w:rsid w:val="006B1D3D"/>
    <w:rsid w:val="006B20DE"/>
    <w:rsid w:val="006B27A2"/>
    <w:rsid w:val="006B2E64"/>
    <w:rsid w:val="006B584B"/>
    <w:rsid w:val="006B61B4"/>
    <w:rsid w:val="006B7AE0"/>
    <w:rsid w:val="006C05F2"/>
    <w:rsid w:val="006C086E"/>
    <w:rsid w:val="006C09F7"/>
    <w:rsid w:val="006C1815"/>
    <w:rsid w:val="006C3929"/>
    <w:rsid w:val="006C403C"/>
    <w:rsid w:val="006C4B8D"/>
    <w:rsid w:val="006C4DBB"/>
    <w:rsid w:val="006C5E42"/>
    <w:rsid w:val="006C6647"/>
    <w:rsid w:val="006C680F"/>
    <w:rsid w:val="006C6C05"/>
    <w:rsid w:val="006C7216"/>
    <w:rsid w:val="006C7871"/>
    <w:rsid w:val="006C7D90"/>
    <w:rsid w:val="006C7E4C"/>
    <w:rsid w:val="006D0C34"/>
    <w:rsid w:val="006D1872"/>
    <w:rsid w:val="006D1AFD"/>
    <w:rsid w:val="006D2C6A"/>
    <w:rsid w:val="006D48B0"/>
    <w:rsid w:val="006D4C24"/>
    <w:rsid w:val="006D6440"/>
    <w:rsid w:val="006D7195"/>
    <w:rsid w:val="006E09BB"/>
    <w:rsid w:val="006E2C8C"/>
    <w:rsid w:val="006E3E1D"/>
    <w:rsid w:val="006E4FDE"/>
    <w:rsid w:val="006E6140"/>
    <w:rsid w:val="006E78F4"/>
    <w:rsid w:val="006E7DEF"/>
    <w:rsid w:val="006F431E"/>
    <w:rsid w:val="006F443C"/>
    <w:rsid w:val="006F4BBF"/>
    <w:rsid w:val="006F5351"/>
    <w:rsid w:val="006F6A02"/>
    <w:rsid w:val="006F6BB0"/>
    <w:rsid w:val="00701097"/>
    <w:rsid w:val="00701E95"/>
    <w:rsid w:val="00702A61"/>
    <w:rsid w:val="007030D9"/>
    <w:rsid w:val="00703342"/>
    <w:rsid w:val="00704190"/>
    <w:rsid w:val="00704A07"/>
    <w:rsid w:val="00705057"/>
    <w:rsid w:val="00705590"/>
    <w:rsid w:val="00706494"/>
    <w:rsid w:val="0070699D"/>
    <w:rsid w:val="0071002E"/>
    <w:rsid w:val="007123CD"/>
    <w:rsid w:val="0071240A"/>
    <w:rsid w:val="0071423C"/>
    <w:rsid w:val="007149B8"/>
    <w:rsid w:val="00717AD3"/>
    <w:rsid w:val="007209FA"/>
    <w:rsid w:val="00722488"/>
    <w:rsid w:val="00724BDE"/>
    <w:rsid w:val="0072522B"/>
    <w:rsid w:val="00725D56"/>
    <w:rsid w:val="00725D5F"/>
    <w:rsid w:val="00727AA2"/>
    <w:rsid w:val="00731841"/>
    <w:rsid w:val="00732BAD"/>
    <w:rsid w:val="00733575"/>
    <w:rsid w:val="0073384D"/>
    <w:rsid w:val="007339A4"/>
    <w:rsid w:val="00733E66"/>
    <w:rsid w:val="007340C3"/>
    <w:rsid w:val="007345C0"/>
    <w:rsid w:val="007352F2"/>
    <w:rsid w:val="00736DB1"/>
    <w:rsid w:val="0073783D"/>
    <w:rsid w:val="007436A3"/>
    <w:rsid w:val="00743991"/>
    <w:rsid w:val="007439FD"/>
    <w:rsid w:val="007444E2"/>
    <w:rsid w:val="007444EC"/>
    <w:rsid w:val="00744F0D"/>
    <w:rsid w:val="0074587C"/>
    <w:rsid w:val="007467E2"/>
    <w:rsid w:val="00747002"/>
    <w:rsid w:val="007514FF"/>
    <w:rsid w:val="007532FA"/>
    <w:rsid w:val="00753422"/>
    <w:rsid w:val="007538F0"/>
    <w:rsid w:val="00753CE9"/>
    <w:rsid w:val="00756DFB"/>
    <w:rsid w:val="00757564"/>
    <w:rsid w:val="00760DB6"/>
    <w:rsid w:val="007611B2"/>
    <w:rsid w:val="00761FD7"/>
    <w:rsid w:val="00763700"/>
    <w:rsid w:val="00763CDB"/>
    <w:rsid w:val="00765C58"/>
    <w:rsid w:val="007661DC"/>
    <w:rsid w:val="00767089"/>
    <w:rsid w:val="007679E5"/>
    <w:rsid w:val="00770703"/>
    <w:rsid w:val="00771744"/>
    <w:rsid w:val="00772268"/>
    <w:rsid w:val="007731CD"/>
    <w:rsid w:val="007736C3"/>
    <w:rsid w:val="00774A60"/>
    <w:rsid w:val="00774B58"/>
    <w:rsid w:val="00774D84"/>
    <w:rsid w:val="007759EA"/>
    <w:rsid w:val="00776801"/>
    <w:rsid w:val="00781D29"/>
    <w:rsid w:val="00781F66"/>
    <w:rsid w:val="0078243B"/>
    <w:rsid w:val="00784074"/>
    <w:rsid w:val="00784670"/>
    <w:rsid w:val="0078482F"/>
    <w:rsid w:val="00785E44"/>
    <w:rsid w:val="007860F8"/>
    <w:rsid w:val="00787735"/>
    <w:rsid w:val="00787EC1"/>
    <w:rsid w:val="00787F5E"/>
    <w:rsid w:val="007915C0"/>
    <w:rsid w:val="00792BEF"/>
    <w:rsid w:val="00792FB2"/>
    <w:rsid w:val="007960DF"/>
    <w:rsid w:val="00796692"/>
    <w:rsid w:val="007A25EE"/>
    <w:rsid w:val="007A2E26"/>
    <w:rsid w:val="007A3179"/>
    <w:rsid w:val="007A3C64"/>
    <w:rsid w:val="007A5D64"/>
    <w:rsid w:val="007A797C"/>
    <w:rsid w:val="007B2560"/>
    <w:rsid w:val="007B34D6"/>
    <w:rsid w:val="007B6137"/>
    <w:rsid w:val="007B7666"/>
    <w:rsid w:val="007B7CC6"/>
    <w:rsid w:val="007C123F"/>
    <w:rsid w:val="007C26AB"/>
    <w:rsid w:val="007C3A38"/>
    <w:rsid w:val="007C58E1"/>
    <w:rsid w:val="007C5ADD"/>
    <w:rsid w:val="007C6528"/>
    <w:rsid w:val="007C6F32"/>
    <w:rsid w:val="007D02D4"/>
    <w:rsid w:val="007D22BF"/>
    <w:rsid w:val="007D35AE"/>
    <w:rsid w:val="007D4FDE"/>
    <w:rsid w:val="007D5FE5"/>
    <w:rsid w:val="007D6B1B"/>
    <w:rsid w:val="007E0303"/>
    <w:rsid w:val="007E1F35"/>
    <w:rsid w:val="007E2B35"/>
    <w:rsid w:val="007E3BBB"/>
    <w:rsid w:val="007E4310"/>
    <w:rsid w:val="007E56AE"/>
    <w:rsid w:val="007E5FB3"/>
    <w:rsid w:val="007F1CC9"/>
    <w:rsid w:val="007F24FB"/>
    <w:rsid w:val="007F2DA7"/>
    <w:rsid w:val="007F3981"/>
    <w:rsid w:val="007F6367"/>
    <w:rsid w:val="007F71CC"/>
    <w:rsid w:val="0080046D"/>
    <w:rsid w:val="00803E1C"/>
    <w:rsid w:val="00804622"/>
    <w:rsid w:val="00805108"/>
    <w:rsid w:val="00806D14"/>
    <w:rsid w:val="008101ED"/>
    <w:rsid w:val="008118B7"/>
    <w:rsid w:val="00811F1B"/>
    <w:rsid w:val="00812202"/>
    <w:rsid w:val="008135D9"/>
    <w:rsid w:val="008139D4"/>
    <w:rsid w:val="00813F73"/>
    <w:rsid w:val="00816849"/>
    <w:rsid w:val="00816CD8"/>
    <w:rsid w:val="00820EC8"/>
    <w:rsid w:val="0082247E"/>
    <w:rsid w:val="00823440"/>
    <w:rsid w:val="00824448"/>
    <w:rsid w:val="00825445"/>
    <w:rsid w:val="00825CC5"/>
    <w:rsid w:val="008261A9"/>
    <w:rsid w:val="00826216"/>
    <w:rsid w:val="00827324"/>
    <w:rsid w:val="00830962"/>
    <w:rsid w:val="0083280E"/>
    <w:rsid w:val="00833551"/>
    <w:rsid w:val="008336EA"/>
    <w:rsid w:val="00835CBB"/>
    <w:rsid w:val="00835D43"/>
    <w:rsid w:val="008362BF"/>
    <w:rsid w:val="00836AF5"/>
    <w:rsid w:val="008374CD"/>
    <w:rsid w:val="008416E2"/>
    <w:rsid w:val="0084189B"/>
    <w:rsid w:val="00841D40"/>
    <w:rsid w:val="00841F72"/>
    <w:rsid w:val="00845851"/>
    <w:rsid w:val="00845914"/>
    <w:rsid w:val="00847855"/>
    <w:rsid w:val="00847870"/>
    <w:rsid w:val="00847A3C"/>
    <w:rsid w:val="008507C3"/>
    <w:rsid w:val="00852D36"/>
    <w:rsid w:val="008542A0"/>
    <w:rsid w:val="008544BC"/>
    <w:rsid w:val="008544ED"/>
    <w:rsid w:val="00854A97"/>
    <w:rsid w:val="008577F4"/>
    <w:rsid w:val="008621D2"/>
    <w:rsid w:val="00863095"/>
    <w:rsid w:val="008639E8"/>
    <w:rsid w:val="00863F40"/>
    <w:rsid w:val="00865904"/>
    <w:rsid w:val="0086705E"/>
    <w:rsid w:val="00867CC9"/>
    <w:rsid w:val="0087011C"/>
    <w:rsid w:val="00870416"/>
    <w:rsid w:val="00870DED"/>
    <w:rsid w:val="00872D2A"/>
    <w:rsid w:val="0087311A"/>
    <w:rsid w:val="00874308"/>
    <w:rsid w:val="0087606A"/>
    <w:rsid w:val="00877EB6"/>
    <w:rsid w:val="00880D8D"/>
    <w:rsid w:val="00880DE7"/>
    <w:rsid w:val="008812CF"/>
    <w:rsid w:val="00881457"/>
    <w:rsid w:val="00882C9B"/>
    <w:rsid w:val="00886E25"/>
    <w:rsid w:val="00887956"/>
    <w:rsid w:val="0089009A"/>
    <w:rsid w:val="00890C2F"/>
    <w:rsid w:val="00890FA1"/>
    <w:rsid w:val="00894E6F"/>
    <w:rsid w:val="00895B4C"/>
    <w:rsid w:val="00897D11"/>
    <w:rsid w:val="008A03C0"/>
    <w:rsid w:val="008A0791"/>
    <w:rsid w:val="008A3347"/>
    <w:rsid w:val="008A5C0C"/>
    <w:rsid w:val="008A5FC7"/>
    <w:rsid w:val="008B068D"/>
    <w:rsid w:val="008B18F0"/>
    <w:rsid w:val="008B3D4C"/>
    <w:rsid w:val="008B4AB1"/>
    <w:rsid w:val="008B5027"/>
    <w:rsid w:val="008B6EC2"/>
    <w:rsid w:val="008B7155"/>
    <w:rsid w:val="008B7525"/>
    <w:rsid w:val="008B7587"/>
    <w:rsid w:val="008C0C0C"/>
    <w:rsid w:val="008C1F0E"/>
    <w:rsid w:val="008C2631"/>
    <w:rsid w:val="008C4268"/>
    <w:rsid w:val="008C44ED"/>
    <w:rsid w:val="008C55AA"/>
    <w:rsid w:val="008C6F36"/>
    <w:rsid w:val="008D0E22"/>
    <w:rsid w:val="008D1313"/>
    <w:rsid w:val="008D309E"/>
    <w:rsid w:val="008D3824"/>
    <w:rsid w:val="008D394F"/>
    <w:rsid w:val="008D55A8"/>
    <w:rsid w:val="008D64B9"/>
    <w:rsid w:val="008E1911"/>
    <w:rsid w:val="008E1BC5"/>
    <w:rsid w:val="008E1ECC"/>
    <w:rsid w:val="008E2561"/>
    <w:rsid w:val="008E2858"/>
    <w:rsid w:val="008E32CA"/>
    <w:rsid w:val="008E469F"/>
    <w:rsid w:val="008F0A52"/>
    <w:rsid w:val="008F1409"/>
    <w:rsid w:val="008F19FA"/>
    <w:rsid w:val="008F241C"/>
    <w:rsid w:val="008F27B7"/>
    <w:rsid w:val="008F290D"/>
    <w:rsid w:val="008F2CE8"/>
    <w:rsid w:val="008F3146"/>
    <w:rsid w:val="008F329B"/>
    <w:rsid w:val="008F35C6"/>
    <w:rsid w:val="008F3D50"/>
    <w:rsid w:val="008F4F89"/>
    <w:rsid w:val="008F5E24"/>
    <w:rsid w:val="008F6837"/>
    <w:rsid w:val="00900064"/>
    <w:rsid w:val="0090054C"/>
    <w:rsid w:val="00901025"/>
    <w:rsid w:val="0090185E"/>
    <w:rsid w:val="00901ACE"/>
    <w:rsid w:val="00903662"/>
    <w:rsid w:val="00911181"/>
    <w:rsid w:val="00912B20"/>
    <w:rsid w:val="009130EA"/>
    <w:rsid w:val="009138CB"/>
    <w:rsid w:val="00914772"/>
    <w:rsid w:val="009151AA"/>
    <w:rsid w:val="00915594"/>
    <w:rsid w:val="009162DB"/>
    <w:rsid w:val="00920A26"/>
    <w:rsid w:val="00921B28"/>
    <w:rsid w:val="00921E98"/>
    <w:rsid w:val="00922D25"/>
    <w:rsid w:val="009231C1"/>
    <w:rsid w:val="00923AFA"/>
    <w:rsid w:val="00923B83"/>
    <w:rsid w:val="00923F0C"/>
    <w:rsid w:val="0092535E"/>
    <w:rsid w:val="00925373"/>
    <w:rsid w:val="0093011E"/>
    <w:rsid w:val="00930267"/>
    <w:rsid w:val="009304EB"/>
    <w:rsid w:val="00930893"/>
    <w:rsid w:val="00931149"/>
    <w:rsid w:val="00932263"/>
    <w:rsid w:val="00932310"/>
    <w:rsid w:val="00932E92"/>
    <w:rsid w:val="00933E33"/>
    <w:rsid w:val="00936A6F"/>
    <w:rsid w:val="00936DB4"/>
    <w:rsid w:val="009400F0"/>
    <w:rsid w:val="0094038E"/>
    <w:rsid w:val="00941D0A"/>
    <w:rsid w:val="0094225F"/>
    <w:rsid w:val="009436C9"/>
    <w:rsid w:val="009457C6"/>
    <w:rsid w:val="00946BF5"/>
    <w:rsid w:val="00947E74"/>
    <w:rsid w:val="009509A0"/>
    <w:rsid w:val="00950E84"/>
    <w:rsid w:val="009525B3"/>
    <w:rsid w:val="00954E49"/>
    <w:rsid w:val="00956337"/>
    <w:rsid w:val="00956946"/>
    <w:rsid w:val="00957D03"/>
    <w:rsid w:val="009600D8"/>
    <w:rsid w:val="009627CD"/>
    <w:rsid w:val="00963048"/>
    <w:rsid w:val="00965315"/>
    <w:rsid w:val="009671FB"/>
    <w:rsid w:val="00967DEC"/>
    <w:rsid w:val="0097063C"/>
    <w:rsid w:val="0097070F"/>
    <w:rsid w:val="009727BC"/>
    <w:rsid w:val="00973B3C"/>
    <w:rsid w:val="009774C8"/>
    <w:rsid w:val="00977E7C"/>
    <w:rsid w:val="00982A5B"/>
    <w:rsid w:val="00985424"/>
    <w:rsid w:val="00986CB8"/>
    <w:rsid w:val="00986DEF"/>
    <w:rsid w:val="00987E90"/>
    <w:rsid w:val="00990F48"/>
    <w:rsid w:val="0099400D"/>
    <w:rsid w:val="00995433"/>
    <w:rsid w:val="0099612C"/>
    <w:rsid w:val="00996BF0"/>
    <w:rsid w:val="00996D08"/>
    <w:rsid w:val="009A02AF"/>
    <w:rsid w:val="009A0AA1"/>
    <w:rsid w:val="009A3A04"/>
    <w:rsid w:val="009A7FC8"/>
    <w:rsid w:val="009B0030"/>
    <w:rsid w:val="009B0A34"/>
    <w:rsid w:val="009B13C8"/>
    <w:rsid w:val="009B26EB"/>
    <w:rsid w:val="009B2A81"/>
    <w:rsid w:val="009B397D"/>
    <w:rsid w:val="009B469A"/>
    <w:rsid w:val="009B56EE"/>
    <w:rsid w:val="009B5D75"/>
    <w:rsid w:val="009B7C4C"/>
    <w:rsid w:val="009C01BB"/>
    <w:rsid w:val="009C1117"/>
    <w:rsid w:val="009C1561"/>
    <w:rsid w:val="009C2471"/>
    <w:rsid w:val="009C2527"/>
    <w:rsid w:val="009C27DC"/>
    <w:rsid w:val="009C4DDF"/>
    <w:rsid w:val="009C5658"/>
    <w:rsid w:val="009C5B47"/>
    <w:rsid w:val="009C6C39"/>
    <w:rsid w:val="009D02DD"/>
    <w:rsid w:val="009D0F39"/>
    <w:rsid w:val="009D144B"/>
    <w:rsid w:val="009D1672"/>
    <w:rsid w:val="009D2195"/>
    <w:rsid w:val="009D2690"/>
    <w:rsid w:val="009D4A53"/>
    <w:rsid w:val="009D51D2"/>
    <w:rsid w:val="009D6F28"/>
    <w:rsid w:val="009D702B"/>
    <w:rsid w:val="009D74A4"/>
    <w:rsid w:val="009E1648"/>
    <w:rsid w:val="009E1CB9"/>
    <w:rsid w:val="009E2576"/>
    <w:rsid w:val="009E3555"/>
    <w:rsid w:val="009E3791"/>
    <w:rsid w:val="009E5C70"/>
    <w:rsid w:val="009E60E6"/>
    <w:rsid w:val="009E627A"/>
    <w:rsid w:val="009E660C"/>
    <w:rsid w:val="009E6EA1"/>
    <w:rsid w:val="009F174F"/>
    <w:rsid w:val="009F2785"/>
    <w:rsid w:val="009F330F"/>
    <w:rsid w:val="009F3C2D"/>
    <w:rsid w:val="009F3C58"/>
    <w:rsid w:val="009F5424"/>
    <w:rsid w:val="009F78EE"/>
    <w:rsid w:val="00A01F8A"/>
    <w:rsid w:val="00A02822"/>
    <w:rsid w:val="00A02AF2"/>
    <w:rsid w:val="00A02FC4"/>
    <w:rsid w:val="00A030BA"/>
    <w:rsid w:val="00A03F4D"/>
    <w:rsid w:val="00A04ED7"/>
    <w:rsid w:val="00A0586D"/>
    <w:rsid w:val="00A05D92"/>
    <w:rsid w:val="00A064C7"/>
    <w:rsid w:val="00A076A9"/>
    <w:rsid w:val="00A0781D"/>
    <w:rsid w:val="00A10664"/>
    <w:rsid w:val="00A119AA"/>
    <w:rsid w:val="00A11EAE"/>
    <w:rsid w:val="00A1240D"/>
    <w:rsid w:val="00A12E4C"/>
    <w:rsid w:val="00A1411F"/>
    <w:rsid w:val="00A148E1"/>
    <w:rsid w:val="00A149C2"/>
    <w:rsid w:val="00A21F90"/>
    <w:rsid w:val="00A23281"/>
    <w:rsid w:val="00A242AE"/>
    <w:rsid w:val="00A25466"/>
    <w:rsid w:val="00A271A3"/>
    <w:rsid w:val="00A27655"/>
    <w:rsid w:val="00A30109"/>
    <w:rsid w:val="00A30C4A"/>
    <w:rsid w:val="00A32666"/>
    <w:rsid w:val="00A32D3C"/>
    <w:rsid w:val="00A3308E"/>
    <w:rsid w:val="00A336A6"/>
    <w:rsid w:val="00A33A1F"/>
    <w:rsid w:val="00A346CA"/>
    <w:rsid w:val="00A3547C"/>
    <w:rsid w:val="00A35AF0"/>
    <w:rsid w:val="00A4374F"/>
    <w:rsid w:val="00A46FCF"/>
    <w:rsid w:val="00A479C5"/>
    <w:rsid w:val="00A50610"/>
    <w:rsid w:val="00A5066E"/>
    <w:rsid w:val="00A5144B"/>
    <w:rsid w:val="00A51E1C"/>
    <w:rsid w:val="00A52DF1"/>
    <w:rsid w:val="00A53E2D"/>
    <w:rsid w:val="00A540FA"/>
    <w:rsid w:val="00A563FD"/>
    <w:rsid w:val="00A56E31"/>
    <w:rsid w:val="00A57D65"/>
    <w:rsid w:val="00A57E0C"/>
    <w:rsid w:val="00A600FE"/>
    <w:rsid w:val="00A61130"/>
    <w:rsid w:val="00A61CB2"/>
    <w:rsid w:val="00A625F7"/>
    <w:rsid w:val="00A62BAF"/>
    <w:rsid w:val="00A63099"/>
    <w:rsid w:val="00A637C9"/>
    <w:rsid w:val="00A6402E"/>
    <w:rsid w:val="00A647A4"/>
    <w:rsid w:val="00A647F3"/>
    <w:rsid w:val="00A65C05"/>
    <w:rsid w:val="00A7070D"/>
    <w:rsid w:val="00A70DE3"/>
    <w:rsid w:val="00A715FD"/>
    <w:rsid w:val="00A716E2"/>
    <w:rsid w:val="00A71860"/>
    <w:rsid w:val="00A71C3C"/>
    <w:rsid w:val="00A72ED3"/>
    <w:rsid w:val="00A7408A"/>
    <w:rsid w:val="00A74277"/>
    <w:rsid w:val="00A74EFF"/>
    <w:rsid w:val="00A77D2B"/>
    <w:rsid w:val="00A81144"/>
    <w:rsid w:val="00A81ECB"/>
    <w:rsid w:val="00A8210E"/>
    <w:rsid w:val="00A836E7"/>
    <w:rsid w:val="00A83835"/>
    <w:rsid w:val="00A8446A"/>
    <w:rsid w:val="00A84654"/>
    <w:rsid w:val="00A84957"/>
    <w:rsid w:val="00A87994"/>
    <w:rsid w:val="00A9191A"/>
    <w:rsid w:val="00A91DEA"/>
    <w:rsid w:val="00A91E82"/>
    <w:rsid w:val="00A92A65"/>
    <w:rsid w:val="00A92D6A"/>
    <w:rsid w:val="00A947DF"/>
    <w:rsid w:val="00A968C3"/>
    <w:rsid w:val="00A97135"/>
    <w:rsid w:val="00AA0164"/>
    <w:rsid w:val="00AA0F51"/>
    <w:rsid w:val="00AA1566"/>
    <w:rsid w:val="00AA1A80"/>
    <w:rsid w:val="00AA1D6E"/>
    <w:rsid w:val="00AA30F2"/>
    <w:rsid w:val="00AA4F26"/>
    <w:rsid w:val="00AA5404"/>
    <w:rsid w:val="00AA5EF3"/>
    <w:rsid w:val="00AA6CE9"/>
    <w:rsid w:val="00AA7077"/>
    <w:rsid w:val="00AA796C"/>
    <w:rsid w:val="00AA7AC4"/>
    <w:rsid w:val="00AA7F95"/>
    <w:rsid w:val="00AB09C9"/>
    <w:rsid w:val="00AB15DF"/>
    <w:rsid w:val="00AB1E38"/>
    <w:rsid w:val="00AB1EDA"/>
    <w:rsid w:val="00AB276E"/>
    <w:rsid w:val="00AB2BDC"/>
    <w:rsid w:val="00AB2D21"/>
    <w:rsid w:val="00AB35EA"/>
    <w:rsid w:val="00AB514D"/>
    <w:rsid w:val="00AB770E"/>
    <w:rsid w:val="00AB7C3D"/>
    <w:rsid w:val="00AC0949"/>
    <w:rsid w:val="00AC2293"/>
    <w:rsid w:val="00AC23C3"/>
    <w:rsid w:val="00AC576D"/>
    <w:rsid w:val="00AC5AF3"/>
    <w:rsid w:val="00AD1692"/>
    <w:rsid w:val="00AD208C"/>
    <w:rsid w:val="00AD46D5"/>
    <w:rsid w:val="00AD492E"/>
    <w:rsid w:val="00AD53FA"/>
    <w:rsid w:val="00AD78D7"/>
    <w:rsid w:val="00AD7EE1"/>
    <w:rsid w:val="00AE0E78"/>
    <w:rsid w:val="00AE10D2"/>
    <w:rsid w:val="00AE2805"/>
    <w:rsid w:val="00AE3561"/>
    <w:rsid w:val="00AE35C2"/>
    <w:rsid w:val="00AE438F"/>
    <w:rsid w:val="00AE5CC8"/>
    <w:rsid w:val="00AF2E43"/>
    <w:rsid w:val="00AF4BD4"/>
    <w:rsid w:val="00AF4FE1"/>
    <w:rsid w:val="00AF5825"/>
    <w:rsid w:val="00AF6973"/>
    <w:rsid w:val="00B00D38"/>
    <w:rsid w:val="00B045D1"/>
    <w:rsid w:val="00B0539C"/>
    <w:rsid w:val="00B07CB6"/>
    <w:rsid w:val="00B1008F"/>
    <w:rsid w:val="00B107CA"/>
    <w:rsid w:val="00B10C74"/>
    <w:rsid w:val="00B122B4"/>
    <w:rsid w:val="00B122FD"/>
    <w:rsid w:val="00B1241A"/>
    <w:rsid w:val="00B12FF0"/>
    <w:rsid w:val="00B13538"/>
    <w:rsid w:val="00B155DD"/>
    <w:rsid w:val="00B15A11"/>
    <w:rsid w:val="00B15C74"/>
    <w:rsid w:val="00B1676B"/>
    <w:rsid w:val="00B16F29"/>
    <w:rsid w:val="00B171DB"/>
    <w:rsid w:val="00B201D8"/>
    <w:rsid w:val="00B20AE8"/>
    <w:rsid w:val="00B22F4C"/>
    <w:rsid w:val="00B26F04"/>
    <w:rsid w:val="00B30644"/>
    <w:rsid w:val="00B312AB"/>
    <w:rsid w:val="00B3204D"/>
    <w:rsid w:val="00B35647"/>
    <w:rsid w:val="00B3615D"/>
    <w:rsid w:val="00B36A91"/>
    <w:rsid w:val="00B3702F"/>
    <w:rsid w:val="00B371B2"/>
    <w:rsid w:val="00B37623"/>
    <w:rsid w:val="00B37B3A"/>
    <w:rsid w:val="00B41440"/>
    <w:rsid w:val="00B426E6"/>
    <w:rsid w:val="00B434E0"/>
    <w:rsid w:val="00B438C8"/>
    <w:rsid w:val="00B43BB7"/>
    <w:rsid w:val="00B44E41"/>
    <w:rsid w:val="00B45979"/>
    <w:rsid w:val="00B45C01"/>
    <w:rsid w:val="00B514FD"/>
    <w:rsid w:val="00B523C4"/>
    <w:rsid w:val="00B54069"/>
    <w:rsid w:val="00B54A1A"/>
    <w:rsid w:val="00B550F2"/>
    <w:rsid w:val="00B560A6"/>
    <w:rsid w:val="00B607E3"/>
    <w:rsid w:val="00B63504"/>
    <w:rsid w:val="00B64CD8"/>
    <w:rsid w:val="00B65FA9"/>
    <w:rsid w:val="00B66A0F"/>
    <w:rsid w:val="00B6700A"/>
    <w:rsid w:val="00B724BA"/>
    <w:rsid w:val="00B73834"/>
    <w:rsid w:val="00B73B24"/>
    <w:rsid w:val="00B757D3"/>
    <w:rsid w:val="00B75916"/>
    <w:rsid w:val="00B75EE2"/>
    <w:rsid w:val="00B7609F"/>
    <w:rsid w:val="00B767D7"/>
    <w:rsid w:val="00B76CB4"/>
    <w:rsid w:val="00B77A5C"/>
    <w:rsid w:val="00B80CF5"/>
    <w:rsid w:val="00B813D7"/>
    <w:rsid w:val="00B8149E"/>
    <w:rsid w:val="00B81785"/>
    <w:rsid w:val="00B81A22"/>
    <w:rsid w:val="00B82E45"/>
    <w:rsid w:val="00B83BE7"/>
    <w:rsid w:val="00B83C3E"/>
    <w:rsid w:val="00B83EB7"/>
    <w:rsid w:val="00B84351"/>
    <w:rsid w:val="00B85066"/>
    <w:rsid w:val="00B85FA5"/>
    <w:rsid w:val="00B904AA"/>
    <w:rsid w:val="00B91375"/>
    <w:rsid w:val="00B91D24"/>
    <w:rsid w:val="00B92FB5"/>
    <w:rsid w:val="00B93C61"/>
    <w:rsid w:val="00B94B1F"/>
    <w:rsid w:val="00B94E0E"/>
    <w:rsid w:val="00B951D5"/>
    <w:rsid w:val="00B95EA1"/>
    <w:rsid w:val="00B96F89"/>
    <w:rsid w:val="00BA0EC6"/>
    <w:rsid w:val="00BA23F1"/>
    <w:rsid w:val="00BA3AE0"/>
    <w:rsid w:val="00BA4571"/>
    <w:rsid w:val="00BA6D9F"/>
    <w:rsid w:val="00BB04B6"/>
    <w:rsid w:val="00BB0B2A"/>
    <w:rsid w:val="00BB1C7E"/>
    <w:rsid w:val="00BB213C"/>
    <w:rsid w:val="00BB247E"/>
    <w:rsid w:val="00BB3F75"/>
    <w:rsid w:val="00BB539F"/>
    <w:rsid w:val="00BB5712"/>
    <w:rsid w:val="00BB6382"/>
    <w:rsid w:val="00BB6717"/>
    <w:rsid w:val="00BB6CC4"/>
    <w:rsid w:val="00BC020A"/>
    <w:rsid w:val="00BC0E15"/>
    <w:rsid w:val="00BC19A2"/>
    <w:rsid w:val="00BC1C29"/>
    <w:rsid w:val="00BC4993"/>
    <w:rsid w:val="00BC4B42"/>
    <w:rsid w:val="00BC4F2C"/>
    <w:rsid w:val="00BC525D"/>
    <w:rsid w:val="00BD1A81"/>
    <w:rsid w:val="00BD3D73"/>
    <w:rsid w:val="00BD4DE8"/>
    <w:rsid w:val="00BD5390"/>
    <w:rsid w:val="00BD5C16"/>
    <w:rsid w:val="00BD6D2E"/>
    <w:rsid w:val="00BE0341"/>
    <w:rsid w:val="00BE117F"/>
    <w:rsid w:val="00BE1730"/>
    <w:rsid w:val="00BE2643"/>
    <w:rsid w:val="00BE3732"/>
    <w:rsid w:val="00BE39DC"/>
    <w:rsid w:val="00BE3DAE"/>
    <w:rsid w:val="00BE4897"/>
    <w:rsid w:val="00BE49D4"/>
    <w:rsid w:val="00BE55C3"/>
    <w:rsid w:val="00BE5E05"/>
    <w:rsid w:val="00BE64AE"/>
    <w:rsid w:val="00BE66A1"/>
    <w:rsid w:val="00BF00D5"/>
    <w:rsid w:val="00BF3456"/>
    <w:rsid w:val="00BF34E6"/>
    <w:rsid w:val="00BF3D71"/>
    <w:rsid w:val="00BF688F"/>
    <w:rsid w:val="00BF6F60"/>
    <w:rsid w:val="00BF7667"/>
    <w:rsid w:val="00C0037D"/>
    <w:rsid w:val="00C0057E"/>
    <w:rsid w:val="00C02592"/>
    <w:rsid w:val="00C02607"/>
    <w:rsid w:val="00C02F10"/>
    <w:rsid w:val="00C047F1"/>
    <w:rsid w:val="00C055A6"/>
    <w:rsid w:val="00C0565A"/>
    <w:rsid w:val="00C07CEA"/>
    <w:rsid w:val="00C140E9"/>
    <w:rsid w:val="00C166CD"/>
    <w:rsid w:val="00C200C8"/>
    <w:rsid w:val="00C2292C"/>
    <w:rsid w:val="00C22B1E"/>
    <w:rsid w:val="00C23E2B"/>
    <w:rsid w:val="00C2435B"/>
    <w:rsid w:val="00C24E64"/>
    <w:rsid w:val="00C30182"/>
    <w:rsid w:val="00C306CC"/>
    <w:rsid w:val="00C32371"/>
    <w:rsid w:val="00C324D7"/>
    <w:rsid w:val="00C32C16"/>
    <w:rsid w:val="00C32C57"/>
    <w:rsid w:val="00C355E6"/>
    <w:rsid w:val="00C36BAB"/>
    <w:rsid w:val="00C37A61"/>
    <w:rsid w:val="00C40038"/>
    <w:rsid w:val="00C40B1A"/>
    <w:rsid w:val="00C40E92"/>
    <w:rsid w:val="00C41181"/>
    <w:rsid w:val="00C41848"/>
    <w:rsid w:val="00C42146"/>
    <w:rsid w:val="00C43BBD"/>
    <w:rsid w:val="00C447D1"/>
    <w:rsid w:val="00C453A8"/>
    <w:rsid w:val="00C4657B"/>
    <w:rsid w:val="00C47143"/>
    <w:rsid w:val="00C475AF"/>
    <w:rsid w:val="00C500CC"/>
    <w:rsid w:val="00C50BE0"/>
    <w:rsid w:val="00C51375"/>
    <w:rsid w:val="00C51854"/>
    <w:rsid w:val="00C52E1F"/>
    <w:rsid w:val="00C52FC3"/>
    <w:rsid w:val="00C53A5D"/>
    <w:rsid w:val="00C54592"/>
    <w:rsid w:val="00C54BDE"/>
    <w:rsid w:val="00C552C9"/>
    <w:rsid w:val="00C56118"/>
    <w:rsid w:val="00C5680B"/>
    <w:rsid w:val="00C56B2A"/>
    <w:rsid w:val="00C5740D"/>
    <w:rsid w:val="00C5748F"/>
    <w:rsid w:val="00C57DED"/>
    <w:rsid w:val="00C60027"/>
    <w:rsid w:val="00C613BA"/>
    <w:rsid w:val="00C63E97"/>
    <w:rsid w:val="00C64AD2"/>
    <w:rsid w:val="00C65186"/>
    <w:rsid w:val="00C6593E"/>
    <w:rsid w:val="00C65968"/>
    <w:rsid w:val="00C66804"/>
    <w:rsid w:val="00C66F89"/>
    <w:rsid w:val="00C70492"/>
    <w:rsid w:val="00C70AEF"/>
    <w:rsid w:val="00C718C3"/>
    <w:rsid w:val="00C71B4C"/>
    <w:rsid w:val="00C72360"/>
    <w:rsid w:val="00C73240"/>
    <w:rsid w:val="00C76913"/>
    <w:rsid w:val="00C7748A"/>
    <w:rsid w:val="00C7779E"/>
    <w:rsid w:val="00C77992"/>
    <w:rsid w:val="00C77FD3"/>
    <w:rsid w:val="00C80AD7"/>
    <w:rsid w:val="00C824F7"/>
    <w:rsid w:val="00C85995"/>
    <w:rsid w:val="00C86814"/>
    <w:rsid w:val="00C876E7"/>
    <w:rsid w:val="00C92340"/>
    <w:rsid w:val="00C9246C"/>
    <w:rsid w:val="00C927CA"/>
    <w:rsid w:val="00C92F5E"/>
    <w:rsid w:val="00C93B11"/>
    <w:rsid w:val="00C94362"/>
    <w:rsid w:val="00CA0C57"/>
    <w:rsid w:val="00CA1D5E"/>
    <w:rsid w:val="00CA37B1"/>
    <w:rsid w:val="00CA387F"/>
    <w:rsid w:val="00CA4C1C"/>
    <w:rsid w:val="00CA6C96"/>
    <w:rsid w:val="00CA72CF"/>
    <w:rsid w:val="00CB00FF"/>
    <w:rsid w:val="00CB06BD"/>
    <w:rsid w:val="00CB36AD"/>
    <w:rsid w:val="00CB4E86"/>
    <w:rsid w:val="00CB560C"/>
    <w:rsid w:val="00CB6664"/>
    <w:rsid w:val="00CB7058"/>
    <w:rsid w:val="00CB7739"/>
    <w:rsid w:val="00CC1DD1"/>
    <w:rsid w:val="00CC2626"/>
    <w:rsid w:val="00CC28D2"/>
    <w:rsid w:val="00CC320E"/>
    <w:rsid w:val="00CC7CC0"/>
    <w:rsid w:val="00CC7E33"/>
    <w:rsid w:val="00CD282A"/>
    <w:rsid w:val="00CD40DF"/>
    <w:rsid w:val="00CD432D"/>
    <w:rsid w:val="00CD605E"/>
    <w:rsid w:val="00CE03CD"/>
    <w:rsid w:val="00CE0A6D"/>
    <w:rsid w:val="00CE0C27"/>
    <w:rsid w:val="00CE1396"/>
    <w:rsid w:val="00CE2225"/>
    <w:rsid w:val="00CE5E57"/>
    <w:rsid w:val="00CE6D73"/>
    <w:rsid w:val="00CE7996"/>
    <w:rsid w:val="00CF24CE"/>
    <w:rsid w:val="00CF35C1"/>
    <w:rsid w:val="00CF3742"/>
    <w:rsid w:val="00CF38C4"/>
    <w:rsid w:val="00CF54C3"/>
    <w:rsid w:val="00CF5DDE"/>
    <w:rsid w:val="00CF623C"/>
    <w:rsid w:val="00CF7DCB"/>
    <w:rsid w:val="00D01AE0"/>
    <w:rsid w:val="00D01EB5"/>
    <w:rsid w:val="00D01F75"/>
    <w:rsid w:val="00D02F94"/>
    <w:rsid w:val="00D06963"/>
    <w:rsid w:val="00D100FC"/>
    <w:rsid w:val="00D1060A"/>
    <w:rsid w:val="00D11999"/>
    <w:rsid w:val="00D1212F"/>
    <w:rsid w:val="00D12E86"/>
    <w:rsid w:val="00D1413B"/>
    <w:rsid w:val="00D142E1"/>
    <w:rsid w:val="00D146D5"/>
    <w:rsid w:val="00D15B73"/>
    <w:rsid w:val="00D15EE0"/>
    <w:rsid w:val="00D15EF3"/>
    <w:rsid w:val="00D16B69"/>
    <w:rsid w:val="00D17034"/>
    <w:rsid w:val="00D17953"/>
    <w:rsid w:val="00D21595"/>
    <w:rsid w:val="00D22DA7"/>
    <w:rsid w:val="00D26069"/>
    <w:rsid w:val="00D3004A"/>
    <w:rsid w:val="00D302CC"/>
    <w:rsid w:val="00D3263F"/>
    <w:rsid w:val="00D32F65"/>
    <w:rsid w:val="00D35FA2"/>
    <w:rsid w:val="00D364AA"/>
    <w:rsid w:val="00D36843"/>
    <w:rsid w:val="00D36E92"/>
    <w:rsid w:val="00D37837"/>
    <w:rsid w:val="00D37EFE"/>
    <w:rsid w:val="00D40E0A"/>
    <w:rsid w:val="00D41181"/>
    <w:rsid w:val="00D434F3"/>
    <w:rsid w:val="00D4386F"/>
    <w:rsid w:val="00D44E1D"/>
    <w:rsid w:val="00D44FE5"/>
    <w:rsid w:val="00D50AB4"/>
    <w:rsid w:val="00D50BCB"/>
    <w:rsid w:val="00D52C76"/>
    <w:rsid w:val="00D53EE8"/>
    <w:rsid w:val="00D56DEC"/>
    <w:rsid w:val="00D6070A"/>
    <w:rsid w:val="00D61039"/>
    <w:rsid w:val="00D63900"/>
    <w:rsid w:val="00D63DB9"/>
    <w:rsid w:val="00D64796"/>
    <w:rsid w:val="00D6595C"/>
    <w:rsid w:val="00D65BAC"/>
    <w:rsid w:val="00D66667"/>
    <w:rsid w:val="00D668E4"/>
    <w:rsid w:val="00D67382"/>
    <w:rsid w:val="00D67F8F"/>
    <w:rsid w:val="00D71159"/>
    <w:rsid w:val="00D73D87"/>
    <w:rsid w:val="00D73E36"/>
    <w:rsid w:val="00D77D88"/>
    <w:rsid w:val="00D77FB6"/>
    <w:rsid w:val="00D82C2A"/>
    <w:rsid w:val="00D83D84"/>
    <w:rsid w:val="00D85442"/>
    <w:rsid w:val="00D86267"/>
    <w:rsid w:val="00D862F1"/>
    <w:rsid w:val="00D86C63"/>
    <w:rsid w:val="00D870C7"/>
    <w:rsid w:val="00D90D0F"/>
    <w:rsid w:val="00D92B68"/>
    <w:rsid w:val="00D93A8E"/>
    <w:rsid w:val="00D945D0"/>
    <w:rsid w:val="00D95305"/>
    <w:rsid w:val="00D963ED"/>
    <w:rsid w:val="00DA02F7"/>
    <w:rsid w:val="00DA18D7"/>
    <w:rsid w:val="00DA1F19"/>
    <w:rsid w:val="00DA1F8B"/>
    <w:rsid w:val="00DA2B14"/>
    <w:rsid w:val="00DA2EAA"/>
    <w:rsid w:val="00DA3486"/>
    <w:rsid w:val="00DA5A5B"/>
    <w:rsid w:val="00DA7D75"/>
    <w:rsid w:val="00DB11E5"/>
    <w:rsid w:val="00DB1C17"/>
    <w:rsid w:val="00DB2577"/>
    <w:rsid w:val="00DB2746"/>
    <w:rsid w:val="00DB2A47"/>
    <w:rsid w:val="00DB3F24"/>
    <w:rsid w:val="00DB5113"/>
    <w:rsid w:val="00DB5BB1"/>
    <w:rsid w:val="00DC1380"/>
    <w:rsid w:val="00DC1B9A"/>
    <w:rsid w:val="00DC1CF3"/>
    <w:rsid w:val="00DC26E4"/>
    <w:rsid w:val="00DC26F6"/>
    <w:rsid w:val="00DC2848"/>
    <w:rsid w:val="00DC305D"/>
    <w:rsid w:val="00DC4347"/>
    <w:rsid w:val="00DC554C"/>
    <w:rsid w:val="00DC6DC5"/>
    <w:rsid w:val="00DC6E5D"/>
    <w:rsid w:val="00DC7BE1"/>
    <w:rsid w:val="00DC7DF8"/>
    <w:rsid w:val="00DD3DBB"/>
    <w:rsid w:val="00DD4080"/>
    <w:rsid w:val="00DD78EB"/>
    <w:rsid w:val="00DE26F9"/>
    <w:rsid w:val="00DE3607"/>
    <w:rsid w:val="00DE5022"/>
    <w:rsid w:val="00DE543A"/>
    <w:rsid w:val="00DE638F"/>
    <w:rsid w:val="00DE6D08"/>
    <w:rsid w:val="00DF1E81"/>
    <w:rsid w:val="00DF1FEA"/>
    <w:rsid w:val="00DF3078"/>
    <w:rsid w:val="00DF3A5B"/>
    <w:rsid w:val="00DF4F8D"/>
    <w:rsid w:val="00DF567A"/>
    <w:rsid w:val="00DF5897"/>
    <w:rsid w:val="00DF709F"/>
    <w:rsid w:val="00DF777C"/>
    <w:rsid w:val="00E01653"/>
    <w:rsid w:val="00E0255D"/>
    <w:rsid w:val="00E100BA"/>
    <w:rsid w:val="00E10F0A"/>
    <w:rsid w:val="00E1127C"/>
    <w:rsid w:val="00E124FF"/>
    <w:rsid w:val="00E12530"/>
    <w:rsid w:val="00E1338F"/>
    <w:rsid w:val="00E139F0"/>
    <w:rsid w:val="00E14047"/>
    <w:rsid w:val="00E14771"/>
    <w:rsid w:val="00E162C5"/>
    <w:rsid w:val="00E16CAA"/>
    <w:rsid w:val="00E171D2"/>
    <w:rsid w:val="00E2447B"/>
    <w:rsid w:val="00E2567D"/>
    <w:rsid w:val="00E27358"/>
    <w:rsid w:val="00E27B3A"/>
    <w:rsid w:val="00E27DF7"/>
    <w:rsid w:val="00E32EFA"/>
    <w:rsid w:val="00E35522"/>
    <w:rsid w:val="00E37568"/>
    <w:rsid w:val="00E379B7"/>
    <w:rsid w:val="00E402B8"/>
    <w:rsid w:val="00E4053F"/>
    <w:rsid w:val="00E40DC2"/>
    <w:rsid w:val="00E41788"/>
    <w:rsid w:val="00E41A80"/>
    <w:rsid w:val="00E41EB1"/>
    <w:rsid w:val="00E41FE7"/>
    <w:rsid w:val="00E427B2"/>
    <w:rsid w:val="00E42EFE"/>
    <w:rsid w:val="00E4304E"/>
    <w:rsid w:val="00E43059"/>
    <w:rsid w:val="00E44899"/>
    <w:rsid w:val="00E4547C"/>
    <w:rsid w:val="00E47687"/>
    <w:rsid w:val="00E47F60"/>
    <w:rsid w:val="00E47F9F"/>
    <w:rsid w:val="00E52D30"/>
    <w:rsid w:val="00E54EA2"/>
    <w:rsid w:val="00E56ECC"/>
    <w:rsid w:val="00E56FBC"/>
    <w:rsid w:val="00E571AD"/>
    <w:rsid w:val="00E57AD2"/>
    <w:rsid w:val="00E60966"/>
    <w:rsid w:val="00E614AB"/>
    <w:rsid w:val="00E62356"/>
    <w:rsid w:val="00E641F1"/>
    <w:rsid w:val="00E665E1"/>
    <w:rsid w:val="00E71624"/>
    <w:rsid w:val="00E71E41"/>
    <w:rsid w:val="00E72ACF"/>
    <w:rsid w:val="00E735F9"/>
    <w:rsid w:val="00E7465A"/>
    <w:rsid w:val="00E74AEF"/>
    <w:rsid w:val="00E75517"/>
    <w:rsid w:val="00E7619F"/>
    <w:rsid w:val="00E77FFC"/>
    <w:rsid w:val="00E80417"/>
    <w:rsid w:val="00E81D39"/>
    <w:rsid w:val="00E82072"/>
    <w:rsid w:val="00E8317D"/>
    <w:rsid w:val="00E838DA"/>
    <w:rsid w:val="00E855DE"/>
    <w:rsid w:val="00E8600D"/>
    <w:rsid w:val="00E873A4"/>
    <w:rsid w:val="00E87633"/>
    <w:rsid w:val="00E8774C"/>
    <w:rsid w:val="00E9270C"/>
    <w:rsid w:val="00E95014"/>
    <w:rsid w:val="00E95220"/>
    <w:rsid w:val="00E957A2"/>
    <w:rsid w:val="00E95F87"/>
    <w:rsid w:val="00E96D5E"/>
    <w:rsid w:val="00EA0B3A"/>
    <w:rsid w:val="00EA1B99"/>
    <w:rsid w:val="00EA3CCD"/>
    <w:rsid w:val="00EA570E"/>
    <w:rsid w:val="00EA61C6"/>
    <w:rsid w:val="00EA61C7"/>
    <w:rsid w:val="00EA7277"/>
    <w:rsid w:val="00EB071D"/>
    <w:rsid w:val="00EB5559"/>
    <w:rsid w:val="00EB5B82"/>
    <w:rsid w:val="00EB5C23"/>
    <w:rsid w:val="00EB67A4"/>
    <w:rsid w:val="00EC02BB"/>
    <w:rsid w:val="00EC293E"/>
    <w:rsid w:val="00EC2E5D"/>
    <w:rsid w:val="00EC2F56"/>
    <w:rsid w:val="00EC32E9"/>
    <w:rsid w:val="00EC35DA"/>
    <w:rsid w:val="00EC3F6C"/>
    <w:rsid w:val="00EC515F"/>
    <w:rsid w:val="00EC5D26"/>
    <w:rsid w:val="00EC613E"/>
    <w:rsid w:val="00EC78CF"/>
    <w:rsid w:val="00EC7E96"/>
    <w:rsid w:val="00ED0E57"/>
    <w:rsid w:val="00ED12FD"/>
    <w:rsid w:val="00ED1C7D"/>
    <w:rsid w:val="00ED1EFE"/>
    <w:rsid w:val="00ED222C"/>
    <w:rsid w:val="00ED30EA"/>
    <w:rsid w:val="00ED31E0"/>
    <w:rsid w:val="00ED53E3"/>
    <w:rsid w:val="00ED5F83"/>
    <w:rsid w:val="00ED6923"/>
    <w:rsid w:val="00ED71F8"/>
    <w:rsid w:val="00ED7957"/>
    <w:rsid w:val="00ED7E59"/>
    <w:rsid w:val="00EE3130"/>
    <w:rsid w:val="00EE5402"/>
    <w:rsid w:val="00EE6BD9"/>
    <w:rsid w:val="00EE6DFB"/>
    <w:rsid w:val="00EE7B76"/>
    <w:rsid w:val="00EF00FF"/>
    <w:rsid w:val="00EF1FAC"/>
    <w:rsid w:val="00EF351C"/>
    <w:rsid w:val="00EF3CB9"/>
    <w:rsid w:val="00EF3D11"/>
    <w:rsid w:val="00EF4A8B"/>
    <w:rsid w:val="00EF4C70"/>
    <w:rsid w:val="00EF4DF5"/>
    <w:rsid w:val="00EF6B27"/>
    <w:rsid w:val="00EF6D2F"/>
    <w:rsid w:val="00EF6EB8"/>
    <w:rsid w:val="00F00DBD"/>
    <w:rsid w:val="00F0161D"/>
    <w:rsid w:val="00F02AD4"/>
    <w:rsid w:val="00F02E77"/>
    <w:rsid w:val="00F03AF2"/>
    <w:rsid w:val="00F044BD"/>
    <w:rsid w:val="00F048A8"/>
    <w:rsid w:val="00F04AA9"/>
    <w:rsid w:val="00F04C07"/>
    <w:rsid w:val="00F04C77"/>
    <w:rsid w:val="00F0522A"/>
    <w:rsid w:val="00F067C5"/>
    <w:rsid w:val="00F10926"/>
    <w:rsid w:val="00F116C8"/>
    <w:rsid w:val="00F121F5"/>
    <w:rsid w:val="00F12D03"/>
    <w:rsid w:val="00F146F6"/>
    <w:rsid w:val="00F14F84"/>
    <w:rsid w:val="00F168D8"/>
    <w:rsid w:val="00F17B43"/>
    <w:rsid w:val="00F2050C"/>
    <w:rsid w:val="00F20854"/>
    <w:rsid w:val="00F20BAD"/>
    <w:rsid w:val="00F21006"/>
    <w:rsid w:val="00F21B2A"/>
    <w:rsid w:val="00F22E73"/>
    <w:rsid w:val="00F237E7"/>
    <w:rsid w:val="00F266D5"/>
    <w:rsid w:val="00F267DB"/>
    <w:rsid w:val="00F2792B"/>
    <w:rsid w:val="00F27BF0"/>
    <w:rsid w:val="00F314E4"/>
    <w:rsid w:val="00F326B5"/>
    <w:rsid w:val="00F32F09"/>
    <w:rsid w:val="00F33811"/>
    <w:rsid w:val="00F34E4E"/>
    <w:rsid w:val="00F356EA"/>
    <w:rsid w:val="00F371DB"/>
    <w:rsid w:val="00F37B0C"/>
    <w:rsid w:val="00F405E3"/>
    <w:rsid w:val="00F407E1"/>
    <w:rsid w:val="00F42FED"/>
    <w:rsid w:val="00F43CB0"/>
    <w:rsid w:val="00F45155"/>
    <w:rsid w:val="00F45418"/>
    <w:rsid w:val="00F458DA"/>
    <w:rsid w:val="00F45BA7"/>
    <w:rsid w:val="00F468ED"/>
    <w:rsid w:val="00F47618"/>
    <w:rsid w:val="00F47EDC"/>
    <w:rsid w:val="00F50628"/>
    <w:rsid w:val="00F50D6E"/>
    <w:rsid w:val="00F5214F"/>
    <w:rsid w:val="00F54777"/>
    <w:rsid w:val="00F54E0F"/>
    <w:rsid w:val="00F56F61"/>
    <w:rsid w:val="00F57C55"/>
    <w:rsid w:val="00F61156"/>
    <w:rsid w:val="00F61249"/>
    <w:rsid w:val="00F61C64"/>
    <w:rsid w:val="00F65D2F"/>
    <w:rsid w:val="00F6642F"/>
    <w:rsid w:val="00F6783F"/>
    <w:rsid w:val="00F67922"/>
    <w:rsid w:val="00F7040B"/>
    <w:rsid w:val="00F70E22"/>
    <w:rsid w:val="00F72346"/>
    <w:rsid w:val="00F74BF5"/>
    <w:rsid w:val="00F758B8"/>
    <w:rsid w:val="00F76910"/>
    <w:rsid w:val="00F76BF2"/>
    <w:rsid w:val="00F76F39"/>
    <w:rsid w:val="00F8044E"/>
    <w:rsid w:val="00F80B42"/>
    <w:rsid w:val="00F8107B"/>
    <w:rsid w:val="00F81B2B"/>
    <w:rsid w:val="00F81F7D"/>
    <w:rsid w:val="00F8318F"/>
    <w:rsid w:val="00F83532"/>
    <w:rsid w:val="00F838A6"/>
    <w:rsid w:val="00F85D25"/>
    <w:rsid w:val="00F86AD3"/>
    <w:rsid w:val="00F876DF"/>
    <w:rsid w:val="00F9003D"/>
    <w:rsid w:val="00F91B32"/>
    <w:rsid w:val="00F92DA9"/>
    <w:rsid w:val="00F935C1"/>
    <w:rsid w:val="00F938A5"/>
    <w:rsid w:val="00F944CB"/>
    <w:rsid w:val="00F9728B"/>
    <w:rsid w:val="00F974C3"/>
    <w:rsid w:val="00FA02D9"/>
    <w:rsid w:val="00FA2BC2"/>
    <w:rsid w:val="00FA37A8"/>
    <w:rsid w:val="00FA3974"/>
    <w:rsid w:val="00FA46BB"/>
    <w:rsid w:val="00FA4BF3"/>
    <w:rsid w:val="00FA51E5"/>
    <w:rsid w:val="00FA6FE2"/>
    <w:rsid w:val="00FA703B"/>
    <w:rsid w:val="00FB0983"/>
    <w:rsid w:val="00FB0C45"/>
    <w:rsid w:val="00FB1AC1"/>
    <w:rsid w:val="00FB1BD1"/>
    <w:rsid w:val="00FB3041"/>
    <w:rsid w:val="00FB3F43"/>
    <w:rsid w:val="00FB5D83"/>
    <w:rsid w:val="00FB5F5D"/>
    <w:rsid w:val="00FB63FA"/>
    <w:rsid w:val="00FB6953"/>
    <w:rsid w:val="00FB6E55"/>
    <w:rsid w:val="00FB6FB0"/>
    <w:rsid w:val="00FB7A1E"/>
    <w:rsid w:val="00FC17BD"/>
    <w:rsid w:val="00FC225E"/>
    <w:rsid w:val="00FC2624"/>
    <w:rsid w:val="00FC27DC"/>
    <w:rsid w:val="00FC2FDB"/>
    <w:rsid w:val="00FC4A55"/>
    <w:rsid w:val="00FC69C8"/>
    <w:rsid w:val="00FC7274"/>
    <w:rsid w:val="00FC77DF"/>
    <w:rsid w:val="00FC79BE"/>
    <w:rsid w:val="00FD013A"/>
    <w:rsid w:val="00FD10AF"/>
    <w:rsid w:val="00FD1D86"/>
    <w:rsid w:val="00FD227E"/>
    <w:rsid w:val="00FD2392"/>
    <w:rsid w:val="00FD2422"/>
    <w:rsid w:val="00FD2BA9"/>
    <w:rsid w:val="00FD5276"/>
    <w:rsid w:val="00FD6A49"/>
    <w:rsid w:val="00FE0769"/>
    <w:rsid w:val="00FE26E9"/>
    <w:rsid w:val="00FE2EA5"/>
    <w:rsid w:val="00FE334C"/>
    <w:rsid w:val="00FE374D"/>
    <w:rsid w:val="00FE3914"/>
    <w:rsid w:val="00FE4644"/>
    <w:rsid w:val="00FE4B4C"/>
    <w:rsid w:val="00FE554B"/>
    <w:rsid w:val="00FE6FDF"/>
    <w:rsid w:val="00FF1CAF"/>
    <w:rsid w:val="00FF2D03"/>
    <w:rsid w:val="00FF6180"/>
    <w:rsid w:val="00FF695F"/>
    <w:rsid w:val="00FF7373"/>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4E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uiPriority="3" w:qFormat="1"/>
    <w:lsdException w:name="heading 4" w:uiPriority="8" w:qFormat="1"/>
    <w:lsdException w:name="heading 5" w:uiPriority="8" w:qFormat="1"/>
    <w:lsdException w:name="heading 6" w:uiPriority="8"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094"/>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_UMAR"/>
    <w:next w:val="BesediloUMAR"/>
    <w:link w:val="Heading1Char"/>
    <w:uiPriority w:val="1"/>
    <w:qFormat/>
    <w:rsid w:val="005E58B5"/>
    <w:pPr>
      <w:keepNext/>
      <w:keepLines/>
      <w:pageBreakBefore/>
      <w:numPr>
        <w:numId w:val="2"/>
      </w:numPr>
      <w:spacing w:before="200" w:after="100" w:line="288" w:lineRule="auto"/>
      <w:ind w:left="357" w:hanging="357"/>
      <w:outlineLvl w:val="0"/>
    </w:pPr>
    <w:rPr>
      <w:rFonts w:ascii="Myriad Pro" w:eastAsiaTheme="minorHAnsi" w:hAnsi="Myriad Pro" w:cs="Arial"/>
      <w:b/>
      <w:bCs/>
      <w:color w:val="9E001A" w:themeColor="accent1"/>
      <w:kern w:val="32"/>
      <w:sz w:val="28"/>
      <w:szCs w:val="22"/>
      <w:lang w:eastAsia="en-US"/>
    </w:rPr>
  </w:style>
  <w:style w:type="paragraph" w:styleId="Heading2">
    <w:name w:val="heading 2"/>
    <w:aliases w:val="Heading 2_UMAR"/>
    <w:next w:val="BesediloUMAR"/>
    <w:link w:val="Heading2Char"/>
    <w:uiPriority w:val="2"/>
    <w:qFormat/>
    <w:rsid w:val="005E58B5"/>
    <w:pPr>
      <w:keepNext/>
      <w:keepLines/>
      <w:numPr>
        <w:ilvl w:val="1"/>
        <w:numId w:val="2"/>
      </w:numPr>
      <w:spacing w:before="200" w:after="100" w:line="288" w:lineRule="auto"/>
      <w:contextualSpacing/>
      <w:outlineLvl w:val="1"/>
    </w:pPr>
    <w:rPr>
      <w:rFonts w:ascii="Myriad Pro" w:eastAsiaTheme="minorHAnsi" w:hAnsi="Myriad Pro" w:cstheme="minorBidi"/>
      <w:b/>
      <w:color w:val="9E001A" w:themeColor="accent1"/>
      <w:sz w:val="24"/>
      <w:szCs w:val="22"/>
      <w:lang w:eastAsia="en-US"/>
    </w:rPr>
  </w:style>
  <w:style w:type="paragraph" w:styleId="Heading3">
    <w:name w:val="heading 3"/>
    <w:aliases w:val="Heading 3_UMAR"/>
    <w:next w:val="BesediloUMAR"/>
    <w:link w:val="Heading3Char"/>
    <w:uiPriority w:val="3"/>
    <w:qFormat/>
    <w:rsid w:val="005E58B5"/>
    <w:pPr>
      <w:keepNext/>
      <w:keepLines/>
      <w:numPr>
        <w:ilvl w:val="2"/>
        <w:numId w:val="2"/>
      </w:numPr>
      <w:spacing w:before="200" w:after="100" w:line="288" w:lineRule="auto"/>
      <w:contextualSpacing/>
      <w:outlineLvl w:val="2"/>
    </w:pPr>
    <w:rPr>
      <w:rFonts w:ascii="Myriad Pro" w:eastAsiaTheme="minorHAnsi" w:hAnsi="Myriad Pro" w:cs="Arial"/>
      <w:b/>
      <w:bCs/>
      <w:color w:val="9E001A" w:themeColor="accent1"/>
      <w:sz w:val="24"/>
      <w:szCs w:val="26"/>
      <w:lang w:eastAsia="en-US"/>
    </w:rPr>
  </w:style>
  <w:style w:type="paragraph" w:styleId="Heading4">
    <w:name w:val="heading 4"/>
    <w:basedOn w:val="Normal"/>
    <w:next w:val="Normal"/>
    <w:uiPriority w:val="8"/>
    <w:unhideWhenUsed/>
    <w:rsid w:val="005E58B5"/>
    <w:pPr>
      <w:keepNext/>
      <w:numPr>
        <w:ilvl w:val="3"/>
        <w:numId w:val="2"/>
      </w:numPr>
      <w:spacing w:before="360" w:after="240"/>
      <w:outlineLvl w:val="3"/>
    </w:pPr>
    <w:rPr>
      <w:rFonts w:ascii="Myriad Pro" w:hAnsi="Myriad Pro"/>
      <w:b/>
      <w:bCs/>
    </w:rPr>
  </w:style>
  <w:style w:type="paragraph" w:styleId="Heading5">
    <w:name w:val="heading 5"/>
    <w:basedOn w:val="Normal"/>
    <w:next w:val="Normal"/>
    <w:uiPriority w:val="8"/>
    <w:unhideWhenUsed/>
    <w:rsid w:val="005E58B5"/>
    <w:pPr>
      <w:numPr>
        <w:ilvl w:val="4"/>
        <w:numId w:val="2"/>
      </w:numPr>
      <w:spacing w:before="240" w:after="60"/>
      <w:outlineLvl w:val="4"/>
    </w:pPr>
    <w:rPr>
      <w:rFonts w:ascii="Myriad Pro" w:hAnsi="Myriad Pro"/>
      <w:b/>
      <w:bCs/>
      <w:iCs/>
      <w:szCs w:val="26"/>
    </w:rPr>
  </w:style>
  <w:style w:type="paragraph" w:styleId="Heading6">
    <w:name w:val="heading 6"/>
    <w:basedOn w:val="Normal"/>
    <w:next w:val="Normal"/>
    <w:uiPriority w:val="8"/>
    <w:unhideWhenUsed/>
    <w:rsid w:val="005E58B5"/>
    <w:pPr>
      <w:numPr>
        <w:ilvl w:val="5"/>
        <w:numId w:val="2"/>
      </w:numPr>
      <w:spacing w:before="240" w:after="60"/>
      <w:outlineLvl w:val="5"/>
    </w:pPr>
    <w:rPr>
      <w:rFonts w:ascii="Myriad Pro" w:hAnsi="Myriad Pro"/>
      <w:b/>
      <w:bCs/>
    </w:rPr>
  </w:style>
  <w:style w:type="paragraph" w:styleId="Heading7">
    <w:name w:val="heading 7"/>
    <w:basedOn w:val="Normal"/>
    <w:next w:val="Normal"/>
    <w:uiPriority w:val="8"/>
    <w:unhideWhenUsed/>
    <w:rsid w:val="005E58B5"/>
    <w:pPr>
      <w:numPr>
        <w:ilvl w:val="6"/>
        <w:numId w:val="2"/>
      </w:numPr>
      <w:spacing w:before="240" w:after="60"/>
      <w:outlineLvl w:val="6"/>
    </w:pPr>
    <w:rPr>
      <w:rFonts w:ascii="Myriad Pro" w:hAnsi="Myriad Pro"/>
    </w:rPr>
  </w:style>
  <w:style w:type="paragraph" w:styleId="Heading8">
    <w:name w:val="heading 8"/>
    <w:basedOn w:val="Normal"/>
    <w:next w:val="Normal"/>
    <w:uiPriority w:val="8"/>
    <w:unhideWhenUsed/>
    <w:rsid w:val="005E58B5"/>
    <w:pPr>
      <w:numPr>
        <w:ilvl w:val="7"/>
        <w:numId w:val="2"/>
      </w:numPr>
      <w:spacing w:before="240" w:after="60"/>
      <w:outlineLvl w:val="7"/>
    </w:pPr>
    <w:rPr>
      <w:rFonts w:ascii="Myriad Pro" w:hAnsi="Myriad Pro"/>
      <w:i/>
      <w:iCs/>
    </w:rPr>
  </w:style>
  <w:style w:type="paragraph" w:styleId="Heading9">
    <w:name w:val="heading 9"/>
    <w:basedOn w:val="Normal"/>
    <w:next w:val="Normal"/>
    <w:uiPriority w:val="8"/>
    <w:unhideWhenUsed/>
    <w:rsid w:val="005E58B5"/>
    <w:pPr>
      <w:numPr>
        <w:ilvl w:val="8"/>
        <w:numId w:val="2"/>
      </w:numPr>
      <w:spacing w:before="240" w:after="60"/>
      <w:outlineLvl w:val="8"/>
    </w:pPr>
    <w:rPr>
      <w:rFonts w:ascii="Myriad Pro" w:hAnsi="Myriad Pro" w:cs="Arial"/>
    </w:rPr>
  </w:style>
  <w:style w:type="character" w:default="1" w:styleId="DefaultParagraphFont">
    <w:name w:val="Default Paragraph Font"/>
    <w:uiPriority w:val="1"/>
    <w:semiHidden/>
    <w:unhideWhenUsed/>
    <w:rsid w:val="002540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4094"/>
  </w:style>
  <w:style w:type="paragraph" w:styleId="FootnoteText">
    <w:name w:val="footnote text"/>
    <w:basedOn w:val="BesediloUMAR"/>
    <w:link w:val="FootnoteTextChar"/>
    <w:autoRedefine/>
    <w:uiPriority w:val="8"/>
    <w:qFormat/>
    <w:rsid w:val="005E58B5"/>
    <w:rPr>
      <w:sz w:val="16"/>
      <w:szCs w:val="14"/>
    </w:rPr>
  </w:style>
  <w:style w:type="character" w:customStyle="1" w:styleId="FootnoteTextChar">
    <w:name w:val="Footnote Text Char"/>
    <w:basedOn w:val="DefaultParagraphFont"/>
    <w:link w:val="FootnoteText"/>
    <w:uiPriority w:val="8"/>
    <w:rsid w:val="005E58B5"/>
    <w:rPr>
      <w:rFonts w:ascii="Myriad Pro" w:eastAsiaTheme="minorHAnsi" w:hAnsi="Myriad Pro" w:cstheme="minorBidi"/>
      <w:sz w:val="16"/>
      <w:szCs w:val="14"/>
      <w:lang w:eastAsia="en-US"/>
    </w:rPr>
  </w:style>
  <w:style w:type="character" w:styleId="FootnoteReference">
    <w:name w:val="footnote reference"/>
    <w:aliases w:val="Footnote symbol,Fussnota,Footnote,Footnote reference number,note TESI,SUPERS,EN Footnote Reference,-E Fußnotenzeichen,Times 10 Point,Exposant 3 Point,E...,nota de rodapé,Footnote Reference_LVL6,Footnote Reference_LVL61,Footnot"/>
    <w:basedOn w:val="DefaultParagraphFont"/>
    <w:uiPriority w:val="8"/>
    <w:rsid w:val="005E58B5"/>
    <w:rPr>
      <w:rFonts w:ascii="Myriad Pro" w:hAnsi="Myriad Pro"/>
      <w:sz w:val="18"/>
      <w:vertAlign w:val="superscript"/>
    </w:rPr>
  </w:style>
  <w:style w:type="paragraph" w:styleId="Caption">
    <w:name w:val="caption"/>
    <w:aliases w:val="Okvir/Slika/Tabela_UMAR"/>
    <w:basedOn w:val="TableofFigures"/>
    <w:next w:val="BesediloUMAR"/>
    <w:link w:val="CaptionChar"/>
    <w:uiPriority w:val="4"/>
    <w:qFormat/>
    <w:rsid w:val="005E58B5"/>
    <w:pPr>
      <w:keepNext/>
      <w:keepLines/>
      <w:spacing w:before="240" w:after="60"/>
      <w:contextualSpacing/>
    </w:pPr>
    <w:rPr>
      <w:b/>
      <w:bCs/>
    </w:rPr>
  </w:style>
  <w:style w:type="paragraph" w:styleId="Footer">
    <w:name w:val="footer"/>
    <w:basedOn w:val="Normal"/>
    <w:next w:val="Normal"/>
    <w:link w:val="FooterChar"/>
    <w:autoRedefine/>
    <w:uiPriority w:val="99"/>
    <w:rsid w:val="005E58B5"/>
    <w:pPr>
      <w:framePr w:wrap="around" w:vAnchor="text" w:hAnchor="margin" w:xAlign="center" w:y="1"/>
      <w:tabs>
        <w:tab w:val="center" w:pos="4536"/>
        <w:tab w:val="right" w:pos="9072"/>
      </w:tabs>
      <w:spacing w:after="0" w:line="288" w:lineRule="auto"/>
      <w:jc w:val="center"/>
    </w:pPr>
    <w:rPr>
      <w:rFonts w:ascii="Myriad Pro" w:hAnsi="Myriad Pro"/>
      <w:noProof/>
      <w:sz w:val="16"/>
      <w:szCs w:val="16"/>
    </w:rPr>
  </w:style>
  <w:style w:type="paragraph" w:styleId="TableofFigures">
    <w:name w:val="table of figures"/>
    <w:basedOn w:val="BesediloUMAR"/>
    <w:next w:val="BesediloUMAR"/>
    <w:autoRedefine/>
    <w:uiPriority w:val="99"/>
    <w:rsid w:val="005E58B5"/>
    <w:pPr>
      <w:tabs>
        <w:tab w:val="right" w:leader="dot" w:pos="9070"/>
      </w:tabs>
    </w:pPr>
    <w:rPr>
      <w:noProof/>
      <w:szCs w:val="20"/>
    </w:rPr>
  </w:style>
  <w:style w:type="paragraph" w:styleId="TableofAuthorities">
    <w:name w:val="table of authorities"/>
    <w:basedOn w:val="Normal"/>
    <w:next w:val="Normal"/>
    <w:semiHidden/>
    <w:rsid w:val="005E58B5"/>
    <w:pPr>
      <w:ind w:left="220" w:hanging="220"/>
    </w:pPr>
  </w:style>
  <w:style w:type="paragraph" w:styleId="TOAHeading">
    <w:name w:val="toa heading"/>
    <w:basedOn w:val="Normal"/>
    <w:next w:val="Normal"/>
    <w:semiHidden/>
    <w:rsid w:val="005E58B5"/>
    <w:pPr>
      <w:spacing w:before="120"/>
    </w:pPr>
    <w:rPr>
      <w:rFonts w:cs="Arial"/>
      <w:b/>
      <w:bCs/>
    </w:rPr>
  </w:style>
  <w:style w:type="paragraph" w:styleId="TOC1">
    <w:name w:val="toc 1"/>
    <w:basedOn w:val="BesediloUMAR"/>
    <w:next w:val="BesediloUMAR"/>
    <w:autoRedefine/>
    <w:uiPriority w:val="39"/>
    <w:rsid w:val="005E58B5"/>
    <w:pPr>
      <w:tabs>
        <w:tab w:val="left" w:pos="340"/>
        <w:tab w:val="right" w:leader="dot" w:pos="9070"/>
      </w:tabs>
      <w:spacing w:before="100" w:after="100"/>
    </w:pPr>
    <w:rPr>
      <w:rFonts w:cs="Arial"/>
      <w:noProof/>
      <w:szCs w:val="20"/>
    </w:rPr>
  </w:style>
  <w:style w:type="paragraph" w:styleId="TOC2">
    <w:name w:val="toc 2"/>
    <w:basedOn w:val="BesediloUMAR"/>
    <w:next w:val="BesediloUMAR"/>
    <w:autoRedefine/>
    <w:uiPriority w:val="39"/>
    <w:rsid w:val="005E58B5"/>
    <w:pPr>
      <w:tabs>
        <w:tab w:val="right" w:leader="dot" w:pos="9070"/>
      </w:tabs>
      <w:spacing w:before="100" w:after="100"/>
      <w:ind w:left="340"/>
    </w:pPr>
    <w:rPr>
      <w:noProof/>
    </w:rPr>
  </w:style>
  <w:style w:type="paragraph" w:styleId="TOC3">
    <w:name w:val="toc 3"/>
    <w:next w:val="BesediloUMAR"/>
    <w:autoRedefine/>
    <w:uiPriority w:val="39"/>
    <w:rsid w:val="005E58B5"/>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TOC4">
    <w:name w:val="toc 4"/>
    <w:basedOn w:val="Normal"/>
    <w:autoRedefine/>
    <w:semiHidden/>
    <w:rsid w:val="005E58B5"/>
    <w:pPr>
      <w:spacing w:after="20"/>
      <w:ind w:left="340"/>
      <w:contextualSpacing/>
    </w:pPr>
  </w:style>
  <w:style w:type="paragraph" w:styleId="TOC5">
    <w:name w:val="toc 5"/>
    <w:basedOn w:val="Normal"/>
    <w:autoRedefine/>
    <w:semiHidden/>
    <w:rsid w:val="005E58B5"/>
    <w:pPr>
      <w:spacing w:after="20"/>
      <w:contextualSpacing/>
    </w:pPr>
  </w:style>
  <w:style w:type="paragraph" w:styleId="TOC6">
    <w:name w:val="toc 6"/>
    <w:basedOn w:val="Normal"/>
    <w:next w:val="Normal"/>
    <w:autoRedefine/>
    <w:semiHidden/>
    <w:rsid w:val="005E58B5"/>
    <w:pPr>
      <w:ind w:left="1100"/>
    </w:pPr>
  </w:style>
  <w:style w:type="paragraph" w:styleId="TOC7">
    <w:name w:val="toc 7"/>
    <w:basedOn w:val="Normal"/>
    <w:next w:val="Normal"/>
    <w:autoRedefine/>
    <w:semiHidden/>
    <w:rsid w:val="005E58B5"/>
    <w:pPr>
      <w:ind w:left="1320"/>
    </w:pPr>
  </w:style>
  <w:style w:type="paragraph" w:styleId="TOC8">
    <w:name w:val="toc 8"/>
    <w:basedOn w:val="Normal"/>
    <w:next w:val="Normal"/>
    <w:autoRedefine/>
    <w:semiHidden/>
    <w:rsid w:val="005E58B5"/>
    <w:pPr>
      <w:ind w:left="1540"/>
    </w:pPr>
  </w:style>
  <w:style w:type="paragraph" w:styleId="TOC9">
    <w:name w:val="toc 9"/>
    <w:basedOn w:val="Normal"/>
    <w:next w:val="Normal"/>
    <w:autoRedefine/>
    <w:semiHidden/>
    <w:rsid w:val="005E58B5"/>
    <w:pPr>
      <w:ind w:left="1760"/>
    </w:pPr>
  </w:style>
  <w:style w:type="paragraph" w:styleId="CommentText">
    <w:name w:val="annotation text"/>
    <w:basedOn w:val="Normal"/>
    <w:link w:val="CommentTextChar"/>
    <w:semiHidden/>
    <w:rsid w:val="005E58B5"/>
    <w:rPr>
      <w:szCs w:val="20"/>
    </w:rPr>
  </w:style>
  <w:style w:type="character" w:styleId="CommentReference">
    <w:name w:val="annotation reference"/>
    <w:basedOn w:val="DefaultParagraphFont"/>
    <w:semiHidden/>
    <w:rsid w:val="005E58B5"/>
    <w:rPr>
      <w:sz w:val="16"/>
      <w:szCs w:val="16"/>
    </w:rPr>
  </w:style>
  <w:style w:type="paragraph" w:styleId="EndnoteText">
    <w:name w:val="endnote text"/>
    <w:basedOn w:val="Normal"/>
    <w:autoRedefine/>
    <w:semiHidden/>
    <w:rsid w:val="005E58B5"/>
    <w:rPr>
      <w:szCs w:val="20"/>
    </w:rPr>
  </w:style>
  <w:style w:type="character" w:styleId="EndnoteReference">
    <w:name w:val="endnote reference"/>
    <w:basedOn w:val="DefaultParagraphFont"/>
    <w:semiHidden/>
    <w:rsid w:val="005E58B5"/>
    <w:rPr>
      <w:vertAlign w:val="superscript"/>
    </w:rPr>
  </w:style>
  <w:style w:type="paragraph" w:styleId="MacroText">
    <w:name w:val="macro"/>
    <w:semiHidden/>
    <w:rsid w:val="005E58B5"/>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Index1">
    <w:name w:val="index 1"/>
    <w:basedOn w:val="Normal"/>
    <w:next w:val="Normal"/>
    <w:autoRedefine/>
    <w:semiHidden/>
    <w:rsid w:val="005E58B5"/>
    <w:pPr>
      <w:ind w:left="220" w:hanging="220"/>
    </w:pPr>
  </w:style>
  <w:style w:type="paragraph" w:styleId="IndexHeading">
    <w:name w:val="index heading"/>
    <w:basedOn w:val="Normal"/>
    <w:next w:val="Index1"/>
    <w:semiHidden/>
    <w:rsid w:val="005E58B5"/>
    <w:rPr>
      <w:rFonts w:cs="Arial"/>
      <w:b/>
      <w:bCs/>
    </w:rPr>
  </w:style>
  <w:style w:type="paragraph" w:styleId="Index2">
    <w:name w:val="index 2"/>
    <w:basedOn w:val="Normal"/>
    <w:next w:val="Normal"/>
    <w:autoRedefine/>
    <w:semiHidden/>
    <w:rsid w:val="005E58B5"/>
    <w:pPr>
      <w:ind w:left="440" w:hanging="220"/>
    </w:pPr>
  </w:style>
  <w:style w:type="paragraph" w:styleId="Index3">
    <w:name w:val="index 3"/>
    <w:basedOn w:val="Normal"/>
    <w:next w:val="Normal"/>
    <w:autoRedefine/>
    <w:semiHidden/>
    <w:rsid w:val="005E58B5"/>
    <w:pPr>
      <w:ind w:left="660" w:hanging="220"/>
    </w:pPr>
  </w:style>
  <w:style w:type="paragraph" w:styleId="Index4">
    <w:name w:val="index 4"/>
    <w:basedOn w:val="Normal"/>
    <w:next w:val="Normal"/>
    <w:autoRedefine/>
    <w:semiHidden/>
    <w:rsid w:val="005E58B5"/>
    <w:pPr>
      <w:ind w:left="880" w:hanging="220"/>
    </w:pPr>
  </w:style>
  <w:style w:type="paragraph" w:styleId="Index5">
    <w:name w:val="index 5"/>
    <w:basedOn w:val="Normal"/>
    <w:next w:val="Normal"/>
    <w:autoRedefine/>
    <w:semiHidden/>
    <w:rsid w:val="005E58B5"/>
    <w:pPr>
      <w:ind w:left="1100" w:hanging="220"/>
    </w:pPr>
  </w:style>
  <w:style w:type="paragraph" w:styleId="Index6">
    <w:name w:val="index 6"/>
    <w:basedOn w:val="Normal"/>
    <w:next w:val="Normal"/>
    <w:autoRedefine/>
    <w:semiHidden/>
    <w:rsid w:val="005E58B5"/>
    <w:pPr>
      <w:ind w:left="1320" w:hanging="220"/>
    </w:pPr>
  </w:style>
  <w:style w:type="paragraph" w:styleId="Index7">
    <w:name w:val="index 7"/>
    <w:basedOn w:val="Normal"/>
    <w:next w:val="Normal"/>
    <w:autoRedefine/>
    <w:semiHidden/>
    <w:rsid w:val="005E58B5"/>
    <w:pPr>
      <w:ind w:left="1540" w:hanging="220"/>
    </w:pPr>
  </w:style>
  <w:style w:type="paragraph" w:styleId="Index8">
    <w:name w:val="index 8"/>
    <w:basedOn w:val="Normal"/>
    <w:next w:val="Normal"/>
    <w:autoRedefine/>
    <w:semiHidden/>
    <w:rsid w:val="005E58B5"/>
    <w:pPr>
      <w:ind w:left="1760" w:hanging="220"/>
    </w:pPr>
  </w:style>
  <w:style w:type="paragraph" w:styleId="Index9">
    <w:name w:val="index 9"/>
    <w:basedOn w:val="Normal"/>
    <w:next w:val="Normal"/>
    <w:autoRedefine/>
    <w:semiHidden/>
    <w:rsid w:val="005E58B5"/>
    <w:pPr>
      <w:ind w:left="1980" w:hanging="220"/>
    </w:pPr>
  </w:style>
  <w:style w:type="paragraph" w:styleId="DocumentMap">
    <w:name w:val="Document Map"/>
    <w:basedOn w:val="Normal"/>
    <w:semiHidden/>
    <w:rsid w:val="005E58B5"/>
    <w:pPr>
      <w:shd w:val="clear" w:color="auto" w:fill="000080"/>
    </w:pPr>
    <w:rPr>
      <w:rFonts w:ascii="Tahoma" w:hAnsi="Tahoma" w:cs="Tahoma"/>
      <w:szCs w:val="20"/>
    </w:rPr>
  </w:style>
  <w:style w:type="character" w:customStyle="1" w:styleId="VodilnistavekUMAR">
    <w:name w:val="Vodilni stavek_UMAR"/>
    <w:basedOn w:val="DefaultParagraphFont"/>
    <w:qFormat/>
    <w:rsid w:val="005E58B5"/>
    <w:rPr>
      <w:b/>
    </w:rPr>
  </w:style>
  <w:style w:type="paragraph" w:styleId="BalloonText">
    <w:name w:val="Balloon Text"/>
    <w:basedOn w:val="Normal"/>
    <w:semiHidden/>
    <w:rsid w:val="005E58B5"/>
    <w:rPr>
      <w:rFonts w:ascii="Tahoma" w:hAnsi="Tahoma" w:cs="Tahoma"/>
      <w:sz w:val="16"/>
      <w:szCs w:val="16"/>
    </w:rPr>
  </w:style>
  <w:style w:type="character" w:customStyle="1" w:styleId="HeaderChar">
    <w:name w:val="Header Char"/>
    <w:basedOn w:val="DefaultParagraphFont"/>
    <w:link w:val="Header"/>
    <w:uiPriority w:val="99"/>
    <w:rsid w:val="005E58B5"/>
    <w:rPr>
      <w:rFonts w:ascii="Myriad Pro" w:eastAsiaTheme="minorHAnsi" w:hAnsi="Myriad Pro" w:cstheme="minorBidi"/>
      <w:sz w:val="22"/>
      <w:szCs w:val="22"/>
      <w:lang w:eastAsia="en-US"/>
    </w:rPr>
  </w:style>
  <w:style w:type="table" w:styleId="TableGrid">
    <w:name w:val="Table Grid"/>
    <w:basedOn w:val="TableNormal"/>
    <w:uiPriority w:val="59"/>
    <w:rsid w:val="005E58B5"/>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E58B5"/>
    <w:pPr>
      <w:tabs>
        <w:tab w:val="center" w:pos="4536"/>
        <w:tab w:val="right" w:pos="9072"/>
      </w:tabs>
    </w:pPr>
    <w:rPr>
      <w:rFonts w:ascii="Myriad Pro" w:hAnsi="Myriad Pro"/>
    </w:rPr>
  </w:style>
  <w:style w:type="character" w:styleId="Hyperlink">
    <w:name w:val="Hyperlink"/>
    <w:basedOn w:val="BesediloUMARChar"/>
    <w:uiPriority w:val="99"/>
    <w:rsid w:val="005E58B5"/>
    <w:rPr>
      <w:rFonts w:ascii="Myriad Pro" w:eastAsiaTheme="minorHAnsi" w:hAnsi="Myriad Pro" w:cstheme="minorBidi"/>
      <w:color w:val="0000FF"/>
      <w:szCs w:val="22"/>
      <w:u w:val="single"/>
      <w:lang w:eastAsia="en-US"/>
    </w:rPr>
  </w:style>
  <w:style w:type="character" w:styleId="Emphasis">
    <w:name w:val="Emphasis"/>
    <w:aliases w:val="Italic poudarek_UMAR"/>
    <w:basedOn w:val="BesediloUMARChar"/>
    <w:qFormat/>
    <w:rsid w:val="005E58B5"/>
    <w:rPr>
      <w:rFonts w:ascii="Myriad Pro" w:eastAsiaTheme="minorHAnsi" w:hAnsi="Myriad Pro" w:cstheme="minorBidi"/>
      <w:i/>
      <w:iCs/>
      <w:szCs w:val="22"/>
      <w:lang w:eastAsia="en-US"/>
    </w:rPr>
  </w:style>
  <w:style w:type="character" w:customStyle="1" w:styleId="Heading3Char">
    <w:name w:val="Heading 3 Char"/>
    <w:aliases w:val="Heading 3_UMAR Char"/>
    <w:basedOn w:val="DefaultParagraphFont"/>
    <w:link w:val="Heading3"/>
    <w:uiPriority w:val="3"/>
    <w:rsid w:val="005E58B5"/>
    <w:rPr>
      <w:rFonts w:ascii="Myriad Pro" w:eastAsiaTheme="minorHAnsi" w:hAnsi="Myriad Pro" w:cs="Arial"/>
      <w:b/>
      <w:bCs/>
      <w:color w:val="9E001A" w:themeColor="accent1"/>
      <w:sz w:val="24"/>
      <w:szCs w:val="26"/>
      <w:lang w:eastAsia="en-US"/>
    </w:rPr>
  </w:style>
  <w:style w:type="character" w:customStyle="1" w:styleId="Heading2Char">
    <w:name w:val="Heading 2 Char"/>
    <w:aliases w:val="Heading 2_UMAR Char"/>
    <w:basedOn w:val="DefaultParagraphFont"/>
    <w:link w:val="Heading2"/>
    <w:uiPriority w:val="2"/>
    <w:rsid w:val="005E58B5"/>
    <w:rPr>
      <w:rFonts w:ascii="Myriad Pro" w:eastAsiaTheme="minorHAnsi" w:hAnsi="Myriad Pro" w:cstheme="minorBidi"/>
      <w:b/>
      <w:color w:val="9E001A" w:themeColor="accent1"/>
      <w:sz w:val="24"/>
      <w:szCs w:val="22"/>
      <w:lang w:eastAsia="en-US"/>
    </w:rPr>
  </w:style>
  <w:style w:type="character" w:customStyle="1" w:styleId="Heading1Char">
    <w:name w:val="Heading 1 Char"/>
    <w:aliases w:val="Heading 1_UMAR Char"/>
    <w:basedOn w:val="DefaultParagraphFont"/>
    <w:link w:val="Heading1"/>
    <w:uiPriority w:val="1"/>
    <w:rsid w:val="005E58B5"/>
    <w:rPr>
      <w:rFonts w:ascii="Myriad Pro" w:eastAsiaTheme="minorHAnsi" w:hAnsi="Myriad Pro" w:cs="Arial"/>
      <w:b/>
      <w:bCs/>
      <w:color w:val="9E001A" w:themeColor="accent1"/>
      <w:kern w:val="32"/>
      <w:sz w:val="28"/>
      <w:szCs w:val="22"/>
      <w:lang w:eastAsia="en-US"/>
    </w:rPr>
  </w:style>
  <w:style w:type="character" w:styleId="PlaceholderText">
    <w:name w:val="Placeholder Text"/>
    <w:basedOn w:val="DefaultParagraphFont"/>
    <w:uiPriority w:val="99"/>
    <w:semiHidden/>
    <w:rsid w:val="005E58B5"/>
    <w:rPr>
      <w:color w:val="808080"/>
    </w:rPr>
  </w:style>
  <w:style w:type="character" w:customStyle="1" w:styleId="FooterChar">
    <w:name w:val="Footer Char"/>
    <w:basedOn w:val="DefaultParagraphFont"/>
    <w:link w:val="Footer"/>
    <w:uiPriority w:val="99"/>
    <w:rsid w:val="005E58B5"/>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5E58B5"/>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DefaultParagraphFont"/>
    <w:link w:val="BesediloUMAR"/>
    <w:rsid w:val="005E58B5"/>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5E58B5"/>
    <w:pPr>
      <w:spacing w:before="40" w:line="240" w:lineRule="auto"/>
    </w:pPr>
    <w:rPr>
      <w:sz w:val="16"/>
    </w:rPr>
  </w:style>
  <w:style w:type="character" w:customStyle="1" w:styleId="VirUMARChar">
    <w:name w:val="Vir_UMAR Char"/>
    <w:basedOn w:val="DefaultParagraphFont"/>
    <w:link w:val="VirUMAR"/>
    <w:uiPriority w:val="6"/>
    <w:rsid w:val="005E58B5"/>
    <w:rPr>
      <w:rFonts w:ascii="Myriad Pro" w:eastAsiaTheme="minorHAnsi" w:hAnsi="Myriad Pro" w:cstheme="minorBidi"/>
      <w:sz w:val="16"/>
      <w:szCs w:val="22"/>
      <w:lang w:eastAsia="en-US"/>
    </w:rPr>
  </w:style>
  <w:style w:type="character" w:customStyle="1" w:styleId="CaptionChar">
    <w:name w:val="Caption Char"/>
    <w:aliases w:val="Okvir/Slika/Tabela_UMAR Char"/>
    <w:basedOn w:val="DefaultParagraphFont"/>
    <w:link w:val="Caption"/>
    <w:uiPriority w:val="4"/>
    <w:rsid w:val="005E58B5"/>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5E58B5"/>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DefaultParagraphFont"/>
    <w:link w:val="TabelaglavadesnoUMAR"/>
    <w:uiPriority w:val="5"/>
    <w:rsid w:val="005E58B5"/>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5E58B5"/>
    <w:pPr>
      <w:jc w:val="left"/>
    </w:pPr>
  </w:style>
  <w:style w:type="paragraph" w:customStyle="1" w:styleId="TabelalevoUMAR">
    <w:name w:val="Tabela levo_UMAR"/>
    <w:basedOn w:val="TabelaglavalevoUMAR"/>
    <w:link w:val="TabelalevoUMARChar"/>
    <w:uiPriority w:val="5"/>
    <w:qFormat/>
    <w:rsid w:val="005E58B5"/>
    <w:rPr>
      <w:b w:val="0"/>
    </w:rPr>
  </w:style>
  <w:style w:type="character" w:customStyle="1" w:styleId="TabelaglavalevoUMARChar">
    <w:name w:val="Tabela glava levo_UMAR Char"/>
    <w:basedOn w:val="TabelaglavadesnoUMARChar"/>
    <w:link w:val="TabelaglavalevoUMAR"/>
    <w:uiPriority w:val="5"/>
    <w:rsid w:val="005E58B5"/>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5E58B5"/>
    <w:rPr>
      <w:b w:val="0"/>
    </w:rPr>
  </w:style>
  <w:style w:type="character" w:customStyle="1" w:styleId="TabelalevoUMARChar">
    <w:name w:val="Tabela levo_UMAR Char"/>
    <w:basedOn w:val="TabelaglavalevoUMARChar"/>
    <w:link w:val="TabelalevoUMAR"/>
    <w:uiPriority w:val="5"/>
    <w:rsid w:val="005E58B5"/>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5E58B5"/>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5E58B5"/>
    <w:rPr>
      <w:rFonts w:ascii="Myriad Pro" w:eastAsiaTheme="minorHAnsi" w:hAnsi="Myriad Pro" w:cstheme="minorBidi"/>
      <w:b/>
      <w:szCs w:val="22"/>
      <w:lang w:eastAsia="en-US"/>
    </w:rPr>
  </w:style>
  <w:style w:type="paragraph" w:customStyle="1" w:styleId="NaslovnicanaslovUMAR">
    <w:name w:val="Naslovnica_naslov_UMAR"/>
    <w:basedOn w:val="Heading2"/>
    <w:link w:val="NaslovnicanaslovUMARChar"/>
    <w:uiPriority w:val="99"/>
    <w:qFormat/>
    <w:rsid w:val="005E58B5"/>
  </w:style>
  <w:style w:type="character" w:customStyle="1" w:styleId="NaslovnicanaslovUMARChar">
    <w:name w:val="Naslovnica_naslov_UMAR Char"/>
    <w:basedOn w:val="DefaultParagraphFont"/>
    <w:link w:val="NaslovnicanaslovUMAR"/>
    <w:uiPriority w:val="99"/>
    <w:rsid w:val="005E58B5"/>
    <w:rPr>
      <w:rFonts w:ascii="Myriad Pro" w:eastAsiaTheme="minorHAnsi" w:hAnsi="Myriad Pro" w:cstheme="minorBidi"/>
      <w:b/>
      <w:color w:val="9E001A" w:themeColor="accent1"/>
      <w:sz w:val="24"/>
      <w:szCs w:val="22"/>
      <w:lang w:eastAsia="en-US"/>
    </w:rPr>
  </w:style>
  <w:style w:type="table" w:styleId="TableGridLight">
    <w:name w:val="Grid Table Light"/>
    <w:aliases w:val="UMAR tabela"/>
    <w:basedOn w:val="TableNormal"/>
    <w:uiPriority w:val="40"/>
    <w:rsid w:val="005E58B5"/>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PlainTable1">
    <w:name w:val="Plain Table 1"/>
    <w:basedOn w:val="TableNormal"/>
    <w:uiPriority w:val="41"/>
    <w:rsid w:val="005E58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E58B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E58B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E58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E58B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E58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5E58B5"/>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5E58B5"/>
    <w:pPr>
      <w:spacing w:line="240" w:lineRule="auto"/>
    </w:pPr>
    <w:rPr>
      <w:b/>
      <w:bCs/>
    </w:rPr>
  </w:style>
  <w:style w:type="character" w:customStyle="1" w:styleId="CommentTextChar">
    <w:name w:val="Comment Text Char"/>
    <w:basedOn w:val="DefaultParagraphFont"/>
    <w:link w:val="CommentText"/>
    <w:semiHidden/>
    <w:rsid w:val="005E58B5"/>
    <w:rPr>
      <w:rFonts w:asciiTheme="minorHAnsi" w:eastAsiaTheme="minorHAnsi" w:hAnsiTheme="minorHAnsi" w:cstheme="minorBidi"/>
      <w:sz w:val="22"/>
      <w:lang w:eastAsia="en-US"/>
    </w:rPr>
  </w:style>
  <w:style w:type="character" w:customStyle="1" w:styleId="CommentSubjectChar">
    <w:name w:val="Comment Subject Char"/>
    <w:basedOn w:val="CommentTextChar"/>
    <w:link w:val="CommentSubject"/>
    <w:semiHidden/>
    <w:rsid w:val="005E58B5"/>
    <w:rPr>
      <w:rFonts w:asciiTheme="minorHAnsi" w:eastAsiaTheme="minorHAnsi" w:hAnsiTheme="minorHAnsi" w:cstheme="minorBidi"/>
      <w:b/>
      <w:bCs/>
      <w:sz w:val="22"/>
      <w:lang w:eastAsia="en-US"/>
    </w:rPr>
  </w:style>
  <w:style w:type="table" w:customStyle="1" w:styleId="UMARokvir">
    <w:name w:val="UMAR okvir"/>
    <w:basedOn w:val="TableNormal"/>
    <w:uiPriority w:val="99"/>
    <w:rsid w:val="005E58B5"/>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TableNormal"/>
    <w:uiPriority w:val="99"/>
    <w:rsid w:val="005E58B5"/>
    <w:pPr>
      <w:jc w:val="center"/>
    </w:pPr>
    <w:rPr>
      <w:rFonts w:ascii="Myriad Pro" w:hAnsi="Myriad Pro"/>
    </w:rPr>
    <w:tblPr/>
    <w:tcPr>
      <w:vAlign w:val="center"/>
    </w:tcPr>
    <w:tblStylePr w:type="lastCol">
      <w:pPr>
        <w:jc w:val="right"/>
      </w:pPr>
    </w:tblStylePr>
  </w:style>
  <w:style w:type="paragraph" w:styleId="TOCHeading">
    <w:name w:val="TOC Heading"/>
    <w:basedOn w:val="Heading1"/>
    <w:next w:val="Normal"/>
    <w:uiPriority w:val="39"/>
    <w:unhideWhenUsed/>
    <w:rsid w:val="005E58B5"/>
    <w:pPr>
      <w:numPr>
        <w:numId w:val="0"/>
      </w:numPr>
      <w:spacing w:before="240" w:after="0" w:line="259" w:lineRule="auto"/>
      <w:outlineLvl w:val="9"/>
    </w:pPr>
    <w:rPr>
      <w:rFonts w:eastAsiaTheme="majorEastAsia" w:cstheme="majorBidi"/>
      <w:b w:val="0"/>
      <w:bCs w:val="0"/>
      <w:color w:val="760013" w:themeColor="accent1" w:themeShade="BF"/>
      <w:kern w:val="0"/>
      <w:sz w:val="32"/>
      <w:szCs w:val="32"/>
      <w:lang w:val="en-US"/>
    </w:rPr>
  </w:style>
  <w:style w:type="paragraph" w:styleId="ListParagraph">
    <w:name w:val="List Paragraph"/>
    <w:basedOn w:val="Normal"/>
    <w:uiPriority w:val="34"/>
    <w:rsid w:val="005E58B5"/>
    <w:pPr>
      <w:ind w:left="720"/>
      <w:contextualSpacing/>
    </w:pPr>
    <w:rPr>
      <w:rFonts w:ascii="Myriad Pro" w:hAnsi="Myriad Pro"/>
    </w:rPr>
  </w:style>
  <w:style w:type="paragraph" w:customStyle="1" w:styleId="LiteraturaUMAR">
    <w:name w:val="Literatura_UMAR"/>
    <w:basedOn w:val="BesediloUMAR"/>
    <w:link w:val="LiteraturaUMARChar"/>
    <w:uiPriority w:val="7"/>
    <w:qFormat/>
    <w:rsid w:val="005E58B5"/>
    <w:pPr>
      <w:spacing w:before="80"/>
      <w:ind w:left="340" w:hanging="340"/>
      <w:jc w:val="left"/>
    </w:pPr>
  </w:style>
  <w:style w:type="character" w:customStyle="1" w:styleId="LiteraturaUMARChar">
    <w:name w:val="Literatura_UMAR Char"/>
    <w:basedOn w:val="BesediloUMARChar"/>
    <w:link w:val="LiteraturaUMAR"/>
    <w:uiPriority w:val="7"/>
    <w:rsid w:val="005E58B5"/>
    <w:rPr>
      <w:rFonts w:ascii="Myriad Pro" w:eastAsiaTheme="minorHAnsi" w:hAnsi="Myriad Pro" w:cstheme="minorBidi"/>
      <w:szCs w:val="22"/>
      <w:lang w:eastAsia="en-US"/>
    </w:rPr>
  </w:style>
  <w:style w:type="character" w:styleId="UnresolvedMention">
    <w:name w:val="Unresolved Mention"/>
    <w:basedOn w:val="DefaultParagraphFont"/>
    <w:uiPriority w:val="99"/>
    <w:semiHidden/>
    <w:unhideWhenUsed/>
    <w:rsid w:val="003C1506"/>
    <w:rPr>
      <w:color w:val="605E5C"/>
      <w:shd w:val="clear" w:color="auto" w:fill="E1DFDD"/>
    </w:rPr>
  </w:style>
  <w:style w:type="paragraph" w:styleId="Bibliography">
    <w:name w:val="Bibliography"/>
    <w:basedOn w:val="Normal"/>
    <w:next w:val="Normal"/>
    <w:uiPriority w:val="37"/>
    <w:unhideWhenUsed/>
    <w:rsid w:val="006B27A2"/>
    <w:pPr>
      <w:spacing w:after="0" w:line="480" w:lineRule="auto"/>
      <w:ind w:left="720" w:hanging="720"/>
    </w:pPr>
  </w:style>
  <w:style w:type="character" w:customStyle="1" w:styleId="Sprotnaopomba-besediloZnak1">
    <w:name w:val="Sprotna opomba - besedilo Znak1"/>
    <w:basedOn w:val="DefaultParagraphFont"/>
    <w:uiPriority w:val="8"/>
    <w:rsid w:val="007E4310"/>
    <w:rPr>
      <w:rFonts w:ascii="Myriad Pro" w:eastAsiaTheme="minorHAnsi" w:hAnsi="Myriad Pro" w:cstheme="minorBidi"/>
      <w:sz w:val="16"/>
      <w:szCs w:val="14"/>
      <w:lang w:eastAsia="en-US"/>
    </w:rPr>
  </w:style>
  <w:style w:type="character" w:customStyle="1" w:styleId="GlavaZnak1">
    <w:name w:val="Glava Znak1"/>
    <w:basedOn w:val="DefaultParagraphFont"/>
    <w:uiPriority w:val="99"/>
    <w:rsid w:val="007E4310"/>
    <w:rPr>
      <w:rFonts w:ascii="Myriad Pro" w:eastAsiaTheme="minorHAnsi" w:hAnsi="Myriad Pro" w:cstheme="minorBidi"/>
      <w:sz w:val="22"/>
      <w:szCs w:val="22"/>
      <w:lang w:eastAsia="en-US"/>
    </w:rPr>
  </w:style>
  <w:style w:type="character" w:customStyle="1" w:styleId="Naslov3Znak1">
    <w:name w:val="Naslov 3 Znak1"/>
    <w:aliases w:val="Heading 3_UMAR Znak1"/>
    <w:basedOn w:val="DefaultParagraphFont"/>
    <w:uiPriority w:val="3"/>
    <w:rsid w:val="007E4310"/>
    <w:rPr>
      <w:rFonts w:ascii="Myriad Pro" w:eastAsiaTheme="minorHAnsi" w:hAnsi="Myriad Pro" w:cs="Arial"/>
      <w:b/>
      <w:bCs/>
      <w:color w:val="9E001A" w:themeColor="accent1"/>
      <w:sz w:val="24"/>
      <w:szCs w:val="26"/>
      <w:lang w:eastAsia="en-US"/>
    </w:rPr>
  </w:style>
  <w:style w:type="character" w:customStyle="1" w:styleId="Naslov2Znak1">
    <w:name w:val="Naslov 2 Znak1"/>
    <w:aliases w:val="Heading 2_UMAR Znak1"/>
    <w:basedOn w:val="DefaultParagraphFont"/>
    <w:uiPriority w:val="2"/>
    <w:rsid w:val="007E4310"/>
    <w:rPr>
      <w:rFonts w:ascii="Myriad Pro" w:eastAsiaTheme="minorHAnsi" w:hAnsi="Myriad Pro" w:cstheme="minorBidi"/>
      <w:b/>
      <w:color w:val="9E001A" w:themeColor="accent1"/>
      <w:sz w:val="24"/>
      <w:szCs w:val="22"/>
      <w:lang w:eastAsia="en-US"/>
    </w:rPr>
  </w:style>
  <w:style w:type="character" w:customStyle="1" w:styleId="Naslov1Znak1">
    <w:name w:val="Naslov 1 Znak1"/>
    <w:aliases w:val="Heading 1_UMAR Znak1"/>
    <w:basedOn w:val="DefaultParagraphFont"/>
    <w:uiPriority w:val="1"/>
    <w:rsid w:val="007E4310"/>
    <w:rPr>
      <w:rFonts w:ascii="Myriad Pro" w:eastAsiaTheme="minorHAnsi" w:hAnsi="Myriad Pro" w:cs="Arial"/>
      <w:b/>
      <w:bCs/>
      <w:color w:val="9E001A" w:themeColor="accent1"/>
      <w:kern w:val="32"/>
      <w:sz w:val="28"/>
      <w:szCs w:val="22"/>
      <w:lang w:eastAsia="en-US"/>
    </w:rPr>
  </w:style>
  <w:style w:type="character" w:customStyle="1" w:styleId="NogaZnak1">
    <w:name w:val="Noga Znak1"/>
    <w:basedOn w:val="DefaultParagraphFont"/>
    <w:uiPriority w:val="99"/>
    <w:rsid w:val="007E4310"/>
    <w:rPr>
      <w:rFonts w:ascii="Myriad Pro" w:eastAsiaTheme="minorHAnsi" w:hAnsi="Myriad Pro" w:cstheme="minorBidi"/>
      <w:noProof/>
      <w:sz w:val="16"/>
      <w:szCs w:val="16"/>
      <w:lang w:eastAsia="en-US"/>
    </w:rPr>
  </w:style>
  <w:style w:type="character" w:customStyle="1" w:styleId="NapisZnak1">
    <w:name w:val="Napis Znak1"/>
    <w:aliases w:val="Okvir/Slika/Tabela_UMAR Znak1"/>
    <w:basedOn w:val="DefaultParagraphFont"/>
    <w:uiPriority w:val="4"/>
    <w:rsid w:val="007E4310"/>
    <w:rPr>
      <w:rFonts w:ascii="Myriad Pro" w:eastAsiaTheme="minorHAnsi" w:hAnsi="Myriad Pro" w:cstheme="minorBidi"/>
      <w:b/>
      <w:bCs/>
      <w:noProof/>
      <w:lang w:eastAsia="en-US"/>
    </w:rPr>
  </w:style>
  <w:style w:type="character" w:customStyle="1" w:styleId="PripombabesediloZnak1">
    <w:name w:val="Pripomba – besedilo Znak1"/>
    <w:basedOn w:val="DefaultParagraphFont"/>
    <w:semiHidden/>
    <w:rsid w:val="007E4310"/>
    <w:rPr>
      <w:rFonts w:asciiTheme="minorHAnsi" w:eastAsiaTheme="minorHAnsi" w:hAnsiTheme="minorHAnsi" w:cstheme="minorBidi"/>
      <w:sz w:val="22"/>
      <w:lang w:eastAsia="en-US"/>
    </w:rPr>
  </w:style>
  <w:style w:type="character" w:customStyle="1" w:styleId="ZadevapripombeZnak1">
    <w:name w:val="Zadeva pripombe Znak1"/>
    <w:basedOn w:val="PripombabesediloZnak1"/>
    <w:semiHidden/>
    <w:rsid w:val="007E4310"/>
    <w:rPr>
      <w:rFonts w:asciiTheme="minorHAnsi" w:eastAsiaTheme="minorHAnsi" w:hAnsiTheme="minorHAnsi" w:cstheme="minorBidi"/>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66977">
      <w:bodyDiv w:val="1"/>
      <w:marLeft w:val="0"/>
      <w:marRight w:val="0"/>
      <w:marTop w:val="0"/>
      <w:marBottom w:val="0"/>
      <w:divBdr>
        <w:top w:val="none" w:sz="0" w:space="0" w:color="auto"/>
        <w:left w:val="none" w:sz="0" w:space="0" w:color="auto"/>
        <w:bottom w:val="none" w:sz="0" w:space="0" w:color="auto"/>
        <w:right w:val="none" w:sz="0" w:space="0" w:color="auto"/>
      </w:divBdr>
    </w:div>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547568152">
      <w:bodyDiv w:val="1"/>
      <w:marLeft w:val="0"/>
      <w:marRight w:val="0"/>
      <w:marTop w:val="0"/>
      <w:marBottom w:val="0"/>
      <w:divBdr>
        <w:top w:val="none" w:sz="0" w:space="0" w:color="auto"/>
        <w:left w:val="none" w:sz="0" w:space="0" w:color="auto"/>
        <w:bottom w:val="none" w:sz="0" w:space="0" w:color="auto"/>
        <w:right w:val="none" w:sz="0" w:space="0" w:color="auto"/>
      </w:divBdr>
      <w:divsChild>
        <w:div w:id="1982150461">
          <w:marLeft w:val="0"/>
          <w:marRight w:val="0"/>
          <w:marTop w:val="0"/>
          <w:marBottom w:val="0"/>
          <w:divBdr>
            <w:top w:val="none" w:sz="0" w:space="0" w:color="auto"/>
            <w:left w:val="none" w:sz="0" w:space="0" w:color="auto"/>
            <w:bottom w:val="none" w:sz="0" w:space="0" w:color="auto"/>
            <w:right w:val="none" w:sz="0" w:space="0" w:color="auto"/>
          </w:divBdr>
        </w:div>
        <w:div w:id="1122110904">
          <w:marLeft w:val="0"/>
          <w:marRight w:val="0"/>
          <w:marTop w:val="0"/>
          <w:marBottom w:val="0"/>
          <w:divBdr>
            <w:top w:val="none" w:sz="0" w:space="0" w:color="auto"/>
            <w:left w:val="none" w:sz="0" w:space="0" w:color="auto"/>
            <w:bottom w:val="none" w:sz="0" w:space="0" w:color="auto"/>
            <w:right w:val="none" w:sz="0" w:space="0" w:color="auto"/>
          </w:divBdr>
        </w:div>
        <w:div w:id="1538351158">
          <w:marLeft w:val="0"/>
          <w:marRight w:val="0"/>
          <w:marTop w:val="0"/>
          <w:marBottom w:val="0"/>
          <w:divBdr>
            <w:top w:val="none" w:sz="0" w:space="0" w:color="auto"/>
            <w:left w:val="none" w:sz="0" w:space="0" w:color="auto"/>
            <w:bottom w:val="none" w:sz="0" w:space="0" w:color="auto"/>
            <w:right w:val="none" w:sz="0" w:space="0" w:color="auto"/>
          </w:divBdr>
        </w:div>
      </w:divsChild>
    </w:div>
    <w:div w:id="682241451">
      <w:bodyDiv w:val="1"/>
      <w:marLeft w:val="0"/>
      <w:marRight w:val="0"/>
      <w:marTop w:val="0"/>
      <w:marBottom w:val="0"/>
      <w:divBdr>
        <w:top w:val="none" w:sz="0" w:space="0" w:color="auto"/>
        <w:left w:val="none" w:sz="0" w:space="0" w:color="auto"/>
        <w:bottom w:val="none" w:sz="0" w:space="0" w:color="auto"/>
        <w:right w:val="none" w:sz="0" w:space="0" w:color="auto"/>
      </w:divBdr>
    </w:div>
    <w:div w:id="871921587">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969093302">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242063782">
      <w:bodyDiv w:val="1"/>
      <w:marLeft w:val="0"/>
      <w:marRight w:val="0"/>
      <w:marTop w:val="0"/>
      <w:marBottom w:val="0"/>
      <w:divBdr>
        <w:top w:val="none" w:sz="0" w:space="0" w:color="auto"/>
        <w:left w:val="none" w:sz="0" w:space="0" w:color="auto"/>
        <w:bottom w:val="none" w:sz="0" w:space="0" w:color="auto"/>
        <w:right w:val="none" w:sz="0" w:space="0" w:color="auto"/>
      </w:divBdr>
    </w:div>
    <w:div w:id="1270120258">
      <w:bodyDiv w:val="1"/>
      <w:marLeft w:val="0"/>
      <w:marRight w:val="0"/>
      <w:marTop w:val="0"/>
      <w:marBottom w:val="0"/>
      <w:divBdr>
        <w:top w:val="none" w:sz="0" w:space="0" w:color="auto"/>
        <w:left w:val="none" w:sz="0" w:space="0" w:color="auto"/>
        <w:bottom w:val="none" w:sz="0" w:space="0" w:color="auto"/>
        <w:right w:val="none" w:sz="0" w:space="0" w:color="auto"/>
      </w:divBdr>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 w:id="21273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A5A58-44DA-4799-A947-1671C387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3959</Words>
  <Characters>23938</Characters>
  <Application>Microsoft Office Word</Application>
  <DocSecurity>0</DocSecurity>
  <Lines>199</Lines>
  <Paragraphs>55</Paragraphs>
  <ScaleCrop>false</ScaleCrop>
  <Company/>
  <LinksUpToDate>false</LinksUpToDate>
  <CharactersWithSpaces>27842</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2023-08-31T06:52:00Z</dcterms:created>
  <dcterms:modified xsi:type="dcterms:W3CDTF">2023-08-31T06:52:00Z</dcterms:modified>
</cp:coreProperties>
</file>