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BA9B" w14:textId="7CB67AE5" w:rsidR="0050616E" w:rsidRPr="0050616E" w:rsidRDefault="008B2066" w:rsidP="0012593F">
      <w:pPr>
        <w:pStyle w:val="Heading2"/>
        <w:numPr>
          <w:ilvl w:val="0"/>
          <w:numId w:val="0"/>
        </w:numPr>
        <w:sectPr w:rsidR="0050616E" w:rsidRPr="0050616E" w:rsidSect="007C3A38">
          <w:footerReference w:type="default" r:id="rId8"/>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2D440B68" wp14:editId="585488A5">
                <wp:simplePos x="0" y="0"/>
                <wp:positionH relativeFrom="column">
                  <wp:posOffset>2702086</wp:posOffset>
                </wp:positionH>
                <wp:positionV relativeFrom="page">
                  <wp:posOffset>2159306</wp:posOffset>
                </wp:positionV>
                <wp:extent cx="3679190" cy="8067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679190" cy="8067040"/>
                        </a:xfrm>
                        <a:prstGeom prst="rect">
                          <a:avLst/>
                        </a:prstGeom>
                        <a:noFill/>
                        <a:ln w="6350">
                          <a:noFill/>
                        </a:ln>
                        <a:effectLst/>
                      </wps:spPr>
                      <wps:txbx>
                        <w:txbxContent>
                          <w:p w14:paraId="13315448" w14:textId="77777777" w:rsidR="004554F9" w:rsidRPr="0050616E" w:rsidRDefault="004554F9" w:rsidP="0050616E">
                            <w:pPr>
                              <w:pStyle w:val="NaslovnicanaslovUMAR"/>
                              <w:numPr>
                                <w:ilvl w:val="0"/>
                                <w:numId w:val="0"/>
                              </w:numPr>
                              <w:spacing w:line="760" w:lineRule="exact"/>
                              <w:rPr>
                                <w:color w:val="auto"/>
                                <w:sz w:val="76"/>
                                <w:szCs w:val="76"/>
                              </w:rPr>
                            </w:pPr>
                          </w:p>
                          <w:p w14:paraId="667B0FCB" w14:textId="77777777" w:rsidR="004554F9" w:rsidRPr="0050616E" w:rsidRDefault="004554F9" w:rsidP="0050616E">
                            <w:pPr>
                              <w:pStyle w:val="NaslovnicanaslovUMAR"/>
                              <w:numPr>
                                <w:ilvl w:val="0"/>
                                <w:numId w:val="0"/>
                              </w:numPr>
                              <w:spacing w:line="760" w:lineRule="exact"/>
                              <w:rPr>
                                <w:color w:val="auto"/>
                                <w:sz w:val="76"/>
                                <w:szCs w:val="76"/>
                              </w:rPr>
                            </w:pPr>
                          </w:p>
                          <w:p w14:paraId="1A19BD15" w14:textId="77777777" w:rsidR="004554F9" w:rsidRPr="0050616E" w:rsidRDefault="004554F9"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68779C67" w14:textId="6753DA2F" w:rsidR="004554F9" w:rsidRPr="0050616E" w:rsidRDefault="004554F9" w:rsidP="0050616E">
                            <w:pPr>
                              <w:pStyle w:val="NaslovnicanaslovUMAR"/>
                              <w:numPr>
                                <w:ilvl w:val="0"/>
                                <w:numId w:val="0"/>
                              </w:numPr>
                              <w:spacing w:line="240" w:lineRule="auto"/>
                              <w:rPr>
                                <w:b w:val="0"/>
                                <w:bCs/>
                                <w:color w:val="auto"/>
                                <w:sz w:val="26"/>
                                <w:szCs w:val="26"/>
                              </w:rPr>
                            </w:pPr>
                            <w:r>
                              <w:rPr>
                                <w:b w:val="0"/>
                                <w:bCs/>
                                <w:color w:val="auto"/>
                                <w:sz w:val="26"/>
                                <w:szCs w:val="26"/>
                              </w:rPr>
                              <w:t>Oktober 2023</w:t>
                            </w:r>
                          </w:p>
                          <w:p w14:paraId="4FB80A16" w14:textId="77777777" w:rsidR="004554F9" w:rsidRPr="0050616E" w:rsidRDefault="004554F9" w:rsidP="0050616E">
                            <w:pPr>
                              <w:pStyle w:val="NaslovnicanaslovUMAR"/>
                              <w:numPr>
                                <w:ilvl w:val="0"/>
                                <w:numId w:val="0"/>
                              </w:numPr>
                              <w:spacing w:line="760" w:lineRule="exact"/>
                              <w:rPr>
                                <w:color w:val="auto"/>
                                <w:sz w:val="52"/>
                                <w:szCs w:val="52"/>
                              </w:rPr>
                            </w:pPr>
                          </w:p>
                          <w:p w14:paraId="6267D2B2" w14:textId="626FFA57" w:rsidR="004554F9" w:rsidRPr="0050616E" w:rsidRDefault="004554F9" w:rsidP="00411076">
                            <w:pPr>
                              <w:pStyle w:val="NaslovnicanaslovUMAR"/>
                              <w:numPr>
                                <w:ilvl w:val="0"/>
                                <w:numId w:val="0"/>
                              </w:numPr>
                              <w:spacing w:after="240" w:line="760" w:lineRule="exact"/>
                              <w:rPr>
                                <w:color w:val="auto"/>
                                <w:sz w:val="76"/>
                                <w:szCs w:val="76"/>
                              </w:rPr>
                            </w:pPr>
                            <w:r>
                              <w:rPr>
                                <w:b w:val="0"/>
                                <w:bCs/>
                                <w:color w:val="auto"/>
                                <w:sz w:val="52"/>
                                <w:szCs w:val="52"/>
                              </w:rPr>
                              <w:t>Alenka Kajzer</w:t>
                            </w:r>
                          </w:p>
                          <w:p w14:paraId="6EA5AE41" w14:textId="2F3E24B7" w:rsidR="004554F9" w:rsidRPr="0050616E" w:rsidRDefault="004554F9" w:rsidP="0050616E">
                            <w:pPr>
                              <w:pStyle w:val="NaslovnicanaslovUMAR"/>
                              <w:numPr>
                                <w:ilvl w:val="0"/>
                                <w:numId w:val="0"/>
                              </w:numPr>
                              <w:spacing w:line="760" w:lineRule="exact"/>
                              <w:rPr>
                                <w:color w:val="auto"/>
                                <w:sz w:val="76"/>
                                <w:szCs w:val="76"/>
                              </w:rPr>
                            </w:pPr>
                            <w:r>
                              <w:rPr>
                                <w:color w:val="auto"/>
                                <w:sz w:val="76"/>
                                <w:szCs w:val="76"/>
                              </w:rPr>
                              <w:t xml:space="preserve">Stanje na področjih </w:t>
                            </w:r>
                            <w:r w:rsidR="00C659C1">
                              <w:rPr>
                                <w:color w:val="auto"/>
                                <w:sz w:val="76"/>
                                <w:szCs w:val="76"/>
                              </w:rPr>
                              <w:br/>
                            </w:r>
                            <w:r w:rsidR="000E7ADD" w:rsidRPr="00A36CD8">
                              <w:rPr>
                                <w:color w:val="auto"/>
                                <w:sz w:val="76"/>
                                <w:szCs w:val="76"/>
                              </w:rPr>
                              <w:t>S</w:t>
                            </w:r>
                            <w:r>
                              <w:rPr>
                                <w:color w:val="auto"/>
                                <w:sz w:val="76"/>
                                <w:szCs w:val="76"/>
                              </w:rPr>
                              <w:t>trategije dolgožive družbe</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40B68" id="_x0000_t202" coordsize="21600,21600" o:spt="202" path="m,l,21600r21600,l21600,xe">
                <v:stroke joinstyle="miter"/>
                <v:path gradientshapeok="t" o:connecttype="rect"/>
              </v:shapetype>
              <v:shape id="Text Box 2" o:spid="_x0000_s1026" type="#_x0000_t202" style="position:absolute;margin-left:212.75pt;margin-top:170pt;width:289.7pt;height:635.2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" filled="f" stroked="f" strokeweight=".5pt">
                <v:textbox style="layout-flow:vertical;mso-layout-flow-alt:bottom-to-top" inset="0,0,.5mm,0">
                  <w:txbxContent>
                    <w:p w14:paraId="13315448" w14:textId="77777777" w:rsidR="004554F9" w:rsidRPr="0050616E" w:rsidRDefault="004554F9" w:rsidP="0050616E">
                      <w:pPr>
                        <w:pStyle w:val="NaslovnicanaslovUMAR"/>
                        <w:numPr>
                          <w:ilvl w:val="0"/>
                          <w:numId w:val="0"/>
                        </w:numPr>
                        <w:spacing w:line="760" w:lineRule="exact"/>
                        <w:rPr>
                          <w:color w:val="auto"/>
                          <w:sz w:val="76"/>
                          <w:szCs w:val="76"/>
                        </w:rPr>
                      </w:pPr>
                    </w:p>
                    <w:p w14:paraId="667B0FCB" w14:textId="77777777" w:rsidR="004554F9" w:rsidRPr="0050616E" w:rsidRDefault="004554F9" w:rsidP="0050616E">
                      <w:pPr>
                        <w:pStyle w:val="NaslovnicanaslovUMAR"/>
                        <w:numPr>
                          <w:ilvl w:val="0"/>
                          <w:numId w:val="0"/>
                        </w:numPr>
                        <w:spacing w:line="760" w:lineRule="exact"/>
                        <w:rPr>
                          <w:color w:val="auto"/>
                          <w:sz w:val="76"/>
                          <w:szCs w:val="76"/>
                        </w:rPr>
                      </w:pPr>
                    </w:p>
                    <w:p w14:paraId="1A19BD15" w14:textId="77777777" w:rsidR="004554F9" w:rsidRPr="0050616E" w:rsidRDefault="004554F9"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68779C67" w14:textId="6753DA2F" w:rsidR="004554F9" w:rsidRPr="0050616E" w:rsidRDefault="004554F9" w:rsidP="0050616E">
                      <w:pPr>
                        <w:pStyle w:val="NaslovnicanaslovUMAR"/>
                        <w:numPr>
                          <w:ilvl w:val="0"/>
                          <w:numId w:val="0"/>
                        </w:numPr>
                        <w:spacing w:line="240" w:lineRule="auto"/>
                        <w:rPr>
                          <w:b w:val="0"/>
                          <w:bCs/>
                          <w:color w:val="auto"/>
                          <w:sz w:val="26"/>
                          <w:szCs w:val="26"/>
                        </w:rPr>
                      </w:pPr>
                      <w:r>
                        <w:rPr>
                          <w:b w:val="0"/>
                          <w:bCs/>
                          <w:color w:val="auto"/>
                          <w:sz w:val="26"/>
                          <w:szCs w:val="26"/>
                        </w:rPr>
                        <w:t>Oktober 2023</w:t>
                      </w:r>
                    </w:p>
                    <w:p w14:paraId="4FB80A16" w14:textId="77777777" w:rsidR="004554F9" w:rsidRPr="0050616E" w:rsidRDefault="004554F9" w:rsidP="0050616E">
                      <w:pPr>
                        <w:pStyle w:val="NaslovnicanaslovUMAR"/>
                        <w:numPr>
                          <w:ilvl w:val="0"/>
                          <w:numId w:val="0"/>
                        </w:numPr>
                        <w:spacing w:line="760" w:lineRule="exact"/>
                        <w:rPr>
                          <w:color w:val="auto"/>
                          <w:sz w:val="52"/>
                          <w:szCs w:val="52"/>
                        </w:rPr>
                      </w:pPr>
                    </w:p>
                    <w:p w14:paraId="6267D2B2" w14:textId="626FFA57" w:rsidR="004554F9" w:rsidRPr="0050616E" w:rsidRDefault="004554F9" w:rsidP="00411076">
                      <w:pPr>
                        <w:pStyle w:val="NaslovnicanaslovUMAR"/>
                        <w:numPr>
                          <w:ilvl w:val="0"/>
                          <w:numId w:val="0"/>
                        </w:numPr>
                        <w:spacing w:after="240" w:line="760" w:lineRule="exact"/>
                        <w:rPr>
                          <w:color w:val="auto"/>
                          <w:sz w:val="76"/>
                          <w:szCs w:val="76"/>
                        </w:rPr>
                      </w:pPr>
                      <w:r>
                        <w:rPr>
                          <w:b w:val="0"/>
                          <w:bCs/>
                          <w:color w:val="auto"/>
                          <w:sz w:val="52"/>
                          <w:szCs w:val="52"/>
                        </w:rPr>
                        <w:t>Alenka Kajzer</w:t>
                      </w:r>
                    </w:p>
                    <w:p w14:paraId="6EA5AE41" w14:textId="2F3E24B7" w:rsidR="004554F9" w:rsidRPr="0050616E" w:rsidRDefault="004554F9" w:rsidP="0050616E">
                      <w:pPr>
                        <w:pStyle w:val="NaslovnicanaslovUMAR"/>
                        <w:numPr>
                          <w:ilvl w:val="0"/>
                          <w:numId w:val="0"/>
                        </w:numPr>
                        <w:spacing w:line="760" w:lineRule="exact"/>
                        <w:rPr>
                          <w:color w:val="auto"/>
                          <w:sz w:val="76"/>
                          <w:szCs w:val="76"/>
                        </w:rPr>
                      </w:pPr>
                      <w:r>
                        <w:rPr>
                          <w:color w:val="auto"/>
                          <w:sz w:val="76"/>
                          <w:szCs w:val="76"/>
                        </w:rPr>
                        <w:t xml:space="preserve">Stanje na področjih </w:t>
                      </w:r>
                      <w:r w:rsidR="00C659C1">
                        <w:rPr>
                          <w:color w:val="auto"/>
                          <w:sz w:val="76"/>
                          <w:szCs w:val="76"/>
                        </w:rPr>
                        <w:br/>
                      </w:r>
                      <w:r w:rsidR="000E7ADD" w:rsidRPr="00A36CD8">
                        <w:rPr>
                          <w:color w:val="auto"/>
                          <w:sz w:val="76"/>
                          <w:szCs w:val="76"/>
                        </w:rPr>
                        <w:t>S</w:t>
                      </w:r>
                      <w:r>
                        <w:rPr>
                          <w:color w:val="auto"/>
                          <w:sz w:val="76"/>
                          <w:szCs w:val="76"/>
                        </w:rPr>
                        <w:t>trategije dolgožive družbe</w:t>
                      </w:r>
                    </w:p>
                  </w:txbxContent>
                </v:textbox>
                <w10:wrap anchory="page"/>
              </v:shape>
            </w:pict>
          </mc:Fallback>
        </mc:AlternateContent>
      </w:r>
      <w:r w:rsidR="00471713">
        <w:rPr>
          <w:noProof/>
          <w:lang w:eastAsia="sl-SI"/>
        </w:rPr>
        <w:drawing>
          <wp:anchor distT="0" distB="0" distL="114300" distR="114300" simplePos="0" relativeHeight="251661312" behindDoc="0" locked="0" layoutInCell="1" allowOverlap="1" wp14:anchorId="733B6605" wp14:editId="082C9FFC">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637E159A" wp14:editId="02F5C1D1">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bookmarkStart w:id="0" w:name="_Hlk141345541"/>
      <w:bookmarkEnd w:id="0"/>
      <w:r w:rsidR="0050616E">
        <w:tab/>
      </w:r>
    </w:p>
    <w:p w14:paraId="1C4A8AE0" w14:textId="77777777" w:rsidR="00471713" w:rsidRDefault="00471713" w:rsidP="00471713">
      <w:pPr>
        <w:pStyle w:val="Heading1"/>
        <w:numPr>
          <w:ilvl w:val="0"/>
          <w:numId w:val="0"/>
        </w:numPr>
        <w:rPr>
          <w:rStyle w:val="VodilnistavekUMAR"/>
        </w:rPr>
      </w:pPr>
      <w:bookmarkStart w:id="1" w:name="_Toc525304171"/>
      <w:bookmarkStart w:id="2" w:name="_Toc527616894"/>
      <w:bookmarkStart w:id="3" w:name="_Toc528328881"/>
      <w:r w:rsidRPr="00471713">
        <w:lastRenderedPageBreak/>
        <w:t>Povzetek</w:t>
      </w:r>
    </w:p>
    <w:p w14:paraId="72BE808C" w14:textId="77777777" w:rsidR="00471713" w:rsidRDefault="00471713" w:rsidP="00E60966">
      <w:pPr>
        <w:pStyle w:val="BesediloUMAR"/>
        <w:rPr>
          <w:rStyle w:val="VodilnistavekUMAR"/>
        </w:rPr>
      </w:pPr>
    </w:p>
    <w:p w14:paraId="24A1752C" w14:textId="35D7115E" w:rsidR="00F3718A" w:rsidRPr="00C3633A" w:rsidRDefault="00964E2B" w:rsidP="00C3633A">
      <w:pPr>
        <w:pStyle w:val="BesediloUMAR"/>
        <w:rPr>
          <w:b/>
        </w:rPr>
      </w:pPr>
      <w:r w:rsidRPr="00C3633A">
        <w:rPr>
          <w:b/>
        </w:rPr>
        <w:t>Vlada R</w:t>
      </w:r>
      <w:r w:rsidR="00945C5A">
        <w:rPr>
          <w:b/>
        </w:rPr>
        <w:t xml:space="preserve">epublike </w:t>
      </w:r>
      <w:r w:rsidR="00DE4A89">
        <w:rPr>
          <w:b/>
        </w:rPr>
        <w:t>S</w:t>
      </w:r>
      <w:r w:rsidR="00945C5A">
        <w:rPr>
          <w:b/>
        </w:rPr>
        <w:t>lovenije</w:t>
      </w:r>
      <w:r w:rsidRPr="00C3633A">
        <w:rPr>
          <w:b/>
        </w:rPr>
        <w:t xml:space="preserve"> </w:t>
      </w:r>
      <w:r w:rsidR="00C20566" w:rsidRPr="00C3633A">
        <w:rPr>
          <w:b/>
        </w:rPr>
        <w:t>je</w:t>
      </w:r>
      <w:r w:rsidR="00C06B12" w:rsidRPr="00C3633A">
        <w:rPr>
          <w:b/>
        </w:rPr>
        <w:t xml:space="preserve"> </w:t>
      </w:r>
      <w:r w:rsidR="00C20566" w:rsidRPr="00C3633A">
        <w:rPr>
          <w:b/>
        </w:rPr>
        <w:t xml:space="preserve">leta 2017 </w:t>
      </w:r>
      <w:r w:rsidR="00F3718A" w:rsidRPr="00C3633A">
        <w:rPr>
          <w:b/>
        </w:rPr>
        <w:t>spreje</w:t>
      </w:r>
      <w:r w:rsidRPr="00C3633A">
        <w:rPr>
          <w:b/>
        </w:rPr>
        <w:t>la</w:t>
      </w:r>
      <w:r w:rsidR="00F3718A" w:rsidRPr="00C3633A">
        <w:rPr>
          <w:b/>
        </w:rPr>
        <w:t xml:space="preserve"> Strategij</w:t>
      </w:r>
      <w:r w:rsidRPr="00C3633A">
        <w:rPr>
          <w:b/>
        </w:rPr>
        <w:t>o</w:t>
      </w:r>
      <w:r w:rsidR="00F3718A" w:rsidRPr="00C3633A">
        <w:rPr>
          <w:b/>
        </w:rPr>
        <w:t xml:space="preserve"> dolgožive družbe, ki je podala usmeritve za oblikovanje ukrepov odzivanj</w:t>
      </w:r>
      <w:r w:rsidR="00C15000">
        <w:rPr>
          <w:b/>
        </w:rPr>
        <w:t>a</w:t>
      </w:r>
      <w:r w:rsidR="00F3718A" w:rsidRPr="00C3633A">
        <w:rPr>
          <w:b/>
        </w:rPr>
        <w:t xml:space="preserve"> na demografske spremembe.</w:t>
      </w:r>
      <w:r w:rsidR="004B67D9">
        <w:rPr>
          <w:b/>
        </w:rPr>
        <w:t xml:space="preserve"> </w:t>
      </w:r>
      <w:r w:rsidR="00172931">
        <w:rPr>
          <w:b/>
        </w:rPr>
        <w:t>Strategija dolgožive družbe</w:t>
      </w:r>
      <w:r w:rsidR="00113567">
        <w:rPr>
          <w:b/>
        </w:rPr>
        <w:t xml:space="preserve"> </w:t>
      </w:r>
      <w:r w:rsidRPr="00C3633A">
        <w:rPr>
          <w:b/>
        </w:rPr>
        <w:t xml:space="preserve">je predvidevala tudi </w:t>
      </w:r>
      <w:r w:rsidR="00CC688F">
        <w:rPr>
          <w:b/>
        </w:rPr>
        <w:t>izdelavo</w:t>
      </w:r>
      <w:r w:rsidRPr="00C3633A">
        <w:rPr>
          <w:b/>
        </w:rPr>
        <w:t xml:space="preserve"> akcijskega načrta za ur</w:t>
      </w:r>
      <w:r w:rsidR="00BD17B2" w:rsidRPr="00C3633A">
        <w:rPr>
          <w:b/>
        </w:rPr>
        <w:t>e</w:t>
      </w:r>
      <w:r w:rsidRPr="00C3633A">
        <w:rPr>
          <w:b/>
        </w:rPr>
        <w:t>s</w:t>
      </w:r>
      <w:r w:rsidR="00BD17B2" w:rsidRPr="00C3633A">
        <w:rPr>
          <w:b/>
        </w:rPr>
        <w:t>n</w:t>
      </w:r>
      <w:r w:rsidRPr="00C3633A">
        <w:rPr>
          <w:b/>
        </w:rPr>
        <w:t xml:space="preserve">ičevanje, vendar </w:t>
      </w:r>
      <w:r w:rsidR="00172931">
        <w:rPr>
          <w:b/>
        </w:rPr>
        <w:t xml:space="preserve">doslej </w:t>
      </w:r>
      <w:r w:rsidR="00204B09" w:rsidRPr="00C3633A">
        <w:rPr>
          <w:b/>
        </w:rPr>
        <w:t xml:space="preserve">še </w:t>
      </w:r>
      <w:r w:rsidR="00C06B12" w:rsidRPr="00C3633A">
        <w:rPr>
          <w:b/>
        </w:rPr>
        <w:t>ni bil pripravljen.</w:t>
      </w:r>
      <w:r w:rsidRPr="00C3633A">
        <w:rPr>
          <w:b/>
        </w:rPr>
        <w:t xml:space="preserve"> Namen tega prispevka je</w:t>
      </w:r>
      <w:r w:rsidR="00FA55B6" w:rsidRPr="00C3633A">
        <w:rPr>
          <w:b/>
        </w:rPr>
        <w:t xml:space="preserve"> </w:t>
      </w:r>
      <w:r w:rsidRPr="00C3633A">
        <w:rPr>
          <w:b/>
        </w:rPr>
        <w:t>na podlagi</w:t>
      </w:r>
      <w:r w:rsidR="00FA55B6" w:rsidRPr="00C3633A">
        <w:rPr>
          <w:b/>
        </w:rPr>
        <w:t xml:space="preserve"> </w:t>
      </w:r>
      <w:r w:rsidRPr="00C3633A">
        <w:rPr>
          <w:b/>
        </w:rPr>
        <w:t xml:space="preserve">novejših podatkov </w:t>
      </w:r>
      <w:r w:rsidR="00204B09" w:rsidRPr="00C3633A">
        <w:rPr>
          <w:b/>
        </w:rPr>
        <w:t xml:space="preserve">ponovno opozoriti na </w:t>
      </w:r>
      <w:r w:rsidRPr="00C3633A">
        <w:rPr>
          <w:b/>
        </w:rPr>
        <w:t>posledice demografskih gibanj in stanj</w:t>
      </w:r>
      <w:r w:rsidR="00BD17B2" w:rsidRPr="00C3633A">
        <w:rPr>
          <w:b/>
        </w:rPr>
        <w:t>e</w:t>
      </w:r>
      <w:r w:rsidRPr="00C3633A">
        <w:rPr>
          <w:b/>
        </w:rPr>
        <w:t xml:space="preserve"> na področj</w:t>
      </w:r>
      <w:r w:rsidR="00E732F8" w:rsidRPr="00C3633A">
        <w:rPr>
          <w:b/>
        </w:rPr>
        <w:t xml:space="preserve">ih, ki jih </w:t>
      </w:r>
      <w:r w:rsidR="00D54705">
        <w:rPr>
          <w:b/>
        </w:rPr>
        <w:t xml:space="preserve">je </w:t>
      </w:r>
      <w:r w:rsidR="00BD17B2" w:rsidRPr="00C3633A">
        <w:rPr>
          <w:b/>
        </w:rPr>
        <w:t xml:space="preserve">obravnavala </w:t>
      </w:r>
      <w:r w:rsidR="00E732F8" w:rsidRPr="00C3633A">
        <w:rPr>
          <w:b/>
        </w:rPr>
        <w:t>S</w:t>
      </w:r>
      <w:r w:rsidR="00AA2221">
        <w:rPr>
          <w:b/>
        </w:rPr>
        <w:t>trategija dolgožive družbe</w:t>
      </w:r>
      <w:r w:rsidR="00E732F8" w:rsidRPr="00C3633A">
        <w:rPr>
          <w:b/>
        </w:rPr>
        <w:t xml:space="preserve">. </w:t>
      </w:r>
      <w:r w:rsidR="00F3718A" w:rsidRPr="00C3633A">
        <w:rPr>
          <w:b/>
        </w:rPr>
        <w:t>Pregled številnih kazalniko</w:t>
      </w:r>
      <w:r w:rsidR="00BD17B2" w:rsidRPr="00C3633A">
        <w:rPr>
          <w:b/>
        </w:rPr>
        <w:t xml:space="preserve">v </w:t>
      </w:r>
      <w:r w:rsidR="00F3718A" w:rsidRPr="00C3633A">
        <w:rPr>
          <w:b/>
        </w:rPr>
        <w:t xml:space="preserve">je pokazal, da je od sprejetja strategije do bistvenega napredka prišlo le na nekaterih področjih, na primer </w:t>
      </w:r>
      <w:r w:rsidR="00D54705">
        <w:rPr>
          <w:b/>
        </w:rPr>
        <w:t xml:space="preserve">pri </w:t>
      </w:r>
      <w:r w:rsidR="00F3718A" w:rsidRPr="00C3633A">
        <w:rPr>
          <w:b/>
        </w:rPr>
        <w:t>delovn</w:t>
      </w:r>
      <w:r w:rsidR="00D54705">
        <w:rPr>
          <w:b/>
        </w:rPr>
        <w:t>i</w:t>
      </w:r>
      <w:r w:rsidR="00F3718A" w:rsidRPr="00C3633A">
        <w:rPr>
          <w:b/>
        </w:rPr>
        <w:t xml:space="preserve"> aktivnosti starejših ali njihov</w:t>
      </w:r>
      <w:r w:rsidR="00D54705">
        <w:rPr>
          <w:b/>
        </w:rPr>
        <w:t>i</w:t>
      </w:r>
      <w:r w:rsidR="00F3718A" w:rsidRPr="00C3633A">
        <w:rPr>
          <w:b/>
        </w:rPr>
        <w:t xml:space="preserve"> socialn</w:t>
      </w:r>
      <w:r w:rsidR="00D54705">
        <w:rPr>
          <w:b/>
        </w:rPr>
        <w:t>i</w:t>
      </w:r>
      <w:r w:rsidR="00F3718A" w:rsidRPr="00C3633A">
        <w:rPr>
          <w:b/>
        </w:rPr>
        <w:t xml:space="preserve"> vključenosti.</w:t>
      </w:r>
      <w:r w:rsidR="00FA55B6" w:rsidRPr="00C3633A">
        <w:rPr>
          <w:b/>
        </w:rPr>
        <w:t xml:space="preserve"> </w:t>
      </w:r>
      <w:r w:rsidR="00C20566" w:rsidRPr="00C3633A">
        <w:rPr>
          <w:b/>
        </w:rPr>
        <w:t>Na drugi strani izstopa odsotnost nujnih reform na področju</w:t>
      </w:r>
      <w:r w:rsidR="00FA55B6" w:rsidRPr="00C3633A">
        <w:rPr>
          <w:b/>
        </w:rPr>
        <w:t xml:space="preserve"> </w:t>
      </w:r>
      <w:r w:rsidR="00C20566" w:rsidRPr="00C3633A">
        <w:rPr>
          <w:b/>
        </w:rPr>
        <w:t>sistemov socialne zaščite, zaradi katerih se je zmanjšala dostopnost do zdr</w:t>
      </w:r>
      <w:r w:rsidR="00BD17B2" w:rsidRPr="00C3633A">
        <w:rPr>
          <w:b/>
        </w:rPr>
        <w:t>a</w:t>
      </w:r>
      <w:r w:rsidR="00C20566" w:rsidRPr="00C3633A">
        <w:rPr>
          <w:b/>
        </w:rPr>
        <w:t>vstvenih storitev in</w:t>
      </w:r>
      <w:r w:rsidR="00FA55B6" w:rsidRPr="00C3633A">
        <w:rPr>
          <w:b/>
        </w:rPr>
        <w:t xml:space="preserve"> </w:t>
      </w:r>
      <w:r w:rsidR="00C20566" w:rsidRPr="00C3633A">
        <w:rPr>
          <w:b/>
        </w:rPr>
        <w:t>storitev dolgotrajne oskrbe</w:t>
      </w:r>
      <w:r w:rsidR="00BD17B2" w:rsidRPr="00C3633A">
        <w:rPr>
          <w:b/>
        </w:rPr>
        <w:t>, visoko ostaja tudi tveganje revščine starejših, še posebej žensk.</w:t>
      </w:r>
      <w:r w:rsidR="0012593F" w:rsidRPr="00C3633A">
        <w:rPr>
          <w:b/>
        </w:rPr>
        <w:t xml:space="preserve"> </w:t>
      </w:r>
      <w:r w:rsidR="00204B09" w:rsidRPr="00C3633A">
        <w:rPr>
          <w:b/>
        </w:rPr>
        <w:t xml:space="preserve">Tudi nekateri drugi </w:t>
      </w:r>
      <w:r w:rsidR="00C20566" w:rsidRPr="00C3633A">
        <w:rPr>
          <w:b/>
        </w:rPr>
        <w:t xml:space="preserve">izzivi so se </w:t>
      </w:r>
      <w:r w:rsidR="00F3718A" w:rsidRPr="00C3633A">
        <w:rPr>
          <w:b/>
        </w:rPr>
        <w:t xml:space="preserve">v zadnjih letih </w:t>
      </w:r>
      <w:r w:rsidR="00D54705" w:rsidRPr="00C3633A">
        <w:rPr>
          <w:b/>
        </w:rPr>
        <w:t xml:space="preserve">zaradi odsotnosti sistematičnega ukrepanja </w:t>
      </w:r>
      <w:r w:rsidR="00F3718A" w:rsidRPr="00C3633A">
        <w:rPr>
          <w:b/>
        </w:rPr>
        <w:t>povečali</w:t>
      </w:r>
      <w:r w:rsidR="00E03051">
        <w:rPr>
          <w:b/>
        </w:rPr>
        <w:t xml:space="preserve">, na primer </w:t>
      </w:r>
      <w:r w:rsidR="00F3718A" w:rsidRPr="00C3633A">
        <w:rPr>
          <w:b/>
        </w:rPr>
        <w:t>pomanjkanje delovne sile</w:t>
      </w:r>
      <w:r w:rsidR="00BD17B2" w:rsidRPr="00C3633A">
        <w:rPr>
          <w:b/>
        </w:rPr>
        <w:t>.</w:t>
      </w:r>
      <w:r w:rsidR="00F3718A" w:rsidRPr="00C3633A">
        <w:rPr>
          <w:b/>
        </w:rPr>
        <w:t xml:space="preserve"> </w:t>
      </w:r>
    </w:p>
    <w:p w14:paraId="6118CD82" w14:textId="77777777" w:rsidR="00F3718A" w:rsidRDefault="00F3718A" w:rsidP="00F3718A">
      <w:pPr>
        <w:jc w:val="both"/>
        <w:rPr>
          <w:rFonts w:ascii="Myriad Pro" w:hAnsi="Myriad Pro" w:cs="Arial"/>
          <w:b/>
          <w:bCs/>
          <w:sz w:val="20"/>
          <w:szCs w:val="20"/>
        </w:rPr>
      </w:pPr>
    </w:p>
    <w:p w14:paraId="70A6EB7B" w14:textId="77777777" w:rsidR="00F3718A" w:rsidRPr="00630424" w:rsidRDefault="00F3718A" w:rsidP="00F3718A">
      <w:pPr>
        <w:pStyle w:val="Heading1"/>
        <w:numPr>
          <w:ilvl w:val="0"/>
          <w:numId w:val="0"/>
        </w:numPr>
        <w:ind w:left="357" w:hanging="357"/>
      </w:pPr>
      <w:r w:rsidRPr="00630424">
        <w:lastRenderedPageBreak/>
        <w:t>Uvod</w:t>
      </w:r>
    </w:p>
    <w:p w14:paraId="68FF4F6C" w14:textId="77777777" w:rsidR="00362460" w:rsidRDefault="00362460" w:rsidP="00F3718A">
      <w:pPr>
        <w:pStyle w:val="BesediloUMAR"/>
        <w:rPr>
          <w:rStyle w:val="BoldpoudarekUMAR"/>
        </w:rPr>
      </w:pPr>
    </w:p>
    <w:p w14:paraId="5AFC7826" w14:textId="2D5E221E" w:rsidR="00E64152" w:rsidRDefault="00F3718A" w:rsidP="00F3718A">
      <w:pPr>
        <w:pStyle w:val="BesediloUMAR"/>
      </w:pPr>
      <w:r w:rsidRPr="006D5FC6">
        <w:rPr>
          <w:b/>
        </w:rPr>
        <w:t>Sredi leta 2017</w:t>
      </w:r>
      <w:r w:rsidR="001C2337">
        <w:rPr>
          <w:rStyle w:val="FootnoteReference"/>
          <w:b/>
        </w:rPr>
        <w:footnoteReference w:id="2"/>
      </w:r>
      <w:r w:rsidRPr="006D5FC6">
        <w:rPr>
          <w:b/>
        </w:rPr>
        <w:t xml:space="preserve"> je bila sprejeta </w:t>
      </w:r>
      <w:r w:rsidR="001666EE" w:rsidRPr="006D5FC6">
        <w:rPr>
          <w:b/>
        </w:rPr>
        <w:t>S</w:t>
      </w:r>
      <w:r w:rsidRPr="006D5FC6">
        <w:rPr>
          <w:b/>
        </w:rPr>
        <w:t>trategija dolgožive družbe (v nadaljevanju SDD), ki je bila pripravljena kot odziv na demografska gibanja in podaja usmeritve za oblikovanje ukrepov.</w:t>
      </w:r>
      <w:r w:rsidRPr="006D5FC6">
        <w:t xml:space="preserve"> Spodbuda za</w:t>
      </w:r>
      <w:r w:rsidR="00FA55B6" w:rsidRPr="006D5FC6">
        <w:t xml:space="preserve"> </w:t>
      </w:r>
      <w:r w:rsidRPr="006D5FC6">
        <w:t>pripravo</w:t>
      </w:r>
      <w:r w:rsidR="00FA55B6" w:rsidRPr="006D5FC6">
        <w:t xml:space="preserve"> </w:t>
      </w:r>
      <w:r w:rsidRPr="006D5FC6">
        <w:t>SDD je bila analiza</w:t>
      </w:r>
      <w:r w:rsidR="00003D71" w:rsidRPr="006D5FC6">
        <w:t xml:space="preserve"> Demografske spremembe ter njihove ekonomske in socialne posledice</w:t>
      </w:r>
      <w:r w:rsidRPr="006D5FC6">
        <w:t>, ki jo je pripravil UMAR</w:t>
      </w:r>
      <w:r w:rsidR="003D666E" w:rsidRPr="006D5FC6">
        <w:t xml:space="preserve"> </w:t>
      </w:r>
      <w:r w:rsidR="00B511F2" w:rsidRPr="006D5FC6">
        <w:t xml:space="preserve">(UMAR, 2016) </w:t>
      </w:r>
      <w:r w:rsidRPr="006D5FC6">
        <w:t>in z njo Vlado R</w:t>
      </w:r>
      <w:r w:rsidR="000E1F2B">
        <w:t>epublike Slovenije</w:t>
      </w:r>
      <w:r w:rsidRPr="006D5FC6">
        <w:t xml:space="preserve"> opozoril na</w:t>
      </w:r>
      <w:r w:rsidR="00FA55B6" w:rsidRPr="006D5FC6">
        <w:t xml:space="preserve"> </w:t>
      </w:r>
      <w:r w:rsidRPr="006D5FC6">
        <w:t>potrebo po soočanju</w:t>
      </w:r>
      <w:r w:rsidRPr="00630424">
        <w:t xml:space="preserve"> z demografskimi </w:t>
      </w:r>
      <w:r w:rsidRPr="001F484B">
        <w:t>spremembami</w:t>
      </w:r>
      <w:r w:rsidR="001F484B">
        <w:t xml:space="preserve">. </w:t>
      </w:r>
      <w:r w:rsidRPr="001F484B">
        <w:t>Sklep</w:t>
      </w:r>
      <w:r w:rsidRPr="00630424">
        <w:t xml:space="preserve"> vlade</w:t>
      </w:r>
      <w:r w:rsidR="00FD2F70">
        <w:t>,</w:t>
      </w:r>
      <w:r w:rsidRPr="00630424">
        <w:t xml:space="preserve"> sprejet ob predstavitvi analize, je predvideval sprejem treh strategij</w:t>
      </w:r>
      <w:r w:rsidR="00BD17B2">
        <w:t xml:space="preserve">: </w:t>
      </w:r>
      <w:r w:rsidRPr="00630424">
        <w:t>strategij</w:t>
      </w:r>
      <w:r w:rsidR="00F03DA8">
        <w:t>o</w:t>
      </w:r>
      <w:r w:rsidRPr="00630424">
        <w:t xml:space="preserve"> migracij,</w:t>
      </w:r>
      <w:r w:rsidR="00FA55B6">
        <w:t xml:space="preserve"> </w:t>
      </w:r>
      <w:r w:rsidRPr="00630424">
        <w:t>družinske politike in dolgožive družbe.</w:t>
      </w:r>
      <w:r w:rsidR="004964C0">
        <w:t xml:space="preserve"> </w:t>
      </w:r>
      <w:r w:rsidRPr="00630424">
        <w:t>Tako analiza UMAR kot SDD sta poudarjali, da demografske spremembe zahteva</w:t>
      </w:r>
      <w:r w:rsidR="00E952FF">
        <w:t>jo</w:t>
      </w:r>
      <w:r w:rsidRPr="00630424">
        <w:t xml:space="preserve"> prilagoditev obstoječih sistemov in ureditev</w:t>
      </w:r>
      <w:r w:rsidR="001F6860">
        <w:t>, kar bi omogočilo</w:t>
      </w:r>
      <w:r w:rsidRPr="00630424">
        <w:t xml:space="preserve"> </w:t>
      </w:r>
      <w:r w:rsidR="001F6860">
        <w:t xml:space="preserve">čim večjo izkoriščenost </w:t>
      </w:r>
      <w:r w:rsidRPr="00630424">
        <w:t xml:space="preserve">zmogljivosti spremenjene demografske strukture. </w:t>
      </w:r>
      <w:r w:rsidR="001F6860">
        <w:t>P</w:t>
      </w:r>
      <w:r w:rsidR="001F6860" w:rsidRPr="00630424">
        <w:t xml:space="preserve">rilagoditve </w:t>
      </w:r>
      <w:r w:rsidR="001F6860">
        <w:t xml:space="preserve">so potrebne </w:t>
      </w:r>
      <w:r w:rsidR="001F6860" w:rsidRPr="00630424">
        <w:t>na številnih področjih</w:t>
      </w:r>
      <w:r w:rsidR="00960C7D">
        <w:t xml:space="preserve"> – </w:t>
      </w:r>
      <w:r w:rsidR="001F6860" w:rsidRPr="00630424">
        <w:t>trg dela, izobraževanj</w:t>
      </w:r>
      <w:r w:rsidR="001F6860">
        <w:t>e</w:t>
      </w:r>
      <w:r w:rsidR="001F6860" w:rsidRPr="00630424">
        <w:t xml:space="preserve"> in usposabljanj</w:t>
      </w:r>
      <w:r w:rsidR="001F6860">
        <w:t>e</w:t>
      </w:r>
      <w:r w:rsidR="001F6860" w:rsidRPr="00630424">
        <w:t>, uredit</w:t>
      </w:r>
      <w:r w:rsidR="001F6860">
        <w:t>e</w:t>
      </w:r>
      <w:r w:rsidR="001F6860" w:rsidRPr="00630424">
        <w:t>v sistemov socialne zaščite, bivaln</w:t>
      </w:r>
      <w:r w:rsidR="001F6860">
        <w:t xml:space="preserve">o </w:t>
      </w:r>
      <w:r w:rsidR="001F6860" w:rsidRPr="00630424">
        <w:t>in delovn</w:t>
      </w:r>
      <w:r w:rsidR="001F6860">
        <w:t>o</w:t>
      </w:r>
      <w:r w:rsidR="001F6860" w:rsidRPr="00630424">
        <w:t xml:space="preserve"> okolj</w:t>
      </w:r>
      <w:r w:rsidR="001F6860">
        <w:t>e</w:t>
      </w:r>
      <w:r w:rsidR="001F6860" w:rsidRPr="00630424">
        <w:t xml:space="preserve"> ter civiln</w:t>
      </w:r>
      <w:r w:rsidR="001F6860">
        <w:t>o</w:t>
      </w:r>
      <w:r w:rsidR="001F6860" w:rsidRPr="00630424">
        <w:t xml:space="preserve"> in političn</w:t>
      </w:r>
      <w:r w:rsidR="001F6860">
        <w:t>o</w:t>
      </w:r>
      <w:r w:rsidR="001F6860" w:rsidRPr="00630424">
        <w:t xml:space="preserve"> udejstvovanj</w:t>
      </w:r>
      <w:r w:rsidR="001F6860">
        <w:t>e</w:t>
      </w:r>
      <w:r w:rsidR="00960C7D">
        <w:t xml:space="preserve"> –</w:t>
      </w:r>
      <w:r w:rsidR="001F6860">
        <w:t xml:space="preserve"> saj je treba</w:t>
      </w:r>
      <w:r w:rsidR="001F6860" w:rsidRPr="00630424">
        <w:t xml:space="preserve"> </w:t>
      </w:r>
      <w:r w:rsidRPr="00630424">
        <w:t xml:space="preserve">ustvariti možnosti in priložnosti za kakovostno življenje in staranje vseh generacij </w:t>
      </w:r>
      <w:r w:rsidRPr="00630424">
        <w:fldChar w:fldCharType="begin"/>
      </w:r>
      <w:r w:rsidRPr="00630424">
        <w:instrText xml:space="preserve"> ADDIN ZOTERO_ITEM CSL_CITATION {"citationID":"Zh0fGSTE","properties":{"formattedCitation":"(Bedna\\uc0\\u353{}. M. in Kajzer, A.(Ured.), 2017)","plainCitation":"(Bednaš. M. in Kajzer, A.(Ured.), 2017)","dontUpdate":true,"noteIndex":0},"citationItems":[{"id":3593,"uris":["http://zotero.org/users/8351010/items/4QVB2TCS"],"itemData":{"id":3593,"type":"report","event-place":"Ljubljana","publisher":"Urad RS za makroekonomske analize in razvij in Minstrstvo za delo, družino in socilane zadeve","publisher-place":"Ljubljana","title":"Strategija dolgožive družbe","URL":"https://www.umar.gov.si/fileadmin/user_upload/publikacije/kratke_analize/Strategija_dolgozive_druzbe/Strategija_dolgozive_druzbe.pdf","author":[{"literal":"Bednaš. M. in Kajzer, A.(Ured.)"}],"issued":{"date-parts":[["2017"]]}}}],"schema":"https://github.com/citation-style-language/schema/raw/master/csl-citation.json"} </w:instrText>
      </w:r>
      <w:r w:rsidRPr="00630424">
        <w:fldChar w:fldCharType="separate"/>
      </w:r>
      <w:r w:rsidRPr="00630424">
        <w:t>(Bednaš. M. in Kajzer, A. (ured.), 2017)</w:t>
      </w:r>
      <w:r w:rsidRPr="00630424">
        <w:fldChar w:fldCharType="end"/>
      </w:r>
      <w:r w:rsidRPr="00630424">
        <w:t xml:space="preserve">. </w:t>
      </w:r>
    </w:p>
    <w:p w14:paraId="04E78A92" w14:textId="77777777" w:rsidR="00362460" w:rsidRDefault="00362460" w:rsidP="00F3718A">
      <w:pPr>
        <w:pStyle w:val="BesediloUMAR"/>
      </w:pPr>
    </w:p>
    <w:p w14:paraId="4EA4C186" w14:textId="6A46DF9E" w:rsidR="00F3718A" w:rsidRPr="00630424" w:rsidRDefault="00F3718A" w:rsidP="00F3718A">
      <w:pPr>
        <w:pStyle w:val="BesediloUMAR"/>
        <w:rPr>
          <w:highlight w:val="yellow"/>
        </w:rPr>
      </w:pPr>
      <w:r w:rsidRPr="00630424">
        <w:t>S</w:t>
      </w:r>
      <w:r w:rsidR="001F6860">
        <w:t>DD</w:t>
      </w:r>
      <w:r w:rsidRPr="00630424">
        <w:t xml:space="preserve"> vsebuje usmeritve za pripravo ukrepov na </w:t>
      </w:r>
      <w:r w:rsidR="008B2066">
        <w:t xml:space="preserve">štirih </w:t>
      </w:r>
      <w:r w:rsidRPr="00630424">
        <w:t>ključnih področjih oziroma stebrih:</w:t>
      </w:r>
      <w:r w:rsidRPr="00630424">
        <w:rPr>
          <w:highlight w:val="yellow"/>
        </w:rPr>
        <w:t xml:space="preserve"> </w:t>
      </w:r>
    </w:p>
    <w:p w14:paraId="21A104A1" w14:textId="69B6FCEA" w:rsidR="00F3718A" w:rsidRPr="00630424" w:rsidRDefault="00F3718A" w:rsidP="00362460">
      <w:pPr>
        <w:pStyle w:val="BesediloUMAR"/>
        <w:ind w:left="426" w:hanging="426"/>
      </w:pPr>
      <w:r w:rsidRPr="00630424">
        <w:t>(i)</w:t>
      </w:r>
      <w:r w:rsidR="00362460">
        <w:tab/>
      </w:r>
      <w:r w:rsidRPr="00630424">
        <w:rPr>
          <w:i/>
          <w:iCs/>
        </w:rPr>
        <w:t>Trg dela in izobraževanje</w:t>
      </w:r>
      <w:r w:rsidRPr="00630424">
        <w:t xml:space="preserve"> (prilagoditve na trgu dela, vključno z izobraževanjem in usposabljanjem,</w:t>
      </w:r>
      <w:r w:rsidR="008B2066">
        <w:t xml:space="preserve"> spodbujanje vseživljeskega učenja in</w:t>
      </w:r>
      <w:r w:rsidRPr="00630424">
        <w:t xml:space="preserve"> spodbujanje priseljevanja tuje delovne sile).</w:t>
      </w:r>
    </w:p>
    <w:p w14:paraId="393B4AE3" w14:textId="3E3145FC" w:rsidR="00F3718A" w:rsidRPr="00630424" w:rsidRDefault="00F3718A" w:rsidP="00362460">
      <w:pPr>
        <w:pStyle w:val="BesediloUMAR"/>
        <w:ind w:left="426" w:hanging="426"/>
      </w:pPr>
      <w:r w:rsidRPr="00630424">
        <w:t>(ii)</w:t>
      </w:r>
      <w:r w:rsidR="00362460">
        <w:tab/>
      </w:r>
      <w:r w:rsidRPr="00630424">
        <w:rPr>
          <w:i/>
          <w:iCs/>
        </w:rPr>
        <w:t>Samostojno, zdravo in varno življenje vseh generacij</w:t>
      </w:r>
      <w:r w:rsidRPr="00630424">
        <w:t xml:space="preserve"> (sistemi socialne zaščite, dostopnost do zdravstvenih storitev in dolgotrajne oskrbe, skrb za zdravje, zmanjševanje neenakosti v zdravju).</w:t>
      </w:r>
    </w:p>
    <w:p w14:paraId="32B4BB5C" w14:textId="0356B1FD" w:rsidR="00F3718A" w:rsidRPr="00630424" w:rsidRDefault="00F3718A" w:rsidP="00362460">
      <w:pPr>
        <w:pStyle w:val="BesediloUMAR"/>
        <w:ind w:left="426" w:hanging="426"/>
      </w:pPr>
      <w:r w:rsidRPr="00630424">
        <w:t>(iii)</w:t>
      </w:r>
      <w:r w:rsidR="00362460">
        <w:tab/>
      </w:r>
      <w:r w:rsidRPr="00630424">
        <w:rPr>
          <w:i/>
          <w:iCs/>
        </w:rPr>
        <w:t>Vključenost v družbo</w:t>
      </w:r>
      <w:r w:rsidRPr="00630424">
        <w:t xml:space="preserve"> (medgeneracijsko sodelovanje, prostovoljstvo, uporaba IKT za komunikacijo, preprečevanje diskriminacije in nasilja v družbi, politično udejstvovanje).</w:t>
      </w:r>
    </w:p>
    <w:p w14:paraId="5A848A8B" w14:textId="40F143D6" w:rsidR="00F3718A" w:rsidRPr="00630424" w:rsidRDefault="00F3718A" w:rsidP="00362460">
      <w:pPr>
        <w:pStyle w:val="BesediloUMAR"/>
        <w:ind w:left="426" w:hanging="426"/>
      </w:pPr>
      <w:r w:rsidRPr="00630424">
        <w:t>(iv)</w:t>
      </w:r>
      <w:r w:rsidR="00362460">
        <w:tab/>
      </w:r>
      <w:r w:rsidRPr="00630424">
        <w:rPr>
          <w:i/>
          <w:iCs/>
        </w:rPr>
        <w:t>Oblikovanje okolja za aktivnost v celotnem življenju</w:t>
      </w:r>
      <w:r w:rsidRPr="00630424">
        <w:t xml:space="preserve"> (prilagoditve v gospodarstvu, </w:t>
      </w:r>
      <w:r w:rsidR="00B511F2">
        <w:t xml:space="preserve">prilagoditve </w:t>
      </w:r>
      <w:r w:rsidRPr="00630424">
        <w:t>bivalnih razmer in prometne ureditve s podporo IKT in tehnoloških rešitev)</w:t>
      </w:r>
      <w:r w:rsidR="006344F9">
        <w:t>.</w:t>
      </w:r>
    </w:p>
    <w:p w14:paraId="29C3D355" w14:textId="77777777" w:rsidR="00F3718A" w:rsidRPr="00630424" w:rsidRDefault="00F3718A" w:rsidP="00F3718A">
      <w:pPr>
        <w:pStyle w:val="BesediloUMAR"/>
      </w:pPr>
    </w:p>
    <w:p w14:paraId="588F3FBD" w14:textId="70D08B36" w:rsidR="00F3718A" w:rsidRPr="00630424" w:rsidRDefault="00F3718A" w:rsidP="00F3718A">
      <w:pPr>
        <w:pStyle w:val="BesediloUMAR"/>
      </w:pPr>
      <w:r w:rsidRPr="006D5FC6">
        <w:rPr>
          <w:b/>
        </w:rPr>
        <w:t xml:space="preserve">Šest let po sprejemu SDD v tem prispevku analiziramo spremembe </w:t>
      </w:r>
      <w:r w:rsidR="001F6860" w:rsidRPr="006D5FC6">
        <w:rPr>
          <w:b/>
        </w:rPr>
        <w:t xml:space="preserve">izhodiščnega stanja </w:t>
      </w:r>
      <w:r w:rsidRPr="006D5FC6">
        <w:rPr>
          <w:b/>
        </w:rPr>
        <w:t>po letu 2015 na področjih, ki jih SDD izpostavlja kot področja ukrepanja.</w:t>
      </w:r>
      <w:r w:rsidRPr="00630424">
        <w:t xml:space="preserve"> Namen</w:t>
      </w:r>
      <w:r w:rsidR="00E732F8">
        <w:t xml:space="preserve"> </w:t>
      </w:r>
      <w:r w:rsidR="00A420E5">
        <w:t>analize</w:t>
      </w:r>
      <w:r w:rsidR="00FA55B6">
        <w:t xml:space="preserve"> </w:t>
      </w:r>
      <w:r w:rsidRPr="00630424">
        <w:t xml:space="preserve">je </w:t>
      </w:r>
      <w:r>
        <w:t xml:space="preserve">na podlagi novejših podatkov </w:t>
      </w:r>
      <w:r w:rsidR="001F6860">
        <w:t>ponovno opozoriti na</w:t>
      </w:r>
      <w:r w:rsidR="001F6860" w:rsidRPr="00630424">
        <w:t xml:space="preserve"> </w:t>
      </w:r>
      <w:r w:rsidRPr="00630424">
        <w:t xml:space="preserve">posledice demografskih sprememb </w:t>
      </w:r>
      <w:r w:rsidR="00C86DBC">
        <w:t>in</w:t>
      </w:r>
      <w:r>
        <w:t xml:space="preserve"> </w:t>
      </w:r>
      <w:r w:rsidRPr="00630424">
        <w:t>nujnost odzivanja na</w:t>
      </w:r>
      <w:r w:rsidR="006236C4">
        <w:t>nje.</w:t>
      </w:r>
      <w:r w:rsidRPr="00630424">
        <w:t xml:space="preserve"> V prvem poglavju </w:t>
      </w:r>
      <w:r w:rsidR="00563809">
        <w:t xml:space="preserve">predstavimo </w:t>
      </w:r>
      <w:r w:rsidRPr="00630424">
        <w:t>demografska gibanja v obdobju 2015</w:t>
      </w:r>
      <w:r w:rsidR="004E27FA">
        <w:t>–</w:t>
      </w:r>
      <w:r w:rsidRPr="00630424">
        <w:t>2022 in zadnje</w:t>
      </w:r>
      <w:r w:rsidR="006236C4">
        <w:t xml:space="preserve"> razpoložljive</w:t>
      </w:r>
      <w:r w:rsidRPr="00630424">
        <w:t xml:space="preserve"> demografske projekcije do leta 20</w:t>
      </w:r>
      <w:r>
        <w:t>50</w:t>
      </w:r>
      <w:r w:rsidRPr="00630424">
        <w:t xml:space="preserve"> ter njihov vpliv na ponudbo delovne sile. </w:t>
      </w:r>
      <w:r>
        <w:t>Sledi predstavitev</w:t>
      </w:r>
      <w:r w:rsidRPr="00630424">
        <w:t xml:space="preserve"> sprememb </w:t>
      </w:r>
      <w:r w:rsidR="004E5079">
        <w:t>izhodiš</w:t>
      </w:r>
      <w:r w:rsidR="004E27FA">
        <w:t>č</w:t>
      </w:r>
      <w:r w:rsidR="004E5079">
        <w:t xml:space="preserve">nega stanja SDD </w:t>
      </w:r>
      <w:r w:rsidRPr="00630424">
        <w:t>na področjih posameznih stebrov s pomočjo izbranih kazalnikov</w:t>
      </w:r>
      <w:r>
        <w:t xml:space="preserve">. </w:t>
      </w:r>
      <w:r w:rsidRPr="00630424">
        <w:t>V drugem poglavju so predstavljena gibanja na trgu dela</w:t>
      </w:r>
      <w:r w:rsidR="006745CB">
        <w:t xml:space="preserve">, </w:t>
      </w:r>
      <w:r w:rsidRPr="00630424">
        <w:t xml:space="preserve">predvsem gibanja delovne aktivnosti starejših, ki </w:t>
      </w:r>
      <w:r w:rsidR="004E5079">
        <w:t>so</w:t>
      </w:r>
      <w:r w:rsidRPr="00630424">
        <w:t xml:space="preserve"> pomembna </w:t>
      </w:r>
      <w:r w:rsidR="00E732F8">
        <w:t xml:space="preserve">za javnofinančno </w:t>
      </w:r>
      <w:r w:rsidRPr="00630424">
        <w:t xml:space="preserve">vzdržnost sistemov socialne zaščite </w:t>
      </w:r>
      <w:r>
        <w:t xml:space="preserve">in </w:t>
      </w:r>
      <w:r w:rsidRPr="00630424">
        <w:t xml:space="preserve">dostojno življenje, </w:t>
      </w:r>
      <w:r w:rsidR="00485403">
        <w:t>ter</w:t>
      </w:r>
      <w:r w:rsidRPr="00630424">
        <w:t xml:space="preserve"> </w:t>
      </w:r>
      <w:r>
        <w:t xml:space="preserve">gibanja </w:t>
      </w:r>
      <w:r w:rsidRPr="00630424">
        <w:t>na področju vseživljenjskega učenja. V tretjem poglavju prikazujemo stanje</w:t>
      </w:r>
      <w:r w:rsidR="00673674">
        <w:t xml:space="preserve"> in gibanja</w:t>
      </w:r>
      <w:r w:rsidRPr="00630424">
        <w:t xml:space="preserve"> na področju </w:t>
      </w:r>
      <w:r w:rsidR="00B511F2">
        <w:t>javnih izdatkov za pos</w:t>
      </w:r>
      <w:r w:rsidR="008B2066">
        <w:t>a</w:t>
      </w:r>
      <w:r w:rsidR="00B511F2">
        <w:t>mezna področja sistemov</w:t>
      </w:r>
      <w:r w:rsidR="003D666E">
        <w:t xml:space="preserve"> </w:t>
      </w:r>
      <w:r w:rsidR="00B511F2">
        <w:t>socialne z</w:t>
      </w:r>
      <w:r w:rsidR="00673674">
        <w:t>a</w:t>
      </w:r>
      <w:r w:rsidR="00B511F2">
        <w:t>ščite in</w:t>
      </w:r>
      <w:r w:rsidR="003D666E">
        <w:t xml:space="preserve"> </w:t>
      </w:r>
      <w:r w:rsidR="00673674">
        <w:t>njihove</w:t>
      </w:r>
      <w:r w:rsidR="003D666E">
        <w:t xml:space="preserve"> </w:t>
      </w:r>
      <w:r w:rsidRPr="00630424">
        <w:t>javnofinančne vzdržnosti</w:t>
      </w:r>
      <w:r w:rsidR="003D666E">
        <w:t xml:space="preserve"> </w:t>
      </w:r>
      <w:r w:rsidR="00B511F2">
        <w:t>ter</w:t>
      </w:r>
      <w:r w:rsidR="003D666E">
        <w:t xml:space="preserve"> </w:t>
      </w:r>
      <w:r w:rsidR="00E64152">
        <w:t xml:space="preserve">na področju </w:t>
      </w:r>
      <w:r w:rsidRPr="00630424">
        <w:t>zdravja</w:t>
      </w:r>
      <w:r w:rsidR="00577DA4">
        <w:t xml:space="preserve"> prebivalstva</w:t>
      </w:r>
      <w:r w:rsidRPr="00630424">
        <w:t xml:space="preserve">. </w:t>
      </w:r>
      <w:r w:rsidR="00634816">
        <w:t>Četrto poglavje posvetimo</w:t>
      </w:r>
      <w:r>
        <w:t xml:space="preserve"> </w:t>
      </w:r>
      <w:r w:rsidRPr="00630424">
        <w:t>stanj</w:t>
      </w:r>
      <w:r w:rsidR="00634816">
        <w:t>u</w:t>
      </w:r>
      <w:r w:rsidRPr="00630424">
        <w:t xml:space="preserve"> na področju vključenosti v družbo</w:t>
      </w:r>
      <w:r>
        <w:t xml:space="preserve">, </w:t>
      </w:r>
      <w:r w:rsidRPr="00630424">
        <w:t xml:space="preserve">v petem </w:t>
      </w:r>
      <w:r>
        <w:t xml:space="preserve">pa </w:t>
      </w:r>
      <w:r w:rsidRPr="00630424">
        <w:t>stanj</w:t>
      </w:r>
      <w:r w:rsidR="00634816">
        <w:t>u</w:t>
      </w:r>
      <w:r w:rsidRPr="00630424">
        <w:t xml:space="preserve"> na področju oblikovanja okolja za aktivno staranje. </w:t>
      </w:r>
      <w:r>
        <w:t>V</w:t>
      </w:r>
      <w:r w:rsidRPr="00630424">
        <w:t xml:space="preserve"> zaključ</w:t>
      </w:r>
      <w:r>
        <w:t xml:space="preserve">ku ponovno </w:t>
      </w:r>
      <w:r w:rsidRPr="00630424">
        <w:t>izposta</w:t>
      </w:r>
      <w:r w:rsidR="00634816">
        <w:t>vimo</w:t>
      </w:r>
      <w:r>
        <w:t xml:space="preserve"> </w:t>
      </w:r>
      <w:r w:rsidR="008B2066">
        <w:t xml:space="preserve">ključne </w:t>
      </w:r>
      <w:r w:rsidRPr="00630424">
        <w:t>izzive</w:t>
      </w:r>
      <w:r w:rsidR="00E64152">
        <w:t xml:space="preserve"> odzivanja na demografske spremembe</w:t>
      </w:r>
      <w:r w:rsidR="008B2066">
        <w:t xml:space="preserve"> in spremembe na področjih SDD.</w:t>
      </w:r>
      <w:r w:rsidR="00E64152">
        <w:t xml:space="preserve"> </w:t>
      </w:r>
    </w:p>
    <w:p w14:paraId="3E40209C" w14:textId="77777777" w:rsidR="00407C0D" w:rsidRDefault="00407C0D" w:rsidP="00407C0D">
      <w:pPr>
        <w:pStyle w:val="BesediloUMAR"/>
      </w:pPr>
    </w:p>
    <w:p w14:paraId="080BB7C5" w14:textId="5089237C" w:rsidR="00F3718A" w:rsidRPr="00362460" w:rsidRDefault="00F3718A" w:rsidP="00362460">
      <w:pPr>
        <w:pStyle w:val="Heading1"/>
      </w:pPr>
      <w:bookmarkStart w:id="4" w:name="_Hlk138748207"/>
      <w:bookmarkEnd w:id="1"/>
      <w:bookmarkEnd w:id="2"/>
      <w:bookmarkEnd w:id="3"/>
      <w:r w:rsidRPr="00362460">
        <w:lastRenderedPageBreak/>
        <w:t xml:space="preserve">Demografska gibanja in vpliv na trg dela </w:t>
      </w:r>
    </w:p>
    <w:p w14:paraId="05AF8E18" w14:textId="77777777" w:rsidR="00362460" w:rsidRPr="006D5FC6" w:rsidRDefault="00362460" w:rsidP="006D5FC6">
      <w:pPr>
        <w:pStyle w:val="BesediloUMAR"/>
        <w:rPr>
          <w:rStyle w:val="BoldpoudarekUMAR"/>
          <w:b w:val="0"/>
        </w:rPr>
      </w:pPr>
    </w:p>
    <w:p w14:paraId="3B969949" w14:textId="5DCC957E" w:rsidR="00F3718A" w:rsidRPr="00362460" w:rsidRDefault="00F3718A" w:rsidP="00362460">
      <w:pPr>
        <w:pStyle w:val="BesediloUMAR"/>
      </w:pPr>
      <w:r w:rsidRPr="006D5FC6">
        <w:rPr>
          <w:b/>
        </w:rPr>
        <w:t>V Sloveniji smo bili v zadnjem desetletju priča hitremu staranju prebivalstva.</w:t>
      </w:r>
      <w:r w:rsidRPr="006D5FC6">
        <w:t xml:space="preserve"> Delež</w:t>
      </w:r>
      <w:r w:rsidRPr="009D62A6">
        <w:t xml:space="preserve"> starejših od 65 let se je od osamosvojitve do danes podvojil, hitro pa se je povečeval tudi v zadnj</w:t>
      </w:r>
      <w:r w:rsidR="00BD17B2" w:rsidRPr="009D62A6">
        <w:t>em</w:t>
      </w:r>
      <w:r w:rsidRPr="009D62A6">
        <w:t xml:space="preserve"> desetletju </w:t>
      </w:r>
      <w:r w:rsidR="00BD17B2" w:rsidRPr="009D62A6">
        <w:t xml:space="preserve">in po letu 2015 </w:t>
      </w:r>
      <w:r w:rsidR="00D12C15">
        <w:br/>
      </w:r>
      <w:r w:rsidRPr="009D62A6">
        <w:t>(gl. slik</w:t>
      </w:r>
      <w:r w:rsidR="00DD7D15">
        <w:t>o</w:t>
      </w:r>
      <w:r w:rsidRPr="009D62A6">
        <w:t xml:space="preserve"> 1). Od začetka 2015 do začetka </w:t>
      </w:r>
      <w:r w:rsidR="00F16227">
        <w:t xml:space="preserve">lanskega </w:t>
      </w:r>
      <w:r w:rsidRPr="009D62A6">
        <w:t>leta se je število prebivalcev v najbolj aktivni dobi (20</w:t>
      </w:r>
      <w:r w:rsidR="00717734">
        <w:t>–</w:t>
      </w:r>
      <w:r w:rsidRPr="009D62A6">
        <w:t>64 let) zmanjšalo za 45 tisoč, kar je ob povečanem povpraševanju po delovni sili v letih 2021 in 2022 povzročalo težave podjetij pri iskanju delavcev</w:t>
      </w:r>
      <w:r w:rsidR="00256A4B">
        <w:t>.</w:t>
      </w:r>
      <w:r w:rsidRPr="009D62A6">
        <w:t xml:space="preserve"> </w:t>
      </w:r>
    </w:p>
    <w:p w14:paraId="1B834F8D" w14:textId="0C38A596" w:rsidR="00F3718A" w:rsidRPr="00362460" w:rsidRDefault="00362460" w:rsidP="00362460">
      <w:pPr>
        <w:pStyle w:val="Caption"/>
      </w:pPr>
      <w:r>
        <w:t xml:space="preserve">Slika </w:t>
      </w:r>
      <w:r>
        <w:fldChar w:fldCharType="begin"/>
      </w:r>
      <w:r>
        <w:instrText xml:space="preserve"> SEQ Slika \* ARABIC </w:instrText>
      </w:r>
      <w:r>
        <w:fldChar w:fldCharType="separate"/>
      </w:r>
      <w:r w:rsidR="005A41AB">
        <w:t>1</w:t>
      </w:r>
      <w:r>
        <w:fldChar w:fldCharType="end"/>
      </w:r>
      <w:r w:rsidR="00F3718A" w:rsidRPr="00362460">
        <w:t>: Spremembe v starostni strukturi prebivalstva v obdobju 2010</w:t>
      </w:r>
      <w:r w:rsidR="00251572">
        <w:t>–</w:t>
      </w:r>
      <w:r w:rsidR="00F3718A" w:rsidRPr="00362460">
        <w:t>2022</w:t>
      </w:r>
    </w:p>
    <w:p w14:paraId="178F9962" w14:textId="4A29119E" w:rsidR="00F3718A" w:rsidRDefault="00912E6D" w:rsidP="009D62A6">
      <w:pPr>
        <w:spacing w:after="0"/>
        <w:rPr>
          <w:b/>
          <w:bCs/>
        </w:rPr>
      </w:pPr>
      <w:r w:rsidRPr="00912E6D">
        <w:rPr>
          <w:noProof/>
        </w:rPr>
        <w:drawing>
          <wp:inline distT="0" distB="0" distL="0" distR="0" wp14:anchorId="11FF9507" wp14:editId="32DEA588">
            <wp:extent cx="5759450" cy="20943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94345"/>
                    </a:xfrm>
                    <a:prstGeom prst="rect">
                      <a:avLst/>
                    </a:prstGeom>
                    <a:noFill/>
                    <a:ln>
                      <a:noFill/>
                    </a:ln>
                  </pic:spPr>
                </pic:pic>
              </a:graphicData>
            </a:graphic>
          </wp:inline>
        </w:drawing>
      </w:r>
    </w:p>
    <w:p w14:paraId="7AFC112D" w14:textId="7E13433D" w:rsidR="00F3718A" w:rsidRDefault="00F3718A" w:rsidP="003672FA">
      <w:pPr>
        <w:pStyle w:val="VirUMAR"/>
      </w:pPr>
      <w:r w:rsidRPr="003672FA">
        <w:t xml:space="preserve">Vir: </w:t>
      </w:r>
      <w:r w:rsidRPr="003672FA">
        <w:fldChar w:fldCharType="begin"/>
      </w:r>
      <w:r w:rsidRPr="003672FA">
        <w:instrText xml:space="preserve"> ADDIN ZOTERO_ITEM CSL_CITATION {"citationID":"KQ1z0xSf","properties":{"formattedCitation":"(SURS, b. d.)","plainCitation":"(SURS, b. d.)","dontUpdate":true,"noteIndex":0},"citationItems":[{"id":3752,"uris":["http://zotero.org/users/8351010/items/GTIBKPED"],"itemData":{"id":3752,"type":"report","event-place":"Ljubljana","publisher-place":"Ljubljana","title":"Podatkovna baza SI-STAT","URL":"https://pxweb.stat.si/SiStat/sl","author":[{"literal":"SURS"}]}}],"schema":"https://github.com/citation-style-language/schema/raw/master/csl-citation.json"} </w:instrText>
      </w:r>
      <w:r w:rsidRPr="003672FA">
        <w:fldChar w:fldCharType="separate"/>
      </w:r>
      <w:r w:rsidRPr="003672FA">
        <w:t>SURS</w:t>
      </w:r>
      <w:r w:rsidR="003672FA">
        <w:t xml:space="preserve"> </w:t>
      </w:r>
      <w:r w:rsidRPr="003672FA">
        <w:t>(2023)</w:t>
      </w:r>
      <w:r w:rsidRPr="003672FA">
        <w:fldChar w:fldCharType="end"/>
      </w:r>
      <w:r w:rsidRPr="003672FA">
        <w:t>,</w:t>
      </w:r>
      <w:r w:rsidR="00FA55B6" w:rsidRPr="003672FA">
        <w:t xml:space="preserve"> </w:t>
      </w:r>
      <w:r w:rsidRPr="003672FA">
        <w:t>preračuni UMAR</w:t>
      </w:r>
      <w:r w:rsidR="003672FA">
        <w:t>.</w:t>
      </w:r>
    </w:p>
    <w:p w14:paraId="4407754B" w14:textId="77777777" w:rsidR="00C659C1" w:rsidRPr="003672FA" w:rsidRDefault="00C659C1" w:rsidP="003672FA">
      <w:pPr>
        <w:pStyle w:val="VirUMAR"/>
      </w:pPr>
    </w:p>
    <w:p w14:paraId="696DA1C1" w14:textId="77777777" w:rsidR="009D62A6" w:rsidRDefault="009D62A6" w:rsidP="00C659C1">
      <w:pPr>
        <w:pStyle w:val="VirUMAR"/>
      </w:pPr>
    </w:p>
    <w:p w14:paraId="33965B5A" w14:textId="73CB3CC2" w:rsidR="0069486F" w:rsidRPr="009D62A6" w:rsidRDefault="008E2BF8" w:rsidP="009D62A6">
      <w:pPr>
        <w:pStyle w:val="BesediloUMAR"/>
      </w:pPr>
      <w:bookmarkStart w:id="5" w:name="_Hlk143241080"/>
      <w:r>
        <w:rPr>
          <w:b/>
        </w:rPr>
        <w:t xml:space="preserve">Po demografskih projekcijah </w:t>
      </w:r>
      <w:r w:rsidR="00F3718A" w:rsidRPr="006D5FC6">
        <w:rPr>
          <w:b/>
        </w:rPr>
        <w:t>se bo staranje prebivalstva intenzivno nadaljevalo tudi v prihodnjih desetletjih.</w:t>
      </w:r>
      <w:r w:rsidR="00F3718A" w:rsidRPr="009D62A6">
        <w:t xml:space="preserve"> Demografske projekcije (EUROPOP202</w:t>
      </w:r>
      <w:r w:rsidR="00577DA4">
        <w:t>3</w:t>
      </w:r>
      <w:r w:rsidR="00F3718A" w:rsidRPr="009D62A6">
        <w:t xml:space="preserve">) za Slovenijo kažejo, da se bo delež starejših od 65 let </w:t>
      </w:r>
      <w:r w:rsidR="00B05C88">
        <w:t xml:space="preserve">pri nas </w:t>
      </w:r>
      <w:r w:rsidR="00F3718A" w:rsidRPr="009D62A6">
        <w:t>do leta 2050 povečal nad 30 % (gl. slik</w:t>
      </w:r>
      <w:r w:rsidR="00DD7D15">
        <w:t>o</w:t>
      </w:r>
      <w:r w:rsidR="00F3718A" w:rsidRPr="009D62A6">
        <w:t xml:space="preserve"> 2).</w:t>
      </w:r>
      <w:r w:rsidR="000D7AF1">
        <w:t xml:space="preserve"> </w:t>
      </w:r>
      <w:r w:rsidR="00F3718A" w:rsidRPr="009D62A6">
        <w:t>Hkrati se bo močno zmanjšal delež prebivalstva v najbolj aktivni dobi (20</w:t>
      </w:r>
      <w:r w:rsidR="00F83DE2">
        <w:t>–</w:t>
      </w:r>
      <w:r w:rsidR="00F3718A" w:rsidRPr="009D62A6">
        <w:t>64 let)</w:t>
      </w:r>
      <w:r w:rsidR="009D62A6" w:rsidRPr="009D62A6">
        <w:t>.</w:t>
      </w:r>
      <w:r w:rsidR="009D62A6" w:rsidRPr="003D666E">
        <w:rPr>
          <w:rStyle w:val="FootnoteReference"/>
          <w:sz w:val="20"/>
        </w:rPr>
        <w:footnoteReference w:id="3"/>
      </w:r>
      <w:r w:rsidR="00F3718A" w:rsidRPr="009D62A6">
        <w:t xml:space="preserve"> V skladu z demografskimi projekcijami se bo do leta 2030 število starejših od 65 let povečalo za 82 tisoč, do leta 2050 pa </w:t>
      </w:r>
      <w:r w:rsidR="00F83DE2" w:rsidRPr="009D62A6">
        <w:t>v primerjavi z letom 2020</w:t>
      </w:r>
      <w:r w:rsidR="00F83DE2">
        <w:t xml:space="preserve"> </w:t>
      </w:r>
      <w:r w:rsidR="00E524A5">
        <w:t xml:space="preserve">pa za </w:t>
      </w:r>
      <w:r w:rsidR="00F3718A" w:rsidRPr="009D62A6">
        <w:t>skoraj 206 tisoč. Takšne demografske spremembe zahtevajo prilagoditve na številnih področjih</w:t>
      </w:r>
      <w:r w:rsidR="00577DA4">
        <w:t>, vključno s spremembami načinov financiranja sistemov socialn</w:t>
      </w:r>
      <w:r w:rsidR="00F83DE2">
        <w:t>e</w:t>
      </w:r>
      <w:r w:rsidR="00577DA4">
        <w:t xml:space="preserve"> zaščite.</w:t>
      </w:r>
      <w:bookmarkEnd w:id="5"/>
    </w:p>
    <w:p w14:paraId="34E1AA06" w14:textId="67A75766" w:rsidR="00F3718A" w:rsidRPr="00362460" w:rsidRDefault="00362460" w:rsidP="00362460">
      <w:pPr>
        <w:pStyle w:val="Caption"/>
      </w:pPr>
      <w:r w:rsidRPr="00611105">
        <w:t xml:space="preserve">Slika </w:t>
      </w:r>
      <w:r w:rsidRPr="00611105">
        <w:fldChar w:fldCharType="begin"/>
      </w:r>
      <w:r w:rsidRPr="00611105">
        <w:instrText xml:space="preserve"> SEQ Slika \* ARABIC </w:instrText>
      </w:r>
      <w:r w:rsidRPr="00611105">
        <w:fldChar w:fldCharType="separate"/>
      </w:r>
      <w:r w:rsidR="005A41AB" w:rsidRPr="00611105">
        <w:t>2</w:t>
      </w:r>
      <w:r w:rsidRPr="00611105">
        <w:fldChar w:fldCharType="end"/>
      </w:r>
      <w:r w:rsidRPr="00611105">
        <w:t xml:space="preserve">: </w:t>
      </w:r>
      <w:r w:rsidR="00F3718A" w:rsidRPr="00611105">
        <w:t xml:space="preserve">Starostna struktura prebivalstva </w:t>
      </w:r>
      <w:r w:rsidR="002611DC" w:rsidRPr="00611105">
        <w:t xml:space="preserve">do leta 2050 </w:t>
      </w:r>
      <w:r w:rsidR="00F3718A" w:rsidRPr="00611105">
        <w:t>po demografskih projekcijah EUROPOP 202</w:t>
      </w:r>
      <w:r w:rsidR="000D7AF1" w:rsidRPr="00611105">
        <w:t>3</w:t>
      </w:r>
    </w:p>
    <w:p w14:paraId="701A2187" w14:textId="145637DF" w:rsidR="00F3718A" w:rsidRPr="00FF1E10" w:rsidRDefault="00FF1E10" w:rsidP="00FF1E10">
      <w:pPr>
        <w:pStyle w:val="VirUMAR"/>
        <w:rPr>
          <w:szCs w:val="16"/>
        </w:rPr>
      </w:pPr>
      <w:r w:rsidRPr="00FF1E10">
        <w:rPr>
          <w:noProof/>
        </w:rPr>
        <w:drawing>
          <wp:inline distT="0" distB="0" distL="0" distR="0" wp14:anchorId="2D593AE6" wp14:editId="06841640">
            <wp:extent cx="5759450" cy="2083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083870"/>
                    </a:xfrm>
                    <a:prstGeom prst="rect">
                      <a:avLst/>
                    </a:prstGeom>
                    <a:noFill/>
                    <a:ln>
                      <a:noFill/>
                    </a:ln>
                  </pic:spPr>
                </pic:pic>
              </a:graphicData>
            </a:graphic>
          </wp:inline>
        </w:drawing>
      </w:r>
      <w:r w:rsidR="00F3718A" w:rsidRPr="002F2CDE">
        <w:t xml:space="preserve">Vir: </w:t>
      </w:r>
      <w:r w:rsidR="00F3718A" w:rsidRPr="002F2CDE">
        <w:fldChar w:fldCharType="begin"/>
      </w:r>
      <w:r w:rsidR="00F3718A" w:rsidRPr="002F2CDE">
        <w:instrText xml:space="preserve"> ADDIN ZOTERO_ITEM CSL_CITATION {"citationID":"nwARIHvH","properties":{"formattedCitation":"(Eurostat,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00F3718A" w:rsidRPr="002F2CDE">
        <w:fldChar w:fldCharType="separate"/>
      </w:r>
      <w:r w:rsidR="00F3718A" w:rsidRPr="002F2CDE">
        <w:t>Eurostat (2023)</w:t>
      </w:r>
      <w:r w:rsidR="00F3718A" w:rsidRPr="002F2CDE">
        <w:fldChar w:fldCharType="end"/>
      </w:r>
      <w:r w:rsidR="00F3718A" w:rsidRPr="002F2CDE">
        <w:t>, preračuni UMAR</w:t>
      </w:r>
      <w:r w:rsidR="003672FA" w:rsidRPr="002F2CDE">
        <w:t>.</w:t>
      </w:r>
    </w:p>
    <w:p w14:paraId="24B019A6" w14:textId="4517854E" w:rsidR="002F63D4" w:rsidRPr="00FD1851" w:rsidRDefault="00F3718A" w:rsidP="002F63D4">
      <w:pPr>
        <w:pStyle w:val="BesediloUMAR"/>
        <w:rPr>
          <w:lang w:eastAsia="ko-KR"/>
        </w:rPr>
      </w:pPr>
      <w:bookmarkStart w:id="6" w:name="_Hlk143260917"/>
      <w:r w:rsidRPr="006D5FC6">
        <w:rPr>
          <w:b/>
        </w:rPr>
        <w:lastRenderedPageBreak/>
        <w:t>Brez razmeroma visokega selitvenega prirasta bo nemogoče zagotoviti nadaljnjo</w:t>
      </w:r>
      <w:r w:rsidR="00FA55B6" w:rsidRPr="006D5FC6">
        <w:rPr>
          <w:b/>
        </w:rPr>
        <w:t xml:space="preserve"> </w:t>
      </w:r>
      <w:r w:rsidRPr="006D5FC6">
        <w:rPr>
          <w:b/>
        </w:rPr>
        <w:t>rast delovno aktivnega prebivalstva.</w:t>
      </w:r>
      <w:r w:rsidRPr="005C6CC2">
        <w:rPr>
          <w:lang w:eastAsia="ko-KR"/>
        </w:rPr>
        <w:t xml:space="preserve"> </w:t>
      </w:r>
      <w:r w:rsidR="002F63D4" w:rsidRPr="00FD1851">
        <w:rPr>
          <w:lang w:eastAsia="ko-KR"/>
        </w:rPr>
        <w:t>Demografske projekcije kažejo, da bi se število prebivalcev ob ničelnih migracijah (brez neto migracij) v obdobju 2023–2030 v povprečju</w:t>
      </w:r>
      <w:r w:rsidR="002F63D4">
        <w:rPr>
          <w:lang w:eastAsia="ko-KR"/>
        </w:rPr>
        <w:t xml:space="preserve"> zmanjšalo</w:t>
      </w:r>
      <w:r w:rsidR="002F63D4" w:rsidRPr="00FD1851">
        <w:rPr>
          <w:lang w:eastAsia="ko-KR"/>
        </w:rPr>
        <w:t xml:space="preserve"> za 10 tisoč oseb na leto</w:t>
      </w:r>
      <w:r w:rsidR="002F63D4">
        <w:rPr>
          <w:lang w:eastAsia="ko-KR"/>
        </w:rPr>
        <w:t xml:space="preserve">, medtem ko bi neto migracije v višini 9 tisoč oseb v veliki meri ublažile upadanje prebivalstva in hkrati </w:t>
      </w:r>
      <w:r w:rsidR="002F63D4" w:rsidRPr="00FD1851">
        <w:rPr>
          <w:lang w:eastAsia="ko-KR"/>
        </w:rPr>
        <w:t>omogočil</w:t>
      </w:r>
      <w:r w:rsidR="002F63D4">
        <w:rPr>
          <w:lang w:eastAsia="ko-KR"/>
        </w:rPr>
        <w:t>e</w:t>
      </w:r>
      <w:r w:rsidR="002F63D4" w:rsidRPr="00FD1851">
        <w:rPr>
          <w:lang w:eastAsia="ko-KR"/>
        </w:rPr>
        <w:t xml:space="preserve"> naraščanje delovno aktivnega prebivalstva v povprečju za okoli tisoč oseb letno. </w:t>
      </w:r>
      <w:r w:rsidR="002F63D4">
        <w:rPr>
          <w:lang w:eastAsia="ko-KR"/>
        </w:rPr>
        <w:t>M</w:t>
      </w:r>
      <w:r w:rsidR="002F63D4" w:rsidRPr="00FD1851">
        <w:rPr>
          <w:lang w:eastAsia="ko-KR"/>
        </w:rPr>
        <w:t xml:space="preserve">anjši neto selitveni pritok od tega </w:t>
      </w:r>
      <w:r w:rsidR="002F63D4">
        <w:rPr>
          <w:lang w:eastAsia="ko-KR"/>
        </w:rPr>
        <w:t xml:space="preserve">bi </w:t>
      </w:r>
      <w:r w:rsidR="002F63D4" w:rsidRPr="00FD1851">
        <w:rPr>
          <w:lang w:eastAsia="ko-KR"/>
        </w:rPr>
        <w:t xml:space="preserve">bistveno povečal težave z zagotavljanjem ustrezne delovne sile in zavrl rast zaposlenosti </w:t>
      </w:r>
      <w:r w:rsidR="00CC1FD8">
        <w:rPr>
          <w:lang w:eastAsia="ko-KR"/>
        </w:rPr>
        <w:t>ter</w:t>
      </w:r>
      <w:r w:rsidR="002F63D4" w:rsidRPr="00FD1851">
        <w:rPr>
          <w:lang w:eastAsia="ko-KR"/>
        </w:rPr>
        <w:t xml:space="preserve"> gospodarsko rast. V letu 2022 je bilo pomanjkanje delovne sile za podjetja že zelo pogosto omejitven</w:t>
      </w:r>
      <w:r w:rsidR="00FF4E3C">
        <w:rPr>
          <w:lang w:eastAsia="ko-KR"/>
        </w:rPr>
        <w:t>i</w:t>
      </w:r>
      <w:r w:rsidR="002F63D4" w:rsidRPr="00FD1851">
        <w:rPr>
          <w:lang w:eastAsia="ko-KR"/>
        </w:rPr>
        <w:t xml:space="preserve"> de</w:t>
      </w:r>
      <w:r w:rsidR="00D812D7">
        <w:rPr>
          <w:lang w:eastAsia="ko-KR"/>
        </w:rPr>
        <w:t>j</w:t>
      </w:r>
      <w:r w:rsidR="002F63D4" w:rsidRPr="00FD1851">
        <w:rPr>
          <w:lang w:eastAsia="ko-KR"/>
        </w:rPr>
        <w:t>avnik proizvodnje.</w:t>
      </w:r>
    </w:p>
    <w:bookmarkEnd w:id="4"/>
    <w:p w14:paraId="4097371C" w14:textId="48E4049D" w:rsidR="00F3718A" w:rsidRPr="00771807" w:rsidRDefault="00362460" w:rsidP="00362460">
      <w:pPr>
        <w:pStyle w:val="Caption"/>
      </w:pPr>
      <w:r w:rsidRPr="00771807">
        <w:t xml:space="preserve">Slika </w:t>
      </w:r>
      <w:r w:rsidRPr="00771807">
        <w:fldChar w:fldCharType="begin"/>
      </w:r>
      <w:r w:rsidRPr="00771807">
        <w:instrText xml:space="preserve"> SEQ Slika \* ARABIC </w:instrText>
      </w:r>
      <w:r w:rsidRPr="00771807">
        <w:fldChar w:fldCharType="separate"/>
      </w:r>
      <w:r w:rsidR="005A41AB" w:rsidRPr="00771807">
        <w:t>3</w:t>
      </w:r>
      <w:r w:rsidRPr="00771807">
        <w:fldChar w:fldCharType="end"/>
      </w:r>
      <w:r w:rsidR="00F3718A" w:rsidRPr="00771807">
        <w:t>:</w:t>
      </w:r>
      <w:r w:rsidR="006620FF">
        <w:t xml:space="preserve"> </w:t>
      </w:r>
      <w:r w:rsidR="00F3718A" w:rsidRPr="00771807">
        <w:t>Scenarij gibanja delovno sposobnega prebivalstva, aktivnega prebivalstva in delovno aktivnega prebivalstva</w:t>
      </w:r>
    </w:p>
    <w:p w14:paraId="5895CFB4" w14:textId="1D581DDE" w:rsidR="00F3718A" w:rsidRPr="00FF1E10" w:rsidRDefault="009D2526" w:rsidP="00D12C15">
      <w:pPr>
        <w:jc w:val="both"/>
        <w:rPr>
          <w:rStyle w:val="VirUMARChar"/>
          <w:rFonts w:asciiTheme="minorHAnsi" w:hAnsiTheme="minorHAnsi"/>
          <w:noProof/>
          <w:sz w:val="22"/>
        </w:rPr>
      </w:pPr>
      <w:r w:rsidRPr="009D2526">
        <w:rPr>
          <w:rStyle w:val="VirUMARChar"/>
          <w:rFonts w:asciiTheme="minorHAnsi" w:hAnsiTheme="minorHAnsi"/>
          <w:sz w:val="22"/>
        </w:rPr>
        <w:drawing>
          <wp:inline distT="0" distB="0" distL="0" distR="0" wp14:anchorId="574F0E3B" wp14:editId="72763AC5">
            <wp:extent cx="5759450" cy="209539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095395"/>
                    </a:xfrm>
                    <a:prstGeom prst="rect">
                      <a:avLst/>
                    </a:prstGeom>
                    <a:noFill/>
                    <a:ln>
                      <a:noFill/>
                    </a:ln>
                  </pic:spPr>
                </pic:pic>
              </a:graphicData>
            </a:graphic>
          </wp:inline>
        </w:drawing>
      </w:r>
      <w:r w:rsidR="00F3718A" w:rsidRPr="00D12C15">
        <w:rPr>
          <w:rStyle w:val="VirUMARChar"/>
        </w:rPr>
        <w:t>Vir: Eurostat</w:t>
      </w:r>
      <w:r w:rsidR="00867508" w:rsidRPr="00D12C15">
        <w:rPr>
          <w:rStyle w:val="VirUMARChar"/>
        </w:rPr>
        <w:t xml:space="preserve"> (2023)</w:t>
      </w:r>
      <w:r w:rsidR="00AE7EE7" w:rsidRPr="00D12C15">
        <w:rPr>
          <w:rStyle w:val="VirUMARChar"/>
        </w:rPr>
        <w:t>,</w:t>
      </w:r>
      <w:r w:rsidR="00867508" w:rsidRPr="00D12C15">
        <w:rPr>
          <w:rStyle w:val="VirUMARChar"/>
        </w:rPr>
        <w:t xml:space="preserve"> preračuni </w:t>
      </w:r>
      <w:r w:rsidR="00F3718A" w:rsidRPr="00D12C15">
        <w:rPr>
          <w:rStyle w:val="VirUMARChar"/>
        </w:rPr>
        <w:t xml:space="preserve">UMAR. </w:t>
      </w:r>
    </w:p>
    <w:p w14:paraId="42A873C8" w14:textId="77777777" w:rsidR="003F2614" w:rsidRDefault="003F2614" w:rsidP="00F3718A">
      <w:pPr>
        <w:rPr>
          <w:rFonts w:ascii="Arial" w:hAnsi="Arial" w:cs="Arial"/>
          <w:b/>
          <w:bCs/>
        </w:rPr>
      </w:pPr>
    </w:p>
    <w:bookmarkEnd w:id="6"/>
    <w:p w14:paraId="2F9E2D25" w14:textId="7A5CF383" w:rsidR="00F3718A" w:rsidRPr="00362460" w:rsidRDefault="00F3718A" w:rsidP="00362460">
      <w:pPr>
        <w:pStyle w:val="Heading1"/>
      </w:pPr>
      <w:r w:rsidRPr="00362460">
        <w:lastRenderedPageBreak/>
        <w:t>Trg dela in izobraževanje</w:t>
      </w:r>
    </w:p>
    <w:p w14:paraId="6236B13E" w14:textId="4A1B7FC2" w:rsidR="00F3718A" w:rsidRPr="000B0AC9" w:rsidRDefault="00F3718A" w:rsidP="00362460">
      <w:pPr>
        <w:pStyle w:val="BesediloUMAR"/>
        <w:rPr>
          <w:rFonts w:cs="Arial"/>
        </w:rPr>
      </w:pPr>
      <w:r w:rsidRPr="006D5FC6">
        <w:rPr>
          <w:b/>
        </w:rPr>
        <w:t>Spremenjena starostna struktura zahtev</w:t>
      </w:r>
      <w:r w:rsidR="002611DC" w:rsidRPr="006D5FC6">
        <w:rPr>
          <w:b/>
        </w:rPr>
        <w:t>a</w:t>
      </w:r>
      <w:r w:rsidRPr="006D5FC6">
        <w:rPr>
          <w:b/>
        </w:rPr>
        <w:t xml:space="preserve"> ukrepe </w:t>
      </w:r>
      <w:r w:rsidR="00922FB8" w:rsidRPr="00771807">
        <w:rPr>
          <w:b/>
        </w:rPr>
        <w:t>za dalj</w:t>
      </w:r>
      <w:r w:rsidR="00771807" w:rsidRPr="00771807">
        <w:rPr>
          <w:b/>
        </w:rPr>
        <w:t>š</w:t>
      </w:r>
      <w:r w:rsidR="00922FB8" w:rsidRPr="00771807">
        <w:rPr>
          <w:b/>
        </w:rPr>
        <w:t>e ostajanje v delovni aktivnosti</w:t>
      </w:r>
      <w:r w:rsidR="00922FB8">
        <w:rPr>
          <w:b/>
        </w:rPr>
        <w:t xml:space="preserve"> </w:t>
      </w:r>
      <w:r w:rsidRPr="006D5FC6">
        <w:rPr>
          <w:b/>
        </w:rPr>
        <w:t>in zagotavljanje zadostne delovne sile.</w:t>
      </w:r>
      <w:r w:rsidRPr="000B0AC9">
        <w:t xml:space="preserve"> Spremenjena starostna struktura prebivalstva in posledično zmanjšanje ponudbe delovne sile ob sedanji urejenosti trga dela in pokojninskega sistema bi sčasoma lahko zmanjšala </w:t>
      </w:r>
      <w:r w:rsidR="008E5D52">
        <w:t>z</w:t>
      </w:r>
      <w:r w:rsidRPr="000B0AC9">
        <w:t>možnost za gospodarsko rast, zato so potrebne prilagoditve na trgu dela in področju izobraževanja, ki bodo zagotovile daljše ostajanje v delovni aktivnosti in učinkovito izkoriščanje sposobnosti vseh generacij. Možnosti za delovno aktivnost posameznika/ice pomembno določa povpraševanje po delovni sili, ki je odvisno od gospodarskih razmer. Ob visokem povpraševanju po delovni sili se podjetja sooča</w:t>
      </w:r>
      <w:r w:rsidR="008E5D52">
        <w:t>jo</w:t>
      </w:r>
      <w:r w:rsidRPr="000B0AC9">
        <w:t xml:space="preserve"> s težavami pri iskanju ustreznih delavcev. Vlaganja v ukrepe za daljše ostajanje v delovni aktivnosti, vključno s pridobivanjem ustreznih znanj</w:t>
      </w:r>
      <w:r w:rsidR="008E5D52">
        <w:t>,</w:t>
      </w:r>
      <w:r w:rsidRPr="000B0AC9">
        <w:t xml:space="preserve"> so pomembn</w:t>
      </w:r>
      <w:r w:rsidR="00FC6BD4">
        <w:t>a</w:t>
      </w:r>
      <w:r w:rsidRPr="000B0AC9">
        <w:t xml:space="preserve"> za zagotavljanje zadostne delovne sile. Hkrati je potrebna tudi aktivna migracijska in integracijska politika. V nadaljevanju predstavljamo kazalnike za področje delovne aktivnosti starejših</w:t>
      </w:r>
      <w:r w:rsidR="002611DC">
        <w:t>, selitvenih tokov in</w:t>
      </w:r>
      <w:r w:rsidR="00FA55B6">
        <w:t xml:space="preserve"> </w:t>
      </w:r>
      <w:r w:rsidRPr="000B0AC9">
        <w:t>vključenosti v vseživljenjsko učenje.</w:t>
      </w:r>
    </w:p>
    <w:p w14:paraId="673A7854" w14:textId="77777777" w:rsidR="00F3718A" w:rsidRDefault="00F3718A" w:rsidP="00362460">
      <w:pPr>
        <w:pStyle w:val="BesediloUMAR"/>
      </w:pPr>
    </w:p>
    <w:p w14:paraId="4927226E" w14:textId="2AC0D00B" w:rsidR="00F3718A" w:rsidRPr="00362460" w:rsidRDefault="00F3718A" w:rsidP="00362460">
      <w:pPr>
        <w:pStyle w:val="Heading2"/>
      </w:pPr>
      <w:r w:rsidRPr="00362460">
        <w:t xml:space="preserve">Delovna aktivnost starejših </w:t>
      </w:r>
    </w:p>
    <w:p w14:paraId="01423D47" w14:textId="38A1E181" w:rsidR="00F3718A" w:rsidRDefault="00F3718A" w:rsidP="00362460">
      <w:pPr>
        <w:pStyle w:val="BesediloUMAR"/>
      </w:pPr>
      <w:r w:rsidRPr="006D5FC6">
        <w:rPr>
          <w:b/>
        </w:rPr>
        <w:t xml:space="preserve">Delovna aktivnost starejših se </w:t>
      </w:r>
      <w:r w:rsidR="002611DC" w:rsidRPr="006D5FC6">
        <w:rPr>
          <w:b/>
        </w:rPr>
        <w:t xml:space="preserve">je </w:t>
      </w:r>
      <w:r w:rsidRPr="006D5FC6">
        <w:rPr>
          <w:b/>
        </w:rPr>
        <w:t xml:space="preserve">v zadnjih </w:t>
      </w:r>
      <w:r w:rsidR="002611DC" w:rsidRPr="006D5FC6">
        <w:rPr>
          <w:b/>
        </w:rPr>
        <w:t xml:space="preserve">petih </w:t>
      </w:r>
      <w:r w:rsidRPr="006D5FC6">
        <w:rPr>
          <w:b/>
        </w:rPr>
        <w:t>letih hitro poveč</w:t>
      </w:r>
      <w:r w:rsidR="002611DC" w:rsidRPr="006D5FC6">
        <w:rPr>
          <w:b/>
        </w:rPr>
        <w:t xml:space="preserve">evala </w:t>
      </w:r>
      <w:r w:rsidRPr="006D5FC6">
        <w:rPr>
          <w:b/>
        </w:rPr>
        <w:t>in je v starostni skupini 55</w:t>
      </w:r>
      <w:r w:rsidR="00382AEE">
        <w:rPr>
          <w:b/>
        </w:rPr>
        <w:t>–</w:t>
      </w:r>
      <w:r w:rsidRPr="006D5FC6">
        <w:rPr>
          <w:b/>
        </w:rPr>
        <w:t xml:space="preserve">59 let </w:t>
      </w:r>
      <w:r w:rsidR="002611DC" w:rsidRPr="006D5FC6">
        <w:rPr>
          <w:b/>
        </w:rPr>
        <w:t xml:space="preserve">zmanjšala velik zaostanek za </w:t>
      </w:r>
      <w:r w:rsidRPr="006D5FC6">
        <w:rPr>
          <w:b/>
        </w:rPr>
        <w:t xml:space="preserve">povprečjem držav EU. </w:t>
      </w:r>
      <w:r w:rsidRPr="00E351EC">
        <w:t xml:space="preserve">V </w:t>
      </w:r>
      <w:r w:rsidR="002E35F9">
        <w:t xml:space="preserve">tej </w:t>
      </w:r>
      <w:r w:rsidRPr="00E351EC">
        <w:t xml:space="preserve">starostni skupini </w:t>
      </w:r>
      <w:r>
        <w:t>se je od leta 2015 do 2022 stopnja delovne aktivnosti zvišala za več kot 20 o.</w:t>
      </w:r>
      <w:r w:rsidR="00F260C9">
        <w:t xml:space="preserve"> </w:t>
      </w:r>
      <w:r>
        <w:t>t.</w:t>
      </w:r>
      <w:r w:rsidR="008E5D52">
        <w:t xml:space="preserve"> (na 75,5 %)</w:t>
      </w:r>
      <w:r w:rsidR="00396AD0">
        <w:t>.</w:t>
      </w:r>
      <w:r w:rsidR="00FA55B6">
        <w:t xml:space="preserve"> </w:t>
      </w:r>
      <w:r>
        <w:t>Kot je razvidno iz slike 5</w:t>
      </w:r>
      <w:r w:rsidR="008E5D52">
        <w:t xml:space="preserve"> </w:t>
      </w:r>
      <w:r>
        <w:t>(levo)</w:t>
      </w:r>
      <w:r w:rsidR="00396AD0">
        <w:t>,</w:t>
      </w:r>
      <w:r>
        <w:t xml:space="preserve"> je bila v tej starostni skupini leta 2022 že </w:t>
      </w:r>
      <w:r w:rsidR="008E5D52">
        <w:t xml:space="preserve">malo </w:t>
      </w:r>
      <w:r>
        <w:t>nad povprečjem EU.</w:t>
      </w:r>
      <w:r w:rsidR="00FA55B6">
        <w:t xml:space="preserve"> </w:t>
      </w:r>
      <w:r>
        <w:t>Tudi v starostni skupini 60</w:t>
      </w:r>
      <w:r w:rsidR="00396AD0">
        <w:t>–</w:t>
      </w:r>
      <w:r>
        <w:t>64 let se je stopnja delovne aktivnosti</w:t>
      </w:r>
      <w:r w:rsidR="00FA55B6">
        <w:t xml:space="preserve"> </w:t>
      </w:r>
      <w:r>
        <w:t>podvojila,</w:t>
      </w:r>
      <w:r w:rsidR="00FA55B6">
        <w:t xml:space="preserve"> </w:t>
      </w:r>
      <w:r>
        <w:t>vendar je še vedno med najnižjimi med državami EU</w:t>
      </w:r>
      <w:r w:rsidR="008E5D52">
        <w:t xml:space="preserve"> </w:t>
      </w:r>
      <w:r>
        <w:t>(gl. slik</w:t>
      </w:r>
      <w:r w:rsidR="00D31D24">
        <w:t>o</w:t>
      </w:r>
      <w:r>
        <w:t xml:space="preserve"> 5</w:t>
      </w:r>
      <w:r w:rsidR="00FA55B6">
        <w:t xml:space="preserve"> </w:t>
      </w:r>
      <w:r>
        <w:t>d</w:t>
      </w:r>
      <w:r w:rsidR="008B2066">
        <w:t>esno</w:t>
      </w:r>
      <w:r w:rsidR="008E5D52">
        <w:t>)</w:t>
      </w:r>
      <w:r>
        <w:t>. V starostnih skupinah 65</w:t>
      </w:r>
      <w:r w:rsidR="00396AD0">
        <w:t>–</w:t>
      </w:r>
      <w:r>
        <w:t>69 let in 70</w:t>
      </w:r>
      <w:r w:rsidR="00396AD0">
        <w:t>–</w:t>
      </w:r>
      <w:r>
        <w:t>74 let je stopnja delovne aktivnosti nizka in</w:t>
      </w:r>
      <w:r w:rsidR="003D666E">
        <w:t xml:space="preserve"> </w:t>
      </w:r>
      <w:r w:rsidR="00577DA4">
        <w:t>se v op</w:t>
      </w:r>
      <w:r w:rsidR="00396AD0">
        <w:t>a</w:t>
      </w:r>
      <w:r w:rsidR="00577DA4">
        <w:t xml:space="preserve">zovanem obdobju </w:t>
      </w:r>
      <w:r>
        <w:t>tako v Sloveniji kot v povprečju EU</w:t>
      </w:r>
      <w:r w:rsidR="00577DA4">
        <w:t xml:space="preserve"> ni bistveno spremenila</w:t>
      </w:r>
      <w:r w:rsidR="00396AD0">
        <w:t>.</w:t>
      </w:r>
      <w:r w:rsidR="00577DA4">
        <w:t xml:space="preserve"> </w:t>
      </w:r>
      <w:r>
        <w:t>Kot je razvidno iz slike 4 desno</w:t>
      </w:r>
      <w:r w:rsidR="00396AD0">
        <w:t>,</w:t>
      </w:r>
      <w:r>
        <w:t xml:space="preserve"> pa se je zaostanek Slovenije za povprečjem EU v obdobju 2015</w:t>
      </w:r>
      <w:r w:rsidR="00396AD0">
        <w:t>–</w:t>
      </w:r>
      <w:r>
        <w:t xml:space="preserve">2022 </w:t>
      </w:r>
      <w:r w:rsidR="008E5D52">
        <w:t xml:space="preserve">pri teh starostnih skupinah </w:t>
      </w:r>
      <w:r>
        <w:t xml:space="preserve">povečal. </w:t>
      </w:r>
    </w:p>
    <w:p w14:paraId="65358403" w14:textId="087FD0DD" w:rsidR="00F3718A" w:rsidRPr="00362460" w:rsidRDefault="00362460" w:rsidP="00362460">
      <w:pPr>
        <w:pStyle w:val="Caption"/>
      </w:pPr>
      <w:r w:rsidRPr="00362460">
        <w:t xml:space="preserve">Slika </w:t>
      </w:r>
      <w:r w:rsidRPr="00362460">
        <w:fldChar w:fldCharType="begin"/>
      </w:r>
      <w:r w:rsidRPr="00362460">
        <w:instrText xml:space="preserve"> SEQ Slika \* ARABIC </w:instrText>
      </w:r>
      <w:r w:rsidRPr="00362460">
        <w:fldChar w:fldCharType="separate"/>
      </w:r>
      <w:r w:rsidR="005A41AB">
        <w:t>4</w:t>
      </w:r>
      <w:r w:rsidRPr="00362460">
        <w:fldChar w:fldCharType="end"/>
      </w:r>
      <w:r w:rsidRPr="00362460">
        <w:t xml:space="preserve">: </w:t>
      </w:r>
      <w:r w:rsidR="00F3718A" w:rsidRPr="00362460">
        <w:t>Gibanje stopnje delovne aktivnosti</w:t>
      </w:r>
      <w:r w:rsidR="00FA55B6" w:rsidRPr="00362460">
        <w:t xml:space="preserve"> </w:t>
      </w:r>
      <w:r w:rsidR="00F3718A" w:rsidRPr="00362460">
        <w:t>starejši</w:t>
      </w:r>
      <w:r w:rsidR="0026726D">
        <w:t>h</w:t>
      </w:r>
      <w:r w:rsidR="00F3718A" w:rsidRPr="00362460">
        <w:t xml:space="preserve"> v Sloveniji in EU v obdobju 2015</w:t>
      </w:r>
      <w:r w:rsidR="0026726D">
        <w:t>–</w:t>
      </w:r>
      <w:r w:rsidR="00F3718A" w:rsidRPr="00362460">
        <w:t>2022</w:t>
      </w:r>
    </w:p>
    <w:p w14:paraId="51166246" w14:textId="1842E2FB" w:rsidR="00F3718A" w:rsidRDefault="00E609DD" w:rsidP="00F3718A">
      <w:pPr>
        <w:rPr>
          <w:rFonts w:ascii="Arial" w:hAnsi="Arial" w:cs="Arial"/>
          <w:b/>
          <w:bCs/>
          <w:sz w:val="20"/>
          <w:szCs w:val="20"/>
        </w:rPr>
      </w:pPr>
      <w:r w:rsidRPr="00E609DD">
        <w:rPr>
          <w:noProof/>
        </w:rPr>
        <w:drawing>
          <wp:inline distT="0" distB="0" distL="0" distR="0" wp14:anchorId="492BA3F1" wp14:editId="01C49659">
            <wp:extent cx="2793600" cy="230400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3600" cy="2304000"/>
                    </a:xfrm>
                    <a:prstGeom prst="rect">
                      <a:avLst/>
                    </a:prstGeom>
                    <a:noFill/>
                    <a:ln>
                      <a:noFill/>
                    </a:ln>
                  </pic:spPr>
                </pic:pic>
              </a:graphicData>
            </a:graphic>
          </wp:inline>
        </w:drawing>
      </w:r>
      <w:r w:rsidR="00362460">
        <w:rPr>
          <w:rFonts w:ascii="Arial" w:hAnsi="Arial" w:cs="Arial"/>
          <w:b/>
          <w:bCs/>
          <w:sz w:val="20"/>
          <w:szCs w:val="20"/>
        </w:rPr>
        <w:t xml:space="preserve">    </w:t>
      </w:r>
      <w:r w:rsidRPr="00E609DD">
        <w:rPr>
          <w:noProof/>
        </w:rPr>
        <w:drawing>
          <wp:inline distT="0" distB="0" distL="0" distR="0" wp14:anchorId="65644055" wp14:editId="2DE9294D">
            <wp:extent cx="2790000" cy="23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000" cy="2311200"/>
                    </a:xfrm>
                    <a:prstGeom prst="rect">
                      <a:avLst/>
                    </a:prstGeom>
                    <a:noFill/>
                    <a:ln>
                      <a:noFill/>
                    </a:ln>
                  </pic:spPr>
                </pic:pic>
              </a:graphicData>
            </a:graphic>
          </wp:inline>
        </w:drawing>
      </w:r>
    </w:p>
    <w:p w14:paraId="62C4EE0C" w14:textId="29D0955E" w:rsidR="00F3718A" w:rsidRPr="00E609DD" w:rsidRDefault="00F3718A" w:rsidP="00E609DD">
      <w:pPr>
        <w:pStyle w:val="VirUMAR"/>
      </w:pPr>
      <w:r w:rsidRPr="00E609DD">
        <w:t>Vir</w:t>
      </w:r>
      <w:r w:rsidR="003672FA">
        <w:t>:</w:t>
      </w:r>
      <w:r w:rsidRPr="00E609DD">
        <w:t xml:space="preserve"> </w:t>
      </w:r>
      <w:r w:rsidRPr="00E609DD">
        <w:fldChar w:fldCharType="begin"/>
      </w:r>
      <w:r w:rsidRPr="00E609DD">
        <w:instrText xml:space="preserve"> ADDIN ZOTERO_ITEM CSL_CITATION {"citationID":"aS7O9rnE","properties":{"formattedCitation":"(Eurostat, 2023)","plainCitation":"(Eurostat, 2023)","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E609DD">
        <w:fldChar w:fldCharType="separate"/>
      </w:r>
      <w:r w:rsidRPr="00E609DD">
        <w:t>Eurostat</w:t>
      </w:r>
      <w:r w:rsidR="003672FA">
        <w:t xml:space="preserve"> (</w:t>
      </w:r>
      <w:r w:rsidRPr="00E609DD">
        <w:t>2023)</w:t>
      </w:r>
      <w:r w:rsidRPr="00E609DD">
        <w:fldChar w:fldCharType="end"/>
      </w:r>
      <w:r w:rsidR="003672FA">
        <w:t>.</w:t>
      </w:r>
    </w:p>
    <w:p w14:paraId="0A392B33" w14:textId="7605372D" w:rsidR="00362460" w:rsidRDefault="00362460" w:rsidP="00362460">
      <w:pPr>
        <w:pStyle w:val="BesediloUMAR"/>
      </w:pPr>
    </w:p>
    <w:p w14:paraId="1E3D23C1" w14:textId="70B69AFA" w:rsidR="00F3718A" w:rsidRPr="00362460" w:rsidRDefault="00362460" w:rsidP="00362460">
      <w:pPr>
        <w:pStyle w:val="Caption"/>
      </w:pPr>
      <w:r w:rsidRPr="00362460">
        <w:lastRenderedPageBreak/>
        <w:t xml:space="preserve">Slika </w:t>
      </w:r>
      <w:r w:rsidRPr="00362460">
        <w:fldChar w:fldCharType="begin"/>
      </w:r>
      <w:r w:rsidRPr="00362460">
        <w:instrText xml:space="preserve"> SEQ Slika \* ARABIC </w:instrText>
      </w:r>
      <w:r w:rsidRPr="00362460">
        <w:fldChar w:fldCharType="separate"/>
      </w:r>
      <w:r w:rsidR="005A41AB">
        <w:t>5</w:t>
      </w:r>
      <w:r w:rsidRPr="00362460">
        <w:fldChar w:fldCharType="end"/>
      </w:r>
      <w:r w:rsidRPr="00362460">
        <w:t xml:space="preserve">: </w:t>
      </w:r>
      <w:r w:rsidR="00F3718A" w:rsidRPr="00362460">
        <w:t>Stopnja delovne aktivnosti za starostno skupino 50</w:t>
      </w:r>
      <w:r w:rsidR="0026726D">
        <w:t>–</w:t>
      </w:r>
      <w:r w:rsidR="00F3718A" w:rsidRPr="00362460">
        <w:t xml:space="preserve">59 let je </w:t>
      </w:r>
      <w:r w:rsidR="00FA2777">
        <w:t xml:space="preserve">leta 2022 </w:t>
      </w:r>
      <w:r w:rsidR="00F3718A" w:rsidRPr="00362460">
        <w:t>presegla povprečje EU (levo)</w:t>
      </w:r>
      <w:r w:rsidR="008E5D52" w:rsidRPr="00362460">
        <w:t>,</w:t>
      </w:r>
      <w:r w:rsidR="00F3718A" w:rsidRPr="00362460">
        <w:t xml:space="preserve"> za starostno skupino 60</w:t>
      </w:r>
      <w:r w:rsidR="0026726D">
        <w:t>–</w:t>
      </w:r>
      <w:r w:rsidR="00F3718A" w:rsidRPr="00362460">
        <w:t>64 let pa je med najnižjimi (desno</w:t>
      </w:r>
      <w:r w:rsidR="00F3718A" w:rsidRPr="00FA2777">
        <w:t>)</w:t>
      </w:r>
      <w:r w:rsidR="00F3718A" w:rsidRPr="00362460">
        <w:t xml:space="preserve"> </w:t>
      </w:r>
    </w:p>
    <w:p w14:paraId="2A91613B" w14:textId="633F9224" w:rsidR="00F3718A" w:rsidRDefault="00E609DD" w:rsidP="00F3718A">
      <w:pPr>
        <w:rPr>
          <w:rFonts w:ascii="Arial" w:hAnsi="Arial" w:cs="Arial"/>
          <w:b/>
          <w:bCs/>
          <w:sz w:val="20"/>
          <w:szCs w:val="20"/>
        </w:rPr>
      </w:pPr>
      <w:r w:rsidRPr="00E609DD">
        <w:rPr>
          <w:noProof/>
        </w:rPr>
        <w:drawing>
          <wp:inline distT="0" distB="0" distL="0" distR="0" wp14:anchorId="2704D4A4" wp14:editId="7FCFE344">
            <wp:extent cx="2775600" cy="2257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5600" cy="2257200"/>
                    </a:xfrm>
                    <a:prstGeom prst="rect">
                      <a:avLst/>
                    </a:prstGeom>
                    <a:noFill/>
                    <a:ln>
                      <a:noFill/>
                    </a:ln>
                  </pic:spPr>
                </pic:pic>
              </a:graphicData>
            </a:graphic>
          </wp:inline>
        </w:drawing>
      </w:r>
      <w:r w:rsidR="00362460">
        <w:rPr>
          <w:rFonts w:ascii="Arial" w:hAnsi="Arial" w:cs="Arial"/>
          <w:b/>
          <w:bCs/>
          <w:sz w:val="20"/>
          <w:szCs w:val="20"/>
        </w:rPr>
        <w:t xml:space="preserve">     </w:t>
      </w:r>
      <w:r w:rsidR="00862ABA" w:rsidRPr="00862ABA">
        <w:rPr>
          <w:noProof/>
        </w:rPr>
        <w:drawing>
          <wp:inline distT="0" distB="0" distL="0" distR="0" wp14:anchorId="23BD38D9" wp14:editId="18D64FF7">
            <wp:extent cx="2775600" cy="22752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5600" cy="2275200"/>
                    </a:xfrm>
                    <a:prstGeom prst="rect">
                      <a:avLst/>
                    </a:prstGeom>
                    <a:noFill/>
                    <a:ln>
                      <a:noFill/>
                    </a:ln>
                  </pic:spPr>
                </pic:pic>
              </a:graphicData>
            </a:graphic>
          </wp:inline>
        </w:drawing>
      </w:r>
    </w:p>
    <w:p w14:paraId="264BDE2A" w14:textId="41FEF4BD" w:rsidR="00F3718A" w:rsidRPr="00E609DD" w:rsidRDefault="00F3718A" w:rsidP="00E609DD">
      <w:pPr>
        <w:pStyle w:val="VirUMAR"/>
      </w:pPr>
      <w:r w:rsidRPr="00E609DD">
        <w:t>Vir</w:t>
      </w:r>
      <w:r w:rsidR="003672FA">
        <w:t>:</w:t>
      </w:r>
      <w:r w:rsidRPr="00E609DD">
        <w:t xml:space="preserve"> </w:t>
      </w:r>
      <w:r w:rsidRPr="00E609DD">
        <w:fldChar w:fldCharType="begin"/>
      </w:r>
      <w:r w:rsidRPr="00E609DD">
        <w:instrText xml:space="preserve"> ADDIN ZOTERO_ITEM CSL_CITATION {"citationID":"LG77puiA","properties":{"formattedCitation":"(Eurostat,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E609DD">
        <w:fldChar w:fldCharType="separate"/>
      </w:r>
      <w:r w:rsidRPr="00E609DD">
        <w:t>Eurostat</w:t>
      </w:r>
      <w:r w:rsidR="003672FA">
        <w:t xml:space="preserve"> </w:t>
      </w:r>
      <w:r w:rsidRPr="00E609DD">
        <w:t>(2023)</w:t>
      </w:r>
      <w:r w:rsidRPr="00E609DD">
        <w:fldChar w:fldCharType="end"/>
      </w:r>
      <w:r w:rsidR="003672FA">
        <w:t>.</w:t>
      </w:r>
    </w:p>
    <w:p w14:paraId="224CDFE8" w14:textId="77777777" w:rsidR="00362460" w:rsidRDefault="00362460" w:rsidP="00362460">
      <w:pPr>
        <w:pStyle w:val="BesediloUMAR"/>
      </w:pPr>
    </w:p>
    <w:p w14:paraId="6989AD5C" w14:textId="69AB6937" w:rsidR="008B2066" w:rsidRPr="00362460" w:rsidRDefault="00F3718A" w:rsidP="00C06B12">
      <w:pPr>
        <w:pStyle w:val="Heading2"/>
      </w:pPr>
      <w:r w:rsidRPr="00362460">
        <w:t>Migracije</w:t>
      </w:r>
      <w:r w:rsidR="00FA55B6" w:rsidRPr="00362460">
        <w:t xml:space="preserve"> </w:t>
      </w:r>
    </w:p>
    <w:p w14:paraId="5BDB1F96" w14:textId="187125EA" w:rsidR="00F3718A" w:rsidRDefault="00F3718A" w:rsidP="00C06B12">
      <w:pPr>
        <w:pStyle w:val="BesediloUMAR"/>
        <w:rPr>
          <w:rFonts w:ascii="Arial" w:hAnsi="Arial"/>
        </w:rPr>
      </w:pPr>
      <w:r w:rsidRPr="006D5FC6">
        <w:rPr>
          <w:b/>
        </w:rPr>
        <w:t xml:space="preserve">Selitveni prirast je v Sloveniji močno odvisen od gospodarskega cikla, saj se </w:t>
      </w:r>
      <w:r w:rsidR="00D90003">
        <w:rPr>
          <w:b/>
        </w:rPr>
        <w:t xml:space="preserve">posamezniki </w:t>
      </w:r>
      <w:r w:rsidRPr="006D5FC6">
        <w:rPr>
          <w:b/>
        </w:rPr>
        <w:t xml:space="preserve">k nam pretežno priseljujejo </w:t>
      </w:r>
      <w:r w:rsidRPr="00D9645F">
        <w:rPr>
          <w:b/>
        </w:rPr>
        <w:t>zaradi</w:t>
      </w:r>
      <w:r w:rsidRPr="006D5FC6">
        <w:rPr>
          <w:b/>
        </w:rPr>
        <w:t xml:space="preserve"> dela in posledično združitve z družino.</w:t>
      </w:r>
      <w:r w:rsidRPr="00C06B12">
        <w:rPr>
          <w:b/>
          <w:bCs/>
        </w:rPr>
        <w:t xml:space="preserve"> </w:t>
      </w:r>
      <w:r w:rsidRPr="00630424">
        <w:t xml:space="preserve">Kot je razvidno iz slike </w:t>
      </w:r>
      <w:r w:rsidR="00B1433E">
        <w:t>6</w:t>
      </w:r>
      <w:r w:rsidRPr="00630424">
        <w:t>, se je s krepitvijo gospodarske aktivnosti v obdobju 2014–2019 povečeval tudi neto selitven</w:t>
      </w:r>
      <w:r w:rsidR="00B02A2B">
        <w:t>i</w:t>
      </w:r>
      <w:r w:rsidRPr="00630424">
        <w:t xml:space="preserve"> prirast, ki je leta 2019 znašal okoli 16 tisoč oseb</w:t>
      </w:r>
      <w:r w:rsidR="006F1948">
        <w:t>.</w:t>
      </w:r>
      <w:r w:rsidR="00FA55B6">
        <w:t xml:space="preserve"> </w:t>
      </w:r>
      <w:r w:rsidR="00C06B12">
        <w:t>V</w:t>
      </w:r>
      <w:r w:rsidR="00FA55B6">
        <w:t xml:space="preserve"> </w:t>
      </w:r>
      <w:r>
        <w:t>letih 2020</w:t>
      </w:r>
      <w:r w:rsidR="008B2066">
        <w:rPr>
          <w:rStyle w:val="FootnoteReference"/>
        </w:rPr>
        <w:footnoteReference w:id="4"/>
      </w:r>
      <w:r>
        <w:t xml:space="preserve"> in 2021 </w:t>
      </w:r>
      <w:r w:rsidRPr="00630424">
        <w:t xml:space="preserve">se je </w:t>
      </w:r>
      <w:r w:rsidR="006F1948">
        <w:t xml:space="preserve">dejanski neto selitveni prirast </w:t>
      </w:r>
      <w:r w:rsidRPr="00630424">
        <w:t xml:space="preserve">zmanjševal, na kar je vplivala </w:t>
      </w:r>
      <w:r w:rsidR="006F1948">
        <w:t xml:space="preserve">predvsem </w:t>
      </w:r>
      <w:r w:rsidRPr="00630424">
        <w:t xml:space="preserve">covid-19 kriza in </w:t>
      </w:r>
      <w:r w:rsidR="006F1948">
        <w:t xml:space="preserve">tudi </w:t>
      </w:r>
      <w:r w:rsidRPr="00630424">
        <w:t xml:space="preserve">povečana negotovost zaradi geostrateških napetosti. </w:t>
      </w:r>
      <w:r w:rsidR="00A14069">
        <w:t xml:space="preserve">V letu 2022 se je ob </w:t>
      </w:r>
      <w:r w:rsidR="007914B0">
        <w:t xml:space="preserve">naraščajočem </w:t>
      </w:r>
      <w:r w:rsidR="00A14069">
        <w:t>pomanjkanju delovne sile</w:t>
      </w:r>
      <w:r w:rsidR="007914B0">
        <w:t>, na katerega je poleg</w:t>
      </w:r>
      <w:r w:rsidR="003D666E">
        <w:t xml:space="preserve"> </w:t>
      </w:r>
      <w:r w:rsidR="00A14069">
        <w:t xml:space="preserve">demografskih gibanj </w:t>
      </w:r>
      <w:r w:rsidR="00D33745">
        <w:t>in strukt</w:t>
      </w:r>
      <w:r w:rsidR="00577DA4">
        <w:t>u</w:t>
      </w:r>
      <w:r w:rsidR="00D33745">
        <w:t xml:space="preserve">rnih neskladij na trgu dela </w:t>
      </w:r>
      <w:r w:rsidR="007914B0">
        <w:t>vplivalo tudi okrepljeno povpraševanje v razmerah povečan</w:t>
      </w:r>
      <w:r w:rsidR="00D27F3A">
        <w:t>e</w:t>
      </w:r>
      <w:r w:rsidR="00577DA4">
        <w:t xml:space="preserve"> </w:t>
      </w:r>
      <w:r w:rsidR="00A14069">
        <w:t>gospodarsk</w:t>
      </w:r>
      <w:r w:rsidR="00D27F3A">
        <w:t>e</w:t>
      </w:r>
      <w:r w:rsidR="00A14069">
        <w:t xml:space="preserve"> aktivnosti</w:t>
      </w:r>
      <w:r w:rsidR="007914B0">
        <w:t>,</w:t>
      </w:r>
      <w:r w:rsidR="00A14069">
        <w:t xml:space="preserve"> neto</w:t>
      </w:r>
      <w:r w:rsidR="00FA55B6">
        <w:t xml:space="preserve"> </w:t>
      </w:r>
      <w:r w:rsidR="00A14069">
        <w:t>selitven</w:t>
      </w:r>
      <w:r w:rsidR="00515A21">
        <w:t>i</w:t>
      </w:r>
      <w:r w:rsidR="00A14069">
        <w:t xml:space="preserve"> prirast ponovno povečal</w:t>
      </w:r>
      <w:r w:rsidR="00FA55B6">
        <w:t xml:space="preserve"> </w:t>
      </w:r>
      <w:r w:rsidR="00A14069">
        <w:t>na okoli 15 tisoč</w:t>
      </w:r>
      <w:r w:rsidR="00FA55B6">
        <w:t xml:space="preserve"> </w:t>
      </w:r>
      <w:r w:rsidR="00A14069">
        <w:t>neto priseljenih.</w:t>
      </w:r>
      <w:r w:rsidR="00D33745">
        <w:t xml:space="preserve"> </w:t>
      </w:r>
      <w:r w:rsidR="00D33745" w:rsidRPr="00630424">
        <w:t>Glavnina priseljenih tujcev je državljanov nekdanje Jugoslavije, več kot polovica med njimi prihaja iz Bosne</w:t>
      </w:r>
      <w:r w:rsidR="00D33745">
        <w:t xml:space="preserve"> in Hercegovine</w:t>
      </w:r>
      <w:r w:rsidR="00D33745" w:rsidRPr="00630424">
        <w:t>.</w:t>
      </w:r>
      <w:r w:rsidR="00D33745">
        <w:t xml:space="preserve"> Potencialno število priseljencev iz te regije se počasi zmanjšuje. Zagotavljanje zadostnega obsega priseljevanja tujcev</w:t>
      </w:r>
      <w:r w:rsidR="003D666E">
        <w:t xml:space="preserve"> </w:t>
      </w:r>
      <w:r w:rsidR="00D33745">
        <w:t xml:space="preserve">bo tako zahtevalo </w:t>
      </w:r>
      <w:r w:rsidR="00D27F3A">
        <w:t xml:space="preserve">aktivnejšo </w:t>
      </w:r>
      <w:r w:rsidR="00D33745">
        <w:t>migracijsko</w:t>
      </w:r>
      <w:r w:rsidR="00D27F3A">
        <w:t xml:space="preserve"> politiko</w:t>
      </w:r>
      <w:r w:rsidR="00D33745">
        <w:t>,</w:t>
      </w:r>
      <w:r w:rsidR="003D666E">
        <w:t xml:space="preserve"> </w:t>
      </w:r>
      <w:r w:rsidR="00D33745">
        <w:t>ki se</w:t>
      </w:r>
      <w:r w:rsidR="003D666E">
        <w:t xml:space="preserve"> </w:t>
      </w:r>
      <w:r w:rsidR="00D33745">
        <w:t xml:space="preserve">bo </w:t>
      </w:r>
      <w:r w:rsidR="00577DA4">
        <w:t xml:space="preserve">usmerila </w:t>
      </w:r>
      <w:r w:rsidR="00D27F3A">
        <w:t>v</w:t>
      </w:r>
      <w:r w:rsidR="0032108E">
        <w:t xml:space="preserve"> </w:t>
      </w:r>
      <w:r w:rsidR="00D33745">
        <w:t xml:space="preserve">privabljanje tujcev </w:t>
      </w:r>
      <w:r w:rsidR="00577DA4">
        <w:t>tu</w:t>
      </w:r>
      <w:r w:rsidR="00D27F3A">
        <w:t>d</w:t>
      </w:r>
      <w:r w:rsidR="00577DA4">
        <w:t>i iz drugih regij.</w:t>
      </w:r>
      <w:r w:rsidR="00D33745">
        <w:t xml:space="preserve"> </w:t>
      </w:r>
    </w:p>
    <w:p w14:paraId="0057A2CD" w14:textId="0298078D" w:rsidR="00F3718A" w:rsidRPr="00362460" w:rsidRDefault="00362460" w:rsidP="00362460">
      <w:pPr>
        <w:pStyle w:val="Caption"/>
      </w:pPr>
      <w:r w:rsidRPr="00362460">
        <w:lastRenderedPageBreak/>
        <w:t xml:space="preserve">Slika </w:t>
      </w:r>
      <w:r w:rsidRPr="00362460">
        <w:fldChar w:fldCharType="begin"/>
      </w:r>
      <w:r w:rsidRPr="00362460">
        <w:instrText xml:space="preserve"> SEQ Slika \* ARABIC </w:instrText>
      </w:r>
      <w:r w:rsidRPr="00362460">
        <w:fldChar w:fldCharType="separate"/>
      </w:r>
      <w:r w:rsidR="005A41AB">
        <w:t>6</w:t>
      </w:r>
      <w:r w:rsidRPr="00362460">
        <w:fldChar w:fldCharType="end"/>
      </w:r>
      <w:r w:rsidRPr="00362460">
        <w:t xml:space="preserve">: </w:t>
      </w:r>
      <w:r w:rsidR="00F3718A" w:rsidRPr="00362460">
        <w:t>Selitveni prirast s tujino, 2010–2022</w:t>
      </w:r>
    </w:p>
    <w:p w14:paraId="3D0D35C4" w14:textId="0DDF03E5" w:rsidR="00F3718A" w:rsidRDefault="009D2526" w:rsidP="00F3718A">
      <w:pPr>
        <w:spacing w:after="0"/>
        <w:jc w:val="both"/>
        <w:rPr>
          <w:rFonts w:ascii="Arial" w:hAnsi="Arial" w:cs="Arial"/>
          <w:sz w:val="20"/>
          <w:szCs w:val="20"/>
        </w:rPr>
      </w:pPr>
      <w:r w:rsidRPr="009D2526">
        <w:drawing>
          <wp:inline distT="0" distB="0" distL="0" distR="0" wp14:anchorId="4278A4D2" wp14:editId="6F8FBD9B">
            <wp:extent cx="5759450" cy="256246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562465"/>
                    </a:xfrm>
                    <a:prstGeom prst="rect">
                      <a:avLst/>
                    </a:prstGeom>
                    <a:noFill/>
                    <a:ln>
                      <a:noFill/>
                    </a:ln>
                  </pic:spPr>
                </pic:pic>
              </a:graphicData>
            </a:graphic>
          </wp:inline>
        </w:drawing>
      </w:r>
    </w:p>
    <w:p w14:paraId="3ED468E3" w14:textId="645B252A" w:rsidR="00F3718A" w:rsidRPr="00A93D1C" w:rsidRDefault="00F3718A" w:rsidP="00A93D1C">
      <w:pPr>
        <w:pStyle w:val="VirUMAR"/>
      </w:pPr>
      <w:r w:rsidRPr="00A93D1C">
        <w:t>Vir:</w:t>
      </w:r>
      <w:r w:rsidRPr="00A93D1C">
        <w:fldChar w:fldCharType="begin"/>
      </w:r>
      <w:r w:rsidRPr="00A93D1C">
        <w:instrText xml:space="preserve"> ADDIN ZOTERO_ITEM CSL_CITATION {"citationID":"poyh6gG1","properties":{"formattedCitation":"(SURS, b. d.)","plainCitation":"(SURS, b. d.)","dontUpdate":true,"noteIndex":0},"citationItems":[{"id":3752,"uris":["http://zotero.org/users/8351010/items/GTIBKPED"],"itemData":{"id":3752,"type":"report","event-place":"Ljubljana","publisher-place":"Ljubljana","title":"Podatkovna baza SI-STAT","URL":"https://pxweb.stat.si/SiStat/sl","author":[{"literal":"SURS"}]}}],"schema":"https://github.com/citation-style-language/schema/raw/master/csl-citation.json"} </w:instrText>
      </w:r>
      <w:r w:rsidRPr="00A93D1C">
        <w:fldChar w:fldCharType="separate"/>
      </w:r>
      <w:r w:rsidRPr="00A93D1C">
        <w:t xml:space="preserve"> SURS (2023)</w:t>
      </w:r>
      <w:r w:rsidRPr="00A93D1C">
        <w:fldChar w:fldCharType="end"/>
      </w:r>
      <w:r w:rsidR="00B50419">
        <w:t>.</w:t>
      </w:r>
    </w:p>
    <w:p w14:paraId="75C895AB" w14:textId="22EDE2C1" w:rsidR="00F3718A" w:rsidRPr="00143353" w:rsidRDefault="00F3718A" w:rsidP="00362460">
      <w:pPr>
        <w:pStyle w:val="VirUMAR"/>
      </w:pPr>
      <w:r w:rsidRPr="00143353">
        <w:t xml:space="preserve">Opomba: </w:t>
      </w:r>
      <w:r>
        <w:t>Z</w:t>
      </w:r>
      <w:r w:rsidRPr="00143353">
        <w:t xml:space="preserve">a leto 2020 </w:t>
      </w:r>
      <w:r>
        <w:t>sta</w:t>
      </w:r>
      <w:r w:rsidR="00FA55B6">
        <w:t xml:space="preserve"> </w:t>
      </w:r>
      <w:r>
        <w:t>v sliki</w:t>
      </w:r>
      <w:r w:rsidR="00FA55B6">
        <w:t xml:space="preserve"> </w:t>
      </w:r>
      <w:r w:rsidRPr="00143353">
        <w:t>prikazan</w:t>
      </w:r>
      <w:r>
        <w:t>a</w:t>
      </w:r>
      <w:r w:rsidR="00FA55B6">
        <w:t xml:space="preserve"> </w:t>
      </w:r>
      <w:r w:rsidRPr="00143353">
        <w:t>popravljen</w:t>
      </w:r>
      <w:r w:rsidR="005D270D">
        <w:t>i</w:t>
      </w:r>
      <w:r>
        <w:t xml:space="preserve"> (2020 corr.)</w:t>
      </w:r>
      <w:r w:rsidR="00FA55B6">
        <w:t xml:space="preserve"> </w:t>
      </w:r>
      <w:r w:rsidRPr="00143353">
        <w:t xml:space="preserve">in </w:t>
      </w:r>
      <w:r>
        <w:t>objavljen</w:t>
      </w:r>
      <w:r w:rsidR="005D270D">
        <w:t>i</w:t>
      </w:r>
      <w:r w:rsidR="0012593F">
        <w:t xml:space="preserve"> </w:t>
      </w:r>
      <w:r w:rsidRPr="00143353">
        <w:t>prirast</w:t>
      </w:r>
      <w:r>
        <w:t>, ki je bil</w:t>
      </w:r>
      <w:r w:rsidR="00FA55B6">
        <w:t xml:space="preserve"> </w:t>
      </w:r>
      <w:r>
        <w:t>višji zaradi metodološke spremembe pri spremljanju priseljevanja</w:t>
      </w:r>
      <w:r w:rsidR="002643D0">
        <w:t>.</w:t>
      </w:r>
      <w:r>
        <w:t xml:space="preserve"> </w:t>
      </w:r>
    </w:p>
    <w:p w14:paraId="1035F6C1" w14:textId="77777777" w:rsidR="009D2526" w:rsidRDefault="00F3718A" w:rsidP="00362460">
      <w:pPr>
        <w:pStyle w:val="BesediloUMAR"/>
        <w:rPr>
          <w:b/>
        </w:rPr>
      </w:pPr>
      <w:r w:rsidRPr="009D2526">
        <w:rPr>
          <w:rStyle w:val="VirUMARChar"/>
        </w:rPr>
        <w:br/>
      </w:r>
    </w:p>
    <w:p w14:paraId="31179EDC" w14:textId="7869DC51" w:rsidR="00362460" w:rsidRDefault="00F3718A" w:rsidP="00362460">
      <w:pPr>
        <w:pStyle w:val="BesediloUMAR"/>
      </w:pPr>
      <w:r w:rsidRPr="006D5FC6">
        <w:rPr>
          <w:b/>
        </w:rPr>
        <w:t>Eden od kazalnikov vključenosti tuj</w:t>
      </w:r>
      <w:r w:rsidR="008B2066" w:rsidRPr="006D5FC6">
        <w:rPr>
          <w:b/>
        </w:rPr>
        <w:t>ih d</w:t>
      </w:r>
      <w:r w:rsidR="00B45DAB">
        <w:rPr>
          <w:b/>
        </w:rPr>
        <w:t>r</w:t>
      </w:r>
      <w:r w:rsidR="008B2066" w:rsidRPr="006D5FC6">
        <w:rPr>
          <w:b/>
        </w:rPr>
        <w:t>žavljanov</w:t>
      </w:r>
      <w:r w:rsidRPr="006D5FC6">
        <w:rPr>
          <w:b/>
        </w:rPr>
        <w:t xml:space="preserve"> v družbo je </w:t>
      </w:r>
      <w:r w:rsidR="008B2066" w:rsidRPr="006D5FC6">
        <w:rPr>
          <w:b/>
        </w:rPr>
        <w:t xml:space="preserve">tudi njihova </w:t>
      </w:r>
      <w:r w:rsidRPr="006D5FC6">
        <w:rPr>
          <w:b/>
        </w:rPr>
        <w:t>stopnja tveganja revščine, ki se je v Sloveniji v obdobju 2015</w:t>
      </w:r>
      <w:r w:rsidR="00535CAE">
        <w:rPr>
          <w:b/>
        </w:rPr>
        <w:t>–</w:t>
      </w:r>
      <w:r w:rsidRPr="006D5FC6">
        <w:rPr>
          <w:b/>
        </w:rPr>
        <w:t xml:space="preserve">2021 precej zmanjšala, a </w:t>
      </w:r>
      <w:r w:rsidR="00535CAE">
        <w:rPr>
          <w:b/>
        </w:rPr>
        <w:t xml:space="preserve">pri tujih državljanih </w:t>
      </w:r>
      <w:r w:rsidRPr="006D5FC6">
        <w:rPr>
          <w:b/>
        </w:rPr>
        <w:t>ostaja precej v</w:t>
      </w:r>
      <w:r w:rsidR="007914B0" w:rsidRPr="006D5FC6">
        <w:rPr>
          <w:b/>
        </w:rPr>
        <w:t>išja</w:t>
      </w:r>
      <w:r w:rsidRPr="006D5FC6">
        <w:rPr>
          <w:b/>
        </w:rPr>
        <w:t xml:space="preserve"> kot </w:t>
      </w:r>
      <w:r w:rsidR="00535CAE">
        <w:rPr>
          <w:b/>
        </w:rPr>
        <w:t>pri</w:t>
      </w:r>
      <w:r w:rsidRPr="006D5FC6">
        <w:rPr>
          <w:b/>
        </w:rPr>
        <w:t xml:space="preserve"> domače</w:t>
      </w:r>
      <w:r w:rsidR="00535CAE">
        <w:rPr>
          <w:b/>
        </w:rPr>
        <w:t>m</w:t>
      </w:r>
      <w:r w:rsidRPr="006D5FC6">
        <w:rPr>
          <w:b/>
        </w:rPr>
        <w:t xml:space="preserve"> prebivalstv</w:t>
      </w:r>
      <w:r w:rsidR="00535CAE">
        <w:rPr>
          <w:b/>
        </w:rPr>
        <w:t>u</w:t>
      </w:r>
      <w:r w:rsidRPr="006D5FC6">
        <w:rPr>
          <w:b/>
        </w:rPr>
        <w:t>.</w:t>
      </w:r>
      <w:r>
        <w:t xml:space="preserve"> </w:t>
      </w:r>
      <w:r w:rsidRPr="00BA0907">
        <w:t>Slovenija</w:t>
      </w:r>
      <w:r>
        <w:t xml:space="preserve"> </w:t>
      </w:r>
      <w:r w:rsidRPr="00BA0907">
        <w:t>beleži eno najnižjih stopenj tveganja revščine celotnega prebivalstva</w:t>
      </w:r>
      <w:r>
        <w:t xml:space="preserve"> med državami EU</w:t>
      </w:r>
      <w:r w:rsidR="00320F24">
        <w:t>.</w:t>
      </w:r>
      <w:r w:rsidR="00FA55B6">
        <w:t xml:space="preserve"> </w:t>
      </w:r>
      <w:r w:rsidR="00B91F71">
        <w:t>Z</w:t>
      </w:r>
      <w:r>
        <w:t>a slovenske državljane se je v obdobju 2015</w:t>
      </w:r>
      <w:r w:rsidR="00B91F71">
        <w:t>–</w:t>
      </w:r>
      <w:r>
        <w:t>2021 znižala z 12,8</w:t>
      </w:r>
      <w:r w:rsidR="00B91F71">
        <w:t xml:space="preserve"> </w:t>
      </w:r>
      <w:r>
        <w:t>% na 11,2 %, kar je</w:t>
      </w:r>
      <w:r w:rsidR="00FA55B6">
        <w:t xml:space="preserve"> </w:t>
      </w:r>
      <w:r>
        <w:t xml:space="preserve">podobno kot v povprečju EU. </w:t>
      </w:r>
      <w:r w:rsidR="007914B0">
        <w:t>Tudi s</w:t>
      </w:r>
      <w:r>
        <w:t xml:space="preserve">topnja tveganja revščine tujih državljanov </w:t>
      </w:r>
      <w:r w:rsidR="007914B0">
        <w:t xml:space="preserve">v Sloveniji </w:t>
      </w:r>
      <w:r>
        <w:t>se je v obdobju 2015</w:t>
      </w:r>
      <w:r w:rsidR="00B91F71">
        <w:t>–</w:t>
      </w:r>
      <w:r>
        <w:t xml:space="preserve">2021 </w:t>
      </w:r>
      <w:r w:rsidR="007914B0">
        <w:t>precej z</w:t>
      </w:r>
      <w:r w:rsidR="00D52C6C">
        <w:t>nižala</w:t>
      </w:r>
      <w:r w:rsidR="007914B0">
        <w:t xml:space="preserve"> (z 27,3</w:t>
      </w:r>
      <w:r w:rsidR="00B91F71">
        <w:t xml:space="preserve"> </w:t>
      </w:r>
      <w:r w:rsidR="007914B0">
        <w:t xml:space="preserve">% leta 2015 na 19,2 % leta 2021; </w:t>
      </w:r>
      <w:r>
        <w:t xml:space="preserve">v povprečju EU </w:t>
      </w:r>
      <w:r w:rsidR="007914B0">
        <w:t xml:space="preserve">se je </w:t>
      </w:r>
      <w:r>
        <w:t>nekoliko</w:t>
      </w:r>
      <w:r w:rsidR="00B25340">
        <w:t xml:space="preserve"> zvišala</w:t>
      </w:r>
      <w:r w:rsidR="007914B0">
        <w:t xml:space="preserve">), a je še vedno precej </w:t>
      </w:r>
      <w:r w:rsidR="007914B0" w:rsidRPr="00D9645F">
        <w:t xml:space="preserve">višja kot </w:t>
      </w:r>
      <w:r w:rsidR="004A3288" w:rsidRPr="00611105">
        <w:t>pri</w:t>
      </w:r>
      <w:r w:rsidR="007914B0" w:rsidRPr="00D9645F">
        <w:t xml:space="preserve"> slovensk</w:t>
      </w:r>
      <w:r w:rsidR="004A3288" w:rsidRPr="00611105">
        <w:t>ih</w:t>
      </w:r>
      <w:r w:rsidR="007914B0" w:rsidRPr="00D9645F">
        <w:t xml:space="preserve"> državljan</w:t>
      </w:r>
      <w:r w:rsidR="004A3288" w:rsidRPr="00821155">
        <w:t>ih</w:t>
      </w:r>
      <w:r>
        <w:t xml:space="preserve">. Na </w:t>
      </w:r>
      <w:r w:rsidR="002D3CA2">
        <w:t xml:space="preserve">znižanje stopnje tveganja revščine tujcev oziroma </w:t>
      </w:r>
      <w:r>
        <w:t xml:space="preserve">izboljšanje </w:t>
      </w:r>
      <w:r w:rsidR="002D3CA2">
        <w:t xml:space="preserve">njihovega </w:t>
      </w:r>
      <w:r>
        <w:t xml:space="preserve">dohodkovnega položaja </w:t>
      </w:r>
      <w:r w:rsidR="009D62A6">
        <w:t>sta</w:t>
      </w:r>
      <w:r w:rsidR="003D666E">
        <w:t xml:space="preserve"> </w:t>
      </w:r>
      <w:r>
        <w:t>verjetno vplival</w:t>
      </w:r>
      <w:r w:rsidR="009D62A6">
        <w:t>a rast minimalne plače in</w:t>
      </w:r>
      <w:r>
        <w:t xml:space="preserve"> pomanjkanje delovne sile, ki je delodajalce spodbujalo k </w:t>
      </w:r>
      <w:r w:rsidR="009D62A6">
        <w:t>izplačevanju</w:t>
      </w:r>
      <w:r w:rsidR="006604A5">
        <w:t xml:space="preserve"> višjih plač</w:t>
      </w:r>
      <w:r w:rsidR="009D62A6">
        <w:t xml:space="preserve">. </w:t>
      </w:r>
    </w:p>
    <w:p w14:paraId="4453F279" w14:textId="0A00F48B" w:rsidR="00F3718A" w:rsidRPr="00F330C7" w:rsidRDefault="00362460" w:rsidP="00362460">
      <w:pPr>
        <w:pStyle w:val="Caption"/>
      </w:pPr>
      <w:r>
        <w:t xml:space="preserve">Slika </w:t>
      </w:r>
      <w:r>
        <w:fldChar w:fldCharType="begin"/>
      </w:r>
      <w:r>
        <w:instrText xml:space="preserve"> SEQ Slika \* ARABIC </w:instrText>
      </w:r>
      <w:r>
        <w:fldChar w:fldCharType="separate"/>
      </w:r>
      <w:r w:rsidR="005A41AB">
        <w:t>7</w:t>
      </w:r>
      <w:r>
        <w:fldChar w:fldCharType="end"/>
      </w:r>
      <w:r w:rsidR="00F3718A">
        <w:t>:</w:t>
      </w:r>
      <w:r w:rsidR="00F3718A" w:rsidRPr="00F330C7">
        <w:t xml:space="preserve"> Stopnja tveganja revščine </w:t>
      </w:r>
      <w:r w:rsidR="00F3718A">
        <w:t xml:space="preserve">med </w:t>
      </w:r>
      <w:r w:rsidR="00F3718A" w:rsidRPr="00F330C7">
        <w:t>domačim</w:t>
      </w:r>
      <w:r w:rsidR="00F3718A">
        <w:t>i</w:t>
      </w:r>
      <w:r w:rsidR="00F3718A" w:rsidRPr="00F330C7">
        <w:t xml:space="preserve"> in tujimi državljani</w:t>
      </w:r>
      <w:r w:rsidR="002D3CA2">
        <w:t>,</w:t>
      </w:r>
      <w:r w:rsidR="00F3718A">
        <w:t xml:space="preserve"> starejšimi od 18 let</w:t>
      </w:r>
      <w:r w:rsidR="00F3718A" w:rsidRPr="00F330C7">
        <w:t>, leta 2021</w:t>
      </w:r>
    </w:p>
    <w:p w14:paraId="2E520038" w14:textId="74AD85B3" w:rsidR="002B66E4" w:rsidRDefault="00E66389" w:rsidP="002B66E4">
      <w:pPr>
        <w:pStyle w:val="BesediloUMAR"/>
      </w:pPr>
      <w:r w:rsidRPr="00E66389">
        <w:rPr>
          <w:noProof/>
        </w:rPr>
        <w:drawing>
          <wp:inline distT="0" distB="0" distL="0" distR="0" wp14:anchorId="08109203" wp14:editId="4C1E14E6">
            <wp:extent cx="5759450" cy="210591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105917"/>
                    </a:xfrm>
                    <a:prstGeom prst="rect">
                      <a:avLst/>
                    </a:prstGeom>
                    <a:noFill/>
                    <a:ln>
                      <a:noFill/>
                    </a:ln>
                  </pic:spPr>
                </pic:pic>
              </a:graphicData>
            </a:graphic>
          </wp:inline>
        </w:drawing>
      </w:r>
    </w:p>
    <w:p w14:paraId="79C63A86" w14:textId="7E0F6EEB" w:rsidR="00FF55F6" w:rsidRDefault="00F3718A" w:rsidP="00362460">
      <w:pPr>
        <w:pStyle w:val="VirUMAR"/>
      </w:pPr>
      <w:r w:rsidRPr="009633EE">
        <w:t>Vir:</w:t>
      </w:r>
      <w:r w:rsidRPr="009633EE">
        <w:fldChar w:fldCharType="begin"/>
      </w:r>
      <w:r w:rsidRPr="009633EE">
        <w:instrText xml:space="preserve"> ADDIN ZOTERO_ITEM CSL_CITATION {"citationID":"SlBIUHLq","properties":{"formattedCitation":"(Eurostat,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9633EE">
        <w:fldChar w:fldCharType="separate"/>
      </w:r>
      <w:r w:rsidRPr="009633EE">
        <w:t xml:space="preserve"> Eurostat (2023)</w:t>
      </w:r>
      <w:r w:rsidRPr="009633EE">
        <w:fldChar w:fldCharType="end"/>
      </w:r>
      <w:r w:rsidRPr="009633EE">
        <w:t>.</w:t>
      </w:r>
    </w:p>
    <w:p w14:paraId="6D0B497A" w14:textId="77777777" w:rsidR="00362460" w:rsidRDefault="00362460">
      <w:pPr>
        <w:spacing w:after="0" w:line="240" w:lineRule="auto"/>
        <w:rPr>
          <w:rFonts w:ascii="Myriad Pro" w:hAnsi="Myriad Pro"/>
          <w:b/>
          <w:color w:val="A10305" w:themeColor="accent1"/>
          <w:sz w:val="24"/>
        </w:rPr>
      </w:pPr>
      <w:r>
        <w:br w:type="page"/>
      </w:r>
    </w:p>
    <w:p w14:paraId="3670C03F" w14:textId="7F3E7C19" w:rsidR="006C1554" w:rsidRPr="006C1554" w:rsidRDefault="00FF55F6" w:rsidP="006C1554">
      <w:pPr>
        <w:pStyle w:val="Heading2"/>
      </w:pPr>
      <w:r w:rsidRPr="00362460">
        <w:lastRenderedPageBreak/>
        <w:t>Vseživljenjsko učenje</w:t>
      </w:r>
    </w:p>
    <w:p w14:paraId="77A61DBD" w14:textId="27EF1CD1" w:rsidR="00362460" w:rsidRPr="00362460" w:rsidRDefault="00FF55F6" w:rsidP="00362460">
      <w:pPr>
        <w:pStyle w:val="BesediloUMAR"/>
      </w:pPr>
      <w:r w:rsidRPr="006D5FC6">
        <w:rPr>
          <w:b/>
        </w:rPr>
        <w:t>Vključenost odraslih v vseživljenjsko učenje se je v Sloveniji po zmanjševanju v obdobju 2015</w:t>
      </w:r>
      <w:r w:rsidR="00480397">
        <w:rPr>
          <w:b/>
        </w:rPr>
        <w:t>–</w:t>
      </w:r>
      <w:r w:rsidRPr="006D5FC6">
        <w:rPr>
          <w:b/>
        </w:rPr>
        <w:t>2020</w:t>
      </w:r>
      <w:r w:rsidR="006604A5" w:rsidRPr="006D5FC6">
        <w:rPr>
          <w:b/>
        </w:rPr>
        <w:t xml:space="preserve"> v</w:t>
      </w:r>
      <w:r w:rsidR="003D666E" w:rsidRPr="006D5FC6">
        <w:rPr>
          <w:b/>
        </w:rPr>
        <w:t xml:space="preserve"> </w:t>
      </w:r>
      <w:r w:rsidRPr="006D5FC6">
        <w:rPr>
          <w:b/>
        </w:rPr>
        <w:t>let</w:t>
      </w:r>
      <w:r w:rsidR="006604A5" w:rsidRPr="006D5FC6">
        <w:rPr>
          <w:b/>
        </w:rPr>
        <w:t>u</w:t>
      </w:r>
      <w:r w:rsidRPr="006D5FC6">
        <w:rPr>
          <w:b/>
        </w:rPr>
        <w:t xml:space="preserve"> 2021 močno povečal</w:t>
      </w:r>
      <w:r w:rsidR="00480397">
        <w:rPr>
          <w:b/>
        </w:rPr>
        <w:t>a</w:t>
      </w:r>
      <w:r w:rsidR="006604A5" w:rsidRPr="006D5FC6">
        <w:rPr>
          <w:b/>
        </w:rPr>
        <w:t>.</w:t>
      </w:r>
      <w:r w:rsidRPr="00C06B12">
        <w:rPr>
          <w:b/>
          <w:bCs/>
        </w:rPr>
        <w:t xml:space="preserve"> </w:t>
      </w:r>
      <w:r w:rsidR="009D62A6" w:rsidRPr="000F15F3">
        <w:rPr>
          <w:rFonts w:cs="Arial"/>
          <w:szCs w:val="20"/>
        </w:rPr>
        <w:t>Vključenost odraslih v starosti 25</w:t>
      </w:r>
      <w:r w:rsidR="00480397">
        <w:rPr>
          <w:rFonts w:cs="Arial"/>
          <w:szCs w:val="20"/>
        </w:rPr>
        <w:t>–</w:t>
      </w:r>
      <w:r w:rsidR="009D62A6" w:rsidRPr="000F15F3">
        <w:rPr>
          <w:rFonts w:cs="Arial"/>
          <w:szCs w:val="20"/>
        </w:rPr>
        <w:t>64 let v vseživljenjsko</w:t>
      </w:r>
      <w:r w:rsidR="003D666E">
        <w:rPr>
          <w:rFonts w:cs="Arial"/>
          <w:szCs w:val="20"/>
        </w:rPr>
        <w:t xml:space="preserve"> </w:t>
      </w:r>
      <w:r w:rsidR="009D62A6" w:rsidRPr="000F15F3">
        <w:rPr>
          <w:rFonts w:cs="Arial"/>
          <w:szCs w:val="20"/>
        </w:rPr>
        <w:t>učenje je v Sloveniji</w:t>
      </w:r>
      <w:r w:rsidR="003D666E">
        <w:rPr>
          <w:rFonts w:cs="Arial"/>
          <w:szCs w:val="20"/>
        </w:rPr>
        <w:t xml:space="preserve"> </w:t>
      </w:r>
      <w:r w:rsidR="009D62A6" w:rsidRPr="000F15F3">
        <w:rPr>
          <w:rFonts w:cs="Arial"/>
          <w:szCs w:val="20"/>
        </w:rPr>
        <w:t>v</w:t>
      </w:r>
      <w:r w:rsidR="00DC53FB">
        <w:rPr>
          <w:rFonts w:cs="Arial"/>
          <w:szCs w:val="20"/>
        </w:rPr>
        <w:t>išja</w:t>
      </w:r>
      <w:r w:rsidR="009D62A6" w:rsidRPr="000F15F3">
        <w:rPr>
          <w:rFonts w:cs="Arial"/>
          <w:szCs w:val="20"/>
        </w:rPr>
        <w:t xml:space="preserve"> od povprečja EU, vendar se je v obd</w:t>
      </w:r>
      <w:r w:rsidR="00DC53FB">
        <w:rPr>
          <w:rFonts w:cs="Arial"/>
          <w:szCs w:val="20"/>
        </w:rPr>
        <w:t>o</w:t>
      </w:r>
      <w:r w:rsidR="009D62A6" w:rsidRPr="000F15F3">
        <w:rPr>
          <w:rFonts w:cs="Arial"/>
          <w:szCs w:val="20"/>
        </w:rPr>
        <w:t>bju 2015</w:t>
      </w:r>
      <w:r w:rsidR="00480397">
        <w:rPr>
          <w:rFonts w:cs="Arial"/>
          <w:szCs w:val="20"/>
        </w:rPr>
        <w:t>–</w:t>
      </w:r>
      <w:r w:rsidR="009D62A6" w:rsidRPr="000F15F3">
        <w:rPr>
          <w:rFonts w:cs="Arial"/>
          <w:szCs w:val="20"/>
        </w:rPr>
        <w:t>2020 zmanjševal</w:t>
      </w:r>
      <w:r w:rsidR="00480397">
        <w:rPr>
          <w:rFonts w:cs="Arial"/>
          <w:szCs w:val="20"/>
        </w:rPr>
        <w:t>a</w:t>
      </w:r>
      <w:r w:rsidR="009D62A6" w:rsidRPr="000F15F3">
        <w:rPr>
          <w:rFonts w:cs="Arial"/>
          <w:szCs w:val="20"/>
        </w:rPr>
        <w:t>, kar je neugodno z vidika ohranjanja in prodobivanja znanj</w:t>
      </w:r>
      <w:r w:rsidR="00031C92">
        <w:rPr>
          <w:rFonts w:cs="Arial"/>
          <w:szCs w:val="20"/>
        </w:rPr>
        <w:t xml:space="preserve">. </w:t>
      </w:r>
      <w:r w:rsidRPr="00FF55F6">
        <w:t>Leta 2021se je vključenost precej povečala in znašala 18,9 %</w:t>
      </w:r>
      <w:r w:rsidR="00031C92">
        <w:t xml:space="preserve"> </w:t>
      </w:r>
      <w:r w:rsidRPr="00FF55F6">
        <w:t xml:space="preserve">, na kar je pomembno vplivala </w:t>
      </w:r>
      <w:r w:rsidR="008256C6">
        <w:t xml:space="preserve">predvsem </w:t>
      </w:r>
      <w:r w:rsidRPr="00FF55F6">
        <w:t xml:space="preserve">večja </w:t>
      </w:r>
      <w:r w:rsidR="009203C4">
        <w:t xml:space="preserve">ponudba </w:t>
      </w:r>
      <w:r w:rsidRPr="00FF55F6">
        <w:t>programov</w:t>
      </w:r>
      <w:r w:rsidR="008B2066">
        <w:t xml:space="preserve"> izobraževanja na daljavo</w:t>
      </w:r>
      <w:r w:rsidRPr="00FF55F6">
        <w:t>.</w:t>
      </w:r>
      <w:r w:rsidR="001A6DEA">
        <w:rPr>
          <w:rStyle w:val="FootnoteReference"/>
          <w:rFonts w:eastAsia="Calibri" w:cs="Arial"/>
          <w:szCs w:val="20"/>
        </w:rPr>
        <w:footnoteReference w:id="5"/>
      </w:r>
      <w:r w:rsidR="003D666E">
        <w:t xml:space="preserve"> </w:t>
      </w:r>
      <w:r w:rsidR="00E64152">
        <w:t>Vključenost</w:t>
      </w:r>
      <w:r w:rsidR="003D666E">
        <w:t xml:space="preserve"> </w:t>
      </w:r>
      <w:r w:rsidR="00AF1BFC">
        <w:t>odraslih je</w:t>
      </w:r>
      <w:r w:rsidR="00E64152">
        <w:t xml:space="preserve"> bila tako leta 2021 za 7</w:t>
      </w:r>
      <w:r w:rsidR="00AF1BFC">
        <w:t xml:space="preserve"> </w:t>
      </w:r>
      <w:r w:rsidR="00E64152">
        <w:t>o.</w:t>
      </w:r>
      <w:r w:rsidR="008256C6">
        <w:t xml:space="preserve"> </w:t>
      </w:r>
      <w:r w:rsidR="00E64152">
        <w:t>t. večja kot leta 2015</w:t>
      </w:r>
      <w:r w:rsidR="00AF1BFC">
        <w:t xml:space="preserve"> (</w:t>
      </w:r>
      <w:r w:rsidR="006137BC">
        <w:t>g</w:t>
      </w:r>
      <w:r w:rsidR="00AF1BFC">
        <w:t>l. slik</w:t>
      </w:r>
      <w:r w:rsidR="00D31D24">
        <w:t>o</w:t>
      </w:r>
      <w:r w:rsidR="00AF1BFC">
        <w:t xml:space="preserve"> 8)</w:t>
      </w:r>
      <w:r w:rsidR="006137BC">
        <w:t>.</w:t>
      </w:r>
    </w:p>
    <w:p w14:paraId="51759622" w14:textId="064C3C95" w:rsidR="00FF55F6" w:rsidRPr="00362460" w:rsidRDefault="00362460" w:rsidP="00362460">
      <w:pPr>
        <w:pStyle w:val="Caption"/>
        <w:rPr>
          <w:b w:val="0"/>
          <w:bCs w:val="0"/>
        </w:rPr>
      </w:pPr>
      <w:r>
        <w:t xml:space="preserve">Slika </w:t>
      </w:r>
      <w:r>
        <w:fldChar w:fldCharType="begin"/>
      </w:r>
      <w:r>
        <w:instrText xml:space="preserve"> SEQ Slika \* ARABIC </w:instrText>
      </w:r>
      <w:r>
        <w:fldChar w:fldCharType="separate"/>
      </w:r>
      <w:r w:rsidR="005A41AB">
        <w:t>8</w:t>
      </w:r>
      <w:r>
        <w:fldChar w:fldCharType="end"/>
      </w:r>
      <w:r w:rsidR="00FF55F6" w:rsidRPr="00FF55F6">
        <w:t>: Delež odraslih (25</w:t>
      </w:r>
      <w:r w:rsidR="00480397">
        <w:t>–</w:t>
      </w:r>
      <w:r w:rsidR="00FF55F6" w:rsidRPr="00FF55F6">
        <w:t>64 let) in starejših (55</w:t>
      </w:r>
      <w:r w:rsidR="00480397">
        <w:t>–</w:t>
      </w:r>
      <w:r w:rsidR="00FF55F6" w:rsidRPr="00FF55F6">
        <w:t>74 let), vključeni</w:t>
      </w:r>
      <w:r w:rsidR="00584252">
        <w:t>h</w:t>
      </w:r>
      <w:r w:rsidR="00FA55B6">
        <w:t xml:space="preserve"> </w:t>
      </w:r>
      <w:r w:rsidR="00FF55F6" w:rsidRPr="00FF55F6">
        <w:t>v vseživljenjsko učenje, v obdobju 2015</w:t>
      </w:r>
      <w:r w:rsidR="00480397">
        <w:t>–</w:t>
      </w:r>
      <w:r w:rsidR="00FF55F6" w:rsidRPr="00FF55F6">
        <w:t>2021</w:t>
      </w:r>
    </w:p>
    <w:p w14:paraId="270D6A46" w14:textId="151E3EF3" w:rsidR="00FF55F6" w:rsidRPr="00FF55F6" w:rsidRDefault="00EC13C8" w:rsidP="00272385">
      <w:pPr>
        <w:pStyle w:val="BesediloUMAR"/>
      </w:pPr>
      <w:r w:rsidRPr="00EC13C8">
        <w:drawing>
          <wp:inline distT="0" distB="0" distL="0" distR="0" wp14:anchorId="5FE5C65B" wp14:editId="4F8CCADA">
            <wp:extent cx="5759450" cy="2144917"/>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144917"/>
                    </a:xfrm>
                    <a:prstGeom prst="rect">
                      <a:avLst/>
                    </a:prstGeom>
                    <a:noFill/>
                    <a:ln>
                      <a:noFill/>
                    </a:ln>
                  </pic:spPr>
                </pic:pic>
              </a:graphicData>
            </a:graphic>
          </wp:inline>
        </w:drawing>
      </w:r>
    </w:p>
    <w:p w14:paraId="48B2C3B0" w14:textId="311F2BED" w:rsidR="00FF55F6" w:rsidRPr="00FF55F6" w:rsidRDefault="00FF55F6" w:rsidP="00362460">
      <w:pPr>
        <w:pStyle w:val="VirUMAR"/>
      </w:pPr>
      <w:r w:rsidRPr="00FF55F6">
        <w:t xml:space="preserve">Vir: </w:t>
      </w:r>
      <w:r w:rsidRPr="00FF55F6">
        <w:fldChar w:fldCharType="begin"/>
      </w:r>
      <w:r w:rsidRPr="00FF55F6">
        <w:instrText xml:space="preserve"> ADDIN ZOTERO_ITEM CSL_CITATION {"citationID":"fKRTsNPd","properties":{"formattedCitation":"(Eurostat,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FF55F6">
        <w:fldChar w:fldCharType="separate"/>
      </w:r>
      <w:r w:rsidRPr="00FF55F6">
        <w:rPr>
          <w:rFonts w:cs="Calibri"/>
        </w:rPr>
        <w:t>Eurostat (2023)</w:t>
      </w:r>
      <w:r w:rsidRPr="00FF55F6">
        <w:fldChar w:fldCharType="end"/>
      </w:r>
      <w:r w:rsidRPr="00FF55F6">
        <w:t>.</w:t>
      </w:r>
    </w:p>
    <w:p w14:paraId="633C6155" w14:textId="77777777" w:rsidR="00362460" w:rsidRDefault="00362460" w:rsidP="00362460">
      <w:pPr>
        <w:pStyle w:val="BesediloUMAR"/>
      </w:pPr>
    </w:p>
    <w:p w14:paraId="711ACF16" w14:textId="22064236" w:rsidR="00C06B12" w:rsidRPr="00362460" w:rsidRDefault="00FF55F6" w:rsidP="00362460">
      <w:pPr>
        <w:pStyle w:val="BesediloUMAR"/>
      </w:pPr>
      <w:r w:rsidRPr="006D5FC6">
        <w:rPr>
          <w:b/>
        </w:rPr>
        <w:t>Vključenost v vseživljenjsko učenje</w:t>
      </w:r>
      <w:r w:rsidR="003D666E" w:rsidRPr="006D5FC6">
        <w:rPr>
          <w:b/>
        </w:rPr>
        <w:t xml:space="preserve"> </w:t>
      </w:r>
      <w:r w:rsidR="0067399E" w:rsidRPr="006D5FC6">
        <w:rPr>
          <w:b/>
        </w:rPr>
        <w:t>starejših (55</w:t>
      </w:r>
      <w:r w:rsidR="001A51A2">
        <w:rPr>
          <w:b/>
        </w:rPr>
        <w:t>–</w:t>
      </w:r>
      <w:r w:rsidR="0067399E" w:rsidRPr="006D5FC6">
        <w:rPr>
          <w:b/>
        </w:rPr>
        <w:t>74 let)</w:t>
      </w:r>
      <w:r w:rsidR="00E66389">
        <w:rPr>
          <w:b/>
        </w:rPr>
        <w:t xml:space="preserve"> </w:t>
      </w:r>
      <w:r w:rsidR="00000E19" w:rsidRPr="006D5FC6">
        <w:rPr>
          <w:b/>
        </w:rPr>
        <w:t xml:space="preserve">se je po </w:t>
      </w:r>
      <w:r w:rsidR="0067399E" w:rsidRPr="006D5FC6">
        <w:rPr>
          <w:b/>
        </w:rPr>
        <w:t>povečevanju</w:t>
      </w:r>
      <w:r w:rsidR="003D666E" w:rsidRPr="006D5FC6">
        <w:rPr>
          <w:b/>
        </w:rPr>
        <w:t xml:space="preserve"> </w:t>
      </w:r>
      <w:r w:rsidR="0067399E" w:rsidRPr="006D5FC6">
        <w:rPr>
          <w:b/>
        </w:rPr>
        <w:t>v ob</w:t>
      </w:r>
      <w:r w:rsidR="00EE5BA7">
        <w:rPr>
          <w:b/>
        </w:rPr>
        <w:t>d</w:t>
      </w:r>
      <w:r w:rsidR="0067399E" w:rsidRPr="006D5FC6">
        <w:rPr>
          <w:b/>
        </w:rPr>
        <w:t>obju 2015</w:t>
      </w:r>
      <w:r w:rsidR="001A51A2">
        <w:rPr>
          <w:b/>
        </w:rPr>
        <w:t>–</w:t>
      </w:r>
      <w:r w:rsidR="0067399E" w:rsidRPr="006D5FC6">
        <w:rPr>
          <w:b/>
        </w:rPr>
        <w:t>2019 leta 2020 zmanjšal</w:t>
      </w:r>
      <w:r w:rsidR="00EE5BA7">
        <w:rPr>
          <w:b/>
        </w:rPr>
        <w:t>a</w:t>
      </w:r>
      <w:r w:rsidR="0067399E" w:rsidRPr="006D5FC6">
        <w:rPr>
          <w:b/>
        </w:rPr>
        <w:t xml:space="preserve"> in </w:t>
      </w:r>
      <w:r w:rsidR="00D17D42">
        <w:rPr>
          <w:b/>
        </w:rPr>
        <w:t xml:space="preserve">v </w:t>
      </w:r>
      <w:r w:rsidR="0067399E" w:rsidRPr="006D5FC6">
        <w:rPr>
          <w:b/>
        </w:rPr>
        <w:t>2021 močno povečal</w:t>
      </w:r>
      <w:r w:rsidR="00EE5BA7">
        <w:rPr>
          <w:b/>
        </w:rPr>
        <w:t>a</w:t>
      </w:r>
      <w:r w:rsidR="0067399E" w:rsidRPr="006D5FC6">
        <w:rPr>
          <w:b/>
        </w:rPr>
        <w:t>.</w:t>
      </w:r>
      <w:r w:rsidR="0067399E" w:rsidRPr="00362460">
        <w:t xml:space="preserve"> </w:t>
      </w:r>
      <w:r w:rsidR="008256C6" w:rsidRPr="00362460">
        <w:t xml:space="preserve">Ohranjanje in pridobivanje znanja ter spretnosti ljudem omogoča lažje obvladovanje tveganj, ki jih prinaša življenje v sodobni družbi. Analiza rezultatov </w:t>
      </w:r>
      <w:r w:rsidR="008256C6" w:rsidRPr="0005097C">
        <w:t>PIAAC</w:t>
      </w:r>
      <w:r w:rsidR="00611105" w:rsidRPr="0005097C">
        <w:rPr>
          <w:rStyle w:val="FootnoteReference"/>
        </w:rPr>
        <w:footnoteReference w:id="6"/>
      </w:r>
      <w:r w:rsidR="008256C6" w:rsidRPr="0005097C">
        <w:t xml:space="preserve"> v</w:t>
      </w:r>
      <w:r w:rsidR="008256C6" w:rsidRPr="00362460">
        <w:t xml:space="preserve"> izbranih državah na vzorcu starejših kaže, da spretnosti in stopnja izobrazbe starejših pomembno vplivajo na individualno in družbeno blaginjo</w:t>
      </w:r>
      <w:r w:rsidR="00046D94">
        <w:t>.</w:t>
      </w:r>
      <w:r w:rsidR="008256C6" w:rsidRPr="00362460">
        <w:t xml:space="preserve"> Analize tudi kažejo, da se po upokojitvi izobražujejo in učijo tisti starejši, ki so se </w:t>
      </w:r>
      <w:r w:rsidR="00046D94">
        <w:t xml:space="preserve">organizirano </w:t>
      </w:r>
      <w:r w:rsidR="008256C6" w:rsidRPr="00362460">
        <w:t xml:space="preserve">učili tudi v </w:t>
      </w:r>
      <w:r w:rsidR="00046D94">
        <w:t xml:space="preserve">svojem delovnem </w:t>
      </w:r>
      <w:r w:rsidR="008256C6" w:rsidRPr="00362460">
        <w:t xml:space="preserve">obdobju </w:t>
      </w:r>
      <w:r w:rsidR="008256C6" w:rsidRPr="00362460">
        <w:fldChar w:fldCharType="begin"/>
      </w:r>
      <w:r w:rsidR="008256C6" w:rsidRPr="00362460">
        <w:instrText xml:space="preserve"> ADDIN ZOTERO_ITEM CSL_CITATION {"citationID":"HP6KvkOJ","properties":{"formattedCitation":"(Kump, S., 2015)","plainCitation":"(Kump, S., 2015)","noteIndex":0},"citationItems":[{"id":3786,"uris":["http://zotero.org/users/8351010/items/LX5FKT2Q"],"itemData":{"id":3786,"type":"article-journal","container-title":"Andagoška spoznanja","issue":"2","page":"9-27","title":"Vpliv izobrazbe in spretsnoti starejših na individualno in deužbeno blaginjo","volume":"21","author":[{"literal":"Kump, S."}],"issued":{"date-parts":[["2015"]]}}}],"schema":"https://github.com/citation-style-language/schema/raw/master/csl-citation.json"} </w:instrText>
      </w:r>
      <w:r w:rsidR="008256C6" w:rsidRPr="00362460">
        <w:fldChar w:fldCharType="separate"/>
      </w:r>
      <w:r w:rsidR="008256C6" w:rsidRPr="00362460">
        <w:t>(Kump, S., 2015)</w:t>
      </w:r>
      <w:r w:rsidR="008256C6" w:rsidRPr="00362460">
        <w:fldChar w:fldCharType="end"/>
      </w:r>
      <w:r w:rsidR="008256C6" w:rsidRPr="00362460">
        <w:t xml:space="preserve">. </w:t>
      </w:r>
      <w:r w:rsidR="006604A5" w:rsidRPr="00362460">
        <w:t>V</w:t>
      </w:r>
      <w:r w:rsidR="0067399E" w:rsidRPr="00362460">
        <w:t xml:space="preserve"> o</w:t>
      </w:r>
      <w:r w:rsidR="00046D94">
        <w:t>b</w:t>
      </w:r>
      <w:r w:rsidR="0067399E" w:rsidRPr="00362460">
        <w:t>dobju 2015</w:t>
      </w:r>
      <w:r w:rsidR="00A20691">
        <w:t>–</w:t>
      </w:r>
      <w:r w:rsidR="0067399E" w:rsidRPr="00362460">
        <w:t>2019 se je vključeno</w:t>
      </w:r>
      <w:r w:rsidR="006604A5" w:rsidRPr="00362460">
        <w:t>s</w:t>
      </w:r>
      <w:r w:rsidR="0067399E" w:rsidRPr="00362460">
        <w:t>t starej</w:t>
      </w:r>
      <w:r w:rsidR="0098600D">
        <w:t>š</w:t>
      </w:r>
      <w:r w:rsidR="0067399E" w:rsidRPr="00362460">
        <w:t>ih v vseživljenjsko učenje nekoliko povečeval</w:t>
      </w:r>
      <w:r w:rsidR="0098600D">
        <w:t>a</w:t>
      </w:r>
      <w:r w:rsidR="0067399E" w:rsidRPr="00362460">
        <w:t xml:space="preserve"> (s 3,9</w:t>
      </w:r>
      <w:r w:rsidR="0098600D">
        <w:t xml:space="preserve"> </w:t>
      </w:r>
      <w:r w:rsidR="0067399E" w:rsidRPr="00362460">
        <w:t>% leta 2015 na 5,1% leta 2019)</w:t>
      </w:r>
      <w:r w:rsidR="0098600D">
        <w:t>.</w:t>
      </w:r>
      <w:r w:rsidR="0067399E" w:rsidRPr="00362460">
        <w:t xml:space="preserve"> </w:t>
      </w:r>
      <w:r w:rsidR="008B2066" w:rsidRPr="00362460">
        <w:t>Po znižanju vključnosti z</w:t>
      </w:r>
      <w:r w:rsidR="0067399E" w:rsidRPr="00362460">
        <w:t>aradi epidemije covida-19 in omejitev za</w:t>
      </w:r>
      <w:r w:rsidR="003D666E" w:rsidRPr="00362460">
        <w:t xml:space="preserve"> </w:t>
      </w:r>
      <w:r w:rsidR="0067399E" w:rsidRPr="00362460">
        <w:t xml:space="preserve">zajezitev epidemije </w:t>
      </w:r>
      <w:r w:rsidR="008B2066" w:rsidRPr="00362460">
        <w:t>v letu 2020</w:t>
      </w:r>
      <w:r w:rsidR="006803E3" w:rsidRPr="00362460">
        <w:t xml:space="preserve"> je v </w:t>
      </w:r>
      <w:r w:rsidR="0067399E" w:rsidRPr="00362460">
        <w:t>letu 2021 prišlo do</w:t>
      </w:r>
      <w:r w:rsidR="003D666E" w:rsidRPr="00362460">
        <w:t xml:space="preserve"> </w:t>
      </w:r>
      <w:r w:rsidR="0067399E" w:rsidRPr="00362460">
        <w:t>precejšnj</w:t>
      </w:r>
      <w:r w:rsidR="006604A5" w:rsidRPr="00362460">
        <w:t>e</w:t>
      </w:r>
      <w:r w:rsidR="0067399E" w:rsidRPr="00362460">
        <w:t>ga povečanja in sicer</w:t>
      </w:r>
      <w:r w:rsidR="003D666E" w:rsidRPr="00362460">
        <w:t xml:space="preserve"> </w:t>
      </w:r>
      <w:r w:rsidR="0067399E" w:rsidRPr="00362460">
        <w:t>na 7,8</w:t>
      </w:r>
      <w:r w:rsidR="0098600D">
        <w:t xml:space="preserve"> </w:t>
      </w:r>
      <w:r w:rsidR="0067399E" w:rsidRPr="00362460">
        <w:t>% (EU:</w:t>
      </w:r>
      <w:r w:rsidR="006604A5" w:rsidRPr="00362460">
        <w:t xml:space="preserve"> </w:t>
      </w:r>
      <w:r w:rsidR="0067399E" w:rsidRPr="00362460">
        <w:t>4,2 %)</w:t>
      </w:r>
      <w:r w:rsidR="006803E3" w:rsidRPr="00362460">
        <w:t>.</w:t>
      </w:r>
      <w:r w:rsidR="0067399E" w:rsidRPr="00362460">
        <w:t xml:space="preserve"> </w:t>
      </w:r>
      <w:r w:rsidR="002340A4">
        <w:t>Kljub temu</w:t>
      </w:r>
      <w:r w:rsidRPr="00362460">
        <w:t xml:space="preserve"> </w:t>
      </w:r>
      <w:r w:rsidR="006803E3" w:rsidRPr="00362460">
        <w:t>je š</w:t>
      </w:r>
      <w:r w:rsidRPr="00362460">
        <w:t>e močno zaostajala za vlju</w:t>
      </w:r>
      <w:r w:rsidR="00C06B12" w:rsidRPr="00362460">
        <w:t>če</w:t>
      </w:r>
      <w:r w:rsidRPr="00362460">
        <w:t>nostjo v</w:t>
      </w:r>
      <w:r w:rsidR="00FA55B6" w:rsidRPr="00362460">
        <w:t xml:space="preserve"> </w:t>
      </w:r>
      <w:r w:rsidRPr="00362460">
        <w:t>skandinavskih državah,</w:t>
      </w:r>
      <w:r w:rsidR="00FA55B6" w:rsidRPr="00362460">
        <w:t xml:space="preserve"> </w:t>
      </w:r>
      <w:r w:rsidRPr="00362460">
        <w:t>za</w:t>
      </w:r>
      <w:r w:rsidR="00FA55B6" w:rsidRPr="00362460">
        <w:t xml:space="preserve"> </w:t>
      </w:r>
      <w:r w:rsidRPr="00362460">
        <w:t>katere je</w:t>
      </w:r>
      <w:r w:rsidR="00FA55B6" w:rsidRPr="00362460">
        <w:t xml:space="preserve"> </w:t>
      </w:r>
      <w:r w:rsidRPr="00362460">
        <w:t>značilno dolgo ostajanj</w:t>
      </w:r>
      <w:r w:rsidR="007B3947">
        <w:t>e</w:t>
      </w:r>
      <w:r w:rsidRPr="00362460">
        <w:t xml:space="preserve"> v delovni aktivnosti (visok</w:t>
      </w:r>
      <w:r w:rsidR="008256C6" w:rsidRPr="00362460">
        <w:t>a</w:t>
      </w:r>
      <w:r w:rsidRPr="00362460">
        <w:t xml:space="preserve"> stopnj</w:t>
      </w:r>
      <w:r w:rsidR="008256C6" w:rsidRPr="00362460">
        <w:t>a</w:t>
      </w:r>
      <w:r w:rsidRPr="00362460">
        <w:t xml:space="preserve"> delovne aktivnosti)</w:t>
      </w:r>
      <w:r w:rsidR="009C23EA">
        <w:t>,</w:t>
      </w:r>
      <w:r w:rsidR="002340A4">
        <w:t xml:space="preserve"> </w:t>
      </w:r>
      <w:r w:rsidR="00A93D1C">
        <w:t>g</w:t>
      </w:r>
      <w:r w:rsidR="006803E3" w:rsidRPr="00362460">
        <w:t>l</w:t>
      </w:r>
      <w:r w:rsidR="006D5FC6">
        <w:t>.</w:t>
      </w:r>
      <w:r w:rsidR="006803E3" w:rsidRPr="00362460">
        <w:t xml:space="preserve"> slik</w:t>
      </w:r>
      <w:r w:rsidR="00D31D24">
        <w:t>o</w:t>
      </w:r>
      <w:r w:rsidR="006803E3" w:rsidRPr="00362460">
        <w:t xml:space="preserve"> 9 desno</w:t>
      </w:r>
      <w:r w:rsidR="001A6DEA" w:rsidRPr="00362460">
        <w:t>.</w:t>
      </w:r>
      <w:r w:rsidR="00FA55B6" w:rsidRPr="00362460">
        <w:t xml:space="preserve"> </w:t>
      </w:r>
      <w:r w:rsidRPr="00362460">
        <w:t>Z vidika daljšega ostajanja v delovni aktivnosti in vključevanja v družbo je pomembno,</w:t>
      </w:r>
      <w:r w:rsidR="002340A4">
        <w:t xml:space="preserve"> </w:t>
      </w:r>
      <w:r w:rsidRPr="00362460">
        <w:t>da se pozitivni trend nadalj</w:t>
      </w:r>
      <w:r w:rsidR="008256C6" w:rsidRPr="00362460">
        <w:t>uje</w:t>
      </w:r>
      <w:r w:rsidRPr="00362460">
        <w:t xml:space="preserve"> tudi v prihodnjih letih. </w:t>
      </w:r>
    </w:p>
    <w:p w14:paraId="14BAC79C" w14:textId="77777777" w:rsidR="00FF55F6" w:rsidRPr="00FF55F6" w:rsidRDefault="00FF55F6" w:rsidP="00FF55F6">
      <w:pPr>
        <w:rPr>
          <w:rFonts w:ascii="Myriad Pro" w:eastAsia="Times New Roman" w:hAnsi="Myriad Pro" w:cs="Arial"/>
          <w:b/>
          <w:bCs/>
          <w:sz w:val="20"/>
          <w:szCs w:val="20"/>
          <w:lang w:eastAsia="sl-SI"/>
        </w:rPr>
      </w:pPr>
    </w:p>
    <w:p w14:paraId="156E278E" w14:textId="0ADBCAC0" w:rsidR="00FF55F6" w:rsidRPr="00A93D1C" w:rsidRDefault="00362460" w:rsidP="00A93D1C">
      <w:pPr>
        <w:pStyle w:val="Caption"/>
      </w:pPr>
      <w:r w:rsidRPr="00A93D1C">
        <w:lastRenderedPageBreak/>
        <w:t xml:space="preserve">Slika </w:t>
      </w:r>
      <w:r w:rsidRPr="00A93D1C">
        <w:fldChar w:fldCharType="begin"/>
      </w:r>
      <w:r w:rsidRPr="00A93D1C">
        <w:instrText xml:space="preserve"> SEQ Slika \* ARABIC </w:instrText>
      </w:r>
      <w:r w:rsidRPr="00A93D1C">
        <w:fldChar w:fldCharType="separate"/>
      </w:r>
      <w:r w:rsidR="005A41AB" w:rsidRPr="00A93D1C">
        <w:t>9</w:t>
      </w:r>
      <w:r w:rsidRPr="00A93D1C">
        <w:fldChar w:fldCharType="end"/>
      </w:r>
      <w:r w:rsidRPr="00A93D1C">
        <w:t xml:space="preserve">: </w:t>
      </w:r>
      <w:r w:rsidR="00FF55F6" w:rsidRPr="00A93D1C">
        <w:t>Vključenost odraslih (25–64 let) v vseživljenjsko učenje</w:t>
      </w:r>
      <w:r w:rsidR="00D32518">
        <w:t xml:space="preserve"> leta 2021</w:t>
      </w:r>
      <w:r w:rsidR="00FF55F6" w:rsidRPr="00A93D1C">
        <w:t xml:space="preserve"> v % (levo) in vključenost starejših (55–74 let) v vseživljenjsko učenje</w:t>
      </w:r>
      <w:r w:rsidR="00D32518">
        <w:t xml:space="preserve"> leta</w:t>
      </w:r>
      <w:r w:rsidR="00FF55F6" w:rsidRPr="00A93D1C">
        <w:t xml:space="preserve"> 2021 v % (desno)</w:t>
      </w:r>
    </w:p>
    <w:p w14:paraId="3DF028C2" w14:textId="369838E3" w:rsidR="00FF55F6" w:rsidRPr="00FF55F6" w:rsidRDefault="00272385" w:rsidP="00FF55F6">
      <w:pPr>
        <w:spacing w:after="0" w:line="240" w:lineRule="auto"/>
        <w:rPr>
          <w:rFonts w:ascii="Myriad Pro" w:eastAsia="Times New Roman" w:hAnsi="Myriad Pro" w:cs="Arial"/>
          <w:sz w:val="20"/>
          <w:szCs w:val="20"/>
          <w:lang w:eastAsia="sl-SI"/>
        </w:rPr>
      </w:pPr>
      <w:r w:rsidRPr="00272385">
        <w:rPr>
          <w:noProof/>
        </w:rPr>
        <w:drawing>
          <wp:inline distT="0" distB="0" distL="0" distR="0" wp14:anchorId="57A48C9A" wp14:editId="68460378">
            <wp:extent cx="2786400" cy="22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6400" cy="2257200"/>
                    </a:xfrm>
                    <a:prstGeom prst="rect">
                      <a:avLst/>
                    </a:prstGeom>
                    <a:noFill/>
                    <a:ln>
                      <a:noFill/>
                    </a:ln>
                  </pic:spPr>
                </pic:pic>
              </a:graphicData>
            </a:graphic>
          </wp:inline>
        </w:drawing>
      </w:r>
      <w:r w:rsidR="00362460">
        <w:rPr>
          <w:rFonts w:ascii="Myriad Pro" w:eastAsia="Times New Roman" w:hAnsi="Myriad Pro" w:cs="Arial"/>
          <w:sz w:val="20"/>
          <w:szCs w:val="20"/>
          <w:lang w:eastAsia="sl-SI"/>
        </w:rPr>
        <w:t xml:space="preserve">    </w:t>
      </w:r>
      <w:r w:rsidRPr="00272385">
        <w:rPr>
          <w:noProof/>
        </w:rPr>
        <w:drawing>
          <wp:inline distT="0" distB="0" distL="0" distR="0" wp14:anchorId="69DD6399" wp14:editId="08CB2BBC">
            <wp:extent cx="2782800" cy="22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2800" cy="2257200"/>
                    </a:xfrm>
                    <a:prstGeom prst="rect">
                      <a:avLst/>
                    </a:prstGeom>
                    <a:noFill/>
                    <a:ln>
                      <a:noFill/>
                    </a:ln>
                  </pic:spPr>
                </pic:pic>
              </a:graphicData>
            </a:graphic>
          </wp:inline>
        </w:drawing>
      </w:r>
    </w:p>
    <w:p w14:paraId="415880D4" w14:textId="13E4F4FF" w:rsidR="00FF55F6" w:rsidRPr="00FF55F6" w:rsidRDefault="00FF55F6" w:rsidP="00362460">
      <w:pPr>
        <w:pStyle w:val="VirUMAR"/>
      </w:pPr>
      <w:r w:rsidRPr="00FF55F6">
        <w:t xml:space="preserve">Vir: </w:t>
      </w:r>
      <w:r w:rsidRPr="00FF55F6">
        <w:fldChar w:fldCharType="begin"/>
      </w:r>
      <w:r w:rsidRPr="00FF55F6">
        <w:instrText xml:space="preserve"> ADDIN ZOTERO_ITEM CSL_CITATION {"citationID":"1rUb6EEG","properties":{"formattedCitation":"(Eurostat,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FF55F6">
        <w:fldChar w:fldCharType="separate"/>
      </w:r>
      <w:r w:rsidRPr="00FF55F6">
        <w:rPr>
          <w:rFonts w:cs="Calibri"/>
        </w:rPr>
        <w:t>Eurostat (2023)</w:t>
      </w:r>
      <w:r w:rsidRPr="00FF55F6">
        <w:fldChar w:fldCharType="end"/>
      </w:r>
      <w:r w:rsidR="006604A5">
        <w:t>.</w:t>
      </w:r>
    </w:p>
    <w:p w14:paraId="527B56B3" w14:textId="3554CD72" w:rsidR="00B36C9B" w:rsidRPr="00043F74" w:rsidRDefault="00B36C9B" w:rsidP="00043F74">
      <w:pPr>
        <w:pStyle w:val="Heading1"/>
      </w:pPr>
      <w:r w:rsidRPr="00043F74">
        <w:lastRenderedPageBreak/>
        <w:t>Samostojno, zdravo in varno življenje vseh generacij</w:t>
      </w:r>
    </w:p>
    <w:p w14:paraId="33C03AB4" w14:textId="71C519DD" w:rsidR="00043F74" w:rsidRPr="00043F74" w:rsidRDefault="005840E9" w:rsidP="00043F74">
      <w:pPr>
        <w:pStyle w:val="BesediloUMAR"/>
        <w:rPr>
          <w:rStyle w:val="BoldpoudarekUMAR"/>
          <w:b w:val="0"/>
        </w:rPr>
      </w:pPr>
      <w:r w:rsidRPr="00043F74">
        <w:rPr>
          <w:rStyle w:val="BoldpoudarekUMAR"/>
          <w:b w:val="0"/>
        </w:rPr>
        <w:t>N</w:t>
      </w:r>
      <w:r w:rsidR="00B36C9B" w:rsidRPr="00043F74">
        <w:rPr>
          <w:rStyle w:val="BoldpoudarekUMAR"/>
          <w:b w:val="0"/>
        </w:rPr>
        <w:t>a oblikovanje pogojev za samostojno, zdravo in dostojno življenje vseh generacij</w:t>
      </w:r>
      <w:r w:rsidRPr="00043F74">
        <w:rPr>
          <w:rStyle w:val="BoldpoudarekUMAR"/>
          <w:b w:val="0"/>
        </w:rPr>
        <w:t xml:space="preserve"> vplivajo</w:t>
      </w:r>
      <w:r w:rsidR="00B36C9B" w:rsidRPr="00043F74">
        <w:rPr>
          <w:rStyle w:val="BoldpoudarekUMAR"/>
          <w:b w:val="0"/>
        </w:rPr>
        <w:t>:</w:t>
      </w:r>
    </w:p>
    <w:p w14:paraId="5A42B7FD" w14:textId="0C13E054" w:rsidR="00B36C9B" w:rsidRPr="00043F74" w:rsidRDefault="00B36C9B" w:rsidP="00043F74">
      <w:pPr>
        <w:pStyle w:val="BesediloUMAR"/>
        <w:ind w:left="425" w:hanging="425"/>
        <w:rPr>
          <w:rStyle w:val="BoldpoudarekUMAR"/>
          <w:b w:val="0"/>
        </w:rPr>
      </w:pPr>
      <w:r w:rsidRPr="00043F74">
        <w:rPr>
          <w:rStyle w:val="BoldpoudarekUMAR"/>
          <w:b w:val="0"/>
        </w:rPr>
        <w:t>(i)</w:t>
      </w:r>
      <w:r w:rsidR="00043F74" w:rsidRPr="00043F74">
        <w:t xml:space="preserve"> </w:t>
      </w:r>
      <w:r w:rsidR="00043F74">
        <w:tab/>
      </w:r>
      <w:r w:rsidRPr="00043F74">
        <w:rPr>
          <w:rStyle w:val="BoldpoudarekUMAR"/>
          <w:b w:val="0"/>
        </w:rPr>
        <w:t>ekonomska oz. delovna aktivnost, ki zagotavlja dohodkovno varnost</w:t>
      </w:r>
      <w:r w:rsidR="00EC2AC6">
        <w:rPr>
          <w:rStyle w:val="BoldpoudarekUMAR"/>
          <w:b w:val="0"/>
        </w:rPr>
        <w:t>,</w:t>
      </w:r>
      <w:r w:rsidRPr="00043F74">
        <w:rPr>
          <w:rStyle w:val="BoldpoudarekUMAR"/>
          <w:b w:val="0"/>
        </w:rPr>
        <w:t xml:space="preserve"> </w:t>
      </w:r>
    </w:p>
    <w:p w14:paraId="4C9943D8" w14:textId="7A138F97" w:rsidR="00B36C9B" w:rsidRPr="00043F74" w:rsidRDefault="00B36C9B" w:rsidP="00043F74">
      <w:pPr>
        <w:pStyle w:val="BesediloUMAR"/>
        <w:ind w:left="425" w:hanging="425"/>
        <w:rPr>
          <w:rStyle w:val="BoldpoudarekUMAR"/>
          <w:b w:val="0"/>
        </w:rPr>
      </w:pPr>
      <w:r w:rsidRPr="00043F74">
        <w:rPr>
          <w:rStyle w:val="BoldpoudarekUMAR"/>
          <w:b w:val="0"/>
        </w:rPr>
        <w:t>(iii)</w:t>
      </w:r>
      <w:r w:rsidR="00043F74" w:rsidRPr="00043F74">
        <w:t xml:space="preserve"> </w:t>
      </w:r>
      <w:r w:rsidR="00043F74">
        <w:tab/>
      </w:r>
      <w:r w:rsidRPr="00043F74">
        <w:rPr>
          <w:rStyle w:val="BoldpoudarekUMAR"/>
          <w:b w:val="0"/>
        </w:rPr>
        <w:t xml:space="preserve">sistemi socialne zaščite, ki z zagotavljanjem primernih dohodkov in dostopnosti do zdravstvenih storitev in dolgotrajne oskrbe prispevajo h kakovosti življenja vseh generacij, in </w:t>
      </w:r>
    </w:p>
    <w:p w14:paraId="2ECC94A1" w14:textId="099FE480" w:rsidR="00B36C9B" w:rsidRPr="00043F74" w:rsidRDefault="00B36C9B" w:rsidP="00043F74">
      <w:pPr>
        <w:pStyle w:val="BesediloUMAR"/>
        <w:ind w:left="425" w:hanging="425"/>
        <w:rPr>
          <w:rStyle w:val="BoldpoudarekUMAR"/>
          <w:b w:val="0"/>
        </w:rPr>
      </w:pPr>
      <w:r w:rsidRPr="00043F74">
        <w:rPr>
          <w:rStyle w:val="BoldpoudarekUMAR"/>
          <w:b w:val="0"/>
        </w:rPr>
        <w:t>(ii)</w:t>
      </w:r>
      <w:r w:rsidR="00043F74" w:rsidRPr="00043F74">
        <w:t xml:space="preserve"> </w:t>
      </w:r>
      <w:r w:rsidR="00043F74">
        <w:tab/>
      </w:r>
      <w:r w:rsidRPr="00043F74">
        <w:rPr>
          <w:rStyle w:val="BoldpoudarekUMAR"/>
          <w:b w:val="0"/>
        </w:rPr>
        <w:t xml:space="preserve">zdravstveno stanje prebivalstva </w:t>
      </w:r>
      <w:r w:rsidRPr="00043F74">
        <w:rPr>
          <w:rStyle w:val="BoldpoudarekUMAR"/>
          <w:b w:val="0"/>
        </w:rPr>
        <w:fldChar w:fldCharType="begin"/>
      </w:r>
      <w:r w:rsidRPr="00043F74">
        <w:rPr>
          <w:rStyle w:val="BoldpoudarekUMAR"/>
          <w:b w:val="0"/>
        </w:rPr>
        <w:instrText xml:space="preserve"> ADDIN ZOTERO_ITEM CSL_CITATION {"citationID":"3w2REHgv","properties":{"formattedCitation":"(Bedna\\uc0\\u353{}. M. in Kajzer, A.(Ured.), 2017)","plainCitation":"(Bednaš. M. in Kajzer, A.(Ured.), 2017)","dontUpdate":true,"noteIndex":0},"citationItems":[{"id":3593,"uris":["http://zotero.org/users/8351010/items/4QVB2TCS"],"itemData":{"id":3593,"type":"report","event-place":"Ljubljana","publisher":"Urad RS za makroekonomske analize in razvij in Minstrstvo za delo, družino in socilane zadeve","publisher-place":"Ljubljana","title":"Strategija dolgožive družbe","URL":"https://www.umar.gov.si/fileadmin/user_upload/publikacije/kratke_analize/Strategija_dolgozive_druzbe/Strategija_dolgozive_druzbe.pdf","author":[{"literal":"Bednaš. M. in Kajzer, A.(Ured.)"}],"issued":{"date-parts":[["2017"]]}}}],"schema":"https://github.com/citation-style-language/schema/raw/master/csl-citation.json"} </w:instrText>
      </w:r>
      <w:r w:rsidRPr="00043F74">
        <w:rPr>
          <w:rStyle w:val="BoldpoudarekUMAR"/>
          <w:b w:val="0"/>
        </w:rPr>
        <w:fldChar w:fldCharType="separate"/>
      </w:r>
      <w:r w:rsidRPr="00043F74">
        <w:rPr>
          <w:rStyle w:val="BoldpoudarekUMAR"/>
          <w:b w:val="0"/>
        </w:rPr>
        <w:t>(Bednaš. M. in Kajzer, A.</w:t>
      </w:r>
      <w:r w:rsidR="00892DD2">
        <w:rPr>
          <w:rStyle w:val="BoldpoudarekUMAR"/>
          <w:b w:val="0"/>
        </w:rPr>
        <w:t xml:space="preserve"> </w:t>
      </w:r>
      <w:r w:rsidRPr="00043F74">
        <w:rPr>
          <w:rStyle w:val="BoldpoudarekUMAR"/>
          <w:b w:val="0"/>
        </w:rPr>
        <w:t>(ured.), 2017)</w:t>
      </w:r>
      <w:r w:rsidRPr="00043F74">
        <w:rPr>
          <w:rStyle w:val="BoldpoudarekUMAR"/>
          <w:b w:val="0"/>
        </w:rPr>
        <w:fldChar w:fldCharType="end"/>
      </w:r>
      <w:r w:rsidRPr="00043F74">
        <w:rPr>
          <w:rStyle w:val="BoldpoudarekUMAR"/>
          <w:b w:val="0"/>
        </w:rPr>
        <w:t xml:space="preserve">. </w:t>
      </w:r>
    </w:p>
    <w:p w14:paraId="796EB230" w14:textId="77777777" w:rsidR="00B36C9B" w:rsidRPr="00043F74" w:rsidRDefault="00B36C9B" w:rsidP="00043F74">
      <w:pPr>
        <w:pStyle w:val="BesediloUMAR"/>
        <w:rPr>
          <w:rStyle w:val="BoldpoudarekUMAR"/>
          <w:b w:val="0"/>
        </w:rPr>
      </w:pPr>
    </w:p>
    <w:p w14:paraId="1B9D8FF3" w14:textId="0AB841B5" w:rsidR="00DB29AB" w:rsidRDefault="005840E9" w:rsidP="00043F74">
      <w:pPr>
        <w:pStyle w:val="BesediloUMAR"/>
      </w:pPr>
      <w:r w:rsidRPr="00043F74">
        <w:rPr>
          <w:rStyle w:val="BoldpoudarekUMAR"/>
          <w:b w:val="0"/>
        </w:rPr>
        <w:t>Ustrezen, pravičen in finančno vzdržen sistem socialne zaščite je ključen za dohodkovno in socialno varnost ter samostojno, zd</w:t>
      </w:r>
      <w:r w:rsidR="00365253" w:rsidRPr="00043F74">
        <w:rPr>
          <w:rStyle w:val="BoldpoudarekUMAR"/>
          <w:b w:val="0"/>
        </w:rPr>
        <w:t>r</w:t>
      </w:r>
      <w:r w:rsidRPr="00043F74">
        <w:rPr>
          <w:rStyle w:val="BoldpoudarekUMAR"/>
          <w:b w:val="0"/>
        </w:rPr>
        <w:t>avo in varno življenje vseh generacij</w:t>
      </w:r>
      <w:r w:rsidR="00365253" w:rsidRPr="00043F74">
        <w:rPr>
          <w:rStyle w:val="BoldpoudarekUMAR"/>
          <w:b w:val="0"/>
        </w:rPr>
        <w:t>.</w:t>
      </w:r>
      <w:r w:rsidRPr="00043F74">
        <w:rPr>
          <w:rStyle w:val="BoldpoudarekUMAR"/>
          <w:b w:val="0"/>
        </w:rPr>
        <w:t xml:space="preserve"> </w:t>
      </w:r>
      <w:r w:rsidR="00365253" w:rsidRPr="00043F74">
        <w:rPr>
          <w:rStyle w:val="BoldpoudarekUMAR"/>
          <w:b w:val="0"/>
        </w:rPr>
        <w:t>N</w:t>
      </w:r>
      <w:r w:rsidRPr="00043F74">
        <w:rPr>
          <w:rStyle w:val="BoldpoudarekUMAR"/>
          <w:b w:val="0"/>
        </w:rPr>
        <w:t xml:space="preserve">a </w:t>
      </w:r>
      <w:r w:rsidR="00365253" w:rsidRPr="00043F74">
        <w:rPr>
          <w:rStyle w:val="BoldpoudarekUMAR"/>
          <w:b w:val="0"/>
        </w:rPr>
        <w:t xml:space="preserve">to </w:t>
      </w:r>
      <w:r w:rsidRPr="00043F74">
        <w:rPr>
          <w:rStyle w:val="BoldpoudarekUMAR"/>
          <w:b w:val="0"/>
        </w:rPr>
        <w:t xml:space="preserve">opozarja tudi </w:t>
      </w:r>
      <w:r w:rsidR="00603C90" w:rsidRPr="00043F74">
        <w:rPr>
          <w:rStyle w:val="BoldpoudarekUMAR"/>
          <w:b w:val="0"/>
        </w:rPr>
        <w:t>Poročilo skupine za</w:t>
      </w:r>
      <w:r w:rsidR="00FA55B6" w:rsidRPr="00043F74">
        <w:rPr>
          <w:rStyle w:val="BoldpoudarekUMAR"/>
          <w:b w:val="0"/>
        </w:rPr>
        <w:t xml:space="preserve"> </w:t>
      </w:r>
      <w:r w:rsidR="00603C90" w:rsidRPr="00043F74">
        <w:rPr>
          <w:rStyle w:val="BoldpoudarekUMAR"/>
          <w:b w:val="0"/>
        </w:rPr>
        <w:t>prihodnost socialne zaščite, ki jo je oblikovala Evropska komi</w:t>
      </w:r>
      <w:r w:rsidR="00B5274D" w:rsidRPr="00043F74">
        <w:rPr>
          <w:rStyle w:val="BoldpoudarekUMAR"/>
          <w:b w:val="0"/>
        </w:rPr>
        <w:t>s</w:t>
      </w:r>
      <w:r w:rsidR="00603C90" w:rsidRPr="00043F74">
        <w:rPr>
          <w:rStyle w:val="BoldpoudarekUMAR"/>
          <w:b w:val="0"/>
        </w:rPr>
        <w:t xml:space="preserve">ija </w:t>
      </w:r>
      <w:r w:rsidR="00603C90" w:rsidRPr="00043F74">
        <w:rPr>
          <w:rStyle w:val="BoldpoudarekUMAR"/>
          <w:b w:val="0"/>
        </w:rPr>
        <w:fldChar w:fldCharType="begin"/>
      </w:r>
      <w:r w:rsidR="00603C90" w:rsidRPr="00043F74">
        <w:rPr>
          <w:rStyle w:val="BoldpoudarekUMAR"/>
          <w:b w:val="0"/>
        </w:rPr>
        <w:instrText xml:space="preserve"> ADDIN ZOTERO_ITEM CSL_CITATION {"citationID":"odLfsGCD","properties":{"formattedCitation":"(EC, 2023)","plainCitation":"(EC, 2023)","noteIndex":0},"citationItems":[{"id":3675,"uris":["http://zotero.org/users/8351010/items/IDEZVVIQ"],"itemData":{"id":3675,"type":"report","title":"The future of social protection and the welfare state in EU","URL":"https://ec.europa.eu/social/main.jsp?catId=88&amp;eventsId=2057&amp;furtherEvents=yes&amp;langId=en","author":[{"literal":"EC"}],"issued":{"date-parts":[["2023"]]}}}],"schema":"https://github.com/citation-style-language/schema/raw/master/csl-citation.json"} </w:instrText>
      </w:r>
      <w:r w:rsidR="00603C90" w:rsidRPr="00043F74">
        <w:rPr>
          <w:rStyle w:val="BoldpoudarekUMAR"/>
          <w:b w:val="0"/>
        </w:rPr>
        <w:fldChar w:fldCharType="separate"/>
      </w:r>
      <w:r w:rsidR="00603C90" w:rsidRPr="00043F74">
        <w:rPr>
          <w:rStyle w:val="BoldpoudarekUMAR"/>
          <w:b w:val="0"/>
        </w:rPr>
        <w:t>(EC, 2023)</w:t>
      </w:r>
      <w:r w:rsidR="00603C90" w:rsidRPr="00043F74">
        <w:rPr>
          <w:rStyle w:val="BoldpoudarekUMAR"/>
          <w:b w:val="0"/>
        </w:rPr>
        <w:fldChar w:fldCharType="end"/>
      </w:r>
      <w:r w:rsidR="00603C90" w:rsidRPr="00043F74">
        <w:rPr>
          <w:rStyle w:val="BoldpoudarekUMAR"/>
          <w:b w:val="0"/>
        </w:rPr>
        <w:t xml:space="preserve">. </w:t>
      </w:r>
      <w:r w:rsidR="00B36C9B" w:rsidRPr="00043F74">
        <w:rPr>
          <w:rStyle w:val="BoldpoudarekUMAR"/>
          <w:b w:val="0"/>
        </w:rPr>
        <w:t>V nadaljevanju</w:t>
      </w:r>
      <w:r w:rsidR="006207F9">
        <w:rPr>
          <w:rStyle w:val="BoldpoudarekUMAR"/>
          <w:b w:val="0"/>
        </w:rPr>
        <w:t xml:space="preserve"> kratke analize</w:t>
      </w:r>
      <w:r w:rsidR="00B36C9B" w:rsidRPr="00043F74">
        <w:rPr>
          <w:rStyle w:val="BoldpoudarekUMAR"/>
          <w:b w:val="0"/>
        </w:rPr>
        <w:t xml:space="preserve"> najprej prikažemo izdatke za socialno zaščito </w:t>
      </w:r>
      <w:r w:rsidR="00881F1C" w:rsidRPr="00043F74">
        <w:rPr>
          <w:rStyle w:val="BoldpoudarekUMAR"/>
          <w:b w:val="0"/>
        </w:rPr>
        <w:t xml:space="preserve">in pokojnine </w:t>
      </w:r>
      <w:r w:rsidR="00B36C9B" w:rsidRPr="00043F74">
        <w:rPr>
          <w:rStyle w:val="BoldpoudarekUMAR"/>
          <w:b w:val="0"/>
        </w:rPr>
        <w:t>po metodologiji ES</w:t>
      </w:r>
      <w:r w:rsidR="00881F1C" w:rsidRPr="00043F74">
        <w:rPr>
          <w:rStyle w:val="BoldpoudarekUMAR"/>
          <w:b w:val="0"/>
        </w:rPr>
        <w:t>S</w:t>
      </w:r>
      <w:r w:rsidR="00B36C9B" w:rsidRPr="00043F74">
        <w:rPr>
          <w:rStyle w:val="BoldpoudarekUMAR"/>
          <w:b w:val="0"/>
        </w:rPr>
        <w:t>PROS</w:t>
      </w:r>
      <w:r w:rsidR="00881F1C" w:rsidRPr="00043F74">
        <w:rPr>
          <w:rStyle w:val="BoldpoudarekUMAR"/>
          <w:b w:val="0"/>
        </w:rPr>
        <w:t>, izdatke za zdravstvo</w:t>
      </w:r>
      <w:r w:rsidR="00B36C9B" w:rsidRPr="00043F74">
        <w:rPr>
          <w:rStyle w:val="BoldpoudarekUMAR"/>
          <w:b w:val="0"/>
        </w:rPr>
        <w:t xml:space="preserve"> in javne izdatke za dolgotrajno oskrbo</w:t>
      </w:r>
      <w:r w:rsidR="006207F9">
        <w:rPr>
          <w:rStyle w:val="BoldpoudarekUMAR"/>
          <w:b w:val="0"/>
        </w:rPr>
        <w:t>. P</w:t>
      </w:r>
      <w:r w:rsidR="00B36C9B" w:rsidRPr="00043F74">
        <w:rPr>
          <w:rStyle w:val="BoldpoudarekUMAR"/>
          <w:b w:val="0"/>
        </w:rPr>
        <w:t>rikazane so tudi dolgoročne projekcije izdatkov</w:t>
      </w:r>
      <w:r w:rsidRPr="00043F74">
        <w:rPr>
          <w:rStyle w:val="BoldpoudarekUMAR"/>
          <w:b w:val="0"/>
        </w:rPr>
        <w:t>,</w:t>
      </w:r>
      <w:r w:rsidR="00B36C9B" w:rsidRPr="00043F74">
        <w:rPr>
          <w:rStyle w:val="BoldpoudarekUMAR"/>
          <w:b w:val="0"/>
        </w:rPr>
        <w:t xml:space="preserve"> povezanih s staranjem, ki opozarjajo na problem financiranja sistemov socialn</w:t>
      </w:r>
      <w:r w:rsidRPr="00043F74">
        <w:rPr>
          <w:rStyle w:val="BoldpoudarekUMAR"/>
          <w:b w:val="0"/>
        </w:rPr>
        <w:t>e</w:t>
      </w:r>
      <w:r w:rsidR="00B36C9B" w:rsidRPr="00043F74">
        <w:rPr>
          <w:rStyle w:val="BoldpoudarekUMAR"/>
          <w:b w:val="0"/>
        </w:rPr>
        <w:t xml:space="preserve"> zaščite na dolgi rok in nujnost prilagoditev njihovega financiranja ob spremenjenih demografskih razmerah. V drugem delu prika</w:t>
      </w:r>
      <w:r w:rsidR="006207F9">
        <w:rPr>
          <w:rStyle w:val="BoldpoudarekUMAR"/>
          <w:b w:val="0"/>
        </w:rPr>
        <w:t>žemo</w:t>
      </w:r>
      <w:r w:rsidR="00B36C9B" w:rsidRPr="00043F74">
        <w:rPr>
          <w:rStyle w:val="BoldpoudarekUMAR"/>
          <w:b w:val="0"/>
        </w:rPr>
        <w:t xml:space="preserve"> </w:t>
      </w:r>
      <w:r w:rsidR="001A6DEA" w:rsidRPr="00043F74">
        <w:rPr>
          <w:rStyle w:val="BoldpoudarekUMAR"/>
          <w:b w:val="0"/>
        </w:rPr>
        <w:t xml:space="preserve">kazalnike </w:t>
      </w:r>
      <w:r w:rsidR="00B36C9B" w:rsidRPr="00043F74">
        <w:rPr>
          <w:rStyle w:val="BoldpoudarekUMAR"/>
          <w:b w:val="0"/>
        </w:rPr>
        <w:t>zdravstven</w:t>
      </w:r>
      <w:r w:rsidR="001A6DEA" w:rsidRPr="00043F74">
        <w:rPr>
          <w:rStyle w:val="BoldpoudarekUMAR"/>
          <w:b w:val="0"/>
        </w:rPr>
        <w:t>ega</w:t>
      </w:r>
      <w:r w:rsidR="00B36C9B" w:rsidRPr="00043F74">
        <w:rPr>
          <w:rStyle w:val="BoldpoudarekUMAR"/>
          <w:b w:val="0"/>
        </w:rPr>
        <w:t xml:space="preserve"> stanj</w:t>
      </w:r>
      <w:r w:rsidR="001A6DEA" w:rsidRPr="00043F74">
        <w:rPr>
          <w:rStyle w:val="BoldpoudarekUMAR"/>
          <w:b w:val="0"/>
        </w:rPr>
        <w:t>a</w:t>
      </w:r>
      <w:r w:rsidR="00B36C9B" w:rsidRPr="00043F74">
        <w:rPr>
          <w:rStyle w:val="BoldpoudarekUMAR"/>
          <w:b w:val="0"/>
        </w:rPr>
        <w:t xml:space="preserve"> prebivalstva in samooceno zdravja. </w:t>
      </w:r>
    </w:p>
    <w:p w14:paraId="4B65F538" w14:textId="34E2CA7F" w:rsidR="00DB29AB" w:rsidRPr="00043F74" w:rsidRDefault="00DB29AB" w:rsidP="00043F74">
      <w:pPr>
        <w:pStyle w:val="Heading2"/>
      </w:pPr>
      <w:bookmarkStart w:id="7" w:name="_Hlk143244917"/>
      <w:r w:rsidRPr="00043F74">
        <w:t xml:space="preserve">Sistemi socialne zaščite </w:t>
      </w:r>
    </w:p>
    <w:p w14:paraId="661B4738" w14:textId="611BE909" w:rsidR="00DB29AB" w:rsidRDefault="00DB29AB" w:rsidP="00043F74">
      <w:pPr>
        <w:pStyle w:val="BesediloUMAR"/>
      </w:pPr>
      <w:bookmarkStart w:id="8" w:name="_Hlk141345465"/>
      <w:r w:rsidRPr="006D5FC6">
        <w:rPr>
          <w:b/>
        </w:rPr>
        <w:t>Sistemi socialne zaščite morajo zagotavljati dohodkovno in socialno varnost posameznika skozi celotno življenje.</w:t>
      </w:r>
      <w:r w:rsidRPr="00630424">
        <w:t xml:space="preserve"> </w:t>
      </w:r>
      <w:r w:rsidR="00394D2D">
        <w:t>Z demografskimi spremembami</w:t>
      </w:r>
      <w:r w:rsidRPr="00630424">
        <w:t xml:space="preserve"> se spreminja razmerje med ekonomsko aktivnimi in neaktivnimi, kar </w:t>
      </w:r>
      <w:r w:rsidR="002A126A">
        <w:t xml:space="preserve">lahko </w:t>
      </w:r>
      <w:r w:rsidR="00394D2D">
        <w:t xml:space="preserve">brez prilagoditev sedanje ureditve </w:t>
      </w:r>
      <w:r w:rsidRPr="00630424">
        <w:t>zmanjšuje dostopnost do storitev sistem</w:t>
      </w:r>
      <w:r w:rsidR="00BE2121">
        <w:t>ov</w:t>
      </w:r>
      <w:r w:rsidR="000B4005">
        <w:t xml:space="preserve"> </w:t>
      </w:r>
      <w:r w:rsidRPr="00630424">
        <w:t>socialne zaščite</w:t>
      </w:r>
      <w:r w:rsidR="003D666E">
        <w:t xml:space="preserve"> </w:t>
      </w:r>
      <w:r w:rsidRPr="00630424">
        <w:t>in</w:t>
      </w:r>
      <w:r w:rsidR="00394D2D">
        <w:t xml:space="preserve"> povečuje pritiske na</w:t>
      </w:r>
      <w:r w:rsidRPr="00630424">
        <w:t xml:space="preserve"> javno finančno vzdržnost. V nadaljevanju zato predstavljamo gibanje izdatkov za socialno zaščito v obdobju 2015</w:t>
      </w:r>
      <w:r w:rsidR="002A126A">
        <w:t>–</w:t>
      </w:r>
      <w:r w:rsidRPr="00630424">
        <w:t>2020 in dolgoročne projekcije izdatkov</w:t>
      </w:r>
      <w:r w:rsidR="002A126A">
        <w:t>,</w:t>
      </w:r>
      <w:r w:rsidRPr="00630424">
        <w:t xml:space="preserve"> povezanih s staranjem. Dolgoročne projekcije </w:t>
      </w:r>
      <w:r w:rsidR="008122F4">
        <w:t>izdatkov</w:t>
      </w:r>
      <w:r w:rsidR="002A126A">
        <w:t>,</w:t>
      </w:r>
      <w:r w:rsidR="008122F4">
        <w:t xml:space="preserve"> povezanih s staranjem prebivalstva, ki jih je pripravila </w:t>
      </w:r>
      <w:r w:rsidR="00DF75C9">
        <w:t xml:space="preserve">Evropska </w:t>
      </w:r>
      <w:r w:rsidRPr="00771807">
        <w:t>komisij</w:t>
      </w:r>
      <w:r w:rsidR="008122F4" w:rsidRPr="00771807">
        <w:t>a</w:t>
      </w:r>
      <w:r w:rsidR="00BD086F">
        <w:t xml:space="preserve"> </w:t>
      </w:r>
      <w:r w:rsidR="00365253">
        <w:fldChar w:fldCharType="begin"/>
      </w:r>
      <w:r w:rsidR="00365253">
        <w:instrText xml:space="preserve"> ADDIN ZOTERO_ITEM CSL_CITATION {"citationID":"cf8flbxS","properties":{"formattedCitation":"(EC, 2021)","plainCitation":"(EC, 2021)","noteIndex":0},"citationItems":[{"id":3715,"uris":["http://zotero.org/users/8351010/items/8YW3XW7M"],"itemData":{"id":3715,"type":"report","collection-title":"European Economy.","event-place":"Bruselj","number":"Insitutional Paper 148","publisher-place":"Bruselj","title":"The 2021 Ageing Report Economic and Budgetary Projections for the EU Member States","URL":"https://economy-finance.ec.europa.eu/system/files/2021-10/ip148_en.pdf","author":[{"literal":"EC"}],"issued":{"date-parts":[["2021"]]}}}],"schema":"https://github.com/citation-style-language/schema/raw/master/csl-citation.json"} </w:instrText>
      </w:r>
      <w:r w:rsidR="00365253">
        <w:fldChar w:fldCharType="separate"/>
      </w:r>
      <w:r w:rsidR="00365253" w:rsidRPr="00365253">
        <w:t>(EC, 2021)</w:t>
      </w:r>
      <w:r w:rsidR="00365253">
        <w:fldChar w:fldCharType="end"/>
      </w:r>
      <w:r w:rsidR="008122F4">
        <w:t>,</w:t>
      </w:r>
      <w:r w:rsidRPr="00630424">
        <w:t xml:space="preserve"> kažejo, da naj bi ob nespremenjenih politikah v Sloveniji </w:t>
      </w:r>
      <w:r w:rsidR="00101588">
        <w:t xml:space="preserve">do leta 2070 </w:t>
      </w:r>
      <w:r w:rsidR="00E04822">
        <w:t xml:space="preserve">ti izdatki </w:t>
      </w:r>
      <w:r w:rsidR="00101588">
        <w:t xml:space="preserve">dosegli skoraj </w:t>
      </w:r>
      <w:r w:rsidRPr="00630424">
        <w:t>30 % BDP.</w:t>
      </w:r>
      <w:r w:rsidR="00365253" w:rsidDel="00365253">
        <w:t xml:space="preserve"> </w:t>
      </w:r>
    </w:p>
    <w:p w14:paraId="5F0A32E5" w14:textId="499DEE49" w:rsidR="00DB29AB" w:rsidRPr="00043F74" w:rsidRDefault="00DB29AB" w:rsidP="00043F74">
      <w:pPr>
        <w:pStyle w:val="Heading3"/>
      </w:pPr>
      <w:r w:rsidRPr="00043F74">
        <w:t xml:space="preserve">Izdatki za socialno zaščito </w:t>
      </w:r>
    </w:p>
    <w:p w14:paraId="358EBE9D" w14:textId="1C2780FC" w:rsidR="00031C92" w:rsidRDefault="00DB29AB" w:rsidP="00043F74">
      <w:pPr>
        <w:pStyle w:val="BesediloUMAR"/>
      </w:pPr>
      <w:r w:rsidRPr="006D5FC6">
        <w:rPr>
          <w:b/>
        </w:rPr>
        <w:t>Slovenija namenja za socialno zaščito</w:t>
      </w:r>
      <w:r w:rsidRPr="00A93D1C">
        <w:rPr>
          <w:rStyle w:val="FootnoteReference"/>
          <w:b/>
        </w:rPr>
        <w:footnoteReference w:id="7"/>
      </w:r>
      <w:r w:rsidRPr="006D5FC6">
        <w:rPr>
          <w:b/>
        </w:rPr>
        <w:t xml:space="preserve"> manj kot v povprečju EU.</w:t>
      </w:r>
      <w:r w:rsidRPr="00630424">
        <w:rPr>
          <w:b/>
          <w:bCs/>
        </w:rPr>
        <w:t xml:space="preserve"> </w:t>
      </w:r>
      <w:r w:rsidRPr="00630424">
        <w:t>Leta 2020 je namenila 26,1 % BDP (EU: 31,8 % BDP). V obdobju 2015</w:t>
      </w:r>
      <w:r w:rsidR="007F1523">
        <w:t>–</w:t>
      </w:r>
      <w:r w:rsidRPr="00630424">
        <w:t>2020 so se izdatki za socialno zaščito glede na BDP v povprečju EU povečali za 3,2</w:t>
      </w:r>
      <w:r w:rsidR="008122F4">
        <w:t xml:space="preserve"> </w:t>
      </w:r>
      <w:r w:rsidRPr="00630424">
        <w:t>o.</w:t>
      </w:r>
      <w:r w:rsidR="007F1523">
        <w:t xml:space="preserve"> </w:t>
      </w:r>
      <w:r w:rsidRPr="00630424">
        <w:t>t.</w:t>
      </w:r>
      <w:r w:rsidR="007F1523">
        <w:t>,</w:t>
      </w:r>
      <w:r w:rsidRPr="00630424">
        <w:t xml:space="preserve"> v Sloveniji </w:t>
      </w:r>
      <w:r w:rsidR="00234FE9">
        <w:t xml:space="preserve">pa </w:t>
      </w:r>
      <w:r w:rsidR="00101588">
        <w:t>za 2</w:t>
      </w:r>
      <w:r w:rsidR="007F1523">
        <w:t>,</w:t>
      </w:r>
      <w:r w:rsidR="00101588">
        <w:t>2 o.</w:t>
      </w:r>
      <w:r w:rsidR="007F1523">
        <w:t xml:space="preserve"> </w:t>
      </w:r>
      <w:r w:rsidR="00101588">
        <w:t>t</w:t>
      </w:r>
      <w:r w:rsidR="007F1523">
        <w:t>.</w:t>
      </w:r>
      <w:r w:rsidR="00101588">
        <w:t xml:space="preserve"> </w:t>
      </w:r>
      <w:r>
        <w:t>(gl. slik</w:t>
      </w:r>
      <w:r w:rsidR="00D31D24">
        <w:t>o</w:t>
      </w:r>
      <w:r>
        <w:t xml:space="preserve"> 1</w:t>
      </w:r>
      <w:r w:rsidR="00881F1C">
        <w:t>0</w:t>
      </w:r>
      <w:r w:rsidR="008122F4">
        <w:t xml:space="preserve"> desno</w:t>
      </w:r>
      <w:r>
        <w:t>)</w:t>
      </w:r>
      <w:r w:rsidR="00101588">
        <w:t>.</w:t>
      </w:r>
    </w:p>
    <w:p w14:paraId="1CD928CB" w14:textId="77777777" w:rsidR="00043F74" w:rsidRPr="00043F74" w:rsidRDefault="00043F74" w:rsidP="00043F74">
      <w:pPr>
        <w:pStyle w:val="BesediloUMAR"/>
      </w:pPr>
    </w:p>
    <w:p w14:paraId="404B60F3" w14:textId="77777777" w:rsidR="00043F74" w:rsidRDefault="00043F74">
      <w:pPr>
        <w:spacing w:after="0" w:line="240" w:lineRule="auto"/>
        <w:rPr>
          <w:rFonts w:ascii="Myriad Pro" w:hAnsi="Myriad Pro"/>
          <w:b/>
          <w:bCs/>
          <w:noProof/>
          <w:sz w:val="20"/>
          <w:szCs w:val="20"/>
        </w:rPr>
      </w:pPr>
      <w:r>
        <w:br w:type="page"/>
      </w:r>
    </w:p>
    <w:p w14:paraId="72D95EE8" w14:textId="40C241D0" w:rsidR="00DB29AB" w:rsidRPr="00043F74" w:rsidRDefault="00043F74" w:rsidP="00043F74">
      <w:pPr>
        <w:pStyle w:val="Caption"/>
      </w:pPr>
      <w:r w:rsidRPr="00043F74">
        <w:lastRenderedPageBreak/>
        <w:t xml:space="preserve">Slika </w:t>
      </w:r>
      <w:r w:rsidRPr="00043F74">
        <w:fldChar w:fldCharType="begin"/>
      </w:r>
      <w:r w:rsidRPr="00043F74">
        <w:instrText xml:space="preserve"> SEQ Slika \* ARABIC </w:instrText>
      </w:r>
      <w:r w:rsidRPr="00043F74">
        <w:fldChar w:fldCharType="separate"/>
      </w:r>
      <w:r w:rsidR="005A41AB">
        <w:t>10</w:t>
      </w:r>
      <w:r w:rsidRPr="00043F74">
        <w:fldChar w:fldCharType="end"/>
      </w:r>
      <w:r w:rsidR="00DB29AB" w:rsidRPr="00043F74">
        <w:t xml:space="preserve">: Izdatki za socialno zaščito v državah EU leta 2020 (levo) in </w:t>
      </w:r>
      <w:r w:rsidR="00B5274D" w:rsidRPr="00043F74">
        <w:t>gibanje</w:t>
      </w:r>
      <w:r w:rsidR="00DB29AB" w:rsidRPr="00043F74">
        <w:t xml:space="preserve"> izdatkov za socialno zaščito v obdobju 2015</w:t>
      </w:r>
      <w:r w:rsidR="009E1610">
        <w:t>–</w:t>
      </w:r>
      <w:r w:rsidR="00DB29AB" w:rsidRPr="00043F74">
        <w:t>2020 v Sloveniji in EU</w:t>
      </w:r>
      <w:r w:rsidR="00101588" w:rsidRPr="00043F74">
        <w:t xml:space="preserve"> </w:t>
      </w:r>
      <w:r w:rsidR="00DB29AB" w:rsidRPr="00043F74">
        <w:t>(desno)</w:t>
      </w:r>
    </w:p>
    <w:p w14:paraId="3A293DFE" w14:textId="3955F54C" w:rsidR="005C144C" w:rsidRDefault="0031446B" w:rsidP="00043F74">
      <w:pPr>
        <w:pStyle w:val="Caption"/>
      </w:pPr>
      <w:r w:rsidRPr="0031446B">
        <w:drawing>
          <wp:inline distT="0" distB="0" distL="0" distR="0" wp14:anchorId="4C5499AF" wp14:editId="78763F38">
            <wp:extent cx="2750400" cy="222840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0400" cy="2228400"/>
                    </a:xfrm>
                    <a:prstGeom prst="rect">
                      <a:avLst/>
                    </a:prstGeom>
                    <a:noFill/>
                    <a:ln>
                      <a:noFill/>
                    </a:ln>
                  </pic:spPr>
                </pic:pic>
              </a:graphicData>
            </a:graphic>
          </wp:inline>
        </w:drawing>
      </w:r>
      <w:r>
        <w:t xml:space="preserve">    </w:t>
      </w:r>
      <w:r w:rsidRPr="0031446B">
        <w:drawing>
          <wp:inline distT="0" distB="0" distL="0" distR="0" wp14:anchorId="648A538E" wp14:editId="31B03E00">
            <wp:extent cx="2768400" cy="226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8400" cy="2268000"/>
                    </a:xfrm>
                    <a:prstGeom prst="rect">
                      <a:avLst/>
                    </a:prstGeom>
                    <a:noFill/>
                    <a:ln>
                      <a:noFill/>
                    </a:ln>
                  </pic:spPr>
                </pic:pic>
              </a:graphicData>
            </a:graphic>
          </wp:inline>
        </w:drawing>
      </w:r>
    </w:p>
    <w:p w14:paraId="5AE1D162" w14:textId="5197A291" w:rsidR="00DB29AB" w:rsidRPr="0031446B" w:rsidRDefault="00DB29AB" w:rsidP="0031446B">
      <w:pPr>
        <w:pStyle w:val="VirUMAR"/>
      </w:pPr>
      <w:r w:rsidRPr="0031446B">
        <w:t xml:space="preserve">Vir: </w:t>
      </w:r>
      <w:r w:rsidRPr="0031446B">
        <w:fldChar w:fldCharType="begin"/>
      </w:r>
      <w:r w:rsidRPr="0031446B">
        <w:instrText xml:space="preserve"> ADDIN ZOTERO_ITEM CSL_CITATION {"citationID":"eOaFuTvc","properties":{"formattedCitation":"(Eurostat,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31446B">
        <w:fldChar w:fldCharType="separate"/>
      </w:r>
      <w:r w:rsidRPr="0031446B">
        <w:t>Eurostat</w:t>
      </w:r>
      <w:r w:rsidR="00D4795E">
        <w:t xml:space="preserve"> </w:t>
      </w:r>
      <w:r w:rsidRPr="0031446B">
        <w:t>(2023)</w:t>
      </w:r>
      <w:r w:rsidRPr="0031446B">
        <w:fldChar w:fldCharType="end"/>
      </w:r>
      <w:r w:rsidR="00D4795E">
        <w:t>.</w:t>
      </w:r>
    </w:p>
    <w:p w14:paraId="25F42219" w14:textId="77777777" w:rsidR="00B5274D" w:rsidRDefault="00B5274D" w:rsidP="00043F74">
      <w:pPr>
        <w:pStyle w:val="BesediloUMAR"/>
      </w:pPr>
    </w:p>
    <w:p w14:paraId="44AEFF16" w14:textId="28D66E3D" w:rsidR="00B5274D" w:rsidRDefault="00B5274D" w:rsidP="00043F74">
      <w:pPr>
        <w:pStyle w:val="BesediloUMAR"/>
      </w:pPr>
      <w:r w:rsidRPr="006D5FC6">
        <w:rPr>
          <w:b/>
        </w:rPr>
        <w:t xml:space="preserve">Izdatki za pokojnine glede na BDP so v Sloveniji </w:t>
      </w:r>
      <w:r w:rsidR="007F662E">
        <w:rPr>
          <w:b/>
        </w:rPr>
        <w:t>manjši</w:t>
      </w:r>
      <w:r w:rsidRPr="006D5FC6">
        <w:rPr>
          <w:b/>
        </w:rPr>
        <w:t xml:space="preserve"> kot v povprečju EU. </w:t>
      </w:r>
      <w:r w:rsidRPr="00C76ADD">
        <w:t xml:space="preserve">V obdobju 2015–2019 so se izdatki za pokojnine </w:t>
      </w:r>
      <w:r>
        <w:t xml:space="preserve">glede na </w:t>
      </w:r>
      <w:r w:rsidRPr="00C76ADD">
        <w:t>BDP v Sloveniji zmanjševali</w:t>
      </w:r>
      <w:r>
        <w:t>, v</w:t>
      </w:r>
      <w:r w:rsidR="003D666E">
        <w:t xml:space="preserve"> </w:t>
      </w:r>
      <w:r w:rsidRPr="00C76ADD">
        <w:t xml:space="preserve">letu 2020 </w:t>
      </w:r>
      <w:r>
        <w:t xml:space="preserve">pa povečali za eno odstotno točko in </w:t>
      </w:r>
      <w:r w:rsidRPr="00C76ADD">
        <w:t>znašali 10,6 % BDP</w:t>
      </w:r>
      <w:r>
        <w:t>.</w:t>
      </w:r>
      <w:r>
        <w:rPr>
          <w:rStyle w:val="FootnoteReference"/>
          <w:rFonts w:eastAsia="Calibri" w:cs="Arial"/>
          <w:szCs w:val="20"/>
        </w:rPr>
        <w:footnoteReference w:id="8"/>
      </w:r>
      <w:r>
        <w:t xml:space="preserve"> Na povečanje </w:t>
      </w:r>
      <w:r w:rsidR="008910F9">
        <w:t xml:space="preserve">v tem letu </w:t>
      </w:r>
      <w:r>
        <w:t xml:space="preserve">so </w:t>
      </w:r>
      <w:r w:rsidRPr="00C76ADD">
        <w:t>poleg padca BDP</w:t>
      </w:r>
      <w:r w:rsidR="009E1610">
        <w:t xml:space="preserve"> ter</w:t>
      </w:r>
      <w:r>
        <w:t xml:space="preserve"> redne in izredne uskladitve</w:t>
      </w:r>
      <w:r w:rsidR="003D666E">
        <w:t xml:space="preserve"> </w:t>
      </w:r>
      <w:r>
        <w:t xml:space="preserve">pokojnin </w:t>
      </w:r>
      <w:r w:rsidRPr="00C76ADD">
        <w:t>vplivala tudi izplačila t. i</w:t>
      </w:r>
      <w:r w:rsidR="009E1610">
        <w:t>.</w:t>
      </w:r>
      <w:r w:rsidR="00A86DE3">
        <w:t xml:space="preserve"> </w:t>
      </w:r>
      <w:r w:rsidRPr="00C76ADD">
        <w:t>solidarnostnih dodatkov upokojencem med epidemijo</w:t>
      </w:r>
      <w:r>
        <w:t xml:space="preserve"> covida-19. Glede na povprečje EU so bili izdatki za pokojnine glede na BDP tudi v letu 2020 n</w:t>
      </w:r>
      <w:r w:rsidR="007F662E">
        <w:t>ižji</w:t>
      </w:r>
      <w:r>
        <w:t xml:space="preserve"> kot v povprečju EU</w:t>
      </w:r>
      <w:r w:rsidR="00772F99">
        <w:t>, in sicer</w:t>
      </w:r>
      <w:r w:rsidR="008910F9">
        <w:t xml:space="preserve"> za 3</w:t>
      </w:r>
      <w:r w:rsidR="009E1610">
        <w:t xml:space="preserve"> </w:t>
      </w:r>
      <w:r w:rsidR="008910F9">
        <w:t>o.</w:t>
      </w:r>
      <w:r w:rsidR="009E1610">
        <w:t xml:space="preserve"> </w:t>
      </w:r>
      <w:r w:rsidR="008910F9">
        <w:t>t.</w:t>
      </w:r>
      <w:r w:rsidR="006803E3">
        <w:t>, kar je nekoliko večji zaostanek kot leta 2015.</w:t>
      </w:r>
    </w:p>
    <w:p w14:paraId="335D05A4" w14:textId="5E47F935" w:rsidR="00B5274D" w:rsidRPr="00043F74" w:rsidRDefault="00043F74" w:rsidP="00043F74">
      <w:pPr>
        <w:pStyle w:val="Caption"/>
      </w:pPr>
      <w:r w:rsidRPr="00043F74">
        <w:t xml:space="preserve">Slika </w:t>
      </w:r>
      <w:r w:rsidRPr="00043F74">
        <w:fldChar w:fldCharType="begin"/>
      </w:r>
      <w:r w:rsidRPr="00043F74">
        <w:instrText xml:space="preserve"> SEQ Slika \* ARABIC </w:instrText>
      </w:r>
      <w:r w:rsidRPr="00043F74">
        <w:fldChar w:fldCharType="separate"/>
      </w:r>
      <w:r w:rsidR="005A41AB">
        <w:t>11</w:t>
      </w:r>
      <w:r w:rsidRPr="00043F74">
        <w:fldChar w:fldCharType="end"/>
      </w:r>
      <w:r w:rsidR="00B5274D" w:rsidRPr="00043F74">
        <w:t>: Izdatki za pokojnine glede na BDP leta 2020 (levo) in gibanje izdatkov v obdobju 2015</w:t>
      </w:r>
      <w:r w:rsidR="009E1610">
        <w:t>–</w:t>
      </w:r>
      <w:r w:rsidR="00B5274D" w:rsidRPr="00043F74">
        <w:t>2020 (desno)</w:t>
      </w:r>
    </w:p>
    <w:p w14:paraId="41F39CAA" w14:textId="686F6E91" w:rsidR="00B5274D" w:rsidRPr="00C76ADD" w:rsidRDefault="00CC735F" w:rsidP="00B5274D">
      <w:pPr>
        <w:keepNext/>
        <w:keepLines/>
        <w:tabs>
          <w:tab w:val="right" w:leader="dot" w:pos="9070"/>
        </w:tabs>
        <w:spacing w:after="60" w:line="288" w:lineRule="auto"/>
        <w:contextualSpacing/>
        <w:jc w:val="both"/>
        <w:rPr>
          <w:rFonts w:ascii="Arial" w:eastAsia="Arial" w:hAnsi="Arial" w:cs="Arial"/>
          <w:b/>
          <w:bCs/>
          <w:sz w:val="20"/>
          <w:szCs w:val="20"/>
        </w:rPr>
      </w:pPr>
      <w:r w:rsidRPr="00CC735F">
        <w:rPr>
          <w:noProof/>
        </w:rPr>
        <w:drawing>
          <wp:inline distT="0" distB="0" distL="0" distR="0" wp14:anchorId="573506C5" wp14:editId="6BB691AF">
            <wp:extent cx="2775600" cy="22680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043F74">
        <w:rPr>
          <w:rFonts w:ascii="Arial" w:eastAsia="Arial" w:hAnsi="Arial" w:cs="Arial"/>
          <w:b/>
          <w:bCs/>
          <w:sz w:val="20"/>
          <w:szCs w:val="20"/>
        </w:rPr>
        <w:t xml:space="preserve">   </w:t>
      </w:r>
      <w:r w:rsidR="001419ED" w:rsidRPr="001419ED">
        <w:rPr>
          <w:noProof/>
        </w:rPr>
        <w:drawing>
          <wp:inline distT="0" distB="0" distL="0" distR="0" wp14:anchorId="58082A39" wp14:editId="15F19934">
            <wp:extent cx="2775600" cy="226800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1419ED">
        <w:rPr>
          <w:rFonts w:ascii="Arial" w:eastAsia="Arial" w:hAnsi="Arial" w:cs="Arial"/>
          <w:b/>
          <w:bCs/>
          <w:sz w:val="20"/>
          <w:szCs w:val="20"/>
        </w:rPr>
        <w:t xml:space="preserve">    </w:t>
      </w:r>
    </w:p>
    <w:p w14:paraId="2D7A71C6" w14:textId="41447CE7" w:rsidR="00B5274D" w:rsidRPr="00C76ADD" w:rsidRDefault="00B5274D" w:rsidP="00043F74">
      <w:pPr>
        <w:pStyle w:val="VirUMAR"/>
      </w:pPr>
      <w:r w:rsidRPr="00C76ADD">
        <w:t xml:space="preserve">Vir: </w:t>
      </w:r>
      <w:r w:rsidRPr="00C76ADD">
        <w:fldChar w:fldCharType="begin"/>
      </w:r>
      <w:r w:rsidRPr="00C76ADD">
        <w:instrText xml:space="preserve"> ADDIN ZOTERO_ITEM CSL_CITATION {"citationID":"pvEJCLDg","properties":{"formattedCitation":"(Eurostat,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C76ADD">
        <w:fldChar w:fldCharType="separate"/>
      </w:r>
      <w:r w:rsidRPr="00C76ADD">
        <w:rPr>
          <w:rFonts w:cs="Calibri"/>
        </w:rPr>
        <w:t>Eurostat (2023)</w:t>
      </w:r>
      <w:r w:rsidRPr="00C76ADD">
        <w:fldChar w:fldCharType="end"/>
      </w:r>
      <w:r w:rsidRPr="00C76ADD">
        <w:t>.</w:t>
      </w:r>
    </w:p>
    <w:p w14:paraId="733B995B" w14:textId="36FEF4ED" w:rsidR="00A27DF9" w:rsidRPr="00E079E4" w:rsidRDefault="00A27DF9" w:rsidP="00DB29AB">
      <w:pPr>
        <w:spacing w:after="0"/>
        <w:jc w:val="both"/>
        <w:rPr>
          <w:sz w:val="16"/>
          <w:szCs w:val="16"/>
        </w:rPr>
      </w:pPr>
    </w:p>
    <w:p w14:paraId="3E22D516" w14:textId="77777777" w:rsidR="001419ED" w:rsidRDefault="001419ED" w:rsidP="008910F9">
      <w:pPr>
        <w:pStyle w:val="BesediloUMAR"/>
        <w:rPr>
          <w:b/>
        </w:rPr>
      </w:pPr>
    </w:p>
    <w:p w14:paraId="3EE944A8" w14:textId="77777777" w:rsidR="001419ED" w:rsidRDefault="001419ED" w:rsidP="008910F9">
      <w:pPr>
        <w:pStyle w:val="BesediloUMAR"/>
        <w:rPr>
          <w:b/>
        </w:rPr>
      </w:pPr>
    </w:p>
    <w:p w14:paraId="74628CDB" w14:textId="77777777" w:rsidR="00B6114E" w:rsidRDefault="00B6114E" w:rsidP="008910F9">
      <w:pPr>
        <w:pStyle w:val="BesediloUMAR"/>
        <w:rPr>
          <w:b/>
        </w:rPr>
      </w:pPr>
    </w:p>
    <w:p w14:paraId="5BCDC366" w14:textId="77777777" w:rsidR="00B6114E" w:rsidRDefault="00B6114E" w:rsidP="008910F9">
      <w:pPr>
        <w:pStyle w:val="BesediloUMAR"/>
        <w:rPr>
          <w:b/>
        </w:rPr>
      </w:pPr>
    </w:p>
    <w:p w14:paraId="3DDF5BAB" w14:textId="3B2A0887" w:rsidR="00043F74" w:rsidRDefault="00B5274D" w:rsidP="008910F9">
      <w:pPr>
        <w:pStyle w:val="BesediloUMAR"/>
      </w:pPr>
      <w:r w:rsidRPr="006D5FC6">
        <w:rPr>
          <w:b/>
        </w:rPr>
        <w:lastRenderedPageBreak/>
        <w:t>Podobno kot v drugih državah so se tudi v Sloveniji zaradi epidemije covida-19 leta 2020 močno povečali izdatki za zdravstvo.</w:t>
      </w:r>
      <w:r>
        <w:rPr>
          <w:b/>
          <w:bCs/>
        </w:rPr>
        <w:t xml:space="preserve"> </w:t>
      </w:r>
      <w:r w:rsidRPr="00861EC4">
        <w:t xml:space="preserve">Po metodologiji </w:t>
      </w:r>
      <w:r>
        <w:t>SHA</w:t>
      </w:r>
      <w:r>
        <w:rPr>
          <w:rStyle w:val="FootnoteReference"/>
        </w:rPr>
        <w:footnoteReference w:id="9"/>
      </w:r>
      <w:r w:rsidRPr="00861EC4">
        <w:t xml:space="preserve"> so izdatki za zdravstvo</w:t>
      </w:r>
      <w:r>
        <w:t xml:space="preserve"> </w:t>
      </w:r>
      <w:r w:rsidRPr="00861EC4">
        <w:t xml:space="preserve">leta 2020 </w:t>
      </w:r>
      <w:r>
        <w:t xml:space="preserve">v Sloveniji </w:t>
      </w:r>
      <w:r w:rsidRPr="00861EC4">
        <w:t xml:space="preserve">znašali </w:t>
      </w:r>
      <w:r>
        <w:t>9,5 </w:t>
      </w:r>
      <w:r w:rsidRPr="00861EC4">
        <w:t>%</w:t>
      </w:r>
      <w:r>
        <w:t xml:space="preserve"> BDP</w:t>
      </w:r>
      <w:r>
        <w:rPr>
          <w:rStyle w:val="FootnoteReference"/>
        </w:rPr>
        <w:footnoteReference w:id="10"/>
      </w:r>
      <w:r w:rsidRPr="00861EC4">
        <w:t>,</w:t>
      </w:r>
      <w:r>
        <w:t xml:space="preserve"> v povprečju EU pa 10,9 %</w:t>
      </w:r>
      <w:r>
        <w:rPr>
          <w:rStyle w:val="FootnoteReference"/>
        </w:rPr>
        <w:footnoteReference w:id="11"/>
      </w:r>
      <w:r w:rsidR="00C316CD">
        <w:t>.</w:t>
      </w:r>
      <w:r w:rsidR="003D666E">
        <w:t xml:space="preserve"> </w:t>
      </w:r>
      <w:r w:rsidR="008910F9">
        <w:t xml:space="preserve">Poleg obsežnih izdatkov za </w:t>
      </w:r>
      <w:r w:rsidR="008910F9" w:rsidRPr="00C73717">
        <w:t>blaženje epidemije covid</w:t>
      </w:r>
      <w:r w:rsidR="00C73717" w:rsidRPr="00BF6401">
        <w:t>a</w:t>
      </w:r>
      <w:r w:rsidR="008910F9" w:rsidRPr="00C73717">
        <w:t>-19 je</w:t>
      </w:r>
      <w:r w:rsidR="008910F9">
        <w:t xml:space="preserve"> n</w:t>
      </w:r>
      <w:r>
        <w:t>a povečanje kazalnika izdatkov glede na BDP leta 2020 vplivalo tudi zmanjšanje gospodarske aktivnosti oz</w:t>
      </w:r>
      <w:r w:rsidR="007610B9">
        <w:t>iroma</w:t>
      </w:r>
      <w:r>
        <w:t xml:space="preserve"> BDP-ja. Ker so izdatki za zdravstvo </w:t>
      </w:r>
      <w:r w:rsidR="00477262">
        <w:t xml:space="preserve">pri </w:t>
      </w:r>
      <w:r>
        <w:t>starejših posameznik</w:t>
      </w:r>
      <w:r w:rsidR="00477262">
        <w:t>ih</w:t>
      </w:r>
      <w:r>
        <w:t xml:space="preserve"> bistveno v</w:t>
      </w:r>
      <w:r w:rsidR="00660522">
        <w:t>ečji</w:t>
      </w:r>
      <w:r>
        <w:t xml:space="preserve"> kot pri mlajših, staranje prebivalstva prispeva k povečevanju</w:t>
      </w:r>
      <w:r w:rsidR="00744C9F">
        <w:t xml:space="preserve"> teh izdatkov</w:t>
      </w:r>
      <w:r>
        <w:t xml:space="preserve">, zato postaja javnofinančna vzdržnost zdravstvenih sistemov in dostopnost do zdravstvenih storitev </w:t>
      </w:r>
      <w:r w:rsidR="007A4D39">
        <w:t xml:space="preserve">vedno večji izziv </w:t>
      </w:r>
      <w:r>
        <w:t>(glej poglavje 3.1.3.)</w:t>
      </w:r>
      <w:r w:rsidR="008910F9">
        <w:t>.</w:t>
      </w:r>
    </w:p>
    <w:p w14:paraId="0524A394" w14:textId="5D1A78EB" w:rsidR="00881F1C" w:rsidRPr="00200123" w:rsidRDefault="00043F74" w:rsidP="00043F74">
      <w:pPr>
        <w:pStyle w:val="Caption"/>
      </w:pPr>
      <w:r w:rsidRPr="00200123">
        <w:t xml:space="preserve">Slika </w:t>
      </w:r>
      <w:r w:rsidRPr="00200123">
        <w:fldChar w:fldCharType="begin"/>
      </w:r>
      <w:r w:rsidRPr="00200123">
        <w:instrText xml:space="preserve"> SEQ Slika \* ARABIC </w:instrText>
      </w:r>
      <w:r w:rsidRPr="00200123">
        <w:fldChar w:fldCharType="separate"/>
      </w:r>
      <w:r w:rsidR="005A41AB" w:rsidRPr="00200123">
        <w:t>12</w:t>
      </w:r>
      <w:r w:rsidRPr="00200123">
        <w:fldChar w:fldCharType="end"/>
      </w:r>
      <w:r w:rsidR="00537175" w:rsidRPr="00200123">
        <w:t>:</w:t>
      </w:r>
      <w:r w:rsidR="00FA55B6" w:rsidRPr="00200123">
        <w:t xml:space="preserve"> </w:t>
      </w:r>
      <w:r w:rsidR="00537175" w:rsidRPr="00200123">
        <w:t>Izdatki za zdravstvo leta 2020 in gib</w:t>
      </w:r>
      <w:r w:rsidR="00E83A25" w:rsidRPr="00200123">
        <w:t>an</w:t>
      </w:r>
      <w:r w:rsidR="00537175" w:rsidRPr="00200123">
        <w:t>je izdatkov za zdrav</w:t>
      </w:r>
      <w:r w:rsidR="00E83A25" w:rsidRPr="00200123">
        <w:t>s</w:t>
      </w:r>
      <w:r w:rsidR="00537175" w:rsidRPr="00200123">
        <w:t>tvo v obd</w:t>
      </w:r>
      <w:r w:rsidR="00603C90" w:rsidRPr="00200123">
        <w:t>o</w:t>
      </w:r>
      <w:r w:rsidR="00537175" w:rsidRPr="00200123">
        <w:t>bju 2015</w:t>
      </w:r>
      <w:r w:rsidR="00345374" w:rsidRPr="00200123">
        <w:t>–</w:t>
      </w:r>
      <w:r w:rsidR="00537175" w:rsidRPr="00200123">
        <w:t>2020</w:t>
      </w:r>
    </w:p>
    <w:p w14:paraId="730BA589" w14:textId="78934A94" w:rsidR="00537175" w:rsidRPr="00200123" w:rsidRDefault="00FF1E10" w:rsidP="00FF1E10">
      <w:pPr>
        <w:pStyle w:val="VirUMAR"/>
      </w:pPr>
      <w:r w:rsidRPr="00FF1E10">
        <w:rPr>
          <w:noProof/>
        </w:rPr>
        <w:drawing>
          <wp:inline distT="0" distB="0" distL="0" distR="0" wp14:anchorId="3A7DB9D0" wp14:editId="6B65F996">
            <wp:extent cx="2768400" cy="226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8400" cy="2268000"/>
                    </a:xfrm>
                    <a:prstGeom prst="rect">
                      <a:avLst/>
                    </a:prstGeom>
                    <a:noFill/>
                    <a:ln>
                      <a:noFill/>
                    </a:ln>
                  </pic:spPr>
                </pic:pic>
              </a:graphicData>
            </a:graphic>
          </wp:inline>
        </w:drawing>
      </w:r>
      <w:r>
        <w:t xml:space="preserve">         </w:t>
      </w:r>
      <w:r w:rsidRPr="00FF1E10">
        <w:rPr>
          <w:noProof/>
        </w:rPr>
        <w:drawing>
          <wp:inline distT="0" distB="0" distL="0" distR="0" wp14:anchorId="0CA1177D" wp14:editId="3F674F93">
            <wp:extent cx="2768400" cy="2268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8400" cy="2268000"/>
                    </a:xfrm>
                    <a:prstGeom prst="rect">
                      <a:avLst/>
                    </a:prstGeom>
                    <a:noFill/>
                    <a:ln>
                      <a:noFill/>
                    </a:ln>
                  </pic:spPr>
                </pic:pic>
              </a:graphicData>
            </a:graphic>
          </wp:inline>
        </w:drawing>
      </w:r>
    </w:p>
    <w:bookmarkEnd w:id="8"/>
    <w:p w14:paraId="6C3B8C05" w14:textId="52E2AB2F" w:rsidR="00537175" w:rsidRPr="00173779" w:rsidRDefault="00537175" w:rsidP="00FF1E10">
      <w:pPr>
        <w:pStyle w:val="VirUMAR"/>
        <w:rPr>
          <w:color w:val="FFFFFF" w:themeColor="background1"/>
        </w:rPr>
      </w:pPr>
      <w:r w:rsidRPr="00200123">
        <w:t xml:space="preserve">Vir: </w:t>
      </w:r>
      <w:r w:rsidRPr="00200123">
        <w:fldChar w:fldCharType="begin"/>
      </w:r>
      <w:r w:rsidR="00B83F64" w:rsidRPr="00200123">
        <w:instrText xml:space="preserve"> ADDIN ZOTERO_ITEM CSL_CITATION {"citationID":"7SBhjI70","properties":{"formattedCitation":"(Eurostat,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200123">
        <w:fldChar w:fldCharType="separate"/>
      </w:r>
      <w:r w:rsidRPr="00200123">
        <w:t>Eurostat</w:t>
      </w:r>
      <w:r w:rsidR="00C51A95">
        <w:t xml:space="preserve"> </w:t>
      </w:r>
      <w:r w:rsidRPr="00200123">
        <w:t>(2023)</w:t>
      </w:r>
      <w:r w:rsidRPr="00200123">
        <w:fldChar w:fldCharType="end"/>
      </w:r>
      <w:r w:rsidR="00C51A95">
        <w:t>.</w:t>
      </w:r>
      <w:r w:rsidR="00173779" w:rsidRPr="00200123">
        <w:t xml:space="preserve">           </w:t>
      </w:r>
    </w:p>
    <w:p w14:paraId="01C8A4FA" w14:textId="77777777" w:rsidR="00C76ADD" w:rsidRPr="00C76ADD" w:rsidRDefault="00C76ADD" w:rsidP="00C76ADD">
      <w:pPr>
        <w:rPr>
          <w:rFonts w:ascii="Arial" w:eastAsia="Calibri" w:hAnsi="Arial" w:cs="Arial"/>
          <w:sz w:val="16"/>
          <w:szCs w:val="16"/>
        </w:rPr>
      </w:pPr>
    </w:p>
    <w:p w14:paraId="26F40445" w14:textId="2C7CFF6A" w:rsidR="00C76ADD" w:rsidRDefault="00C76ADD" w:rsidP="00043F74">
      <w:pPr>
        <w:pStyle w:val="BesediloUMAR"/>
      </w:pPr>
      <w:bookmarkStart w:id="9" w:name="_Hlk141345899"/>
      <w:r w:rsidRPr="006D5FC6">
        <w:rPr>
          <w:b/>
        </w:rPr>
        <w:t>Izdatki za dolgotrajno oskrbo (DO) so se v letih 2019 in 2020 v Sloveniji močno povečali, vendar so bili</w:t>
      </w:r>
      <w:r w:rsidR="003D666E" w:rsidRPr="006D5FC6">
        <w:rPr>
          <w:b/>
        </w:rPr>
        <w:t xml:space="preserve"> </w:t>
      </w:r>
      <w:r w:rsidR="005C144C" w:rsidRPr="006D5FC6">
        <w:rPr>
          <w:b/>
        </w:rPr>
        <w:t xml:space="preserve">glede na </w:t>
      </w:r>
      <w:r w:rsidRPr="006D5FC6">
        <w:rPr>
          <w:b/>
        </w:rPr>
        <w:t xml:space="preserve">BDP še vedno bistveno </w:t>
      </w:r>
      <w:r w:rsidR="00F5506E">
        <w:rPr>
          <w:b/>
        </w:rPr>
        <w:t>manjši</w:t>
      </w:r>
      <w:r w:rsidRPr="006D5FC6">
        <w:rPr>
          <w:b/>
        </w:rPr>
        <w:t xml:space="preserve"> kot v povprečju EU</w:t>
      </w:r>
      <w:r w:rsidR="002930F7" w:rsidRPr="004A0EF8">
        <w:rPr>
          <w:iCs/>
        </w:rPr>
        <w:t>. Občutnejša je bila rast v letih 2019 in 2020</w:t>
      </w:r>
      <w:r w:rsidR="00B83EF6">
        <w:rPr>
          <w:bCs/>
        </w:rPr>
        <w:t>. G</w:t>
      </w:r>
      <w:r w:rsidR="005C144C" w:rsidRPr="004A0EF8">
        <w:rPr>
          <w:bCs/>
        </w:rPr>
        <w:t>l</w:t>
      </w:r>
      <w:r w:rsidRPr="004A0EF8">
        <w:rPr>
          <w:bCs/>
        </w:rPr>
        <w:t>avni razlog za povečanje javnih izdatkov za DO v letu 2019</w:t>
      </w:r>
      <w:r w:rsidR="00FA55B6" w:rsidRPr="004A0EF8">
        <w:rPr>
          <w:bCs/>
        </w:rPr>
        <w:t xml:space="preserve"> </w:t>
      </w:r>
      <w:r w:rsidRPr="004A0EF8">
        <w:rPr>
          <w:bCs/>
        </w:rPr>
        <w:t xml:space="preserve">je </w:t>
      </w:r>
      <w:r w:rsidR="002930F7" w:rsidRPr="004A0EF8">
        <w:rPr>
          <w:bCs/>
        </w:rPr>
        <w:t xml:space="preserve">bila </w:t>
      </w:r>
      <w:r w:rsidRPr="004A0EF8">
        <w:rPr>
          <w:bCs/>
        </w:rPr>
        <w:t>uveljavitev Zakona o osebni asistenci</w:t>
      </w:r>
      <w:r w:rsidR="004A0EF8" w:rsidRPr="004A0EF8">
        <w:rPr>
          <w:bCs/>
        </w:rPr>
        <w:t>,</w:t>
      </w:r>
      <w:r w:rsidR="006803E3">
        <w:rPr>
          <w:bCs/>
        </w:rPr>
        <w:t xml:space="preserve"> </w:t>
      </w:r>
      <w:r w:rsidR="004A0EF8" w:rsidRPr="004A0EF8">
        <w:rPr>
          <w:bCs/>
        </w:rPr>
        <w:t>ki je znatno povečal</w:t>
      </w:r>
      <w:r w:rsidR="003D666E">
        <w:rPr>
          <w:bCs/>
        </w:rPr>
        <w:t xml:space="preserve"> </w:t>
      </w:r>
      <w:r w:rsidR="004A0EF8" w:rsidRPr="004A0EF8">
        <w:rPr>
          <w:bCs/>
        </w:rPr>
        <w:t>javno financiranje DO na domu.</w:t>
      </w:r>
      <w:r w:rsidR="004A0EF8" w:rsidRPr="004A0EF8">
        <w:rPr>
          <w:rStyle w:val="FootnoteReference"/>
          <w:rFonts w:cs="Arial"/>
          <w:bCs/>
          <w:szCs w:val="20"/>
        </w:rPr>
        <w:footnoteReference w:id="12"/>
      </w:r>
      <w:r w:rsidR="00831EB1">
        <w:rPr>
          <w:bCs/>
        </w:rPr>
        <w:t xml:space="preserve"> V letu 2020 je bilo poveč</w:t>
      </w:r>
      <w:r w:rsidR="008910F9">
        <w:rPr>
          <w:bCs/>
        </w:rPr>
        <w:t>a</w:t>
      </w:r>
      <w:r w:rsidR="00831EB1">
        <w:rPr>
          <w:bCs/>
        </w:rPr>
        <w:t xml:space="preserve">nje </w:t>
      </w:r>
      <w:r w:rsidRPr="004A0EF8">
        <w:rPr>
          <w:bCs/>
        </w:rPr>
        <w:t xml:space="preserve">deloma povezano </w:t>
      </w:r>
      <w:r w:rsidR="000A171A" w:rsidRPr="004A0EF8">
        <w:rPr>
          <w:bCs/>
        </w:rPr>
        <w:t>tudi</w:t>
      </w:r>
      <w:r w:rsidR="002930F7" w:rsidRPr="004A0EF8">
        <w:rPr>
          <w:bCs/>
        </w:rPr>
        <w:t xml:space="preserve"> </w:t>
      </w:r>
      <w:r w:rsidRPr="004A0EF8">
        <w:rPr>
          <w:bCs/>
        </w:rPr>
        <w:t>z epidemijo covida-19 (dodatne zaposlitve v domovih za starejše in dodatki k plačam</w:t>
      </w:r>
      <w:r w:rsidR="00B83EF6">
        <w:rPr>
          <w:bCs/>
        </w:rPr>
        <w:t xml:space="preserve"> </w:t>
      </w:r>
      <w:r w:rsidR="00831EB1">
        <w:rPr>
          <w:bCs/>
        </w:rPr>
        <w:t>(</w:t>
      </w:r>
      <w:r w:rsidRPr="004A0EF8">
        <w:rPr>
          <w:bCs/>
        </w:rPr>
        <w:fldChar w:fldCharType="begin"/>
      </w:r>
      <w:r w:rsidR="00365253" w:rsidRPr="004A0EF8">
        <w:rPr>
          <w:bCs/>
        </w:rPr>
        <w:instrText xml:space="preserve"> ADDIN ZOTERO_ITEM CSL_CITATION {"citationID":"bNVXYwst","properties":{"formattedCitation":"(UMAR, 2023)","plainCitation":"(UMAR, 2023)","dontUpdate":true,"noteIndex":0},"citationItems":[{"id":3902,"uris":["http://zotero.org/users/8351010/items/XIQ2SPZQ"],"itemData":{"id":3902,"type":"report","publisher":"Urad RS za makroekonomske analize in razvoj","title":"Poročilo orazvoju 2023","URL":"https://www.umar.gov.si/fileadmin/user_upload/razvoj_slovenije/2023/slovenski/POR2023.pdf","author":[{"literal":"UMAR"}],"issued":{"date-parts":[["2023"]]}}}],"schema":"https://github.com/citation-style-language/schema/raw/master/csl-citation.json"} </w:instrText>
      </w:r>
      <w:r w:rsidRPr="004A0EF8">
        <w:rPr>
          <w:bCs/>
        </w:rPr>
        <w:fldChar w:fldCharType="separate"/>
      </w:r>
      <w:r w:rsidRPr="004A0EF8">
        <w:t>UMAR, 2023)</w:t>
      </w:r>
      <w:r w:rsidRPr="004A0EF8">
        <w:rPr>
          <w:bCs/>
        </w:rPr>
        <w:fldChar w:fldCharType="end"/>
      </w:r>
      <w:r w:rsidR="00B110B9">
        <w:rPr>
          <w:bCs/>
        </w:rPr>
        <w:t>)</w:t>
      </w:r>
      <w:r w:rsidRPr="004A0EF8">
        <w:rPr>
          <w:bCs/>
        </w:rPr>
        <w:t xml:space="preserve">. </w:t>
      </w:r>
      <w:r w:rsidRPr="004A0EF8">
        <w:rPr>
          <w:iCs/>
        </w:rPr>
        <w:t>Leta 2020 so v Sloveniji celotni izdatki za DO znašali 1,45 % BDP, od tega 1,1 % javni izdatki in 0,35 % zasebni izdatki</w:t>
      </w:r>
      <w:r w:rsidR="002930F7" w:rsidRPr="004A0EF8">
        <w:rPr>
          <w:iCs/>
        </w:rPr>
        <w:t xml:space="preserve">, v </w:t>
      </w:r>
      <w:r w:rsidR="00031C92">
        <w:rPr>
          <w:iCs/>
        </w:rPr>
        <w:t>povp</w:t>
      </w:r>
      <w:r w:rsidR="00CC5987">
        <w:rPr>
          <w:iCs/>
        </w:rPr>
        <w:t>re</w:t>
      </w:r>
      <w:r w:rsidR="00031C92">
        <w:rPr>
          <w:iCs/>
        </w:rPr>
        <w:t xml:space="preserve">čju </w:t>
      </w:r>
      <w:r w:rsidR="002930F7" w:rsidRPr="004A0EF8">
        <w:rPr>
          <w:iCs/>
        </w:rPr>
        <w:t xml:space="preserve">EU </w:t>
      </w:r>
      <w:r w:rsidR="00031C92">
        <w:rPr>
          <w:iCs/>
        </w:rPr>
        <w:t>pa so celotni izdatki dosegli 1,6 % BDP</w:t>
      </w:r>
      <w:r w:rsidR="00B83EF6">
        <w:rPr>
          <w:iCs/>
        </w:rPr>
        <w:t xml:space="preserve">, </w:t>
      </w:r>
      <w:r w:rsidR="00031C92">
        <w:rPr>
          <w:iCs/>
        </w:rPr>
        <w:t>od tega zasebni 0,3</w:t>
      </w:r>
      <w:r w:rsidR="00831EB1">
        <w:rPr>
          <w:iCs/>
        </w:rPr>
        <w:t xml:space="preserve"> </w:t>
      </w:r>
      <w:r w:rsidR="00031C92">
        <w:rPr>
          <w:iCs/>
        </w:rPr>
        <w:t>% BDP.</w:t>
      </w:r>
      <w:r w:rsidR="009D6D27">
        <w:rPr>
          <w:iCs/>
        </w:rPr>
        <w:t xml:space="preserve"> </w:t>
      </w:r>
      <w:r w:rsidR="00200123" w:rsidRPr="004A0EF8">
        <w:rPr>
          <w:iCs/>
        </w:rPr>
        <w:t>V Sloveniji so se v obdobju 2015</w:t>
      </w:r>
      <w:r w:rsidR="0015467F">
        <w:rPr>
          <w:iCs/>
        </w:rPr>
        <w:t>–</w:t>
      </w:r>
      <w:r w:rsidR="00200123" w:rsidRPr="004A0EF8">
        <w:rPr>
          <w:iCs/>
        </w:rPr>
        <w:t xml:space="preserve">2020 izdatki povečali, vendar </w:t>
      </w:r>
      <w:r w:rsidR="00200123">
        <w:rPr>
          <w:iCs/>
        </w:rPr>
        <w:t xml:space="preserve">manj </w:t>
      </w:r>
      <w:r w:rsidR="00200123" w:rsidRPr="004A0EF8">
        <w:rPr>
          <w:iCs/>
        </w:rPr>
        <w:t>kot v povprečju EU</w:t>
      </w:r>
      <w:r w:rsidR="00200123">
        <w:rPr>
          <w:iCs/>
        </w:rPr>
        <w:t>.</w:t>
      </w:r>
    </w:p>
    <w:bookmarkEnd w:id="9"/>
    <w:p w14:paraId="2FAF2E6B" w14:textId="77777777" w:rsidR="00964E2B" w:rsidRPr="00134D9C" w:rsidRDefault="00964E2B" w:rsidP="00043F74">
      <w:pPr>
        <w:pStyle w:val="BesediloUMAR"/>
      </w:pPr>
    </w:p>
    <w:p w14:paraId="7A54A487" w14:textId="1EFFECDB" w:rsidR="00C76ADD" w:rsidRDefault="00043F74" w:rsidP="00043F74">
      <w:pPr>
        <w:pStyle w:val="Caption"/>
      </w:pPr>
      <w:bookmarkStart w:id="10" w:name="_Hlk141346052"/>
      <w:r>
        <w:lastRenderedPageBreak/>
        <w:t xml:space="preserve">Slika </w:t>
      </w:r>
      <w:r>
        <w:fldChar w:fldCharType="begin"/>
      </w:r>
      <w:r>
        <w:instrText xml:space="preserve"> SEQ Slika \* ARABIC </w:instrText>
      </w:r>
      <w:r>
        <w:fldChar w:fldCharType="separate"/>
      </w:r>
      <w:r w:rsidR="005A41AB">
        <w:t>13</w:t>
      </w:r>
      <w:r>
        <w:fldChar w:fldCharType="end"/>
      </w:r>
      <w:r w:rsidR="00C76ADD" w:rsidRPr="005C2200">
        <w:t>: Javni Izdatki za dolgotrajno oskrbo</w:t>
      </w:r>
      <w:r w:rsidR="00C76ADD">
        <w:t xml:space="preserve"> </w:t>
      </w:r>
      <w:r w:rsidR="00C76ADD" w:rsidRPr="005C2200">
        <w:t>v državah OECD,</w:t>
      </w:r>
      <w:r w:rsidR="00C76ADD">
        <w:t xml:space="preserve"> ki so tudi članice EU,</w:t>
      </w:r>
      <w:r w:rsidR="00FA55B6">
        <w:t xml:space="preserve"> </w:t>
      </w:r>
      <w:r w:rsidR="00C76ADD" w:rsidRPr="005C2200">
        <w:t xml:space="preserve">leta 2020 </w:t>
      </w:r>
    </w:p>
    <w:bookmarkEnd w:id="10"/>
    <w:p w14:paraId="49C13DA7" w14:textId="33CC8220" w:rsidR="00C76ADD" w:rsidRPr="00F52B18" w:rsidRDefault="00D546D9" w:rsidP="00F52B18">
      <w:pPr>
        <w:rPr>
          <w:rStyle w:val="VirUMARChar"/>
        </w:rPr>
      </w:pPr>
      <w:r w:rsidRPr="00D546D9">
        <w:rPr>
          <w:rStyle w:val="VirUMARChar"/>
          <w:rFonts w:asciiTheme="minorHAnsi" w:hAnsiTheme="minorHAnsi"/>
          <w:noProof/>
          <w:sz w:val="22"/>
        </w:rPr>
        <w:drawing>
          <wp:inline distT="0" distB="0" distL="0" distR="0" wp14:anchorId="012563AF" wp14:editId="29E8E6CB">
            <wp:extent cx="5759450" cy="20444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2044462"/>
                    </a:xfrm>
                    <a:prstGeom prst="rect">
                      <a:avLst/>
                    </a:prstGeom>
                    <a:noFill/>
                    <a:ln>
                      <a:noFill/>
                    </a:ln>
                  </pic:spPr>
                </pic:pic>
              </a:graphicData>
            </a:graphic>
          </wp:inline>
        </w:drawing>
      </w:r>
      <w:r w:rsidR="00C76ADD" w:rsidRPr="00F52B18">
        <w:rPr>
          <w:rStyle w:val="VirUMARChar"/>
        </w:rPr>
        <w:t xml:space="preserve">Vir: </w:t>
      </w:r>
      <w:r w:rsidR="00C76ADD" w:rsidRPr="00F52B18">
        <w:rPr>
          <w:rStyle w:val="VirUMARChar"/>
        </w:rPr>
        <w:fldChar w:fldCharType="begin"/>
      </w:r>
      <w:r w:rsidR="00C76ADD" w:rsidRPr="00F52B18">
        <w:rPr>
          <w:rStyle w:val="VirUMARChar"/>
        </w:rPr>
        <w:instrText xml:space="preserve"> ADDIN ZOTERO_ITEM CSL_CITATION {"citationID":"sbTElrSu","properties":{"formattedCitation":"(OECD, 2022)","plainCitation":"(OECD, 2022)","dontUpdate":true,"noteIndex":0},"citationItems":[{"id":3714,"uris":["http://zotero.org/users/8351010/items/NJREYQT9"],"itemData":{"id":3714,"type":"entry-dictionary","event-place":"Paris","publisher-place":"Paris","title":"Statistics","URL":"https://stats.oecd.org/","author":[{"literal":"OECD"}],"issued":{"date-parts":[["2022"]]}}}],"schema":"https://github.com/citation-style-language/schema/raw/master/csl-citation.json"} </w:instrText>
      </w:r>
      <w:r w:rsidR="00C76ADD" w:rsidRPr="00F52B18">
        <w:rPr>
          <w:rStyle w:val="VirUMARChar"/>
        </w:rPr>
        <w:fldChar w:fldCharType="separate"/>
      </w:r>
      <w:r w:rsidR="00C76ADD" w:rsidRPr="00F52B18">
        <w:rPr>
          <w:rStyle w:val="VirUMARChar"/>
        </w:rPr>
        <w:t>OECD</w:t>
      </w:r>
      <w:r w:rsidR="00B6114E">
        <w:rPr>
          <w:rStyle w:val="VirUMARChar"/>
        </w:rPr>
        <w:t xml:space="preserve"> </w:t>
      </w:r>
      <w:r w:rsidR="00C76ADD" w:rsidRPr="00F52B18">
        <w:rPr>
          <w:rStyle w:val="VirUMARChar"/>
        </w:rPr>
        <w:t>(2022)</w:t>
      </w:r>
      <w:r w:rsidR="00C76ADD" w:rsidRPr="00F52B18">
        <w:rPr>
          <w:rStyle w:val="VirUMARChar"/>
        </w:rPr>
        <w:fldChar w:fldCharType="end"/>
      </w:r>
      <w:r w:rsidR="00B6114E">
        <w:rPr>
          <w:rStyle w:val="VirUMARChar"/>
        </w:rPr>
        <w:t>.</w:t>
      </w:r>
    </w:p>
    <w:p w14:paraId="1B6C12D1" w14:textId="77777777" w:rsidR="00C76ADD" w:rsidRDefault="00C76ADD" w:rsidP="00043F74">
      <w:pPr>
        <w:pStyle w:val="BesediloUMAR"/>
      </w:pPr>
    </w:p>
    <w:p w14:paraId="05530319" w14:textId="38C59C8A" w:rsidR="008634A6" w:rsidRPr="00043F74" w:rsidRDefault="00C76ADD" w:rsidP="00043F74">
      <w:pPr>
        <w:pStyle w:val="Heading3"/>
      </w:pPr>
      <w:bookmarkStart w:id="11" w:name="_Hlk141346192"/>
      <w:r w:rsidRPr="00043F74">
        <w:t>Dolgoročne projekcije javnih izdatkov</w:t>
      </w:r>
      <w:r w:rsidR="0033366D">
        <w:t>,</w:t>
      </w:r>
      <w:r w:rsidRPr="00043F74">
        <w:t xml:space="preserve"> povezanih s staranjem prebivalstva</w:t>
      </w:r>
    </w:p>
    <w:p w14:paraId="55E3BB80" w14:textId="77777777" w:rsidR="008634A6" w:rsidRDefault="008634A6" w:rsidP="008634A6">
      <w:pPr>
        <w:pStyle w:val="BesediloUMAR"/>
      </w:pPr>
    </w:p>
    <w:p w14:paraId="46B81CA4" w14:textId="67BF543F" w:rsidR="008634A6" w:rsidRPr="00043F74" w:rsidRDefault="008634A6" w:rsidP="003F7DB9">
      <w:pPr>
        <w:pStyle w:val="BesediloUMAR"/>
        <w:rPr>
          <w:sz w:val="24"/>
          <w:szCs w:val="26"/>
        </w:rPr>
      </w:pPr>
      <w:r w:rsidRPr="006D5FC6">
        <w:rPr>
          <w:rStyle w:val="BoldpoudarekUMAR"/>
        </w:rPr>
        <w:t>Projekcije izdatkov</w:t>
      </w:r>
      <w:r w:rsidR="00E67AB1">
        <w:rPr>
          <w:rStyle w:val="BoldpoudarekUMAR"/>
        </w:rPr>
        <w:t xml:space="preserve"> zaradi</w:t>
      </w:r>
      <w:r w:rsidRPr="006D5FC6">
        <w:rPr>
          <w:rStyle w:val="BoldpoudarekUMAR"/>
        </w:rPr>
        <w:t xml:space="preserve"> staranj</w:t>
      </w:r>
      <w:r w:rsidR="00E67AB1">
        <w:rPr>
          <w:rStyle w:val="BoldpoudarekUMAR"/>
        </w:rPr>
        <w:t>a</w:t>
      </w:r>
      <w:r w:rsidRPr="006D5FC6">
        <w:rPr>
          <w:rStyle w:val="BoldpoudarekUMAR"/>
        </w:rPr>
        <w:t xml:space="preserve"> prebivalstva, ki jih pripravlja Evropska komisija</w:t>
      </w:r>
      <w:r w:rsidR="00B62ED6">
        <w:rPr>
          <w:rStyle w:val="BoldpoudarekUMAR"/>
        </w:rPr>
        <w:t>,</w:t>
      </w:r>
      <w:r w:rsidRPr="006D5FC6">
        <w:rPr>
          <w:rStyle w:val="BoldpoudarekUMAR"/>
        </w:rPr>
        <w:t xml:space="preserve"> kažejo, da lahko v prihodnjih desetletjih ob </w:t>
      </w:r>
      <w:r w:rsidR="00831EB1" w:rsidRPr="006D5FC6">
        <w:rPr>
          <w:rStyle w:val="BoldpoudarekUMAR"/>
        </w:rPr>
        <w:t xml:space="preserve">trenutno </w:t>
      </w:r>
      <w:r w:rsidRPr="006D5FC6">
        <w:rPr>
          <w:rStyle w:val="BoldpoudarekUMAR"/>
        </w:rPr>
        <w:t xml:space="preserve">veljavnih politikah v Sloveniji pričakujemo </w:t>
      </w:r>
      <w:r w:rsidR="00223423">
        <w:rPr>
          <w:rStyle w:val="BoldpoudarekUMAR"/>
        </w:rPr>
        <w:t xml:space="preserve">njihovo </w:t>
      </w:r>
      <w:r w:rsidRPr="006D5FC6">
        <w:rPr>
          <w:rStyle w:val="BoldpoudarekUMAR"/>
        </w:rPr>
        <w:t>precejšnje povečanje</w:t>
      </w:r>
      <w:r w:rsidRPr="006D5FC6">
        <w:rPr>
          <w:noProof/>
        </w:rPr>
        <w:t>.</w:t>
      </w:r>
      <w:r w:rsidRPr="008634A6">
        <w:rPr>
          <w:noProof/>
        </w:rPr>
        <w:t xml:space="preserve"> Projekcije</w:t>
      </w:r>
      <w:r w:rsidR="00B62ED6">
        <w:rPr>
          <w:noProof/>
        </w:rPr>
        <w:t xml:space="preserve"> s staranjem povezanih</w:t>
      </w:r>
      <w:r w:rsidRPr="008634A6">
        <w:rPr>
          <w:noProof/>
        </w:rPr>
        <w:t xml:space="preserve"> izdatkov </w:t>
      </w:r>
      <w:r w:rsidR="00B62ED6" w:rsidRPr="008634A6">
        <w:rPr>
          <w:noProof/>
        </w:rPr>
        <w:t xml:space="preserve">za članice EU </w:t>
      </w:r>
      <w:r w:rsidRPr="008634A6">
        <w:rPr>
          <w:noProof/>
        </w:rPr>
        <w:t>pripravi Evropska komisija vsak</w:t>
      </w:r>
      <w:r w:rsidR="00B62ED6">
        <w:rPr>
          <w:noProof/>
        </w:rPr>
        <w:t>a</w:t>
      </w:r>
      <w:r w:rsidRPr="008634A6">
        <w:rPr>
          <w:noProof/>
        </w:rPr>
        <w:t xml:space="preserve"> </w:t>
      </w:r>
      <w:r w:rsidR="00B62ED6">
        <w:rPr>
          <w:noProof/>
        </w:rPr>
        <w:t>tri</w:t>
      </w:r>
      <w:r w:rsidRPr="008634A6">
        <w:rPr>
          <w:noProof/>
        </w:rPr>
        <w:t xml:space="preserve"> leta. Zadnji</w:t>
      </w:r>
      <w:r w:rsidR="003D666E">
        <w:rPr>
          <w:noProof/>
        </w:rPr>
        <w:t xml:space="preserve"> </w:t>
      </w:r>
      <w:r w:rsidRPr="008634A6">
        <w:rPr>
          <w:noProof/>
        </w:rPr>
        <w:t xml:space="preserve">rezultati, objavljeni leta 2021 </w:t>
      </w:r>
      <w:r w:rsidRPr="008634A6">
        <w:rPr>
          <w:noProof/>
        </w:rPr>
        <w:fldChar w:fldCharType="begin"/>
      </w:r>
      <w:r w:rsidRPr="008634A6">
        <w:rPr>
          <w:noProof/>
        </w:rPr>
        <w:instrText xml:space="preserve"> ADDIN ZOTERO_ITEM CSL_CITATION {"citationID":"2R98eAX5","properties":{"formattedCitation":"(EC, 2021)","plainCitation":"(EC, 2021)","noteIndex":0},"citationItems":[{"id":3715,"uris":["http://zotero.org/users/8351010/items/8YW3XW7M"],"itemData":{"id":3715,"type":"report","collection-title":"European Economy.","event-place":"Bruselj","number":"Insitutional Paper 148","publisher-place":"Bruselj","title":"The 2021 Ageing Report Economic and Budgetary Projections for the EU Member States","URL":"https://economy-finance.ec.europa.eu/system/files/2021-10/ip148_en.pdf","author":[{"literal":"EC"}],"issued":{"date-parts":[["2021"]]}}}],"schema":"https://github.com/citation-style-language/schema/raw/master/csl-citation.json"} </w:instrText>
      </w:r>
      <w:r w:rsidRPr="008634A6">
        <w:rPr>
          <w:noProof/>
        </w:rPr>
        <w:fldChar w:fldCharType="separate"/>
      </w:r>
      <w:r w:rsidRPr="008634A6">
        <w:t>(EC, 2021)</w:t>
      </w:r>
      <w:r w:rsidRPr="008634A6">
        <w:rPr>
          <w:noProof/>
        </w:rPr>
        <w:fldChar w:fldCharType="end"/>
      </w:r>
      <w:r w:rsidR="00B62ED6">
        <w:rPr>
          <w:noProof/>
        </w:rPr>
        <w:t>,</w:t>
      </w:r>
      <w:r w:rsidRPr="008634A6">
        <w:rPr>
          <w:noProof/>
        </w:rPr>
        <w:t xml:space="preserve"> kažejo, da</w:t>
      </w:r>
      <w:r w:rsidR="003D666E">
        <w:rPr>
          <w:noProof/>
        </w:rPr>
        <w:t xml:space="preserve"> </w:t>
      </w:r>
      <w:r w:rsidRPr="008634A6">
        <w:rPr>
          <w:noProof/>
        </w:rPr>
        <w:t xml:space="preserve">se bodo </w:t>
      </w:r>
      <w:r w:rsidR="00527415">
        <w:rPr>
          <w:noProof/>
        </w:rPr>
        <w:t>ti</w:t>
      </w:r>
      <w:r w:rsidR="00B62ED6">
        <w:rPr>
          <w:noProof/>
        </w:rPr>
        <w:t xml:space="preserve"> </w:t>
      </w:r>
      <w:r w:rsidR="00527415">
        <w:rPr>
          <w:noProof/>
        </w:rPr>
        <w:t xml:space="preserve">izdatki v Sloveniji </w:t>
      </w:r>
      <w:r w:rsidRPr="008634A6">
        <w:rPr>
          <w:noProof/>
        </w:rPr>
        <w:t xml:space="preserve">povečali z 20,7 % BDP v letu 2019 na 29,8 % BDP v letu 2070. V tem obdobju naj bi se ob </w:t>
      </w:r>
      <w:r w:rsidR="008910F9">
        <w:rPr>
          <w:noProof/>
        </w:rPr>
        <w:t>predpostavki ohranjan</w:t>
      </w:r>
      <w:r w:rsidR="002612D6">
        <w:rPr>
          <w:noProof/>
        </w:rPr>
        <w:t>j</w:t>
      </w:r>
      <w:r w:rsidR="008910F9">
        <w:rPr>
          <w:noProof/>
        </w:rPr>
        <w:t xml:space="preserve">a sedanjih politik </w:t>
      </w:r>
      <w:r w:rsidRPr="008634A6">
        <w:rPr>
          <w:noProof/>
        </w:rPr>
        <w:t>najbolj povečali izdatki za pokojnine</w:t>
      </w:r>
      <w:r w:rsidR="00F046E9">
        <w:rPr>
          <w:noProof/>
        </w:rPr>
        <w:t xml:space="preserve">, in sicer </w:t>
      </w:r>
      <w:r w:rsidRPr="008634A6">
        <w:rPr>
          <w:noProof/>
        </w:rPr>
        <w:t>z 10</w:t>
      </w:r>
      <w:r w:rsidR="006803E3">
        <w:rPr>
          <w:noProof/>
        </w:rPr>
        <w:t xml:space="preserve"> </w:t>
      </w:r>
      <w:r w:rsidRPr="008634A6">
        <w:rPr>
          <w:noProof/>
        </w:rPr>
        <w:t>% na 16</w:t>
      </w:r>
      <w:r w:rsidR="006803E3">
        <w:rPr>
          <w:noProof/>
        </w:rPr>
        <w:t xml:space="preserve"> </w:t>
      </w:r>
      <w:r w:rsidRPr="008634A6">
        <w:rPr>
          <w:noProof/>
        </w:rPr>
        <w:t>% BDP.</w:t>
      </w:r>
    </w:p>
    <w:bookmarkEnd w:id="11"/>
    <w:p w14:paraId="1311090F" w14:textId="75289375" w:rsidR="00C76ADD" w:rsidRPr="00043F74" w:rsidRDefault="00043F74" w:rsidP="00043F74">
      <w:pPr>
        <w:pStyle w:val="Caption"/>
      </w:pPr>
      <w:r w:rsidRPr="00043F74">
        <w:t xml:space="preserve">Slika </w:t>
      </w:r>
      <w:r w:rsidRPr="00043F74">
        <w:fldChar w:fldCharType="begin"/>
      </w:r>
      <w:r w:rsidRPr="00043F74">
        <w:instrText xml:space="preserve"> SEQ Slika \* ARABIC </w:instrText>
      </w:r>
      <w:r w:rsidRPr="00043F74">
        <w:fldChar w:fldCharType="separate"/>
      </w:r>
      <w:r w:rsidR="005A41AB">
        <w:t>14</w:t>
      </w:r>
      <w:r w:rsidRPr="00043F74">
        <w:fldChar w:fldCharType="end"/>
      </w:r>
      <w:r w:rsidR="00C76ADD" w:rsidRPr="00043F74">
        <w:t>: Projekcije javnofinančnih izdatkov</w:t>
      </w:r>
      <w:r w:rsidR="002612D6">
        <w:t>,</w:t>
      </w:r>
      <w:r w:rsidR="00C76ADD" w:rsidRPr="00043F74">
        <w:t xml:space="preserve"> povezanih s staranjem prebivalstva</w:t>
      </w:r>
    </w:p>
    <w:p w14:paraId="693C2007" w14:textId="18CBA6B5" w:rsidR="00C76ADD" w:rsidRPr="00D12C15" w:rsidRDefault="00AD24EB" w:rsidP="00D12C15">
      <w:pPr>
        <w:jc w:val="both"/>
        <w:rPr>
          <w:rFonts w:ascii="Arial" w:hAnsi="Arial" w:cs="Arial"/>
          <w:b/>
          <w:bCs/>
          <w:sz w:val="20"/>
          <w:szCs w:val="20"/>
        </w:rPr>
      </w:pPr>
      <w:r w:rsidRPr="00AD24EB">
        <w:rPr>
          <w:noProof/>
        </w:rPr>
        <w:drawing>
          <wp:inline distT="0" distB="0" distL="0" distR="0" wp14:anchorId="2C1D4AA8" wp14:editId="525EAFA8">
            <wp:extent cx="5759450" cy="2194560"/>
            <wp:effectExtent l="0" t="0" r="0" b="0"/>
            <wp:docPr id="855564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r w:rsidR="00C76ADD" w:rsidRPr="00D12C15">
        <w:rPr>
          <w:rStyle w:val="VirUMARChar"/>
        </w:rPr>
        <w:t xml:space="preserve">Vir: </w:t>
      </w:r>
      <w:r w:rsidR="00C76ADD" w:rsidRPr="00D12C15">
        <w:rPr>
          <w:rStyle w:val="VirUMARChar"/>
        </w:rPr>
        <w:fldChar w:fldCharType="begin"/>
      </w:r>
      <w:r w:rsidR="00C76ADD" w:rsidRPr="00D12C15">
        <w:rPr>
          <w:rStyle w:val="VirUMARChar"/>
        </w:rPr>
        <w:instrText xml:space="preserve"> ADDIN ZOTERO_ITEM CSL_CITATION {"citationID":"PVAefaPX","properties":{"formattedCitation":"(EC, 2021)","plainCitation":"(EC, 2021)","noteIndex":0},"citationItems":[{"id":3715,"uris":["http://zotero.org/users/8351010/items/8YW3XW7M"],"itemData":{"id":3715,"type":"report","collection-title":"European Economy.","event-place":"Bruselj","number":"Insitutional Paper 148","publisher-place":"Bruselj","title":"The 2021 Ageing Report Economic and Budgetary Projections for the EU Member States","URL":"https://economy-finance.ec.europa.eu/system/files/2021-10/ip148_en.pdf","author":[{"literal":"EC"}],"issued":{"date-parts":[["2021"]]}}}],"schema":"https://github.com/citation-style-language/schema/raw/master/csl-citation.json"} </w:instrText>
      </w:r>
      <w:r w:rsidR="00C76ADD" w:rsidRPr="00D12C15">
        <w:rPr>
          <w:rStyle w:val="VirUMARChar"/>
        </w:rPr>
        <w:fldChar w:fldCharType="separate"/>
      </w:r>
      <w:r w:rsidR="00C76ADD" w:rsidRPr="00D12C15">
        <w:rPr>
          <w:rStyle w:val="VirUMARChar"/>
        </w:rPr>
        <w:t>EC</w:t>
      </w:r>
      <w:r w:rsidR="00D546D9" w:rsidRPr="00D12C15">
        <w:rPr>
          <w:rStyle w:val="VirUMARChar"/>
        </w:rPr>
        <w:t xml:space="preserve"> (</w:t>
      </w:r>
      <w:r w:rsidR="00C76ADD" w:rsidRPr="00D12C15">
        <w:rPr>
          <w:rStyle w:val="VirUMARChar"/>
        </w:rPr>
        <w:t>2021)</w:t>
      </w:r>
      <w:r w:rsidR="00C76ADD" w:rsidRPr="00D12C15">
        <w:rPr>
          <w:rStyle w:val="VirUMARChar"/>
        </w:rPr>
        <w:fldChar w:fldCharType="end"/>
      </w:r>
      <w:r w:rsidR="00D546D9" w:rsidRPr="00D12C15">
        <w:rPr>
          <w:rStyle w:val="VirUMARChar"/>
        </w:rPr>
        <w:t>.</w:t>
      </w:r>
      <w:r w:rsidR="00F52B18">
        <w:t xml:space="preserve">  </w:t>
      </w:r>
    </w:p>
    <w:p w14:paraId="7D4C6527" w14:textId="646B5A4A" w:rsidR="00043F74" w:rsidRDefault="00F52B18" w:rsidP="00043F74">
      <w:pPr>
        <w:pStyle w:val="BesediloUMAR"/>
      </w:pPr>
      <w:r>
        <w:t xml:space="preserve"> </w:t>
      </w:r>
    </w:p>
    <w:p w14:paraId="0573A666" w14:textId="57C734DC" w:rsidR="00D546D9" w:rsidRDefault="00D546D9" w:rsidP="00043F74">
      <w:pPr>
        <w:pStyle w:val="BesediloUMAR"/>
      </w:pPr>
    </w:p>
    <w:p w14:paraId="339738A4" w14:textId="77777777" w:rsidR="00D12C15" w:rsidRPr="00EC50E0" w:rsidRDefault="00D12C15" w:rsidP="00043F74">
      <w:pPr>
        <w:pStyle w:val="BesediloUMAR"/>
      </w:pPr>
    </w:p>
    <w:bookmarkEnd w:id="7"/>
    <w:p w14:paraId="61BC02ED" w14:textId="1F0C672D" w:rsidR="00C76ADD" w:rsidRPr="00043F74" w:rsidRDefault="00C76ADD" w:rsidP="00043F74">
      <w:pPr>
        <w:pStyle w:val="Heading3"/>
      </w:pPr>
      <w:r w:rsidRPr="00043F74">
        <w:lastRenderedPageBreak/>
        <w:t xml:space="preserve">Neizpolnjene potrebe po zdravstveni oskrbi </w:t>
      </w:r>
    </w:p>
    <w:p w14:paraId="04C92E0B" w14:textId="3D1958B6" w:rsidR="00C76ADD" w:rsidRPr="00F56091" w:rsidRDefault="00C76ADD" w:rsidP="00FA55B6">
      <w:pPr>
        <w:pStyle w:val="BesediloUMAR"/>
      </w:pPr>
      <w:bookmarkStart w:id="12" w:name="_Hlk137123518"/>
      <w:r w:rsidRPr="006D5FC6">
        <w:rPr>
          <w:b/>
        </w:rPr>
        <w:t>Neizpolnjene potrebe po zdravstveni oskrbi so se v Sloveniji v obdobju 2017</w:t>
      </w:r>
      <w:r w:rsidR="000C36A2">
        <w:rPr>
          <w:b/>
        </w:rPr>
        <w:t>–</w:t>
      </w:r>
      <w:r w:rsidRPr="006D5FC6">
        <w:rPr>
          <w:b/>
        </w:rPr>
        <w:t>2021</w:t>
      </w:r>
      <w:r w:rsidRPr="00B36639">
        <w:rPr>
          <w:rStyle w:val="FootnoteReference"/>
          <w:b/>
        </w:rPr>
        <w:footnoteReference w:id="13"/>
      </w:r>
      <w:r w:rsidRPr="006D5FC6">
        <w:rPr>
          <w:b/>
        </w:rPr>
        <w:t xml:space="preserve"> močno povečale, glavni razlog pa so čakalne dobe.</w:t>
      </w:r>
      <w:r w:rsidRPr="00F56091">
        <w:t xml:space="preserve"> </w:t>
      </w:r>
      <w:bookmarkEnd w:id="12"/>
      <w:r w:rsidRPr="00F56091">
        <w:t>Leta 2021 je imelo v Sloveniji neizpolnjene potrebe po zdravstveni oskrbi 4,8 % prebivalcev (EU: 2,0 %)</w:t>
      </w:r>
      <w:r w:rsidRPr="00F56091">
        <w:rPr>
          <w:vertAlign w:val="superscript"/>
        </w:rPr>
        <w:footnoteReference w:id="14"/>
      </w:r>
      <w:r w:rsidRPr="00F56091">
        <w:t xml:space="preserve">. V Sloveniji so </w:t>
      </w:r>
      <w:r w:rsidR="009759A0">
        <w:t xml:space="preserve">pri tem </w:t>
      </w:r>
      <w:r w:rsidRPr="00F56091">
        <w:t>glavn</w:t>
      </w:r>
      <w:r w:rsidR="000912D0">
        <w:t>a težava</w:t>
      </w:r>
      <w:r w:rsidRPr="00F56091">
        <w:t xml:space="preserve"> čakalne dobe, medtem ko zaradi finančnih razlogov neizpolnjenih potreb po zdravstveni oskrbi skoraj </w:t>
      </w:r>
      <w:r w:rsidR="00831EB1">
        <w:t xml:space="preserve">nismo imeli. </w:t>
      </w:r>
      <w:r w:rsidRPr="00F56091">
        <w:t>Slovenija se uvršča med države z največjim deležem neizpolnjenih potreb (gl. slik</w:t>
      </w:r>
      <w:r w:rsidR="00D31D24">
        <w:t>o</w:t>
      </w:r>
      <w:r w:rsidRPr="00F56091">
        <w:t xml:space="preserve"> </w:t>
      </w:r>
      <w:r>
        <w:t>1</w:t>
      </w:r>
      <w:r w:rsidR="00216D06">
        <w:t>5</w:t>
      </w:r>
      <w:r w:rsidRPr="00F56091">
        <w:t xml:space="preserve"> levo). </w:t>
      </w:r>
      <w:bookmarkStart w:id="13" w:name="_Hlk137123565"/>
      <w:r w:rsidRPr="00F56091">
        <w:t>V obdobju od 2017</w:t>
      </w:r>
      <w:r w:rsidR="00E041D2">
        <w:t>–</w:t>
      </w:r>
      <w:r w:rsidRPr="00F56091">
        <w:t>2021 so se neizpolnjene potrebe po zdravstveni oskrbi v Sloveniji močno povečale (s 3,5</w:t>
      </w:r>
      <w:r w:rsidR="00006998">
        <w:t xml:space="preserve"> %</w:t>
      </w:r>
      <w:r w:rsidRPr="00F56091">
        <w:t xml:space="preserve"> na 4,8</w:t>
      </w:r>
      <w:r w:rsidR="006803E3">
        <w:t xml:space="preserve"> </w:t>
      </w:r>
      <w:r w:rsidRPr="00F56091">
        <w:t xml:space="preserve">% prebivalcev), v povprečju EU pa z 1,6 </w:t>
      </w:r>
      <w:r w:rsidR="006803E3">
        <w:t xml:space="preserve">na </w:t>
      </w:r>
      <w:r w:rsidRPr="00F56091">
        <w:t>2</w:t>
      </w:r>
      <w:r w:rsidR="000D3A81">
        <w:t xml:space="preserve"> </w:t>
      </w:r>
      <w:r w:rsidRPr="00F56091">
        <w:t xml:space="preserve">%. </w:t>
      </w:r>
      <w:bookmarkEnd w:id="13"/>
      <w:r w:rsidRPr="00F56091">
        <w:t>(gl. slik</w:t>
      </w:r>
      <w:r w:rsidR="00D31D24">
        <w:t>o</w:t>
      </w:r>
      <w:r w:rsidRPr="00F56091">
        <w:t xml:space="preserve"> </w:t>
      </w:r>
      <w:r>
        <w:t>1</w:t>
      </w:r>
      <w:r w:rsidR="00216D06">
        <w:t>5</w:t>
      </w:r>
      <w:r w:rsidRPr="00F56091">
        <w:t xml:space="preserve"> desno)</w:t>
      </w:r>
      <w:r>
        <w:t>.</w:t>
      </w:r>
    </w:p>
    <w:p w14:paraId="508E9F1A" w14:textId="45F4B1B4" w:rsidR="00C76ADD" w:rsidRDefault="00043F74" w:rsidP="00043F74">
      <w:pPr>
        <w:pStyle w:val="Caption"/>
      </w:pPr>
      <w:r w:rsidRPr="00043F74">
        <w:t xml:space="preserve">Slika </w:t>
      </w:r>
      <w:r w:rsidRPr="00043F74">
        <w:fldChar w:fldCharType="begin"/>
      </w:r>
      <w:r w:rsidRPr="00043F74">
        <w:instrText xml:space="preserve"> SEQ Slika \* ARABIC </w:instrText>
      </w:r>
      <w:r w:rsidRPr="00043F74">
        <w:fldChar w:fldCharType="separate"/>
      </w:r>
      <w:r w:rsidR="005A41AB">
        <w:t>15</w:t>
      </w:r>
      <w:r w:rsidRPr="00043F74">
        <w:fldChar w:fldCharType="end"/>
      </w:r>
      <w:r w:rsidR="00C76ADD" w:rsidRPr="00043F74">
        <w:t>: Neizpolnjene potrebe</w:t>
      </w:r>
      <w:r w:rsidR="00B93698">
        <w:t xml:space="preserve"> </w:t>
      </w:r>
      <w:r w:rsidR="00964E2B" w:rsidRPr="00043F74">
        <w:t>po zdravstveni oskrbi</w:t>
      </w:r>
      <w:r w:rsidR="00C76ADD" w:rsidRPr="00043F74">
        <w:t>, delež v populaciji 16 let in več, leta 2021 (levo) in neizpolnjene potrebe v obdobju 2017</w:t>
      </w:r>
      <w:r w:rsidR="00106008">
        <w:t>–</w:t>
      </w:r>
      <w:r w:rsidR="00C76ADD" w:rsidRPr="00043F74">
        <w:t>2021</w:t>
      </w:r>
    </w:p>
    <w:p w14:paraId="2D36DB30" w14:textId="48636779" w:rsidR="00B93698" w:rsidRPr="00B93698" w:rsidRDefault="00B93698" w:rsidP="00B93698">
      <w:pPr>
        <w:pStyle w:val="BesediloUMAR"/>
      </w:pPr>
      <w:r w:rsidRPr="00B93698">
        <w:rPr>
          <w:noProof/>
        </w:rPr>
        <w:drawing>
          <wp:inline distT="0" distB="0" distL="0" distR="0" wp14:anchorId="61619E83" wp14:editId="2EDAAC01">
            <wp:extent cx="2757600" cy="225360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57600" cy="2253600"/>
                    </a:xfrm>
                    <a:prstGeom prst="rect">
                      <a:avLst/>
                    </a:prstGeom>
                    <a:noFill/>
                    <a:ln>
                      <a:noFill/>
                    </a:ln>
                  </pic:spPr>
                </pic:pic>
              </a:graphicData>
            </a:graphic>
          </wp:inline>
        </w:drawing>
      </w:r>
      <w:r>
        <w:t xml:space="preserve">  </w:t>
      </w:r>
      <w:r w:rsidR="00D12C15">
        <w:t xml:space="preserve"> </w:t>
      </w:r>
      <w:r>
        <w:t xml:space="preserve"> </w:t>
      </w:r>
      <w:r w:rsidR="00D12C15">
        <w:t xml:space="preserve">  </w:t>
      </w:r>
      <w:r>
        <w:t xml:space="preserve"> </w:t>
      </w:r>
      <w:r w:rsidRPr="00B93698">
        <w:rPr>
          <w:noProof/>
        </w:rPr>
        <w:drawing>
          <wp:inline distT="0" distB="0" distL="0" distR="0" wp14:anchorId="0CB5A9B5" wp14:editId="45FAFA5C">
            <wp:extent cx="2793600" cy="2314800"/>
            <wp:effectExtent l="0" t="0" r="698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3600" cy="2314800"/>
                    </a:xfrm>
                    <a:prstGeom prst="rect">
                      <a:avLst/>
                    </a:prstGeom>
                    <a:noFill/>
                    <a:ln>
                      <a:noFill/>
                    </a:ln>
                  </pic:spPr>
                </pic:pic>
              </a:graphicData>
            </a:graphic>
          </wp:inline>
        </w:drawing>
      </w:r>
    </w:p>
    <w:p w14:paraId="429A4CFA" w14:textId="5BDEEAE2" w:rsidR="00C76ADD" w:rsidRDefault="00C76ADD" w:rsidP="00043F74">
      <w:pPr>
        <w:pStyle w:val="VirUMAR"/>
      </w:pPr>
      <w:r>
        <w:fldChar w:fldCharType="begin"/>
      </w:r>
      <w:r>
        <w:instrText xml:space="preserve"> ADDIN ZOTERO_ITEM CSL_CITATION {"citationID":"fMQHBnfp","properties":{"formattedCitation":"(Eurostat,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fldChar w:fldCharType="separate"/>
      </w:r>
      <w:r w:rsidR="00B76C29">
        <w:rPr>
          <w:rFonts w:cs="Arial"/>
        </w:rPr>
        <w:t>V</w:t>
      </w:r>
      <w:r>
        <w:rPr>
          <w:rFonts w:cs="Arial"/>
        </w:rPr>
        <w:t xml:space="preserve">ir: </w:t>
      </w:r>
      <w:r w:rsidRPr="00D20521">
        <w:rPr>
          <w:rFonts w:cs="Arial"/>
        </w:rPr>
        <w:t xml:space="preserve">Eurostat </w:t>
      </w:r>
      <w:r>
        <w:rPr>
          <w:rFonts w:cs="Arial"/>
        </w:rPr>
        <w:t>(</w:t>
      </w:r>
      <w:r w:rsidRPr="00D20521">
        <w:rPr>
          <w:rFonts w:cs="Arial"/>
        </w:rPr>
        <w:t>2023)</w:t>
      </w:r>
      <w:r>
        <w:fldChar w:fldCharType="end"/>
      </w:r>
      <w:r>
        <w:t>.</w:t>
      </w:r>
    </w:p>
    <w:p w14:paraId="3AC1D17D" w14:textId="77777777" w:rsidR="00043F74" w:rsidRDefault="00043F74" w:rsidP="00043F74">
      <w:pPr>
        <w:pStyle w:val="BesediloUMAR"/>
      </w:pPr>
    </w:p>
    <w:p w14:paraId="5824C697" w14:textId="0977DBE5" w:rsidR="00E573A4" w:rsidRPr="00043F74" w:rsidRDefault="00E573A4" w:rsidP="00043F74">
      <w:pPr>
        <w:pStyle w:val="Heading2"/>
      </w:pPr>
      <w:r w:rsidRPr="00043F74">
        <w:t xml:space="preserve">Zdravstveno stanje prebivalstva </w:t>
      </w:r>
    </w:p>
    <w:p w14:paraId="15E372AA" w14:textId="623128B1" w:rsidR="00E573A4" w:rsidRDefault="00E573A4" w:rsidP="009203C4">
      <w:pPr>
        <w:pStyle w:val="BesediloUMAR"/>
      </w:pPr>
      <w:r w:rsidRPr="00630424">
        <w:rPr>
          <w:b/>
          <w:bCs/>
        </w:rPr>
        <w:t xml:space="preserve">Zdravje je pomemben dejavnik razvoja družbe in močno vpliva na </w:t>
      </w:r>
      <w:r w:rsidR="008D07FF">
        <w:rPr>
          <w:b/>
          <w:bCs/>
        </w:rPr>
        <w:t xml:space="preserve">posameznikov </w:t>
      </w:r>
      <w:r w:rsidRPr="00630424">
        <w:rPr>
          <w:b/>
          <w:bCs/>
        </w:rPr>
        <w:t>položaj v družbi</w:t>
      </w:r>
      <w:r w:rsidRPr="00630424">
        <w:t xml:space="preserve">. Povečanje števila zdravih let življenja lahko vpliva na zmanjšanje izdatkov za zdravstvo in izboljšanje blaginje vseh generacij. Izkušnje drugih držav kažejo, da ukrepi, usmerjeni v spodbujanje zdravega načina življenja, in preventivni zdravstveni programi lahko pomembno vplivajo na kakovost življenja in izboljšujejo dolgoročno vzdržnost sistemov socialne zaščite. </w:t>
      </w:r>
      <w:r w:rsidR="00FA55B6">
        <w:t>S</w:t>
      </w:r>
      <w:r w:rsidRPr="00630424">
        <w:t>tanje na področju zdrav</w:t>
      </w:r>
      <w:r w:rsidR="00FA55B6">
        <w:t>j</w:t>
      </w:r>
      <w:r w:rsidRPr="00630424">
        <w:t xml:space="preserve">a </w:t>
      </w:r>
      <w:r w:rsidR="009759A0">
        <w:t xml:space="preserve">spremljamo </w:t>
      </w:r>
      <w:r w:rsidRPr="00630424">
        <w:t xml:space="preserve">s pomočjo kazalnikov </w:t>
      </w:r>
      <w:r w:rsidRPr="00C15000">
        <w:t xml:space="preserve">pričakovana </w:t>
      </w:r>
      <w:r w:rsidR="00DD1CF3">
        <w:t>z</w:t>
      </w:r>
      <w:r w:rsidRPr="00C15000">
        <w:t>drava leta življenja</w:t>
      </w:r>
      <w:r w:rsidRPr="001F484B">
        <w:t xml:space="preserve"> in </w:t>
      </w:r>
      <w:r w:rsidR="00DD1CF3">
        <w:t>s</w:t>
      </w:r>
      <w:r w:rsidRPr="00C15000">
        <w:t>amoocena zdravja starejših od 50</w:t>
      </w:r>
      <w:r w:rsidRPr="001F484B">
        <w:t xml:space="preserve"> let.</w:t>
      </w:r>
      <w:r w:rsidRPr="00630424">
        <w:t xml:space="preserve"> </w:t>
      </w:r>
    </w:p>
    <w:p w14:paraId="212E6914" w14:textId="77777777" w:rsidR="009759A0" w:rsidRPr="00630424" w:rsidRDefault="009759A0" w:rsidP="009203C4">
      <w:pPr>
        <w:pStyle w:val="BesediloUMAR"/>
      </w:pPr>
    </w:p>
    <w:p w14:paraId="6A29B935" w14:textId="7FA9EF03" w:rsidR="008F0344" w:rsidRPr="00043F74" w:rsidRDefault="00B83F64" w:rsidP="00BA092D">
      <w:pPr>
        <w:pStyle w:val="BesediloUMAR"/>
      </w:pPr>
      <w:r>
        <w:rPr>
          <w:b/>
        </w:rPr>
        <w:t>Trend izboljševanja</w:t>
      </w:r>
      <w:r w:rsidR="00FA55B6">
        <w:rPr>
          <w:b/>
        </w:rPr>
        <w:t xml:space="preserve"> </w:t>
      </w:r>
      <w:r>
        <w:rPr>
          <w:b/>
        </w:rPr>
        <w:t>zdravja prebivalstva je prekinila epidemija</w:t>
      </w:r>
      <w:r w:rsidR="00D0505F">
        <w:rPr>
          <w:b/>
        </w:rPr>
        <w:t xml:space="preserve"> </w:t>
      </w:r>
      <w:r>
        <w:rPr>
          <w:b/>
        </w:rPr>
        <w:t>covida</w:t>
      </w:r>
      <w:r w:rsidR="00964E2B">
        <w:rPr>
          <w:b/>
        </w:rPr>
        <w:t>-</w:t>
      </w:r>
      <w:r>
        <w:rPr>
          <w:b/>
        </w:rPr>
        <w:t>19</w:t>
      </w:r>
      <w:r w:rsidR="00831EB1">
        <w:rPr>
          <w:b/>
        </w:rPr>
        <w:t xml:space="preserve">. </w:t>
      </w:r>
      <w:r w:rsidRPr="002E6C35">
        <w:t>Ključni kazalniki zdravstvenega stanja prebivalstva, kot so pričakovano trajanje življenja, leta zdravega življenja, samoocena zdravja, prezgodnja umljivost in drugi, so se vrsto let do nastopa epidemije izboljševali zaradi napredka medicine in kakovosti v zdravstvu ter vrste drugih dejavnikov, kot so rast dohodka, dvig izobrazbene ravni in informiranost prebivalstva</w:t>
      </w:r>
      <w:r w:rsidR="00FA55B6">
        <w:t xml:space="preserve"> </w:t>
      </w:r>
      <w:r>
        <w:fldChar w:fldCharType="begin"/>
      </w:r>
      <w:r>
        <w:instrText xml:space="preserve"> ADDIN ZOTERO_ITEM CSL_CITATION {"citationID":"b3l3nDRY","properties":{"formattedCitation":"(UMAR, 2023)","plainCitation":"(UMAR, 2023)","noteIndex":0},"citationItems":[{"id":3902,"uris":["http://zotero.org/users/8351010/items/XIQ2SPZQ"],"itemData":{"id":3902,"type":"report","publisher":"Urad RS za makroekonomske analize in razvoj","title":"Poročilo orazvoju 2023","URL":"https://www.umar.gov.si/fileadmin/user_upload/razvoj_slovenije/2023/slovenski/POR2023.pdf","author":[{"literal":"UMAR"}],"issued":{"date-parts":[["2023"]]}}}],"schema":"https://github.com/citation-style-language/schema/raw/master/csl-citation.json"} </w:instrText>
      </w:r>
      <w:r>
        <w:fldChar w:fldCharType="separate"/>
      </w:r>
      <w:r w:rsidRPr="00B83F64">
        <w:t>(UMAR, 2023)</w:t>
      </w:r>
      <w:r>
        <w:fldChar w:fldCharType="end"/>
      </w:r>
      <w:r>
        <w:t xml:space="preserve">. </w:t>
      </w:r>
      <w:r w:rsidR="00E573A4" w:rsidRPr="00C15000">
        <w:rPr>
          <w:bCs/>
        </w:rPr>
        <w:t xml:space="preserve">Kazalnik </w:t>
      </w:r>
      <w:r w:rsidR="00964E2B" w:rsidRPr="00C15000">
        <w:rPr>
          <w:bCs/>
        </w:rPr>
        <w:t>pričakovana zdrava leta življenja</w:t>
      </w:r>
      <w:r w:rsidR="00964E2B" w:rsidRPr="001F484B">
        <w:rPr>
          <w:bCs/>
        </w:rPr>
        <w:t xml:space="preserve"> </w:t>
      </w:r>
      <w:r w:rsidR="00E573A4" w:rsidRPr="001F484B">
        <w:rPr>
          <w:bCs/>
        </w:rPr>
        <w:t>za leto 2</w:t>
      </w:r>
      <w:r w:rsidR="00E573A4" w:rsidRPr="00A420E5">
        <w:rPr>
          <w:bCs/>
        </w:rPr>
        <w:t>020 kaže</w:t>
      </w:r>
      <w:r w:rsidR="00E573A4" w:rsidRPr="00630424">
        <w:rPr>
          <w:bCs/>
        </w:rPr>
        <w:t>, da lahko v Sloveniji v povprečju ob rojstvu pričakujemo 65</w:t>
      </w:r>
      <w:r w:rsidR="00E573A4" w:rsidRPr="00630424">
        <w:rPr>
          <w:bCs/>
          <w:iCs/>
        </w:rPr>
        <w:t xml:space="preserve"> let zdravega življenja, v povprečju EU pa 64 let.</w:t>
      </w:r>
      <w:r>
        <w:rPr>
          <w:bCs/>
          <w:iCs/>
        </w:rPr>
        <w:t xml:space="preserve"> </w:t>
      </w:r>
      <w:r w:rsidR="00E573A4" w:rsidRPr="00630424">
        <w:rPr>
          <w:bCs/>
        </w:rPr>
        <w:t xml:space="preserve">Pri starosti 65 let lahko v povprečju Slovenec </w:t>
      </w:r>
      <w:r w:rsidR="009759A0">
        <w:rPr>
          <w:bCs/>
        </w:rPr>
        <w:t xml:space="preserve">pričakuje </w:t>
      </w:r>
      <w:r w:rsidR="00E573A4" w:rsidRPr="00630424">
        <w:rPr>
          <w:bCs/>
        </w:rPr>
        <w:t>10,</w:t>
      </w:r>
      <w:r w:rsidR="005A545F">
        <w:rPr>
          <w:bCs/>
        </w:rPr>
        <w:t>7</w:t>
      </w:r>
      <w:r w:rsidR="00E573A4" w:rsidRPr="00630424">
        <w:rPr>
          <w:bCs/>
        </w:rPr>
        <w:t xml:space="preserve"> leta zdravega življenja, v EU pa 9,</w:t>
      </w:r>
      <w:r w:rsidR="005A545F">
        <w:rPr>
          <w:bCs/>
        </w:rPr>
        <w:t>7</w:t>
      </w:r>
      <w:r w:rsidR="00E573A4" w:rsidRPr="00630424">
        <w:rPr>
          <w:bCs/>
        </w:rPr>
        <w:t xml:space="preserve"> let</w:t>
      </w:r>
      <w:r w:rsidR="00C76573">
        <w:rPr>
          <w:bCs/>
        </w:rPr>
        <w:t>a</w:t>
      </w:r>
      <w:r w:rsidR="00E573A4" w:rsidRPr="00630424">
        <w:rPr>
          <w:bCs/>
        </w:rPr>
        <w:t xml:space="preserve"> (gl. slik</w:t>
      </w:r>
      <w:r w:rsidR="00D31D24">
        <w:rPr>
          <w:bCs/>
        </w:rPr>
        <w:t>o</w:t>
      </w:r>
      <w:r w:rsidR="00E573A4" w:rsidRPr="00630424">
        <w:rPr>
          <w:bCs/>
        </w:rPr>
        <w:t xml:space="preserve"> 1</w:t>
      </w:r>
      <w:r w:rsidR="00134E3A">
        <w:rPr>
          <w:bCs/>
        </w:rPr>
        <w:t>6</w:t>
      </w:r>
      <w:r w:rsidR="009759A0">
        <w:rPr>
          <w:bCs/>
        </w:rPr>
        <w:t xml:space="preserve"> levo</w:t>
      </w:r>
      <w:r w:rsidR="00E573A4" w:rsidRPr="00630424">
        <w:rPr>
          <w:bCs/>
        </w:rPr>
        <w:t>).</w:t>
      </w:r>
      <w:r w:rsidR="00964E2B" w:rsidRPr="00964E2B">
        <w:rPr>
          <w:bCs/>
        </w:rPr>
        <w:t xml:space="preserve"> </w:t>
      </w:r>
      <w:r w:rsidR="009759A0" w:rsidRPr="00D31D24">
        <w:rPr>
          <w:bCs/>
        </w:rPr>
        <w:lastRenderedPageBreak/>
        <w:t>Primerjava</w:t>
      </w:r>
      <w:r w:rsidR="009759A0">
        <w:rPr>
          <w:bCs/>
        </w:rPr>
        <w:t xml:space="preserve"> vrednosti kazalnika v daljšem časovnem obdobju ne odraža dejanskih sprememb, saj je </w:t>
      </w:r>
      <w:r w:rsidR="00216D06">
        <w:rPr>
          <w:bCs/>
        </w:rPr>
        <w:t>a</w:t>
      </w:r>
      <w:r w:rsidR="00964E2B" w:rsidRPr="00630424">
        <w:rPr>
          <w:bCs/>
        </w:rPr>
        <w:t>naliza SURS in NIJZ pokazala, da je bila zelo nizka vrednost kazalnika v Sloveniji v letih 2015</w:t>
      </w:r>
      <w:r w:rsidR="000F6794">
        <w:rPr>
          <w:bCs/>
        </w:rPr>
        <w:t>–</w:t>
      </w:r>
      <w:r w:rsidR="00964E2B" w:rsidRPr="00630424">
        <w:rPr>
          <w:bCs/>
        </w:rPr>
        <w:t xml:space="preserve">2018 </w:t>
      </w:r>
      <w:r w:rsidR="009759A0">
        <w:rPr>
          <w:bCs/>
        </w:rPr>
        <w:t>(gl. slik</w:t>
      </w:r>
      <w:r w:rsidR="00D31D24">
        <w:rPr>
          <w:bCs/>
        </w:rPr>
        <w:t>o</w:t>
      </w:r>
      <w:r w:rsidR="009759A0">
        <w:rPr>
          <w:bCs/>
        </w:rPr>
        <w:t xml:space="preserve"> 16 desno) </w:t>
      </w:r>
      <w:r w:rsidR="00964E2B" w:rsidRPr="00630424">
        <w:rPr>
          <w:bCs/>
        </w:rPr>
        <w:t xml:space="preserve">povezana </w:t>
      </w:r>
      <w:r w:rsidR="000F6794">
        <w:rPr>
          <w:bCs/>
        </w:rPr>
        <w:t>s</w:t>
      </w:r>
      <w:r w:rsidR="00964E2B" w:rsidRPr="00630424">
        <w:rPr>
          <w:bCs/>
        </w:rPr>
        <w:t xml:space="preserve"> prevodom in načinom anketiranja.</w:t>
      </w:r>
      <w:r w:rsidR="00FA55B6">
        <w:rPr>
          <w:bCs/>
        </w:rPr>
        <w:t xml:space="preserve"> </w:t>
      </w:r>
      <w:r w:rsidR="00E573A4" w:rsidRPr="00630424">
        <w:rPr>
          <w:bCs/>
        </w:rPr>
        <w:t>Podaljševanje števila zdravih let življenja, ki zahteva več vlaganj v preventivo</w:t>
      </w:r>
      <w:r w:rsidR="00964E2B">
        <w:rPr>
          <w:bCs/>
        </w:rPr>
        <w:t xml:space="preserve"> in zdrav način življenja</w:t>
      </w:r>
      <w:r w:rsidR="00E573A4" w:rsidRPr="00630424">
        <w:rPr>
          <w:bCs/>
        </w:rPr>
        <w:t xml:space="preserve">, bi v prihodnosti </w:t>
      </w:r>
      <w:r w:rsidR="00493ADB">
        <w:rPr>
          <w:bCs/>
        </w:rPr>
        <w:t xml:space="preserve">lahko </w:t>
      </w:r>
      <w:r w:rsidR="00E573A4" w:rsidRPr="00630424">
        <w:rPr>
          <w:bCs/>
        </w:rPr>
        <w:t xml:space="preserve">pomembno prispevalo k podaljševanju delovne aktivnosti in počasnejši rasti izdatkov za zdravstvo in dolgotrajno oskrbo </w:t>
      </w:r>
      <w:bookmarkStart w:id="14" w:name="_Hlk123908176"/>
      <w:r w:rsidR="009203C4">
        <w:rPr>
          <w:bCs/>
        </w:rPr>
        <w:fldChar w:fldCharType="begin"/>
      </w:r>
      <w:r w:rsidR="009203C4">
        <w:rPr>
          <w:bCs/>
        </w:rPr>
        <w:instrText xml:space="preserve"> ADDIN ZOTERO_ITEM CSL_CITATION {"citationID":"AApv61kv","properties":{"formattedCitation":"(UMAR, 2023)","plainCitation":"(UMAR, 2023)","noteIndex":0},"citationItems":[{"id":3902,"uris":["http://zotero.org/users/8351010/items/XIQ2SPZQ"],"itemData":{"id":3902,"type":"report","publisher":"Urad RS za makroekonomske analize in razvoj","title":"Poročilo orazvoju 2023","URL":"https://www.umar.gov.si/fileadmin/user_upload/razvoj_slovenije/2023/slovenski/POR2023.pdf","author":[{"literal":"UMAR"}],"issued":{"date-parts":[["2023"]]}}}],"schema":"https://github.com/citation-style-language/schema/raw/master/csl-citation.json"} </w:instrText>
      </w:r>
      <w:r w:rsidR="009203C4">
        <w:rPr>
          <w:bCs/>
        </w:rPr>
        <w:fldChar w:fldCharType="separate"/>
      </w:r>
      <w:r w:rsidR="009203C4" w:rsidRPr="009203C4">
        <w:t>(UMAR, 2023)</w:t>
      </w:r>
      <w:r w:rsidR="009203C4">
        <w:rPr>
          <w:bCs/>
        </w:rPr>
        <w:fldChar w:fldCharType="end"/>
      </w:r>
      <w:r w:rsidR="009203C4">
        <w:rPr>
          <w:bCs/>
        </w:rPr>
        <w:t>.</w:t>
      </w:r>
    </w:p>
    <w:p w14:paraId="43A3224D" w14:textId="4331BE03" w:rsidR="00BA092D" w:rsidRPr="00043F74" w:rsidRDefault="00043F74" w:rsidP="00043F74">
      <w:pPr>
        <w:pStyle w:val="Caption"/>
      </w:pPr>
      <w:r w:rsidRPr="00043F74">
        <w:t xml:space="preserve">Slika </w:t>
      </w:r>
      <w:r w:rsidRPr="00043F74">
        <w:fldChar w:fldCharType="begin"/>
      </w:r>
      <w:r w:rsidRPr="00043F74">
        <w:instrText xml:space="preserve"> SEQ Slika \* ARABIC </w:instrText>
      </w:r>
      <w:r w:rsidRPr="00043F74">
        <w:fldChar w:fldCharType="separate"/>
      </w:r>
      <w:r w:rsidR="005A41AB">
        <w:t>16</w:t>
      </w:r>
      <w:r w:rsidRPr="00043F74">
        <w:fldChar w:fldCharType="end"/>
      </w:r>
      <w:r w:rsidR="00E573A4" w:rsidRPr="00043F74">
        <w:t>:</w:t>
      </w:r>
      <w:r w:rsidR="00BA092D" w:rsidRPr="00043F74">
        <w:t xml:space="preserve"> Pričakovana zdrava leta življenja pri 65 letih leta 2021</w:t>
      </w:r>
      <w:r w:rsidR="00D546D9">
        <w:t xml:space="preserve"> </w:t>
      </w:r>
      <w:r w:rsidR="00BA092D" w:rsidRPr="00043F74">
        <w:t>(levo) in njihovo gibanje od leta 2015 (desno)</w:t>
      </w:r>
    </w:p>
    <w:p w14:paraId="1F9E6DB2" w14:textId="288574CF" w:rsidR="005A545F" w:rsidRDefault="00D546D9" w:rsidP="005A545F">
      <w:pPr>
        <w:pStyle w:val="BesediloUMAR"/>
      </w:pPr>
      <w:r w:rsidRPr="00D546D9">
        <w:rPr>
          <w:noProof/>
        </w:rPr>
        <w:drawing>
          <wp:inline distT="0" distB="0" distL="0" distR="0" wp14:anchorId="46490F69" wp14:editId="7F54FA04">
            <wp:extent cx="2764800" cy="230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4800" cy="2307600"/>
                    </a:xfrm>
                    <a:prstGeom prst="rect">
                      <a:avLst/>
                    </a:prstGeom>
                    <a:noFill/>
                    <a:ln>
                      <a:noFill/>
                    </a:ln>
                  </pic:spPr>
                </pic:pic>
              </a:graphicData>
            </a:graphic>
          </wp:inline>
        </w:drawing>
      </w:r>
      <w:r w:rsidR="00043F74">
        <w:t xml:space="preserve">  </w:t>
      </w:r>
      <w:r w:rsidR="00D12C15">
        <w:t xml:space="preserve">   </w:t>
      </w:r>
      <w:r w:rsidR="00043F74">
        <w:t xml:space="preserve">  </w:t>
      </w:r>
      <w:r w:rsidR="00B93698" w:rsidRPr="00B93698">
        <w:rPr>
          <w:noProof/>
        </w:rPr>
        <w:drawing>
          <wp:inline distT="0" distB="0" distL="0" distR="0" wp14:anchorId="44719ECF" wp14:editId="7A086369">
            <wp:extent cx="2779200" cy="227520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79200" cy="2275200"/>
                    </a:xfrm>
                    <a:prstGeom prst="rect">
                      <a:avLst/>
                    </a:prstGeom>
                    <a:noFill/>
                    <a:ln>
                      <a:noFill/>
                    </a:ln>
                  </pic:spPr>
                </pic:pic>
              </a:graphicData>
            </a:graphic>
          </wp:inline>
        </w:drawing>
      </w:r>
    </w:p>
    <w:p w14:paraId="19E35C5A" w14:textId="2617A8EF" w:rsidR="00E573A4" w:rsidRDefault="00E573A4" w:rsidP="00043F74">
      <w:pPr>
        <w:pStyle w:val="VirUMAR"/>
      </w:pPr>
      <w:r>
        <w:t xml:space="preserve">Vir. Eurostat (2023). Opomba: V Sloveniji je bil leta 2019 spremenjen način anketiranja ter </w:t>
      </w:r>
      <w:r w:rsidR="00D45226">
        <w:t xml:space="preserve">leto kasneje </w:t>
      </w:r>
      <w:r>
        <w:t>še prevod vprašalnika</w:t>
      </w:r>
      <w:r w:rsidR="00D45226">
        <w:t>,</w:t>
      </w:r>
      <w:r>
        <w:t xml:space="preserve"> zato je izboljšanje v teh letih povezano predvsem s temi spremembami. </w:t>
      </w:r>
    </w:p>
    <w:p w14:paraId="3F73151C" w14:textId="77777777" w:rsidR="00FA55B6" w:rsidRPr="00043F74" w:rsidRDefault="00FA55B6" w:rsidP="00043F74">
      <w:pPr>
        <w:pStyle w:val="BesediloUMAR"/>
      </w:pPr>
    </w:p>
    <w:bookmarkEnd w:id="14"/>
    <w:p w14:paraId="425AB62C" w14:textId="4F76296F" w:rsidR="00E573A4" w:rsidRPr="00043F74" w:rsidRDefault="00E573A4" w:rsidP="00043F74">
      <w:pPr>
        <w:pStyle w:val="BesediloUMAR"/>
      </w:pPr>
      <w:r w:rsidRPr="00043F74">
        <w:t xml:space="preserve">V raziskavi </w:t>
      </w:r>
      <w:r w:rsidR="00FA55B6" w:rsidRPr="00043F74">
        <w:t xml:space="preserve">SHARE </w:t>
      </w:r>
      <w:r w:rsidR="00027B30">
        <w:t>(</w:t>
      </w:r>
      <w:r w:rsidR="00FA55B6" w:rsidRPr="00043F74">
        <w:t>deseti val</w:t>
      </w:r>
      <w:r w:rsidR="00027B30">
        <w:t xml:space="preserve"> raziskave</w:t>
      </w:r>
      <w:r w:rsidR="0012593F" w:rsidRPr="00043F74">
        <w:t xml:space="preserve"> </w:t>
      </w:r>
      <w:r w:rsidR="00FA55B6" w:rsidRPr="00043F74">
        <w:t xml:space="preserve">je bil izveden </w:t>
      </w:r>
      <w:r w:rsidRPr="00043F74">
        <w:t>v letih 2019/2020</w:t>
      </w:r>
      <w:r w:rsidR="00027B30">
        <w:t>)</w:t>
      </w:r>
      <w:r w:rsidR="0012593F" w:rsidRPr="00043F74">
        <w:t xml:space="preserve"> </w:t>
      </w:r>
      <w:r w:rsidRPr="00043F74">
        <w:t>je bil delež oseb s slabim zdravstvenim stanjem</w:t>
      </w:r>
      <w:r w:rsidR="00023524">
        <w:t xml:space="preserve"> </w:t>
      </w:r>
      <w:r w:rsidR="00FA55B6" w:rsidRPr="00043F74">
        <w:t>(10,5 %)</w:t>
      </w:r>
      <w:r w:rsidRPr="00043F74">
        <w:t xml:space="preserve"> </w:t>
      </w:r>
      <w:r w:rsidR="00E2679B">
        <w:t>manjši</w:t>
      </w:r>
      <w:r w:rsidRPr="00043F74">
        <w:t xml:space="preserve"> kot leta 2015</w:t>
      </w:r>
      <w:r w:rsidR="000406C4">
        <w:t xml:space="preserve">, ko je znašal </w:t>
      </w:r>
      <w:r w:rsidRPr="00043F74">
        <w:t>13,5 %.</w:t>
      </w:r>
      <w:r w:rsidR="00B83F64" w:rsidRPr="00043F74">
        <w:t xml:space="preserve"> </w:t>
      </w:r>
      <w:r w:rsidRPr="00043F74">
        <w:t>Delež oseb, starejših od 50 let, ki so bile v zadnjem mesecu žalostne ali depresivne</w:t>
      </w:r>
      <w:r w:rsidR="00FA55B6" w:rsidRPr="00043F74">
        <w:t>,</w:t>
      </w:r>
      <w:r w:rsidR="00493ADB" w:rsidRPr="00043F74">
        <w:t xml:space="preserve"> </w:t>
      </w:r>
      <w:r w:rsidRPr="00043F74">
        <w:t xml:space="preserve">je </w:t>
      </w:r>
      <w:r w:rsidR="00216D06" w:rsidRPr="00043F74">
        <w:t xml:space="preserve">po </w:t>
      </w:r>
      <w:r w:rsidR="001A5589">
        <w:t xml:space="preserve">tej </w:t>
      </w:r>
      <w:r w:rsidR="00216D06" w:rsidRPr="00043F74">
        <w:t>raz</w:t>
      </w:r>
      <w:r w:rsidR="006803E3" w:rsidRPr="00043F74">
        <w:t>i</w:t>
      </w:r>
      <w:r w:rsidR="00216D06" w:rsidRPr="00043F74">
        <w:t xml:space="preserve">skavi </w:t>
      </w:r>
      <w:r w:rsidRPr="00043F74">
        <w:t>znašal 22</w:t>
      </w:r>
      <w:r w:rsidR="00027B30">
        <w:t xml:space="preserve"> </w:t>
      </w:r>
      <w:r w:rsidRPr="00043F74">
        <w:t>% (EU 28,4</w:t>
      </w:r>
      <w:r w:rsidR="00027B30">
        <w:t xml:space="preserve"> </w:t>
      </w:r>
      <w:r w:rsidRPr="00043F74">
        <w:t xml:space="preserve">%), kar je nekoliko manj kot leta 2015 </w:t>
      </w:r>
      <w:r w:rsidRPr="00043F74">
        <w:fldChar w:fldCharType="begin"/>
      </w:r>
      <w:r w:rsidRPr="00043F74">
        <w:instrText xml:space="preserve"> ADDIN ZOTERO_ITEM CSL_CITATION {"citationID":"Zby4zq3B","properties":{"formattedCitation":"(B\\uc0\\u246{}rsch-Supan, 2022)","plainCitation":"(Börsch-Supan, 2022)","noteIndex":0},"citationItems":[{"id":3680,"uris":["http://zotero.org/users/8351010/items/M7ZY58GK"],"itemData":{"id":3680,"type":"dataset","DOI":"10.6103/SHARE.W8.800","language":"en","publisher":"SHARE-ERIC","source":"DOI.org (Datacite)","title":"Survey of Health, Ageing and Retirement in Europe (SHARE) Wave 8","URL":"http://www.share-project.org/data-documentation/waves-overview/wave-8.html","version":"8.0.0","author":[{"family":"Börsch-Supan","given":"Axel"}],"accessed":{"date-parts":[["2023",1,17]]},"issued":{"date-parts":[["2022"]]}}}],"schema":"https://github.com/citation-style-language/schema/raw/master/csl-citation.json"} </w:instrText>
      </w:r>
      <w:r w:rsidRPr="00043F74">
        <w:fldChar w:fldCharType="separate"/>
      </w:r>
      <w:r w:rsidRPr="00043F74">
        <w:t>(Börsch-Supan, 2022)</w:t>
      </w:r>
      <w:r w:rsidRPr="00043F74">
        <w:fldChar w:fldCharType="end"/>
      </w:r>
      <w:r w:rsidRPr="00043F74">
        <w:t>.</w:t>
      </w:r>
    </w:p>
    <w:p w14:paraId="2D0B88C8" w14:textId="48233F22" w:rsidR="00E573A4" w:rsidRDefault="00043F74" w:rsidP="00043F74">
      <w:pPr>
        <w:pStyle w:val="Caption"/>
      </w:pPr>
      <w:r w:rsidRPr="00043F74">
        <w:t xml:space="preserve">Slika </w:t>
      </w:r>
      <w:r w:rsidRPr="00043F74">
        <w:fldChar w:fldCharType="begin"/>
      </w:r>
      <w:r w:rsidRPr="00043F74">
        <w:instrText xml:space="preserve"> SEQ Slika \* ARABIC </w:instrText>
      </w:r>
      <w:r w:rsidRPr="00043F74">
        <w:fldChar w:fldCharType="separate"/>
      </w:r>
      <w:r w:rsidR="005A41AB">
        <w:t>17</w:t>
      </w:r>
      <w:r w:rsidRPr="00043F74">
        <w:fldChar w:fldCharType="end"/>
      </w:r>
      <w:r w:rsidR="00E573A4" w:rsidRPr="00043F74">
        <w:t xml:space="preserve">: Starejši od 50 let s slabim zdravstvenim stanjem (levo) in starejši, ki so bili žalostni ali depresivni (desno) </w:t>
      </w:r>
      <w:r w:rsidR="004554F9" w:rsidRPr="00E87097">
        <w:t xml:space="preserve">v % </w:t>
      </w:r>
      <w:r w:rsidR="00E573A4" w:rsidRPr="00D32518">
        <w:t>let</w:t>
      </w:r>
      <w:r w:rsidR="00E35AA8" w:rsidRPr="00D32518">
        <w:t>a</w:t>
      </w:r>
      <w:r w:rsidR="00E573A4" w:rsidRPr="00D32518">
        <w:t xml:space="preserve"> 2020 </w:t>
      </w:r>
    </w:p>
    <w:p w14:paraId="2CA95ED2" w14:textId="6701B864" w:rsidR="00E573A4" w:rsidRDefault="00CD02BC" w:rsidP="00CD02BC">
      <w:pPr>
        <w:pStyle w:val="BesediloUMAR"/>
      </w:pPr>
      <w:r w:rsidRPr="00CD02BC">
        <w:rPr>
          <w:noProof/>
        </w:rPr>
        <w:drawing>
          <wp:inline distT="0" distB="0" distL="0" distR="0" wp14:anchorId="4F4EA952" wp14:editId="1E13571D">
            <wp:extent cx="2764800" cy="226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4800" cy="2268000"/>
                    </a:xfrm>
                    <a:prstGeom prst="rect">
                      <a:avLst/>
                    </a:prstGeom>
                    <a:noFill/>
                    <a:ln>
                      <a:noFill/>
                    </a:ln>
                  </pic:spPr>
                </pic:pic>
              </a:graphicData>
            </a:graphic>
          </wp:inline>
        </w:drawing>
      </w:r>
      <w:r>
        <w:t xml:space="preserve">  </w:t>
      </w:r>
      <w:r w:rsidR="00023524">
        <w:t xml:space="preserve">  </w:t>
      </w:r>
      <w:r>
        <w:t xml:space="preserve">  </w:t>
      </w:r>
      <w:r w:rsidRPr="00CD02BC">
        <w:rPr>
          <w:noProof/>
        </w:rPr>
        <w:drawing>
          <wp:inline distT="0" distB="0" distL="0" distR="0" wp14:anchorId="54AA7977" wp14:editId="533569A7">
            <wp:extent cx="2775600" cy="227520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600" cy="2275200"/>
                    </a:xfrm>
                    <a:prstGeom prst="rect">
                      <a:avLst/>
                    </a:prstGeom>
                    <a:noFill/>
                    <a:ln>
                      <a:noFill/>
                    </a:ln>
                  </pic:spPr>
                </pic:pic>
              </a:graphicData>
            </a:graphic>
          </wp:inline>
        </w:drawing>
      </w:r>
      <w:bookmarkStart w:id="15" w:name="_Hlk120712042"/>
      <w:r w:rsidR="00E573A4" w:rsidRPr="00CD02BC">
        <w:rPr>
          <w:rStyle w:val="VirUMARChar"/>
        </w:rPr>
        <w:t>Vir:</w:t>
      </w:r>
      <w:r w:rsidR="00E573A4" w:rsidRPr="00CD02BC">
        <w:rPr>
          <w:rStyle w:val="VirUMARChar"/>
        </w:rPr>
        <w:fldChar w:fldCharType="begin"/>
      </w:r>
      <w:r w:rsidR="00E573A4" w:rsidRPr="00CD02BC">
        <w:rPr>
          <w:rStyle w:val="VirUMARChar"/>
        </w:rPr>
        <w:instrText xml:space="preserve"> ADDIN ZOTERO_ITEM CSL_CITATION {"citationID":"EsOTPayo","properties":{"formattedCitation":"(B\\uc0\\u246{}rsch-Supan, 2022)","plainCitation":"(Börsch-Supan, 2022)","dontUpdate":true,"noteIndex":0},"citationItems":[{"id":3680,"uris":["http://zotero.org/users/8351010/items/M7ZY58GK"],"itemData":{"id":3680,"type":"dataset","DOI":"10.6103/SHARE.W8.800","language":"en","publisher":"SHARE-ERIC","source":"DOI.org (Datacite)","title":"Survey of Health, Ageing and Retirement in Europe (SHARE) Wave 8","URL":"http://www.share-project.org/data-documentation/waves-overview/wave-8.html","version":"8.0.0","author":[{"family":"Börsch-Supan","given":"Axel"}],"accessed":{"date-parts":[["2023",1,17]]},"issued":{"date-parts":[["2022"]]}}}],"schema":"https://github.com/citation-style-language/schema/raw/master/csl-citation.json"} </w:instrText>
      </w:r>
      <w:r w:rsidR="00E573A4" w:rsidRPr="00CD02BC">
        <w:rPr>
          <w:rStyle w:val="VirUMARChar"/>
        </w:rPr>
        <w:fldChar w:fldCharType="separate"/>
      </w:r>
      <w:r w:rsidR="00E573A4" w:rsidRPr="00CD02BC">
        <w:rPr>
          <w:rStyle w:val="VirUMARChar"/>
        </w:rPr>
        <w:t xml:space="preserve"> Börsch-Supan</w:t>
      </w:r>
      <w:r>
        <w:rPr>
          <w:rStyle w:val="VirUMARChar"/>
        </w:rPr>
        <w:t xml:space="preserve"> </w:t>
      </w:r>
      <w:r w:rsidR="00E573A4" w:rsidRPr="00CD02BC">
        <w:rPr>
          <w:rStyle w:val="VirUMARChar"/>
        </w:rPr>
        <w:t>(2022)</w:t>
      </w:r>
      <w:r w:rsidR="00E573A4" w:rsidRPr="00CD02BC">
        <w:rPr>
          <w:rStyle w:val="VirUMARChar"/>
        </w:rPr>
        <w:fldChar w:fldCharType="end"/>
      </w:r>
      <w:r w:rsidR="00E573A4" w:rsidRPr="00CD02BC">
        <w:rPr>
          <w:rStyle w:val="VirUMARChar"/>
        </w:rPr>
        <w:t>.</w:t>
      </w:r>
    </w:p>
    <w:p w14:paraId="463FF582" w14:textId="7BEBCE8F" w:rsidR="008F0344" w:rsidRPr="005A41AB" w:rsidRDefault="008F0344" w:rsidP="005A41AB">
      <w:pPr>
        <w:pStyle w:val="Heading1"/>
      </w:pPr>
      <w:r w:rsidRPr="005A41AB">
        <w:lastRenderedPageBreak/>
        <w:t xml:space="preserve">Vključenost v družbo </w:t>
      </w:r>
    </w:p>
    <w:p w14:paraId="1EBA4835" w14:textId="77777777" w:rsidR="008F0344" w:rsidRPr="00630424" w:rsidRDefault="008F0344" w:rsidP="005A41AB">
      <w:pPr>
        <w:pStyle w:val="BesediloUMAR"/>
      </w:pPr>
    </w:p>
    <w:p w14:paraId="6B70D3C5" w14:textId="04A2281C" w:rsidR="008F0344" w:rsidRPr="00630424" w:rsidRDefault="008F0344" w:rsidP="005A41AB">
      <w:pPr>
        <w:pStyle w:val="BesediloUMAR"/>
      </w:pPr>
      <w:r w:rsidRPr="005A41AB">
        <w:rPr>
          <w:b/>
        </w:rPr>
        <w:t>Vključenost v družbo je pomembna za dostojno in kakovostno življenje vseh generacij.</w:t>
      </w:r>
      <w:r w:rsidRPr="00630424">
        <w:t xml:space="preserve"> Pri tem gre za vključenost</w:t>
      </w:r>
      <w:r w:rsidR="003E284B">
        <w:t xml:space="preserve"> </w:t>
      </w:r>
      <w:r w:rsidRPr="00630424">
        <w:t>na družbenem, socialnem, gospodarskem in kulturnem področju. Predpogoj za socialno vključeno</w:t>
      </w:r>
      <w:r w:rsidR="005227E6">
        <w:t>s</w:t>
      </w:r>
      <w:r w:rsidRPr="00630424">
        <w:t>t je dohodkovna varno</w:t>
      </w:r>
      <w:r w:rsidR="005227E6">
        <w:t>s</w:t>
      </w:r>
      <w:r w:rsidRPr="00630424">
        <w:t xml:space="preserve">t posameznika v vseh življenjskih obdobjih. </w:t>
      </w:r>
      <w:r w:rsidRPr="00630424">
        <w:rPr>
          <w:rFonts w:cs="Arial"/>
        </w:rPr>
        <w:t>Izobraževanje in u</w:t>
      </w:r>
      <w:r w:rsidR="00EF58C4">
        <w:rPr>
          <w:rFonts w:cs="Arial"/>
        </w:rPr>
        <w:t>s</w:t>
      </w:r>
      <w:r w:rsidRPr="00630424">
        <w:rPr>
          <w:rFonts w:cs="Arial"/>
        </w:rPr>
        <w:t xml:space="preserve">posabljanje </w:t>
      </w:r>
      <w:r w:rsidR="008F699C">
        <w:rPr>
          <w:rFonts w:cs="Arial"/>
        </w:rPr>
        <w:t>sta</w:t>
      </w:r>
      <w:r w:rsidR="00C76A39">
        <w:rPr>
          <w:rFonts w:cs="Arial"/>
        </w:rPr>
        <w:t xml:space="preserve"> </w:t>
      </w:r>
      <w:r w:rsidRPr="00630424">
        <w:rPr>
          <w:rFonts w:cs="Arial"/>
        </w:rPr>
        <w:t>pomembn</w:t>
      </w:r>
      <w:r w:rsidR="00C76A39">
        <w:rPr>
          <w:rFonts w:cs="Arial"/>
        </w:rPr>
        <w:t>a</w:t>
      </w:r>
      <w:r w:rsidR="00FA55B6">
        <w:rPr>
          <w:rFonts w:cs="Arial"/>
        </w:rPr>
        <w:t xml:space="preserve"> </w:t>
      </w:r>
      <w:r w:rsidRPr="00630424">
        <w:rPr>
          <w:rFonts w:cs="Arial"/>
        </w:rPr>
        <w:t>dejavnik</w:t>
      </w:r>
      <w:r w:rsidR="008F699C">
        <w:rPr>
          <w:rFonts w:cs="Arial"/>
        </w:rPr>
        <w:t>a</w:t>
      </w:r>
      <w:r w:rsidRPr="00630424">
        <w:rPr>
          <w:rFonts w:cs="Arial"/>
        </w:rPr>
        <w:t xml:space="preserve"> zmanjševanja družbene izključenosti starejših, pri čemer</w:t>
      </w:r>
      <w:r w:rsidR="00C76A39">
        <w:rPr>
          <w:rFonts w:cs="Arial"/>
        </w:rPr>
        <w:t xml:space="preserve"> jim</w:t>
      </w:r>
      <w:r w:rsidRPr="00630424">
        <w:rPr>
          <w:rFonts w:cs="Arial"/>
        </w:rPr>
        <w:t xml:space="preserve"> je treba omogočiti izobraževanje in usposabljanje, ki upošteva njihove potrebe in interese</w:t>
      </w:r>
      <w:r w:rsidR="008F699C">
        <w:rPr>
          <w:rFonts w:cs="Arial"/>
        </w:rPr>
        <w:t xml:space="preserve"> </w:t>
      </w:r>
      <w:r w:rsidRPr="00630424">
        <w:rPr>
          <w:rFonts w:cs="Arial"/>
        </w:rPr>
        <w:t>(gl. pogla</w:t>
      </w:r>
      <w:r>
        <w:rPr>
          <w:rFonts w:cs="Arial"/>
        </w:rPr>
        <w:t>v</w:t>
      </w:r>
      <w:r w:rsidRPr="00630424">
        <w:rPr>
          <w:rFonts w:cs="Arial"/>
        </w:rPr>
        <w:t>je 2.2).</w:t>
      </w:r>
      <w:r>
        <w:rPr>
          <w:rFonts w:cs="Arial"/>
        </w:rPr>
        <w:t xml:space="preserve"> </w:t>
      </w:r>
      <w:r w:rsidR="00EF58C4">
        <w:rPr>
          <w:rFonts w:cs="Arial"/>
        </w:rPr>
        <w:t>Poleg tega je pome</w:t>
      </w:r>
      <w:r w:rsidR="009877C6">
        <w:rPr>
          <w:rFonts w:cs="Arial"/>
        </w:rPr>
        <w:t>m</w:t>
      </w:r>
      <w:r w:rsidR="00EF58C4">
        <w:rPr>
          <w:rFonts w:cs="Arial"/>
        </w:rPr>
        <w:t xml:space="preserve">bna tudi vključenost na drugih področjih. </w:t>
      </w:r>
      <w:r w:rsidRPr="00630424">
        <w:t>V nadaljevanju prikazujemo vključeno</w:t>
      </w:r>
      <w:r>
        <w:t>s</w:t>
      </w:r>
      <w:r w:rsidRPr="00630424">
        <w:t>t</w:t>
      </w:r>
      <w:r w:rsidR="00EF58C4">
        <w:t xml:space="preserve"> starejših</w:t>
      </w:r>
      <w:r w:rsidRPr="00630424">
        <w:t xml:space="preserve"> v družbo s pomočjo </w:t>
      </w:r>
      <w:r w:rsidR="00EF58C4">
        <w:t>več kazalnikov</w:t>
      </w:r>
      <w:r w:rsidR="00915726">
        <w:t>, to so</w:t>
      </w:r>
      <w:r w:rsidR="00EF58C4">
        <w:t xml:space="preserve"> </w:t>
      </w:r>
      <w:r w:rsidRPr="00630424">
        <w:t>stopnj</w:t>
      </w:r>
      <w:r w:rsidR="00EF58C4">
        <w:t>a</w:t>
      </w:r>
      <w:r w:rsidRPr="00630424">
        <w:t xml:space="preserve"> socialne izključen</w:t>
      </w:r>
      <w:r>
        <w:t>os</w:t>
      </w:r>
      <w:r w:rsidRPr="00630424">
        <w:t>ti, delež starejših, ki obiskujejo športne, družabne ali druge vrste društev</w:t>
      </w:r>
      <w:r w:rsidR="008F699C">
        <w:t>,</w:t>
      </w:r>
      <w:r w:rsidRPr="00630424">
        <w:t xml:space="preserve"> in delež oseb brez </w:t>
      </w:r>
      <w:r w:rsidR="00012164">
        <w:t>las</w:t>
      </w:r>
      <w:r w:rsidR="008F699C">
        <w:t>t</w:t>
      </w:r>
      <w:r w:rsidR="00012164">
        <w:t xml:space="preserve">ne </w:t>
      </w:r>
      <w:r w:rsidRPr="00630424">
        <w:t xml:space="preserve">socialne </w:t>
      </w:r>
      <w:r w:rsidR="00012164">
        <w:t>mreže</w:t>
      </w:r>
      <w:r w:rsidRPr="00630424">
        <w:t>.</w:t>
      </w:r>
    </w:p>
    <w:p w14:paraId="62792772" w14:textId="77777777" w:rsidR="008F0344" w:rsidRPr="00630424" w:rsidRDefault="008F0344" w:rsidP="005A41AB">
      <w:pPr>
        <w:pStyle w:val="BesediloUMAR"/>
      </w:pPr>
    </w:p>
    <w:p w14:paraId="5CEB3C6B" w14:textId="7CDC9A3B" w:rsidR="008F0344" w:rsidRPr="00630424" w:rsidRDefault="008F0344" w:rsidP="005A41AB">
      <w:pPr>
        <w:pStyle w:val="BesediloUMAR"/>
      </w:pPr>
      <w:r w:rsidRPr="00630424">
        <w:rPr>
          <w:b/>
          <w:bCs/>
        </w:rPr>
        <w:t>Stopnja tveganja socialne izključenosti</w:t>
      </w:r>
      <w:r w:rsidR="00E35AA8">
        <w:rPr>
          <w:b/>
          <w:bCs/>
        </w:rPr>
        <w:t xml:space="preserve"> starejših</w:t>
      </w:r>
      <w:r w:rsidRPr="00630424">
        <w:rPr>
          <w:b/>
          <w:bCs/>
          <w:vertAlign w:val="superscript"/>
        </w:rPr>
        <w:footnoteReference w:id="15"/>
      </w:r>
      <w:r w:rsidRPr="00630424">
        <w:rPr>
          <w:b/>
          <w:bCs/>
        </w:rPr>
        <w:t xml:space="preserve"> </w:t>
      </w:r>
      <w:r w:rsidR="009E6D1C">
        <w:rPr>
          <w:b/>
          <w:bCs/>
        </w:rPr>
        <w:t xml:space="preserve">od 60 let </w:t>
      </w:r>
      <w:r w:rsidRPr="00630424">
        <w:rPr>
          <w:b/>
          <w:bCs/>
        </w:rPr>
        <w:t xml:space="preserve">se je v Sloveniji </w:t>
      </w:r>
      <w:r w:rsidR="00012164">
        <w:rPr>
          <w:b/>
          <w:bCs/>
        </w:rPr>
        <w:t xml:space="preserve">po povečanju </w:t>
      </w:r>
      <w:r w:rsidRPr="00630424">
        <w:rPr>
          <w:b/>
          <w:bCs/>
        </w:rPr>
        <w:t>v obdobju 2015–20</w:t>
      </w:r>
      <w:r w:rsidR="00BE3C03">
        <w:rPr>
          <w:b/>
          <w:bCs/>
        </w:rPr>
        <w:t>20</w:t>
      </w:r>
      <w:r w:rsidR="003D666E">
        <w:rPr>
          <w:b/>
          <w:bCs/>
        </w:rPr>
        <w:t xml:space="preserve"> </w:t>
      </w:r>
      <w:r w:rsidR="00BE3C03">
        <w:rPr>
          <w:b/>
          <w:bCs/>
        </w:rPr>
        <w:t>v letih 2021 in 2022 znižala na raven iz leta 2015.</w:t>
      </w:r>
      <w:r w:rsidR="00EC598A">
        <w:rPr>
          <w:b/>
          <w:bCs/>
        </w:rPr>
        <w:t xml:space="preserve"> </w:t>
      </w:r>
      <w:r w:rsidRPr="00630424">
        <w:t>V obdobju 2015</w:t>
      </w:r>
      <w:r w:rsidR="00EC598A">
        <w:t>–</w:t>
      </w:r>
      <w:r w:rsidRPr="00630424">
        <w:t>20</w:t>
      </w:r>
      <w:r w:rsidR="00BE3C03">
        <w:t>20</w:t>
      </w:r>
      <w:r w:rsidRPr="00630424">
        <w:t xml:space="preserve"> se je s</w:t>
      </w:r>
      <w:r w:rsidR="00EF58C4">
        <w:t>t</w:t>
      </w:r>
      <w:r w:rsidRPr="00630424">
        <w:t>opnja tveganja socialne izključen</w:t>
      </w:r>
      <w:r w:rsidR="00773F2F">
        <w:t>os</w:t>
      </w:r>
      <w:r w:rsidRPr="00630424">
        <w:t xml:space="preserve">ti </w:t>
      </w:r>
      <w:r w:rsidR="00BE3C03">
        <w:t>starejših od 60 let pov</w:t>
      </w:r>
      <w:r w:rsidR="00691850">
        <w:t>i</w:t>
      </w:r>
      <w:r w:rsidR="00BE3C03">
        <w:t xml:space="preserve">šala za </w:t>
      </w:r>
      <w:r w:rsidR="00691850">
        <w:t>2</w:t>
      </w:r>
      <w:r w:rsidR="00BE3C03">
        <w:t xml:space="preserve"> o.</w:t>
      </w:r>
      <w:r w:rsidR="00C06BC1">
        <w:t xml:space="preserve"> </w:t>
      </w:r>
      <w:r w:rsidR="00BE3C03">
        <w:t>t.</w:t>
      </w:r>
      <w:r w:rsidR="003D666E">
        <w:t xml:space="preserve"> </w:t>
      </w:r>
      <w:r w:rsidR="00BE3C03">
        <w:t>na 21,1</w:t>
      </w:r>
      <w:r w:rsidR="00A629CB">
        <w:t xml:space="preserve"> </w:t>
      </w:r>
      <w:r w:rsidR="00BE3C03">
        <w:t xml:space="preserve">%. </w:t>
      </w:r>
      <w:r w:rsidRPr="00630424">
        <w:t xml:space="preserve">Po zadnji raziskavi EU-SILC 2022, </w:t>
      </w:r>
      <w:r w:rsidR="001D77DC">
        <w:t>opravljeni</w:t>
      </w:r>
      <w:r w:rsidRPr="00630424">
        <w:t xml:space="preserve"> na dohodkih iz leta 2021,</w:t>
      </w:r>
      <w:r w:rsidR="003D666E">
        <w:t xml:space="preserve"> </w:t>
      </w:r>
      <w:r w:rsidR="00691850">
        <w:t xml:space="preserve">pa </w:t>
      </w:r>
      <w:r w:rsidR="00BE3C03">
        <w:t>se je socialna izključeno</w:t>
      </w:r>
      <w:r w:rsidR="00012164">
        <w:t>s</w:t>
      </w:r>
      <w:r w:rsidR="00BE3C03">
        <w:t xml:space="preserve">t starejših od 60 let v letih 2021 in 2022 znižala na </w:t>
      </w:r>
      <w:r w:rsidR="00374A78">
        <w:t>19,5 %</w:t>
      </w:r>
      <w:r w:rsidR="00691850">
        <w:t xml:space="preserve"> (EU:</w:t>
      </w:r>
      <w:r w:rsidR="00C06BC1">
        <w:t xml:space="preserve"> </w:t>
      </w:r>
      <w:r w:rsidR="00691850">
        <w:t>20,7</w:t>
      </w:r>
      <w:r w:rsidR="00777FF0">
        <w:t xml:space="preserve"> </w:t>
      </w:r>
      <w:r w:rsidR="00691850">
        <w:t>% leta 2022)</w:t>
      </w:r>
      <w:r w:rsidR="00132F1C">
        <w:t>.</w:t>
      </w:r>
      <w:r w:rsidR="00053395">
        <w:t xml:space="preserve"> </w:t>
      </w:r>
      <w:r w:rsidR="00374A78">
        <w:t xml:space="preserve">Na drugi strani se je </w:t>
      </w:r>
      <w:r w:rsidRPr="00630424">
        <w:t>se je tveganje socialne izključeno</w:t>
      </w:r>
      <w:r>
        <w:t>s</w:t>
      </w:r>
      <w:r w:rsidRPr="00630424">
        <w:t>ti starejših v starostni skupini 55</w:t>
      </w:r>
      <w:r w:rsidR="00777FF0">
        <w:t>–</w:t>
      </w:r>
      <w:r w:rsidRPr="00630424">
        <w:t>64 let</w:t>
      </w:r>
      <w:r w:rsidR="00374A78">
        <w:t xml:space="preserve"> v obdobju 2015</w:t>
      </w:r>
      <w:r w:rsidR="00777FF0">
        <w:t>–</w:t>
      </w:r>
      <w:r w:rsidR="00374A78">
        <w:t>2022 zniž</w:t>
      </w:r>
      <w:r w:rsidR="00691850">
        <w:t>eva</w:t>
      </w:r>
      <w:r w:rsidR="00031C92">
        <w:t>l</w:t>
      </w:r>
      <w:r w:rsidR="00374A78">
        <w:t>o</w:t>
      </w:r>
      <w:r w:rsidRPr="00630424">
        <w:t>, na kar je po naši oceni lahko vplivalo naraš</w:t>
      </w:r>
      <w:r w:rsidR="00EF58C4">
        <w:t>č</w:t>
      </w:r>
      <w:r w:rsidRPr="00630424">
        <w:t>anje stopnje delovne aktivno</w:t>
      </w:r>
      <w:r w:rsidR="00EF58C4">
        <w:t>s</w:t>
      </w:r>
      <w:r w:rsidRPr="00630424">
        <w:t>ti starejših (gl.</w:t>
      </w:r>
      <w:r w:rsidR="00C06BC1">
        <w:t xml:space="preserve"> </w:t>
      </w:r>
      <w:r w:rsidRPr="00630424">
        <w:t>pogl</w:t>
      </w:r>
      <w:r w:rsidR="00D31D24">
        <w:t>avje</w:t>
      </w:r>
      <w:r w:rsidRPr="00630424">
        <w:t xml:space="preserve"> 2.1).</w:t>
      </w:r>
      <w:r w:rsidR="00FA55B6">
        <w:t xml:space="preserve"> </w:t>
      </w:r>
      <w:r w:rsidR="00132F1C">
        <w:t>Stopnja tveganja revščine</w:t>
      </w:r>
      <w:r w:rsidR="009E6D1C">
        <w:t>, ki je eden izmed elementov merjenja socialne izključeno</w:t>
      </w:r>
      <w:r w:rsidR="00777FF0">
        <w:t>s</w:t>
      </w:r>
      <w:r w:rsidR="009E6D1C">
        <w:t xml:space="preserve">ti, je bila leta 2022 v Sloveniji </w:t>
      </w:r>
      <w:r w:rsidR="00012164">
        <w:t xml:space="preserve"> med starejšimi </w:t>
      </w:r>
      <w:r w:rsidR="009E6D1C">
        <w:t>nad povprečjem EU, kar še posebej velja za žen</w:t>
      </w:r>
      <w:r w:rsidR="003E284B">
        <w:t>s</w:t>
      </w:r>
      <w:r w:rsidR="009E6D1C">
        <w:t>ke (EU:</w:t>
      </w:r>
      <w:r w:rsidR="00023524">
        <w:t xml:space="preserve"> </w:t>
      </w:r>
      <w:r w:rsidR="009E6D1C">
        <w:t>18,3 %; Slovenija: 21,7 %</w:t>
      </w:r>
      <w:r w:rsidR="00A17354">
        <w:t xml:space="preserve"> (</w:t>
      </w:r>
      <w:r w:rsidR="00FA55B6">
        <w:fldChar w:fldCharType="begin"/>
      </w:r>
      <w:r w:rsidR="00365253">
        <w:instrText xml:space="preserve"> ADDIN ZOTERO_ITEM CSL_CITATION {"citationID":"wzGM5lkP","properties":{"formattedCitation":"(UMAR, 2023)","plainCitation":"(UMAR, 2023)","dontUpdate":true,"noteIndex":0},"citationItems":[{"id":3902,"uris":["http://zotero.org/users/8351010/items/XIQ2SPZQ"],"itemData":{"id":3902,"type":"report","publisher":"Urad RS za makroekonomske analize in razvoj","title":"Poročilo orazvoju 2023","URL":"https://www.umar.gov.si/fileadmin/user_upload/razvoj_slovenije/2023/slovenski/POR2023.pdf","author":[{"literal":"UMAR"}],"issued":{"date-parts":[["2023"]]}}}],"schema":"https://github.com/citation-style-language/schema/raw/master/csl-citation.json"} </w:instrText>
      </w:r>
      <w:r w:rsidR="00FA55B6">
        <w:fldChar w:fldCharType="separate"/>
      </w:r>
      <w:r w:rsidR="00C809A8" w:rsidRPr="00C809A8">
        <w:t>UMAR, 2023)</w:t>
      </w:r>
      <w:r w:rsidR="00FA55B6">
        <w:fldChar w:fldCharType="end"/>
      </w:r>
      <w:r w:rsidR="00777FF0">
        <w:t>)</w:t>
      </w:r>
      <w:r w:rsidR="00C809A8">
        <w:t>.</w:t>
      </w:r>
    </w:p>
    <w:p w14:paraId="25B9C50E" w14:textId="7FDC0718" w:rsidR="008F0344" w:rsidRDefault="005A41AB" w:rsidP="005A41AB">
      <w:pPr>
        <w:pStyle w:val="Caption"/>
      </w:pPr>
      <w:r w:rsidRPr="005A41AB">
        <w:t xml:space="preserve">Slika </w:t>
      </w:r>
      <w:r w:rsidRPr="005A41AB">
        <w:fldChar w:fldCharType="begin"/>
      </w:r>
      <w:r w:rsidRPr="005A41AB">
        <w:instrText xml:space="preserve"> SEQ Slika \* ARABIC </w:instrText>
      </w:r>
      <w:r w:rsidRPr="005A41AB">
        <w:fldChar w:fldCharType="separate"/>
      </w:r>
      <w:r>
        <w:t>18</w:t>
      </w:r>
      <w:r w:rsidRPr="005A41AB">
        <w:fldChar w:fldCharType="end"/>
      </w:r>
      <w:r w:rsidR="008F0344" w:rsidRPr="005A41AB">
        <w:t xml:space="preserve">: Stopnja </w:t>
      </w:r>
      <w:r w:rsidR="00C602DA" w:rsidRPr="005A41AB">
        <w:t xml:space="preserve">tveganja </w:t>
      </w:r>
      <w:r w:rsidR="008F0344" w:rsidRPr="005A41AB">
        <w:t>socialne izključenosti</w:t>
      </w:r>
      <w:r w:rsidR="00031C92" w:rsidRPr="005A41AB">
        <w:t xml:space="preserve"> prebiva</w:t>
      </w:r>
      <w:r w:rsidR="00A51E75">
        <w:t>l</w:t>
      </w:r>
      <w:r w:rsidR="00031C92" w:rsidRPr="005A41AB">
        <w:t>stva v staro</w:t>
      </w:r>
      <w:r w:rsidR="00A51E75">
        <w:t>s</w:t>
      </w:r>
      <w:r w:rsidR="00031C92" w:rsidRPr="005A41AB">
        <w:t>ti 18</w:t>
      </w:r>
      <w:r w:rsidR="00A51E75">
        <w:t>–</w:t>
      </w:r>
      <w:r w:rsidR="00031C92" w:rsidRPr="005A41AB">
        <w:t xml:space="preserve">64 </w:t>
      </w:r>
      <w:r w:rsidR="00031C92" w:rsidRPr="00361BD3">
        <w:t>let</w:t>
      </w:r>
      <w:r w:rsidR="008F0344" w:rsidRPr="00361BD3">
        <w:t xml:space="preserve"> v % (levo) in</w:t>
      </w:r>
      <w:r w:rsidR="008F0344" w:rsidRPr="005A41AB">
        <w:t xml:space="preserve"> stopnja </w:t>
      </w:r>
      <w:r w:rsidR="00C602DA" w:rsidRPr="005A41AB">
        <w:t xml:space="preserve">tveganja </w:t>
      </w:r>
      <w:r w:rsidR="008F0344" w:rsidRPr="005A41AB">
        <w:t>socialne izključenosti starejših od 60 let</w:t>
      </w:r>
      <w:r w:rsidR="00FA55B6" w:rsidRPr="005A41AB">
        <w:t xml:space="preserve"> </w:t>
      </w:r>
      <w:r w:rsidR="008F0344" w:rsidRPr="005A41AB">
        <w:t>(desno) leta 2021</w:t>
      </w:r>
    </w:p>
    <w:p w14:paraId="639D1110" w14:textId="1896A140" w:rsidR="00B76C29" w:rsidRPr="008B0CCC" w:rsidRDefault="008B0CCC" w:rsidP="005A41AB">
      <w:pPr>
        <w:pStyle w:val="BesediloUMAR"/>
      </w:pPr>
      <w:r w:rsidRPr="008B0CCC">
        <w:rPr>
          <w:noProof/>
        </w:rPr>
        <w:drawing>
          <wp:inline distT="0" distB="0" distL="0" distR="0" wp14:anchorId="4FA1881D" wp14:editId="0BFA3381">
            <wp:extent cx="2772000" cy="2268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72000" cy="2268000"/>
                    </a:xfrm>
                    <a:prstGeom prst="rect">
                      <a:avLst/>
                    </a:prstGeom>
                    <a:noFill/>
                    <a:ln>
                      <a:noFill/>
                    </a:ln>
                  </pic:spPr>
                </pic:pic>
              </a:graphicData>
            </a:graphic>
          </wp:inline>
        </w:drawing>
      </w:r>
      <w:r w:rsidR="00971F86">
        <w:t xml:space="preserve">  </w:t>
      </w:r>
      <w:r w:rsidR="00D12C15">
        <w:t xml:space="preserve">   </w:t>
      </w:r>
      <w:r w:rsidR="00971F86">
        <w:t xml:space="preserve">  </w:t>
      </w:r>
      <w:r w:rsidRPr="008B0CCC">
        <w:rPr>
          <w:noProof/>
        </w:rPr>
        <w:drawing>
          <wp:inline distT="0" distB="0" distL="0" distR="0" wp14:anchorId="260E0B20" wp14:editId="5A25CCB9">
            <wp:extent cx="2775600" cy="2268000"/>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1637059A" w14:textId="74B899A2" w:rsidR="00B76C29" w:rsidRDefault="00B76C29" w:rsidP="005A41AB">
      <w:pPr>
        <w:pStyle w:val="VirUMAR"/>
      </w:pPr>
      <w:r>
        <w:fldChar w:fldCharType="begin"/>
      </w:r>
      <w:r w:rsidR="004526C7">
        <w:instrText xml:space="preserve"> ADDIN ZOTERO_ITEM CSL_CITATION {"citationID":"zLZycLa5","properties":{"formattedCitation":"(Eurostat,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fldChar w:fldCharType="separate"/>
      </w:r>
      <w:r>
        <w:rPr>
          <w:rFonts w:cs="Arial"/>
        </w:rPr>
        <w:t xml:space="preserve">Vir: </w:t>
      </w:r>
      <w:r w:rsidRPr="00D20521">
        <w:rPr>
          <w:rFonts w:cs="Arial"/>
        </w:rPr>
        <w:t xml:space="preserve">Eurostat </w:t>
      </w:r>
      <w:r>
        <w:rPr>
          <w:rFonts w:cs="Arial"/>
        </w:rPr>
        <w:t>(</w:t>
      </w:r>
      <w:r w:rsidRPr="00D20521">
        <w:rPr>
          <w:rFonts w:cs="Arial"/>
        </w:rPr>
        <w:t>2023)</w:t>
      </w:r>
      <w:r>
        <w:fldChar w:fldCharType="end"/>
      </w:r>
      <w:r>
        <w:t>.</w:t>
      </w:r>
    </w:p>
    <w:p w14:paraId="124FE1A6" w14:textId="57DEA263" w:rsidR="00B76C29" w:rsidRDefault="00B76C29" w:rsidP="005A41AB">
      <w:pPr>
        <w:pStyle w:val="BesediloUMAR"/>
      </w:pPr>
    </w:p>
    <w:p w14:paraId="50ECEB38" w14:textId="77777777" w:rsidR="00FA5942" w:rsidRDefault="00FA5942">
      <w:pPr>
        <w:spacing w:after="0" w:line="240" w:lineRule="auto"/>
        <w:rPr>
          <w:rFonts w:ascii="Myriad Pro" w:hAnsi="Myriad Pro"/>
          <w:b/>
          <w:sz w:val="20"/>
        </w:rPr>
      </w:pPr>
      <w:r>
        <w:rPr>
          <w:b/>
        </w:rPr>
        <w:br w:type="page"/>
      </w:r>
    </w:p>
    <w:p w14:paraId="3CE16345" w14:textId="7C335C96" w:rsidR="005A41AB" w:rsidRPr="00630424" w:rsidRDefault="008F0344" w:rsidP="005A41AB">
      <w:pPr>
        <w:pStyle w:val="BesediloUMAR"/>
      </w:pPr>
      <w:r w:rsidRPr="005A41AB">
        <w:rPr>
          <w:b/>
        </w:rPr>
        <w:lastRenderedPageBreak/>
        <w:t xml:space="preserve">Po deležu starejših od 50 let, </w:t>
      </w:r>
      <w:r w:rsidR="00C33DAD">
        <w:rPr>
          <w:b/>
        </w:rPr>
        <w:t xml:space="preserve">vključenih v </w:t>
      </w:r>
      <w:r w:rsidRPr="005A41AB">
        <w:rPr>
          <w:b/>
        </w:rPr>
        <w:t>športne, družabne ali druge vrste društev</w:t>
      </w:r>
      <w:r w:rsidR="004C06F8">
        <w:rPr>
          <w:b/>
        </w:rPr>
        <w:t>,</w:t>
      </w:r>
      <w:r w:rsidRPr="005A41AB">
        <w:rPr>
          <w:b/>
        </w:rPr>
        <w:t xml:space="preserve"> se Slovenija uvršča nad povprečje </w:t>
      </w:r>
      <w:r w:rsidR="004C06F8">
        <w:rPr>
          <w:b/>
        </w:rPr>
        <w:t>v raziskav</w:t>
      </w:r>
      <w:r w:rsidR="00456494">
        <w:rPr>
          <w:b/>
        </w:rPr>
        <w:t>i sodelujočih</w:t>
      </w:r>
      <w:r w:rsidR="004C06F8">
        <w:rPr>
          <w:b/>
        </w:rPr>
        <w:t xml:space="preserve"> </w:t>
      </w:r>
      <w:r w:rsidRPr="005A41AB">
        <w:rPr>
          <w:b/>
        </w:rPr>
        <w:t xml:space="preserve">držav, delež </w:t>
      </w:r>
      <w:r w:rsidR="00773F2F" w:rsidRPr="005A41AB">
        <w:rPr>
          <w:b/>
        </w:rPr>
        <w:t>se je v obdobju 2015</w:t>
      </w:r>
      <w:r w:rsidR="004C06F8">
        <w:rPr>
          <w:b/>
        </w:rPr>
        <w:t>–</w:t>
      </w:r>
      <w:r w:rsidR="00773F2F" w:rsidRPr="005A41AB">
        <w:rPr>
          <w:b/>
        </w:rPr>
        <w:t>2020 povečal</w:t>
      </w:r>
      <w:r w:rsidRPr="005A41AB">
        <w:rPr>
          <w:b/>
        </w:rPr>
        <w:t>.</w:t>
      </w:r>
      <w:r w:rsidRPr="00630424">
        <w:t xml:space="preserve"> V Sloveniji je bilo po raziskavi SHARE</w:t>
      </w:r>
      <w:r w:rsidR="009E6D1C">
        <w:t>, izveden</w:t>
      </w:r>
      <w:r w:rsidR="004C06F8">
        <w:t>i</w:t>
      </w:r>
      <w:r w:rsidR="009E6D1C">
        <w:t xml:space="preserve"> v letih 2019 in </w:t>
      </w:r>
      <w:r w:rsidRPr="00630424">
        <w:t>2020</w:t>
      </w:r>
      <w:r w:rsidR="009E6D1C">
        <w:t>,</w:t>
      </w:r>
      <w:r w:rsidRPr="00630424">
        <w:t xml:space="preserve"> v omenjena društva vključenih 30,3 %</w:t>
      </w:r>
      <w:r w:rsidR="00773F2F">
        <w:t xml:space="preserve"> starejših od 50 let</w:t>
      </w:r>
      <w:r w:rsidRPr="00630424">
        <w:t xml:space="preserve">, v povprečju 27 držav, ki so bile </w:t>
      </w:r>
      <w:r w:rsidR="003205A0">
        <w:t xml:space="preserve">del </w:t>
      </w:r>
      <w:r w:rsidRPr="00630424">
        <w:t>raziskav</w:t>
      </w:r>
      <w:r w:rsidR="003205A0">
        <w:t>e</w:t>
      </w:r>
      <w:r w:rsidR="00773F2F">
        <w:t>,</w:t>
      </w:r>
      <w:r w:rsidRPr="00630424">
        <w:t xml:space="preserve"> pa je delež znašal 25,2 %. </w:t>
      </w:r>
      <w:r w:rsidR="00773F2F">
        <w:t xml:space="preserve">Delež se je </w:t>
      </w:r>
      <w:r w:rsidRPr="00630424">
        <w:t>v obdobju 2015</w:t>
      </w:r>
      <w:r w:rsidR="004C06F8">
        <w:t>–</w:t>
      </w:r>
      <w:r w:rsidRPr="00630424">
        <w:t xml:space="preserve">2020 </w:t>
      </w:r>
      <w:r w:rsidR="00773F2F">
        <w:t xml:space="preserve">povečal, kar </w:t>
      </w:r>
      <w:r w:rsidRPr="00630424">
        <w:t>lahko kaže na povečevanje vključenosti starejših v omenjene aktivnosti</w:t>
      </w:r>
      <w:r w:rsidR="009E6D1C">
        <w:t xml:space="preserve"> oziroma v družbo.</w:t>
      </w:r>
    </w:p>
    <w:bookmarkEnd w:id="15"/>
    <w:p w14:paraId="72070616" w14:textId="08D0A493" w:rsidR="008F0344" w:rsidRPr="00A63FF1" w:rsidRDefault="005A41AB" w:rsidP="005A41AB">
      <w:pPr>
        <w:pStyle w:val="Caption"/>
        <w:rPr>
          <w:spacing w:val="-1"/>
        </w:rPr>
      </w:pPr>
      <w:r w:rsidRPr="00A63FF1">
        <w:rPr>
          <w:spacing w:val="-1"/>
        </w:rPr>
        <w:t xml:space="preserve">Slika </w:t>
      </w:r>
      <w:r w:rsidRPr="00A63FF1">
        <w:rPr>
          <w:spacing w:val="-1"/>
        </w:rPr>
        <w:fldChar w:fldCharType="begin"/>
      </w:r>
      <w:r w:rsidRPr="00A63FF1">
        <w:rPr>
          <w:spacing w:val="-1"/>
        </w:rPr>
        <w:instrText xml:space="preserve"> SEQ Slika \* ARABIC </w:instrText>
      </w:r>
      <w:r w:rsidRPr="00A63FF1">
        <w:rPr>
          <w:spacing w:val="-1"/>
        </w:rPr>
        <w:fldChar w:fldCharType="separate"/>
      </w:r>
      <w:r w:rsidRPr="00A63FF1">
        <w:rPr>
          <w:spacing w:val="-1"/>
        </w:rPr>
        <w:t>19</w:t>
      </w:r>
      <w:r w:rsidRPr="00A63FF1">
        <w:rPr>
          <w:spacing w:val="-1"/>
        </w:rPr>
        <w:fldChar w:fldCharType="end"/>
      </w:r>
      <w:r w:rsidR="008F0344" w:rsidRPr="00A63FF1">
        <w:rPr>
          <w:spacing w:val="-1"/>
        </w:rPr>
        <w:t>: Delež starejših od 50 let</w:t>
      </w:r>
      <w:r w:rsidR="00AF081B">
        <w:rPr>
          <w:spacing w:val="-1"/>
        </w:rPr>
        <w:t xml:space="preserve"> </w:t>
      </w:r>
      <w:r w:rsidR="00937259">
        <w:rPr>
          <w:spacing w:val="-1"/>
        </w:rPr>
        <w:t>(</w:t>
      </w:r>
      <w:r w:rsidR="00AF081B">
        <w:rPr>
          <w:spacing w:val="-1"/>
        </w:rPr>
        <w:t>v %</w:t>
      </w:r>
      <w:r w:rsidR="00937259">
        <w:rPr>
          <w:spacing w:val="-1"/>
        </w:rPr>
        <w:t>)</w:t>
      </w:r>
      <w:r w:rsidR="008F0344" w:rsidRPr="00A63FF1">
        <w:rPr>
          <w:spacing w:val="-1"/>
        </w:rPr>
        <w:t xml:space="preserve">, ki </w:t>
      </w:r>
      <w:r w:rsidR="00361BD3">
        <w:rPr>
          <w:spacing w:val="-1"/>
        </w:rPr>
        <w:t xml:space="preserve">so leta 2020 </w:t>
      </w:r>
      <w:r w:rsidR="008F0344" w:rsidRPr="00A63FF1">
        <w:rPr>
          <w:spacing w:val="-1"/>
        </w:rPr>
        <w:t>obisk</w:t>
      </w:r>
      <w:r w:rsidR="00361BD3">
        <w:rPr>
          <w:spacing w:val="-1"/>
        </w:rPr>
        <w:t>ovali</w:t>
      </w:r>
      <w:r w:rsidR="008F0344" w:rsidRPr="00A63FF1">
        <w:rPr>
          <w:spacing w:val="-1"/>
        </w:rPr>
        <w:t xml:space="preserve"> športne, družabne ali druge vrste društev</w:t>
      </w:r>
      <w:r w:rsidR="00361BD3">
        <w:rPr>
          <w:spacing w:val="-1"/>
        </w:rPr>
        <w:t xml:space="preserve"> </w:t>
      </w:r>
    </w:p>
    <w:p w14:paraId="0BBE0767" w14:textId="41D83909" w:rsidR="008F0344" w:rsidRPr="005A41AB" w:rsidRDefault="00681BBC" w:rsidP="008F0344">
      <w:pPr>
        <w:spacing w:before="20" w:after="20" w:line="240" w:lineRule="auto"/>
        <w:jc w:val="both"/>
        <w:rPr>
          <w:rStyle w:val="BesediloUMARChar"/>
        </w:rPr>
      </w:pPr>
      <w:r w:rsidRPr="00681BBC">
        <w:rPr>
          <w:rStyle w:val="BesediloUMARChar"/>
          <w:rFonts w:asciiTheme="minorHAnsi" w:hAnsiTheme="minorHAnsi"/>
          <w:noProof/>
        </w:rPr>
        <w:drawing>
          <wp:inline distT="0" distB="0" distL="0" distR="0" wp14:anchorId="11A3A343" wp14:editId="0E4F4FF3">
            <wp:extent cx="5759450" cy="2049787"/>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9450" cy="2049787"/>
                    </a:xfrm>
                    <a:prstGeom prst="rect">
                      <a:avLst/>
                    </a:prstGeom>
                    <a:noFill/>
                    <a:ln>
                      <a:noFill/>
                    </a:ln>
                  </pic:spPr>
                </pic:pic>
              </a:graphicData>
            </a:graphic>
          </wp:inline>
        </w:drawing>
      </w:r>
    </w:p>
    <w:p w14:paraId="2F67943E" w14:textId="04ABC052" w:rsidR="007F4A5A" w:rsidRDefault="008F0344" w:rsidP="007F4A5A">
      <w:pPr>
        <w:pStyle w:val="VirUMAR"/>
        <w:rPr>
          <w:noProof/>
        </w:rPr>
      </w:pPr>
      <w:r w:rsidRPr="008F0344">
        <w:rPr>
          <w:noProof/>
        </w:rPr>
        <w:t xml:space="preserve">Vir: </w:t>
      </w:r>
      <w:r w:rsidR="007F4A5A" w:rsidRPr="007F4A5A">
        <w:rPr>
          <w:noProof/>
        </w:rPr>
        <w:t>Börsch-Supan</w:t>
      </w:r>
      <w:r w:rsidR="00663770">
        <w:rPr>
          <w:noProof/>
        </w:rPr>
        <w:t xml:space="preserve"> (</w:t>
      </w:r>
      <w:r w:rsidR="007F4A5A" w:rsidRPr="007F4A5A">
        <w:rPr>
          <w:noProof/>
        </w:rPr>
        <w:t>2022</w:t>
      </w:r>
      <w:r w:rsidR="00663770">
        <w:rPr>
          <w:noProof/>
        </w:rPr>
        <w:t>)</w:t>
      </w:r>
      <w:r w:rsidR="007F4A5A" w:rsidRPr="007F4A5A">
        <w:rPr>
          <w:noProof/>
        </w:rPr>
        <w:t>.</w:t>
      </w:r>
    </w:p>
    <w:p w14:paraId="687AD0DD" w14:textId="4AAB93BD" w:rsidR="007F4A5A" w:rsidRDefault="007F4A5A" w:rsidP="007F4A5A">
      <w:pPr>
        <w:pStyle w:val="VirUMAR"/>
        <w:rPr>
          <w:noProof/>
        </w:rPr>
      </w:pPr>
    </w:p>
    <w:p w14:paraId="4DDC262F" w14:textId="77777777" w:rsidR="007F4A5A" w:rsidRPr="00D12C15" w:rsidRDefault="007F4A5A" w:rsidP="00D12C15">
      <w:pPr>
        <w:pStyle w:val="VirUMAR"/>
      </w:pPr>
    </w:p>
    <w:p w14:paraId="2BC59051" w14:textId="1A128656" w:rsidR="008F0344" w:rsidRPr="005A41AB" w:rsidRDefault="008F0344" w:rsidP="005A41AB">
      <w:pPr>
        <w:pStyle w:val="BesediloUMAR"/>
      </w:pPr>
      <w:r w:rsidRPr="005A41AB">
        <w:rPr>
          <w:b/>
        </w:rPr>
        <w:t>V obdobju 2015</w:t>
      </w:r>
      <w:r w:rsidR="002E12FB">
        <w:rPr>
          <w:b/>
        </w:rPr>
        <w:t>–</w:t>
      </w:r>
      <w:r w:rsidRPr="005A41AB">
        <w:rPr>
          <w:b/>
        </w:rPr>
        <w:t xml:space="preserve">2020 se je v Sloveniji podobno kot v drugih državah zmanjšal delež oseb brez </w:t>
      </w:r>
      <w:r w:rsidR="00053395" w:rsidRPr="005A41AB">
        <w:rPr>
          <w:b/>
        </w:rPr>
        <w:t xml:space="preserve">lastne </w:t>
      </w:r>
      <w:r w:rsidRPr="005A41AB">
        <w:rPr>
          <w:b/>
        </w:rPr>
        <w:t xml:space="preserve">socialne </w:t>
      </w:r>
      <w:r w:rsidR="00053395" w:rsidRPr="005A41AB">
        <w:rPr>
          <w:b/>
        </w:rPr>
        <w:t>mreže</w:t>
      </w:r>
      <w:r w:rsidR="003B3E38" w:rsidRPr="005A41AB">
        <w:rPr>
          <w:rStyle w:val="FootnoteReference"/>
          <w:rFonts w:eastAsia="Calibri" w:cs="Times New Roman"/>
          <w:b/>
          <w:bCs/>
          <w:szCs w:val="20"/>
        </w:rPr>
        <w:footnoteReference w:id="16"/>
      </w:r>
      <w:r w:rsidR="00E14E0E">
        <w:rPr>
          <w:b/>
        </w:rPr>
        <w:t>;</w:t>
      </w:r>
      <w:r w:rsidRPr="005A41AB">
        <w:rPr>
          <w:b/>
        </w:rPr>
        <w:t xml:space="preserve"> v Sloveniji </w:t>
      </w:r>
      <w:r w:rsidR="002E12FB">
        <w:rPr>
          <w:b/>
        </w:rPr>
        <w:t xml:space="preserve">je bil ta delež </w:t>
      </w:r>
      <w:r w:rsidR="001A3EB9">
        <w:rPr>
          <w:b/>
        </w:rPr>
        <w:t>manjši</w:t>
      </w:r>
      <w:r w:rsidRPr="005A41AB">
        <w:rPr>
          <w:b/>
        </w:rPr>
        <w:t xml:space="preserve"> kot v povprečju držav</w:t>
      </w:r>
      <w:r w:rsidR="002E12FB">
        <w:rPr>
          <w:b/>
        </w:rPr>
        <w:t>,</w:t>
      </w:r>
      <w:r w:rsidRPr="005A41AB">
        <w:rPr>
          <w:b/>
        </w:rPr>
        <w:t xml:space="preserve"> vključenih v raziskavo.</w:t>
      </w:r>
      <w:r w:rsidRPr="008F0344">
        <w:t xml:space="preserve"> Leta 2020 je bilo brez </w:t>
      </w:r>
      <w:r w:rsidR="00012164">
        <w:t xml:space="preserve">lastne socialne mreže </w:t>
      </w:r>
      <w:r w:rsidR="008F2DB6">
        <w:t xml:space="preserve">pri nas </w:t>
      </w:r>
      <w:r w:rsidRPr="008F0344">
        <w:t>2,4</w:t>
      </w:r>
      <w:r w:rsidR="00012164">
        <w:t xml:space="preserve"> </w:t>
      </w:r>
      <w:r w:rsidRPr="008F0344">
        <w:t>% oseb</w:t>
      </w:r>
      <w:r w:rsidR="002E12FB">
        <w:t>,</w:t>
      </w:r>
      <w:r w:rsidRPr="008F0344">
        <w:t xml:space="preserve"> starejših od 50 let (povprečje držav v raziskavi je 3,5</w:t>
      </w:r>
      <w:r w:rsidR="002E12FB">
        <w:t xml:space="preserve"> </w:t>
      </w:r>
      <w:r w:rsidRPr="008F0344">
        <w:t>%). V zadnjih desetih letih se je omenjen</w:t>
      </w:r>
      <w:r w:rsidR="001207AC">
        <w:t>i</w:t>
      </w:r>
      <w:r w:rsidRPr="008F0344">
        <w:t xml:space="preserve"> delež v Sloveniji močno </w:t>
      </w:r>
      <w:r w:rsidR="00226FA3" w:rsidRPr="00226FA3">
        <w:t>zmanjšal</w:t>
      </w:r>
      <w:r w:rsidRPr="00226FA3">
        <w:rPr>
          <w:vertAlign w:val="superscript"/>
        </w:rPr>
        <w:footnoteReference w:id="17"/>
      </w:r>
      <w:r w:rsidRPr="00226FA3">
        <w:t>, kar lahko</w:t>
      </w:r>
      <w:r w:rsidRPr="008F0344">
        <w:t xml:space="preserve"> kaže na boljše možnosti vključevanj</w:t>
      </w:r>
      <w:r w:rsidR="002E12FB">
        <w:t>a</w:t>
      </w:r>
      <w:r w:rsidRPr="008F0344">
        <w:t xml:space="preserve"> starejših v družbo.</w:t>
      </w:r>
    </w:p>
    <w:p w14:paraId="52A295D0" w14:textId="769CECC4" w:rsidR="008F0344" w:rsidRPr="005A41AB" w:rsidRDefault="005A41AB" w:rsidP="005A41AB">
      <w:pPr>
        <w:pStyle w:val="Caption"/>
      </w:pPr>
      <w:r>
        <w:t xml:space="preserve">Slika </w:t>
      </w:r>
      <w:r>
        <w:fldChar w:fldCharType="begin"/>
      </w:r>
      <w:r>
        <w:instrText xml:space="preserve"> SEQ Slika \* ARABIC </w:instrText>
      </w:r>
      <w:r>
        <w:fldChar w:fldCharType="separate"/>
      </w:r>
      <w:r>
        <w:t>20</w:t>
      </w:r>
      <w:r>
        <w:fldChar w:fldCharType="end"/>
      </w:r>
      <w:r>
        <w:t>:</w:t>
      </w:r>
      <w:r w:rsidR="008F0344" w:rsidRPr="008F0344">
        <w:rPr>
          <w:rFonts w:eastAsia="Calibri" w:cs="Times New Roman"/>
        </w:rPr>
        <w:t xml:space="preserve"> Starejši</w:t>
      </w:r>
      <w:r w:rsidR="00FA55B6">
        <w:rPr>
          <w:rFonts w:eastAsia="Calibri" w:cs="Times New Roman"/>
        </w:rPr>
        <w:t xml:space="preserve"> </w:t>
      </w:r>
      <w:r w:rsidR="008F0344" w:rsidRPr="008F0344">
        <w:rPr>
          <w:rFonts w:eastAsia="Calibri" w:cs="Times New Roman"/>
        </w:rPr>
        <w:t xml:space="preserve">od 50 let brez </w:t>
      </w:r>
      <w:r w:rsidR="008F0344" w:rsidRPr="00C847CF">
        <w:rPr>
          <w:rFonts w:eastAsia="Calibri" w:cs="Times New Roman"/>
        </w:rPr>
        <w:t>socialne</w:t>
      </w:r>
      <w:r w:rsidR="003D666E" w:rsidRPr="00C847CF">
        <w:rPr>
          <w:rFonts w:eastAsia="Calibri" w:cs="Times New Roman"/>
        </w:rPr>
        <w:t xml:space="preserve"> </w:t>
      </w:r>
      <w:r w:rsidR="005E1891" w:rsidRPr="00C847CF">
        <w:rPr>
          <w:rFonts w:eastAsia="Calibri" w:cs="Times New Roman"/>
        </w:rPr>
        <w:t>mreže</w:t>
      </w:r>
      <w:r w:rsidR="00C847CF" w:rsidRPr="00DC7644">
        <w:rPr>
          <w:rFonts w:eastAsia="Calibri" w:cs="Times New Roman"/>
        </w:rPr>
        <w:t xml:space="preserve"> v letu</w:t>
      </w:r>
      <w:r w:rsidR="008F0344" w:rsidRPr="00C847CF">
        <w:rPr>
          <w:rFonts w:eastAsia="Calibri" w:cs="Times New Roman"/>
        </w:rPr>
        <w:t xml:space="preserve"> 2020 </w:t>
      </w:r>
      <w:r w:rsidR="00282B2B">
        <w:rPr>
          <w:rFonts w:eastAsia="Calibri" w:cs="Times New Roman"/>
        </w:rPr>
        <w:t>(</w:t>
      </w:r>
      <w:r w:rsidR="008F0344" w:rsidRPr="00C847CF">
        <w:rPr>
          <w:rFonts w:eastAsia="Calibri" w:cs="Times New Roman"/>
        </w:rPr>
        <w:t>v %</w:t>
      </w:r>
      <w:r w:rsidR="00282B2B">
        <w:rPr>
          <w:rFonts w:eastAsia="Calibri" w:cs="Times New Roman"/>
        </w:rPr>
        <w:t>)</w:t>
      </w:r>
    </w:p>
    <w:p w14:paraId="425A3490" w14:textId="25337C75" w:rsidR="008F0344" w:rsidRPr="008F0344" w:rsidRDefault="00681BBC" w:rsidP="008F0344">
      <w:pPr>
        <w:spacing w:before="20" w:after="20" w:line="240" w:lineRule="auto"/>
        <w:jc w:val="both"/>
        <w:rPr>
          <w:rFonts w:ascii="Arial" w:eastAsia="Calibri" w:hAnsi="Arial" w:cs="Times New Roman"/>
          <w:b/>
          <w:bCs/>
          <w:noProof/>
          <w:sz w:val="20"/>
          <w:szCs w:val="20"/>
        </w:rPr>
      </w:pPr>
      <w:r w:rsidRPr="00681BBC">
        <w:rPr>
          <w:noProof/>
        </w:rPr>
        <w:drawing>
          <wp:inline distT="0" distB="0" distL="0" distR="0" wp14:anchorId="378CBB87" wp14:editId="026B9710">
            <wp:extent cx="5759450" cy="202863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2028636"/>
                    </a:xfrm>
                    <a:prstGeom prst="rect">
                      <a:avLst/>
                    </a:prstGeom>
                    <a:noFill/>
                    <a:ln>
                      <a:noFill/>
                    </a:ln>
                  </pic:spPr>
                </pic:pic>
              </a:graphicData>
            </a:graphic>
          </wp:inline>
        </w:drawing>
      </w:r>
    </w:p>
    <w:p w14:paraId="199F56A6" w14:textId="218591D7" w:rsidR="008F0344" w:rsidRPr="008F0344" w:rsidRDefault="008F0344" w:rsidP="005A41AB">
      <w:pPr>
        <w:pStyle w:val="VirUMAR"/>
        <w:rPr>
          <w:noProof/>
        </w:rPr>
      </w:pPr>
      <w:r w:rsidRPr="008F0344">
        <w:rPr>
          <w:noProof/>
        </w:rPr>
        <w:fldChar w:fldCharType="begin"/>
      </w:r>
      <w:r w:rsidRPr="008F0344">
        <w:rPr>
          <w:noProof/>
        </w:rPr>
        <w:instrText xml:space="preserve"> ADDIN ZOTERO_ITEM CSL_CITATION {"citationID":"CMMUM6hB","properties":{"formattedCitation":"(B\\uc0\\u246{}rsch-Supan, 2022)","plainCitation":"(Börsch-Supan, 2022)","dontUpdate":true,"noteIndex":0},"citationItems":[{"id":3680,"uris":["http://zotero.org/users/8351010/items/M7ZY58GK"],"itemData":{"id":3680,"type":"dataset","DOI":"10.6103/SHARE.W8.800","language":"en","publisher":"SHARE-ERIC","source":"DOI.org (Datacite)","title":"Survey of Health, Ageing and Retirement in Europe (SHARE) Wave 8","URL":"http://www.share-project.org/data-documentation/waves-overview/wave-8.html","version":"8.0.0","author":[{"family":"Börsch-Supan","given":"Axel"}],"accessed":{"date-parts":[["2023",1,17]]},"issued":{"date-parts":[["2022"]]}}}],"schema":"https://github.com/citation-style-language/schema/raw/master/csl-citation.json"} </w:instrText>
      </w:r>
      <w:r w:rsidRPr="008F0344">
        <w:rPr>
          <w:noProof/>
        </w:rPr>
        <w:fldChar w:fldCharType="separate"/>
      </w:r>
      <w:r w:rsidRPr="008F0344">
        <w:rPr>
          <w:rFonts w:cs="Arial"/>
          <w:noProof/>
        </w:rPr>
        <w:t>VIr: Börsch-Supan (2022)</w:t>
      </w:r>
      <w:r w:rsidRPr="008F0344">
        <w:rPr>
          <w:noProof/>
        </w:rPr>
        <w:fldChar w:fldCharType="end"/>
      </w:r>
      <w:r w:rsidR="002E603C">
        <w:rPr>
          <w:noProof/>
        </w:rPr>
        <w:t>.</w:t>
      </w:r>
    </w:p>
    <w:p w14:paraId="10CBEC15" w14:textId="77777777" w:rsidR="008F0344" w:rsidRPr="008F0344" w:rsidRDefault="008F0344" w:rsidP="005A41AB">
      <w:pPr>
        <w:pStyle w:val="BesediloUMAR"/>
        <w:rPr>
          <w:noProof/>
        </w:rPr>
      </w:pPr>
    </w:p>
    <w:p w14:paraId="7A2CA9EE" w14:textId="39A83265" w:rsidR="008F0344" w:rsidRPr="00C809A8" w:rsidRDefault="008F0344" w:rsidP="005A41AB">
      <w:pPr>
        <w:pStyle w:val="BesediloUMAR"/>
        <w:rPr>
          <w:rStyle w:val="BesediloUMARChar"/>
        </w:rPr>
      </w:pPr>
      <w:r w:rsidRPr="005A41AB">
        <w:rPr>
          <w:b/>
          <w:noProof/>
        </w:rPr>
        <w:lastRenderedPageBreak/>
        <w:t xml:space="preserve">Na </w:t>
      </w:r>
      <w:r w:rsidR="00773F2F" w:rsidRPr="005A41AB">
        <w:rPr>
          <w:b/>
          <w:noProof/>
        </w:rPr>
        <w:t>izboljšan</w:t>
      </w:r>
      <w:r w:rsidR="00680E4A">
        <w:rPr>
          <w:b/>
          <w:noProof/>
        </w:rPr>
        <w:t>e</w:t>
      </w:r>
      <w:r w:rsidR="00773F2F" w:rsidRPr="005A41AB">
        <w:rPr>
          <w:b/>
          <w:noProof/>
        </w:rPr>
        <w:t xml:space="preserve"> </w:t>
      </w:r>
      <w:r w:rsidRPr="005A41AB">
        <w:rPr>
          <w:b/>
          <w:noProof/>
        </w:rPr>
        <w:t>možnosti vključevanj</w:t>
      </w:r>
      <w:r w:rsidR="00680E4A">
        <w:rPr>
          <w:b/>
          <w:noProof/>
        </w:rPr>
        <w:t>a</w:t>
      </w:r>
      <w:r w:rsidRPr="005A41AB">
        <w:rPr>
          <w:b/>
          <w:noProof/>
        </w:rPr>
        <w:t xml:space="preserve"> v družbo kaže </w:t>
      </w:r>
      <w:r w:rsidR="00012164" w:rsidRPr="005A41AB">
        <w:rPr>
          <w:b/>
          <w:noProof/>
        </w:rPr>
        <w:t xml:space="preserve">tudi </w:t>
      </w:r>
      <w:r w:rsidR="00EC69F5">
        <w:rPr>
          <w:b/>
          <w:noProof/>
        </w:rPr>
        <w:t xml:space="preserve">večji </w:t>
      </w:r>
      <w:r w:rsidRPr="005A41AB">
        <w:rPr>
          <w:b/>
          <w:noProof/>
        </w:rPr>
        <w:t>delež starejših, ki uporabljajo informacijsko in komunikacijsko tehnologijo</w:t>
      </w:r>
      <w:r w:rsidR="00A63FF1">
        <w:rPr>
          <w:b/>
          <w:noProof/>
        </w:rPr>
        <w:t xml:space="preserve"> </w:t>
      </w:r>
      <w:r w:rsidRPr="005A41AB">
        <w:rPr>
          <w:b/>
          <w:noProof/>
        </w:rPr>
        <w:t>(IKT).</w:t>
      </w:r>
      <w:r w:rsidRPr="008F0344">
        <w:rPr>
          <w:noProof/>
        </w:rPr>
        <w:t xml:space="preserve"> </w:t>
      </w:r>
      <w:r w:rsidR="00C809A8" w:rsidRPr="00C809A8">
        <w:rPr>
          <w:rStyle w:val="BesediloUMARChar"/>
        </w:rPr>
        <w:t>Čeprav z vidika dostopn</w:t>
      </w:r>
      <w:r w:rsidR="00773F2F">
        <w:rPr>
          <w:rStyle w:val="BesediloUMARChar"/>
        </w:rPr>
        <w:t>os</w:t>
      </w:r>
      <w:r w:rsidR="00C809A8" w:rsidRPr="00C809A8">
        <w:rPr>
          <w:rStyle w:val="BesediloUMARChar"/>
        </w:rPr>
        <w:t>ti in uporabe IKT</w:t>
      </w:r>
      <w:r w:rsidR="00023524">
        <w:rPr>
          <w:rStyle w:val="BesediloUMARChar"/>
        </w:rPr>
        <w:t xml:space="preserve"> </w:t>
      </w:r>
      <w:r w:rsidR="00C809A8" w:rsidRPr="00C809A8">
        <w:rPr>
          <w:rStyle w:val="BesediloUMARChar"/>
        </w:rPr>
        <w:t>med starejšimi obstajajo še številni izzivi, se je zaostanek</w:t>
      </w:r>
      <w:r w:rsidR="0012593F">
        <w:rPr>
          <w:rStyle w:val="BesediloUMARChar"/>
        </w:rPr>
        <w:t xml:space="preserve"> </w:t>
      </w:r>
      <w:r w:rsidR="00C809A8" w:rsidRPr="00C809A8">
        <w:rPr>
          <w:rStyle w:val="BesediloUMARChar"/>
        </w:rPr>
        <w:t>Slovenije za povp</w:t>
      </w:r>
      <w:r w:rsidR="00773F2F">
        <w:rPr>
          <w:rStyle w:val="BesediloUMARChar"/>
        </w:rPr>
        <w:t>re</w:t>
      </w:r>
      <w:r w:rsidR="00C809A8" w:rsidRPr="00C809A8">
        <w:rPr>
          <w:rStyle w:val="BesediloUMARChar"/>
        </w:rPr>
        <w:t>čjem EU v obdobju 2015</w:t>
      </w:r>
      <w:r w:rsidR="00680E4A">
        <w:rPr>
          <w:rStyle w:val="BesediloUMARChar"/>
        </w:rPr>
        <w:t>–</w:t>
      </w:r>
      <w:r w:rsidR="00C809A8" w:rsidRPr="00C809A8">
        <w:rPr>
          <w:rStyle w:val="BesediloUMARChar"/>
        </w:rPr>
        <w:t xml:space="preserve">2012 močno zmanjšal </w:t>
      </w:r>
      <w:r w:rsidRPr="00C809A8">
        <w:rPr>
          <w:rStyle w:val="BesediloUMARChar"/>
        </w:rPr>
        <w:t>(gl. slik</w:t>
      </w:r>
      <w:r w:rsidR="00D31D24">
        <w:rPr>
          <w:rStyle w:val="BesediloUMARChar"/>
        </w:rPr>
        <w:t>o</w:t>
      </w:r>
      <w:r w:rsidRPr="00C809A8">
        <w:rPr>
          <w:rStyle w:val="BesediloUMARChar"/>
        </w:rPr>
        <w:t xml:space="preserve"> 2</w:t>
      </w:r>
      <w:r w:rsidR="00C809A8" w:rsidRPr="00C809A8">
        <w:rPr>
          <w:rStyle w:val="BesediloUMARChar"/>
        </w:rPr>
        <w:t>2</w:t>
      </w:r>
      <w:r w:rsidRPr="00C809A8">
        <w:rPr>
          <w:rStyle w:val="BesediloUMARChar"/>
        </w:rPr>
        <w:t xml:space="preserve"> desno).</w:t>
      </w:r>
      <w:r w:rsidR="0012593F">
        <w:rPr>
          <w:rStyle w:val="BesediloUMARChar"/>
        </w:rPr>
        <w:t xml:space="preserve"> </w:t>
      </w:r>
      <w:r w:rsidR="00C809A8">
        <w:rPr>
          <w:rStyle w:val="BesediloUMARChar"/>
        </w:rPr>
        <w:t>Delež se je namreč v obdobju 2015</w:t>
      </w:r>
      <w:r w:rsidR="00680E4A">
        <w:rPr>
          <w:rStyle w:val="BesediloUMARChar"/>
        </w:rPr>
        <w:t>–</w:t>
      </w:r>
      <w:r w:rsidR="00C809A8">
        <w:rPr>
          <w:rStyle w:val="BesediloUMARChar"/>
        </w:rPr>
        <w:t xml:space="preserve">2021 povečal </w:t>
      </w:r>
      <w:r w:rsidR="00012164">
        <w:rPr>
          <w:rStyle w:val="BesediloUMARChar"/>
        </w:rPr>
        <w:t>s</w:t>
      </w:r>
      <w:r w:rsidR="00C809A8">
        <w:rPr>
          <w:rStyle w:val="BesediloUMARChar"/>
        </w:rPr>
        <w:t xml:space="preserve"> 27</w:t>
      </w:r>
      <w:r w:rsidR="00680E4A">
        <w:rPr>
          <w:rStyle w:val="BesediloUMARChar"/>
        </w:rPr>
        <w:t xml:space="preserve"> </w:t>
      </w:r>
      <w:r w:rsidR="00C809A8">
        <w:rPr>
          <w:rStyle w:val="BesediloUMARChar"/>
        </w:rPr>
        <w:t>% na 62</w:t>
      </w:r>
      <w:r w:rsidR="00680E4A">
        <w:rPr>
          <w:rStyle w:val="BesediloUMARChar"/>
        </w:rPr>
        <w:t xml:space="preserve"> </w:t>
      </w:r>
      <w:r w:rsidR="00C809A8">
        <w:rPr>
          <w:rStyle w:val="BesediloUMARChar"/>
        </w:rPr>
        <w:t>%</w:t>
      </w:r>
      <w:r w:rsidR="0062054C">
        <w:rPr>
          <w:rStyle w:val="BesediloUMARChar"/>
        </w:rPr>
        <w:t xml:space="preserve"> in se približal povprečju EU</w:t>
      </w:r>
      <w:r w:rsidR="00C809A8">
        <w:rPr>
          <w:rStyle w:val="BesediloUMARChar"/>
        </w:rPr>
        <w:t>.</w:t>
      </w:r>
    </w:p>
    <w:p w14:paraId="42268414" w14:textId="152B6143" w:rsidR="004A6495" w:rsidRPr="005A41AB" w:rsidRDefault="005A41AB" w:rsidP="005A41AB">
      <w:pPr>
        <w:pStyle w:val="Caption"/>
      </w:pPr>
      <w:r>
        <w:t xml:space="preserve">Slika </w:t>
      </w:r>
      <w:r>
        <w:fldChar w:fldCharType="begin"/>
      </w:r>
      <w:r>
        <w:instrText xml:space="preserve"> SEQ Slika \* ARABIC </w:instrText>
      </w:r>
      <w:r>
        <w:fldChar w:fldCharType="separate"/>
      </w:r>
      <w:r>
        <w:t>21</w:t>
      </w:r>
      <w:r>
        <w:fldChar w:fldCharType="end"/>
      </w:r>
      <w:r w:rsidR="008F0344" w:rsidRPr="008F0344">
        <w:t>: Delež prebivalcev v starosti 65</w:t>
      </w:r>
      <w:r w:rsidR="002E2F4F">
        <w:t>–</w:t>
      </w:r>
      <w:r w:rsidR="008F0344" w:rsidRPr="008F0344">
        <w:t>74 let</w:t>
      </w:r>
      <w:r w:rsidR="00521786">
        <w:t>,</w:t>
      </w:r>
      <w:r w:rsidR="008F0344" w:rsidRPr="008F0344">
        <w:t xml:space="preserve"> ki uporab</w:t>
      </w:r>
      <w:r w:rsidR="00521786">
        <w:t>l</w:t>
      </w:r>
      <w:r w:rsidR="008F0344" w:rsidRPr="008F0344">
        <w:t>jajo IKT, leta 2021</w:t>
      </w:r>
      <w:r w:rsidR="00530EB8">
        <w:t>,</w:t>
      </w:r>
      <w:r w:rsidR="008F0344" w:rsidRPr="008F0344">
        <w:t xml:space="preserve"> (levo) in gibanje deleža v obdobju 2015</w:t>
      </w:r>
      <w:r w:rsidR="002E2F4F">
        <w:t>–</w:t>
      </w:r>
      <w:r w:rsidR="008F0344" w:rsidRPr="008F0344">
        <w:t>2021v Sloveniji in EU (desno)</w:t>
      </w:r>
    </w:p>
    <w:p w14:paraId="25613A7E" w14:textId="2D6BD842" w:rsidR="004A6495" w:rsidRDefault="00681BBC" w:rsidP="008F0344">
      <w:pPr>
        <w:spacing w:before="20" w:after="20" w:line="240" w:lineRule="auto"/>
        <w:jc w:val="both"/>
        <w:rPr>
          <w:rFonts w:ascii="Myriad Pro" w:eastAsia="Calibri" w:hAnsi="Myriad Pro" w:cs="Times New Roman"/>
          <w:b/>
          <w:bCs/>
          <w:noProof/>
          <w:sz w:val="20"/>
          <w:szCs w:val="20"/>
        </w:rPr>
      </w:pPr>
      <w:r w:rsidRPr="00681BBC">
        <w:rPr>
          <w:noProof/>
        </w:rPr>
        <w:drawing>
          <wp:inline distT="0" distB="0" distL="0" distR="0" wp14:anchorId="6B0D4A23" wp14:editId="1D543884">
            <wp:extent cx="2790000" cy="2242800"/>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90000" cy="2242800"/>
                    </a:xfrm>
                    <a:prstGeom prst="rect">
                      <a:avLst/>
                    </a:prstGeom>
                    <a:noFill/>
                    <a:ln>
                      <a:noFill/>
                    </a:ln>
                  </pic:spPr>
                </pic:pic>
              </a:graphicData>
            </a:graphic>
          </wp:inline>
        </w:drawing>
      </w:r>
      <w:r w:rsidR="005A41AB">
        <w:rPr>
          <w:rFonts w:ascii="Myriad Pro" w:eastAsia="Calibri" w:hAnsi="Myriad Pro" w:cs="Times New Roman"/>
          <w:b/>
          <w:bCs/>
          <w:noProof/>
          <w:sz w:val="20"/>
          <w:szCs w:val="20"/>
        </w:rPr>
        <w:t xml:space="preserve">  </w:t>
      </w:r>
      <w:r w:rsidR="00A32418">
        <w:rPr>
          <w:rFonts w:ascii="Myriad Pro" w:eastAsia="Calibri" w:hAnsi="Myriad Pro" w:cs="Times New Roman"/>
          <w:b/>
          <w:bCs/>
          <w:noProof/>
          <w:sz w:val="20"/>
          <w:szCs w:val="20"/>
        </w:rPr>
        <w:t xml:space="preserve">   </w:t>
      </w:r>
      <w:r w:rsidR="005A41AB">
        <w:rPr>
          <w:rFonts w:ascii="Myriad Pro" w:eastAsia="Calibri" w:hAnsi="Myriad Pro" w:cs="Times New Roman"/>
          <w:b/>
          <w:bCs/>
          <w:noProof/>
          <w:sz w:val="20"/>
          <w:szCs w:val="20"/>
        </w:rPr>
        <w:t xml:space="preserve"> </w:t>
      </w:r>
      <w:r>
        <w:rPr>
          <w:rFonts w:ascii="Myriad Pro" w:eastAsia="Calibri" w:hAnsi="Myriad Pro" w:cs="Times New Roman"/>
          <w:b/>
          <w:bCs/>
          <w:noProof/>
          <w:sz w:val="20"/>
          <w:szCs w:val="20"/>
        </w:rPr>
        <w:t xml:space="preserve"> </w:t>
      </w:r>
      <w:r w:rsidR="005A41AB">
        <w:rPr>
          <w:rFonts w:ascii="Myriad Pro" w:eastAsia="Calibri" w:hAnsi="Myriad Pro" w:cs="Times New Roman"/>
          <w:b/>
          <w:bCs/>
          <w:noProof/>
          <w:sz w:val="20"/>
          <w:szCs w:val="20"/>
        </w:rPr>
        <w:t xml:space="preserve"> </w:t>
      </w:r>
      <w:r w:rsidRPr="00681BBC">
        <w:rPr>
          <w:noProof/>
        </w:rPr>
        <w:drawing>
          <wp:inline distT="0" distB="0" distL="0" distR="0" wp14:anchorId="7B37002F" wp14:editId="49038DFB">
            <wp:extent cx="2772000" cy="2271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72000" cy="2271600"/>
                    </a:xfrm>
                    <a:prstGeom prst="rect">
                      <a:avLst/>
                    </a:prstGeom>
                    <a:noFill/>
                    <a:ln>
                      <a:noFill/>
                    </a:ln>
                  </pic:spPr>
                </pic:pic>
              </a:graphicData>
            </a:graphic>
          </wp:inline>
        </w:drawing>
      </w:r>
    </w:p>
    <w:p w14:paraId="617DF4BF" w14:textId="649FC14B" w:rsidR="00E573A4" w:rsidRPr="005A41AB" w:rsidRDefault="004526C7" w:rsidP="005A41AB">
      <w:pPr>
        <w:pStyle w:val="VirUMAR"/>
      </w:pPr>
      <w:r w:rsidRPr="005A41AB">
        <w:t xml:space="preserve">Vir: </w:t>
      </w:r>
      <w:r w:rsidRPr="005A41AB">
        <w:fldChar w:fldCharType="begin"/>
      </w:r>
      <w:r w:rsidRPr="005A41AB">
        <w:instrText xml:space="preserve"> ADDIN ZOTERO_ITEM CSL_CITATION {"citationID":"kqQdK8G1","properties":{"formattedCitation":"(Eurostat, 2023)","plainCitation":"(Eurostat, 2023)","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5A41AB">
        <w:fldChar w:fldCharType="separate"/>
      </w:r>
      <w:r w:rsidRPr="005A41AB">
        <w:t xml:space="preserve">Eurostat </w:t>
      </w:r>
      <w:r w:rsidR="00C72B6E">
        <w:t>(</w:t>
      </w:r>
      <w:r w:rsidRPr="005A41AB">
        <w:t>2023)</w:t>
      </w:r>
      <w:r w:rsidRPr="005A41AB">
        <w:fldChar w:fldCharType="end"/>
      </w:r>
      <w:r w:rsidR="00C72B6E">
        <w:t>.</w:t>
      </w:r>
    </w:p>
    <w:p w14:paraId="633C76E0" w14:textId="6C8424F3" w:rsidR="005E1891" w:rsidRDefault="005E1891" w:rsidP="002A27A0">
      <w:pPr>
        <w:pStyle w:val="VirUMAR"/>
      </w:pPr>
    </w:p>
    <w:p w14:paraId="248A774A" w14:textId="77777777" w:rsidR="002A27A0" w:rsidRPr="004526C7" w:rsidRDefault="002A27A0" w:rsidP="002A27A0">
      <w:pPr>
        <w:pStyle w:val="VirUMAR"/>
      </w:pPr>
      <w:bookmarkStart w:id="16" w:name="_GoBack"/>
      <w:bookmarkEnd w:id="16"/>
    </w:p>
    <w:p w14:paraId="18B90097" w14:textId="6710083B" w:rsidR="00411076" w:rsidRDefault="004526C7" w:rsidP="005A41AB">
      <w:pPr>
        <w:pStyle w:val="BesediloUMAR"/>
      </w:pPr>
      <w:r w:rsidRPr="005A41AB">
        <w:rPr>
          <w:b/>
        </w:rPr>
        <w:t>Možnosti vključevanj</w:t>
      </w:r>
      <w:r w:rsidR="00713D6E">
        <w:rPr>
          <w:b/>
        </w:rPr>
        <w:t>a</w:t>
      </w:r>
      <w:r w:rsidRPr="005A41AB">
        <w:rPr>
          <w:b/>
        </w:rPr>
        <w:t xml:space="preserve"> </w:t>
      </w:r>
      <w:r w:rsidR="0062054C" w:rsidRPr="005A41AB">
        <w:rPr>
          <w:b/>
        </w:rPr>
        <w:t xml:space="preserve">starejših </w:t>
      </w:r>
      <w:r w:rsidRPr="005A41AB">
        <w:rPr>
          <w:b/>
        </w:rPr>
        <w:t xml:space="preserve">v družbo še vedno zmanjšuje </w:t>
      </w:r>
      <w:r w:rsidR="00B56987">
        <w:rPr>
          <w:b/>
        </w:rPr>
        <w:t>razmeroma</w:t>
      </w:r>
      <w:r w:rsidR="00820007">
        <w:rPr>
          <w:b/>
        </w:rPr>
        <w:t xml:space="preserve"> </w:t>
      </w:r>
      <w:r w:rsidRPr="005A41AB">
        <w:rPr>
          <w:b/>
        </w:rPr>
        <w:t>visoko tveganje revščine med starejšimi, še posebej ženskami</w:t>
      </w:r>
      <w:r w:rsidR="009E7877" w:rsidRPr="005A41AB">
        <w:rPr>
          <w:b/>
        </w:rPr>
        <w:t>.</w:t>
      </w:r>
      <w:r w:rsidR="009E7877">
        <w:rPr>
          <w:rStyle w:val="BoldpoudarekUMAR"/>
        </w:rPr>
        <w:t xml:space="preserve"> </w:t>
      </w:r>
      <w:r w:rsidRPr="00C809A8">
        <w:t>Stopnja tveganja revščine starejših od 65 let se je leta 2021 (upoštevani dohodki leta 2020) v Sloveniji znižala na 17,1</w:t>
      </w:r>
      <w:r w:rsidR="0062054C">
        <w:t> </w:t>
      </w:r>
      <w:r w:rsidRPr="00C809A8">
        <w:t>%, a je ostala nekoliko nad povprečjem EU (16,8 %) predvsem zaradi nadpovprečne stopnje tveganja revščine med starejšimi ženskami, ki je v Sloveniji znašala 20,6 %</w:t>
      </w:r>
      <w:r w:rsidR="00B36639">
        <w:t xml:space="preserve"> </w:t>
      </w:r>
      <w:r w:rsidRPr="00C809A8">
        <w:t xml:space="preserve">(EU: 19,1 %). </w:t>
      </w:r>
      <w:r w:rsidR="0062054C">
        <w:t xml:space="preserve">Sicer se </w:t>
      </w:r>
      <w:r w:rsidR="00BC3A8C">
        <w:t xml:space="preserve">je </w:t>
      </w:r>
      <w:r w:rsidR="003A7EE3">
        <w:t xml:space="preserve">tudi </w:t>
      </w:r>
      <w:r w:rsidR="0062054C" w:rsidRPr="00C809A8">
        <w:t>stopnja tveganj</w:t>
      </w:r>
      <w:r w:rsidR="0062054C">
        <w:t>a</w:t>
      </w:r>
      <w:r w:rsidR="0062054C" w:rsidRPr="00C809A8">
        <w:t xml:space="preserve"> revščine starejših žensk </w:t>
      </w:r>
      <w:r w:rsidR="0062054C">
        <w:t>v</w:t>
      </w:r>
      <w:r w:rsidRPr="00C809A8">
        <w:t xml:space="preserve"> obdobju 2015</w:t>
      </w:r>
      <w:r w:rsidR="00BC3A8C">
        <w:t>–</w:t>
      </w:r>
      <w:r w:rsidRPr="00C809A8">
        <w:t>2021 nekoliko znižala.</w:t>
      </w:r>
    </w:p>
    <w:p w14:paraId="46FC1087" w14:textId="5AAC2F04" w:rsidR="00411076" w:rsidRDefault="005A41AB" w:rsidP="005A41AB">
      <w:pPr>
        <w:pStyle w:val="Caption"/>
      </w:pPr>
      <w:r w:rsidRPr="005A41AB">
        <w:t xml:space="preserve">Slika </w:t>
      </w:r>
      <w:r w:rsidRPr="005A41AB">
        <w:fldChar w:fldCharType="begin"/>
      </w:r>
      <w:r w:rsidRPr="005A41AB">
        <w:instrText xml:space="preserve"> SEQ Slika \* ARABIC </w:instrText>
      </w:r>
      <w:r w:rsidRPr="005A41AB">
        <w:fldChar w:fldCharType="separate"/>
      </w:r>
      <w:r>
        <w:t>22</w:t>
      </w:r>
      <w:r w:rsidRPr="005A41AB">
        <w:fldChar w:fldCharType="end"/>
      </w:r>
      <w:r w:rsidR="00411076" w:rsidRPr="005A41AB">
        <w:t>: Stopnja tveganja revščine žen</w:t>
      </w:r>
      <w:r w:rsidR="005E1891" w:rsidRPr="005A41AB">
        <w:t>s</w:t>
      </w:r>
      <w:r w:rsidR="00411076" w:rsidRPr="005A41AB">
        <w:t>k, starejših od 65 let, leta 2021</w:t>
      </w:r>
    </w:p>
    <w:p w14:paraId="31AD15A9" w14:textId="0B32EFD1" w:rsidR="00E573A4" w:rsidRDefault="005C0307" w:rsidP="005A41AB">
      <w:pPr>
        <w:pStyle w:val="BesediloUMAR"/>
      </w:pPr>
      <w:r w:rsidRPr="005C0307">
        <w:rPr>
          <w:noProof/>
        </w:rPr>
        <w:drawing>
          <wp:inline distT="0" distB="0" distL="0" distR="0" wp14:anchorId="64FF480C" wp14:editId="344D7762">
            <wp:extent cx="5759450" cy="2088846"/>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9450" cy="2088846"/>
                    </a:xfrm>
                    <a:prstGeom prst="rect">
                      <a:avLst/>
                    </a:prstGeom>
                    <a:noFill/>
                    <a:ln>
                      <a:noFill/>
                    </a:ln>
                  </pic:spPr>
                </pic:pic>
              </a:graphicData>
            </a:graphic>
          </wp:inline>
        </w:drawing>
      </w:r>
    </w:p>
    <w:p w14:paraId="303E07A8" w14:textId="0F4083AD" w:rsidR="00C602DA" w:rsidRDefault="00C602DA" w:rsidP="005A41AB">
      <w:pPr>
        <w:pStyle w:val="VirUMAR"/>
      </w:pPr>
      <w:r>
        <w:t>Vir:</w:t>
      </w:r>
      <w:r w:rsidR="00B36639">
        <w:t xml:space="preserve"> </w:t>
      </w:r>
      <w:r>
        <w:fldChar w:fldCharType="begin"/>
      </w:r>
      <w:r>
        <w:instrText xml:space="preserve"> ADDIN ZOTERO_ITEM CSL_CITATION {"citationID":"kRDfl6uU","properties":{"formattedCitation":"(Eurostat, 2023)","plainCitation":"(Eurostat, 2023)","noteIndex":0},"citationItems":[{"id":3713,"uris":["http://zotero.org/users/8351010/items/LEDCKEFD"],"itemData":{"id":3713,"type":"report","title":"Database","URL":"https://ec.europa.eu/eurostat/data/database","author":[{"literal":"Eurostat"}],"issued":{"date-parts":[["2023"]]}}}],"schema":"https://github.com/citation-style-language/schema/raw/master/csl-citation.json"} </w:instrText>
      </w:r>
      <w:r>
        <w:fldChar w:fldCharType="separate"/>
      </w:r>
      <w:r w:rsidRPr="00C602DA">
        <w:t>Eurostat</w:t>
      </w:r>
      <w:r w:rsidR="000F7579">
        <w:t xml:space="preserve"> (</w:t>
      </w:r>
      <w:r w:rsidRPr="00C602DA">
        <w:t>2023)</w:t>
      </w:r>
      <w:r>
        <w:fldChar w:fldCharType="end"/>
      </w:r>
      <w:r w:rsidR="00C15367">
        <w:t>.</w:t>
      </w:r>
    </w:p>
    <w:p w14:paraId="28266773" w14:textId="77519F73" w:rsidR="00C602DA" w:rsidRPr="005A41AB" w:rsidRDefault="00C602DA" w:rsidP="005A41AB">
      <w:pPr>
        <w:pStyle w:val="Heading1"/>
      </w:pPr>
      <w:r w:rsidRPr="005A41AB">
        <w:lastRenderedPageBreak/>
        <w:t xml:space="preserve">Oblikovanje okolja za aktivno staranje </w:t>
      </w:r>
    </w:p>
    <w:p w14:paraId="645B6B56" w14:textId="77777777" w:rsidR="00C602DA" w:rsidRDefault="00C602DA" w:rsidP="005A41AB">
      <w:pPr>
        <w:pStyle w:val="BesediloUMAR"/>
      </w:pPr>
    </w:p>
    <w:p w14:paraId="5254DD17" w14:textId="407DCD48" w:rsidR="004B7532" w:rsidRDefault="004B7532" w:rsidP="005A41AB">
      <w:pPr>
        <w:pStyle w:val="BesediloUMAR"/>
      </w:pPr>
      <w:r w:rsidRPr="005A41AB">
        <w:rPr>
          <w:b/>
        </w:rPr>
        <w:t>M</w:t>
      </w:r>
      <w:r w:rsidR="00C602DA" w:rsidRPr="005A41AB">
        <w:rPr>
          <w:b/>
        </w:rPr>
        <w:t xml:space="preserve">ed odzivi na spremenjeno </w:t>
      </w:r>
      <w:r w:rsidR="00C602DA" w:rsidRPr="00264870">
        <w:rPr>
          <w:b/>
        </w:rPr>
        <w:t xml:space="preserve">starostno strukturo prebivalstva </w:t>
      </w:r>
      <w:r w:rsidRPr="00264870">
        <w:rPr>
          <w:b/>
        </w:rPr>
        <w:t xml:space="preserve">je pomembno </w:t>
      </w:r>
      <w:r w:rsidR="00C602DA" w:rsidRPr="00264870">
        <w:rPr>
          <w:b/>
        </w:rPr>
        <w:t>tudi</w:t>
      </w:r>
      <w:r w:rsidR="00C602DA" w:rsidRPr="005A41AB">
        <w:rPr>
          <w:b/>
        </w:rPr>
        <w:t xml:space="preserve"> </w:t>
      </w:r>
      <w:r w:rsidRPr="005A41AB">
        <w:rPr>
          <w:b/>
        </w:rPr>
        <w:t>(pre)</w:t>
      </w:r>
      <w:r w:rsidR="00C602DA" w:rsidRPr="005A41AB">
        <w:rPr>
          <w:b/>
        </w:rPr>
        <w:t>oblikovanje gospodarskega in družbenega okolja ter bivaln</w:t>
      </w:r>
      <w:r w:rsidRPr="005A41AB">
        <w:rPr>
          <w:b/>
        </w:rPr>
        <w:t>ih</w:t>
      </w:r>
      <w:r w:rsidR="00C602DA" w:rsidRPr="005A41AB">
        <w:rPr>
          <w:b/>
        </w:rPr>
        <w:t xml:space="preserve"> pogoje</w:t>
      </w:r>
      <w:r w:rsidRPr="005A41AB">
        <w:rPr>
          <w:b/>
        </w:rPr>
        <w:t>v</w:t>
      </w:r>
      <w:r w:rsidR="00C602DA" w:rsidRPr="005A41AB">
        <w:rPr>
          <w:b/>
        </w:rPr>
        <w:t>.</w:t>
      </w:r>
      <w:r w:rsidR="00C602DA" w:rsidRPr="00273F43">
        <w:t xml:space="preserve"> Gospodarsko in družbeno okolje mora upoštevati potrebe vseh generacij ter starejšim omogočati samostojno in aktivno življenje. Poleg prilagoditev v gospodarstvu so ključne prilagoditve bivalnih razmer in prometne infrastrukture, ki čedalje bolj vključujejo napredne tehnološke rešitve. </w:t>
      </w:r>
      <w:r>
        <w:rPr>
          <w:szCs w:val="19"/>
        </w:rPr>
        <w:t>V</w:t>
      </w:r>
      <w:r w:rsidRPr="005F68C8">
        <w:t xml:space="preserve"> nadaljevanju izpostavljamo</w:t>
      </w:r>
      <w:r>
        <w:t xml:space="preserve"> </w:t>
      </w:r>
      <w:r w:rsidRPr="005F68C8">
        <w:t>stanje na področju lastništva stanovanj in bivalnih razmer, merjeno s stopnjo stanovanjske prikrajšanosti</w:t>
      </w:r>
      <w:r w:rsidR="007C7A54">
        <w:t>,</w:t>
      </w:r>
      <w:r w:rsidRPr="005F68C8">
        <w:t xml:space="preserve"> ter področje dolgotrajne oskrbe</w:t>
      </w:r>
      <w:r>
        <w:t xml:space="preserve"> na domu.</w:t>
      </w:r>
    </w:p>
    <w:p w14:paraId="0D96285C" w14:textId="77777777" w:rsidR="004B7532" w:rsidRPr="005A41AB" w:rsidRDefault="004B7532" w:rsidP="005A41AB">
      <w:pPr>
        <w:pStyle w:val="BesediloUMAR"/>
      </w:pPr>
    </w:p>
    <w:p w14:paraId="6565B5FA" w14:textId="022C1C4E" w:rsidR="00C602DA" w:rsidRPr="005A41AB" w:rsidRDefault="00273F43" w:rsidP="005A41AB">
      <w:pPr>
        <w:pStyle w:val="BesediloUMAR"/>
      </w:pPr>
      <w:r w:rsidRPr="005A41AB">
        <w:rPr>
          <w:rStyle w:val="BoldpoudarekUMAR"/>
        </w:rPr>
        <w:t>Varno in primerno stanovanje predstavlja eno temeljnih človekovih pravic, saj neustrezni bivalni pogoji vplivajo na slabšo kakovost življenja in zdravja.</w:t>
      </w:r>
      <w:r w:rsidRPr="005A41AB">
        <w:t xml:space="preserve"> </w:t>
      </w:r>
      <w:r w:rsidR="004B7532" w:rsidRPr="005A41AB">
        <w:t xml:space="preserve">Stanovanjske razmere pa so pogosto odvisne od finančnega in socialnega položaja gospodinjstva. </w:t>
      </w:r>
      <w:r w:rsidRPr="005A41AB">
        <w:t xml:space="preserve">V stanovanjih v slabem stanju </w:t>
      </w:r>
      <w:r w:rsidR="004B7532" w:rsidRPr="005A41AB">
        <w:t xml:space="preserve">tako </w:t>
      </w:r>
      <w:r w:rsidRPr="005A41AB">
        <w:t>prevladujejo socialno šibka gospodinjstva brez finančnih sredstev za prenovo in vzdrževanje. V Sloveniji so slabe stanovanjske razmere predvsem posledica slabe kakovosti stanovanj, saj je stanovanjski fond star in slabo vzdrževan</w:t>
      </w:r>
      <w:r w:rsidRPr="00B36639">
        <w:rPr>
          <w:rStyle w:val="FootnoteReference"/>
        </w:rPr>
        <w:footnoteReference w:id="18"/>
      </w:r>
      <w:r w:rsidRPr="005A41AB">
        <w:t xml:space="preserve"> </w:t>
      </w:r>
      <w:r w:rsidR="008B4F50" w:rsidRPr="005A41AB">
        <w:fldChar w:fldCharType="begin"/>
      </w:r>
      <w:r w:rsidR="00365253" w:rsidRPr="005A41AB">
        <w:instrText xml:space="preserve"> ADDIN ZOTERO_ITEM CSL_CITATION {"citationID":"htm6a71D","properties":{"formattedCitation":"(Gregor\\uc0\\u269{}i\\uc0\\u269{}, M. in Kajzer,A.(ured,), 2021)","plainCitation":"(Gregorčič, M. in Kajzer,A.(ured,), 2021)","dontUpdate":true,"noteIndex":0},"citationItems":[{"id":3903,"uris":["http://zotero.org/users/8351010/items/GHFEQ7K8"],"itemData":{"id":3903,"type":"report","event-place":"Ljubljana","publisher":"Urad R Slovenije za makroekonomske analize in razvoj","publisher-place":"Ljubljana","title":"Evropski steber socialnih pravic, Slovenija 2000–2020","URL":"https://www.umar.gov.si/fileadmin/user_upload/publikacije/ESSP/2021/ESSP_splet.pdf","author":[{"literal":"Gregorčič, M. in Kajzer,A.(ured,)"}],"issued":{"date-parts":[["2021"]]}}}],"schema":"https://github.com/citation-style-language/schema/raw/master/csl-citation.json"} </w:instrText>
      </w:r>
      <w:r w:rsidR="008B4F50" w:rsidRPr="005A41AB">
        <w:fldChar w:fldCharType="separate"/>
      </w:r>
      <w:r w:rsidR="001116E9" w:rsidRPr="005A41AB">
        <w:t>(Gregorčič, M. in Kajzer, A.</w:t>
      </w:r>
      <w:r w:rsidR="00D7413F">
        <w:t xml:space="preserve"> </w:t>
      </w:r>
      <w:r w:rsidR="001116E9" w:rsidRPr="005A41AB">
        <w:t>(ured.), 2021)</w:t>
      </w:r>
      <w:r w:rsidR="008B4F50" w:rsidRPr="005A41AB">
        <w:fldChar w:fldCharType="end"/>
      </w:r>
      <w:r w:rsidR="001116E9" w:rsidRPr="005A41AB">
        <w:t xml:space="preserve">. </w:t>
      </w:r>
    </w:p>
    <w:p w14:paraId="0A03351B" w14:textId="77777777" w:rsidR="00C602DA" w:rsidRPr="005A41AB" w:rsidRDefault="00C602DA" w:rsidP="005A41AB">
      <w:pPr>
        <w:pStyle w:val="BesediloUMAR"/>
      </w:pPr>
    </w:p>
    <w:p w14:paraId="3818F4E5" w14:textId="3B3719E4" w:rsidR="00C602DA" w:rsidRPr="005A41AB" w:rsidRDefault="00C602DA" w:rsidP="005A41AB">
      <w:pPr>
        <w:pStyle w:val="BesediloUMAR"/>
      </w:pPr>
      <w:r w:rsidRPr="005A41AB">
        <w:rPr>
          <w:b/>
        </w:rPr>
        <w:t>V Sloveniji je delež lastnikov stanovanj med starejšimi od 50 let med v</w:t>
      </w:r>
      <w:r w:rsidR="00766A04">
        <w:rPr>
          <w:b/>
        </w:rPr>
        <w:t>ečjimi</w:t>
      </w:r>
      <w:r w:rsidRPr="005A41AB">
        <w:rPr>
          <w:b/>
        </w:rPr>
        <w:t xml:space="preserve"> v EU.</w:t>
      </w:r>
      <w:r w:rsidRPr="005A41AB">
        <w:t xml:space="preserve"> Po raziskavi SHARE je v Sloveniji leta 2020 znašal 85,6 % (povprečje vseh držav 75 %), najnižji je </w:t>
      </w:r>
      <w:r w:rsidR="00F069FD" w:rsidRPr="005A41AB">
        <w:t xml:space="preserve">bil </w:t>
      </w:r>
      <w:r w:rsidRPr="005A41AB">
        <w:t>na Švedkem</w:t>
      </w:r>
      <w:r w:rsidR="003A7EE3" w:rsidRPr="005A41AB">
        <w:t xml:space="preserve"> </w:t>
      </w:r>
      <w:r w:rsidR="009F16E1" w:rsidRPr="005A41AB">
        <w:t>(53,1</w:t>
      </w:r>
      <w:r w:rsidR="003A7EE3" w:rsidRPr="005A41AB">
        <w:t xml:space="preserve"> </w:t>
      </w:r>
      <w:r w:rsidR="009F16E1" w:rsidRPr="005A41AB">
        <w:t>%)</w:t>
      </w:r>
      <w:r w:rsidRPr="005A41AB">
        <w:t xml:space="preserve"> in najvišji v Bolgariji</w:t>
      </w:r>
      <w:r w:rsidR="00C73CAA">
        <w:t xml:space="preserve"> –</w:t>
      </w:r>
      <w:r w:rsidR="003378F3">
        <w:t xml:space="preserve"> </w:t>
      </w:r>
      <w:r w:rsidR="009F16E1" w:rsidRPr="005A41AB">
        <w:t>97,5</w:t>
      </w:r>
      <w:r w:rsidR="003A7EE3" w:rsidRPr="005A41AB">
        <w:t xml:space="preserve"> </w:t>
      </w:r>
      <w:r w:rsidR="009F16E1" w:rsidRPr="005A41AB">
        <w:t>%</w:t>
      </w:r>
      <w:r w:rsidRPr="005A41AB">
        <w:t xml:space="preserve"> </w:t>
      </w:r>
      <w:r w:rsidRPr="005A41AB">
        <w:fldChar w:fldCharType="begin"/>
      </w:r>
      <w:r w:rsidRPr="005A41AB">
        <w:instrText xml:space="preserve"> ADDIN ZOTERO_ITEM CSL_CITATION {"citationID":"BA22D70K","properties":{"formattedCitation":"(B\\uc0\\u246{}rsch-Supan, 2022)","plainCitation":"(Börsch-Supan, 2022)","noteIndex":0},"citationItems":[{"id":3680,"uris":["http://zotero.org/users/8351010/items/M7ZY58GK"],"itemData":{"id":3680,"type":"dataset","DOI":"10.6103/SHARE.W8.800","language":"en","publisher":"SHARE-ERIC","source":"DOI.org (Datacite)","title":"Survey of Health, Ageing and Retirement in Europe (SHARE) Wave 8","URL":"http://www.share-project.org/data-documentation/waves-overview/wave-8.html","version":"8.0.0","author":[{"family":"Börsch-Supan","given":"Axel"}],"accessed":{"date-parts":[["2023",1,17]]},"issued":{"date-parts":[["2022"]]}}}],"schema":"https://github.com/citation-style-language/schema/raw/master/csl-citation.json"} </w:instrText>
      </w:r>
      <w:r w:rsidRPr="005A41AB">
        <w:fldChar w:fldCharType="separate"/>
      </w:r>
      <w:r w:rsidRPr="005A41AB">
        <w:t>(Börsch-Supan, 2022)</w:t>
      </w:r>
      <w:r w:rsidRPr="005A41AB">
        <w:fldChar w:fldCharType="end"/>
      </w:r>
      <w:r w:rsidRPr="005A41AB">
        <w:t xml:space="preserve">. Za starejšo populacijo </w:t>
      </w:r>
      <w:r w:rsidR="009F16E1" w:rsidRPr="005A41AB">
        <w:t xml:space="preserve">v Sloveniji </w:t>
      </w:r>
      <w:r w:rsidRPr="005A41AB">
        <w:t>je torej značilen visok delež lastniških stanovanj in nadpovprečno visok delež starejših, ki živi</w:t>
      </w:r>
      <w:r w:rsidR="00CD3502">
        <w:t>jo</w:t>
      </w:r>
      <w:r w:rsidRPr="005A41AB">
        <w:t xml:space="preserve"> na kmetijah ali v samostojnih hišah. Precej nad povprečjem</w:t>
      </w:r>
      <w:r w:rsidR="00855703" w:rsidRPr="005A41AB">
        <w:t xml:space="preserve"> pa</w:t>
      </w:r>
      <w:r w:rsidRPr="005A41AB">
        <w:t xml:space="preserve"> je tudi stopnja stanovanjske prikrajšanosti</w:t>
      </w:r>
      <w:r w:rsidRPr="00B36639">
        <w:rPr>
          <w:rStyle w:val="FootnoteReference"/>
        </w:rPr>
        <w:footnoteReference w:id="19"/>
      </w:r>
      <w:r w:rsidRPr="005A41AB">
        <w:t xml:space="preserve"> starejših od 65 let. Takšno stanje lahko povzroča tudi: (i) problem prevelike stanovanjske potrošnje, ki starejše omejuje pri zadovoljevanju drugih potreb</w:t>
      </w:r>
      <w:r w:rsidR="00205270">
        <w:t>,</w:t>
      </w:r>
      <w:r w:rsidRPr="005A41AB">
        <w:t xml:space="preserve"> in (ii) visoke stroške zagotavljanja storitev oskrbe na domu, zaradi velike razpršenosti poseljenosti. Na drugi strani obstajajo tudi prednosti takega načina bivanja, predvsem v premoženju, ki ga predstavljajo lastniška stanovanja in ga je mogoče uporabiti za zagotavljanje socialne varnosti. Pri tem pa je treba upoštevati izrazito stanovanjsko nemobilnost</w:t>
      </w:r>
      <w:r w:rsidRPr="00A63FF1">
        <w:rPr>
          <w:rStyle w:val="FootnoteReference"/>
        </w:rPr>
        <w:footnoteReference w:id="20"/>
      </w:r>
      <w:r w:rsidRPr="005A41AB">
        <w:t xml:space="preserve"> starejših oziroma </w:t>
      </w:r>
      <w:r w:rsidR="004B5A95">
        <w:t>»</w:t>
      </w:r>
      <w:r w:rsidRPr="005A41AB">
        <w:t>navezanost</w:t>
      </w:r>
      <w:r w:rsidR="004B5A95">
        <w:t>«</w:t>
      </w:r>
      <w:r w:rsidRPr="005A41AB">
        <w:t xml:space="preserve"> na nepremičnine. Poleg tega primanjkuje neprofitnih najemnih stanovanj, </w:t>
      </w:r>
      <w:r w:rsidR="00C076A1">
        <w:t>težava</w:t>
      </w:r>
      <w:r w:rsidR="004B5A95">
        <w:t xml:space="preserve"> </w:t>
      </w:r>
      <w:r w:rsidRPr="005A41AB">
        <w:t xml:space="preserve">pa je pogosto tudi nizka tržna vrednost »stanovanjskega« premoženja starejših. </w:t>
      </w:r>
    </w:p>
    <w:p w14:paraId="669D2931" w14:textId="77777777" w:rsidR="00C602DA" w:rsidRPr="00BF0258" w:rsidRDefault="00C602DA" w:rsidP="005A41AB">
      <w:pPr>
        <w:pStyle w:val="BesediloUMAR"/>
      </w:pPr>
    </w:p>
    <w:p w14:paraId="36422F11" w14:textId="79CBE7A7" w:rsidR="00C602DA" w:rsidRPr="00D82CC7" w:rsidRDefault="00C602DA" w:rsidP="005A41AB">
      <w:pPr>
        <w:pStyle w:val="BesediloUMAR"/>
        <w:rPr>
          <w:rFonts w:cs="Arial"/>
        </w:rPr>
      </w:pPr>
      <w:r w:rsidRPr="005A41AB">
        <w:rPr>
          <w:rFonts w:cs="Arial"/>
          <w:b/>
        </w:rPr>
        <w:t>V Sloveniji je stopnja stanovanjske prikrajšanosti</w:t>
      </w:r>
      <w:r w:rsidRPr="005A41AB">
        <w:rPr>
          <w:rFonts w:cs="Arial"/>
          <w:b/>
          <w:vertAlign w:val="superscript"/>
        </w:rPr>
        <w:footnoteReference w:id="21"/>
      </w:r>
      <w:r w:rsidRPr="005A41AB">
        <w:rPr>
          <w:rFonts w:cs="Arial"/>
          <w:b/>
        </w:rPr>
        <w:t xml:space="preserve"> razmeroma visoka, še posebej med starejšimi.</w:t>
      </w:r>
      <w:r w:rsidRPr="00D82CC7">
        <w:rPr>
          <w:rFonts w:cs="Arial"/>
        </w:rPr>
        <w:t xml:space="preserve"> </w:t>
      </w:r>
      <w:r w:rsidRPr="00D82CC7">
        <w:t>Več kot petina prebivalstva je leta 2020 živela v slabem stanju stanovanja, kar je med največjimi deleži v EU.</w:t>
      </w:r>
      <w:r w:rsidRPr="00D82CC7">
        <w:rPr>
          <w:vertAlign w:val="superscript"/>
        </w:rPr>
        <w:footnoteReference w:id="22"/>
      </w:r>
      <w:r w:rsidRPr="00D82CC7">
        <w:t xml:space="preserve"> Glede na leto 2014 pa se je delež stanovanjsko prikrajšanih zmanjšal (za 9,1 o. t.) bistveno bolj kot v EU (1,6 o. t.), a </w:t>
      </w:r>
      <w:r w:rsidRPr="00BC0687">
        <w:t>ostaja</w:t>
      </w:r>
      <w:r w:rsidR="003D666E" w:rsidRPr="00BC0687">
        <w:t xml:space="preserve"> </w:t>
      </w:r>
      <w:r w:rsidR="00C63A93" w:rsidRPr="00BC0687">
        <w:t>(</w:t>
      </w:r>
      <w:r w:rsidRPr="00BC0687">
        <w:t>6,8 o. t.</w:t>
      </w:r>
      <w:r w:rsidR="00C63A93" w:rsidRPr="00771807">
        <w:t>)</w:t>
      </w:r>
      <w:r w:rsidRPr="00BC0687">
        <w:t xml:space="preserve"> nad</w:t>
      </w:r>
      <w:r w:rsidRPr="00D82CC7">
        <w:t xml:space="preserve"> povprečjem EU</w:t>
      </w:r>
      <w:r w:rsidR="00B36639">
        <w:t xml:space="preserve"> </w:t>
      </w:r>
      <w:r w:rsidR="003A7EE3">
        <w:t>(</w:t>
      </w:r>
      <w:r w:rsidR="00B36639">
        <w:t>g</w:t>
      </w:r>
      <w:r w:rsidR="003A7EE3">
        <w:t>l.</w:t>
      </w:r>
      <w:r w:rsidR="00C1460A">
        <w:t xml:space="preserve"> </w:t>
      </w:r>
      <w:r w:rsidR="003A7EE3">
        <w:t>slik</w:t>
      </w:r>
      <w:r w:rsidR="00D31D24">
        <w:t>o</w:t>
      </w:r>
      <w:r w:rsidR="003A7EE3">
        <w:t xml:space="preserve"> 23).</w:t>
      </w:r>
      <w:r w:rsidRPr="00D82CC7">
        <w:t xml:space="preserve"> </w:t>
      </w:r>
      <w:bookmarkStart w:id="17" w:name="_Hlk137123774"/>
      <w:r w:rsidRPr="00D82CC7">
        <w:t>Slovenija sodi med države z najvišjo stopnjo stanovanjske prikrajšanosti med starejšimi od 65 let, ki je v Sloveniji leta 2020 znašala 22,6</w:t>
      </w:r>
      <w:r w:rsidR="00C34320">
        <w:t xml:space="preserve"> </w:t>
      </w:r>
      <w:r w:rsidRPr="00D82CC7">
        <w:t>% (povprečje EU:</w:t>
      </w:r>
      <w:r w:rsidR="00C34320">
        <w:t xml:space="preserve"> </w:t>
      </w:r>
      <w:r w:rsidRPr="00D82CC7">
        <w:t>12,7 %)</w:t>
      </w:r>
      <w:r w:rsidR="00B36639">
        <w:t>.</w:t>
      </w:r>
    </w:p>
    <w:p w14:paraId="24147917" w14:textId="207ED70C" w:rsidR="009203C4" w:rsidRDefault="009203C4" w:rsidP="005A41AB">
      <w:pPr>
        <w:pStyle w:val="BesediloUMAR"/>
      </w:pPr>
      <w:r>
        <w:br w:type="page"/>
      </w:r>
    </w:p>
    <w:bookmarkEnd w:id="17"/>
    <w:p w14:paraId="40763FFF" w14:textId="233CF539" w:rsidR="00C602DA" w:rsidRPr="005A41AB" w:rsidRDefault="005A41AB" w:rsidP="005A41AB">
      <w:pPr>
        <w:pStyle w:val="Caption"/>
      </w:pPr>
      <w:r w:rsidRPr="006057C4">
        <w:lastRenderedPageBreak/>
        <w:t xml:space="preserve">Slika </w:t>
      </w:r>
      <w:r w:rsidRPr="006057C4">
        <w:fldChar w:fldCharType="begin"/>
      </w:r>
      <w:r w:rsidRPr="006057C4">
        <w:instrText xml:space="preserve"> SEQ Slika \* ARABIC </w:instrText>
      </w:r>
      <w:r w:rsidRPr="006057C4">
        <w:fldChar w:fldCharType="separate"/>
      </w:r>
      <w:r w:rsidRPr="006057C4">
        <w:t>23</w:t>
      </w:r>
      <w:r w:rsidRPr="006057C4">
        <w:fldChar w:fldCharType="end"/>
      </w:r>
      <w:r w:rsidR="00C602DA" w:rsidRPr="006057C4">
        <w:t xml:space="preserve">: Stopnja stanovanjske prikrajšanosti starejših od 65 let v državah EU </w:t>
      </w:r>
      <w:r w:rsidR="00485281" w:rsidRPr="006057C4">
        <w:t xml:space="preserve">leta </w:t>
      </w:r>
      <w:r w:rsidR="00C602DA" w:rsidRPr="006057C4">
        <w:t>2020 (levo) in gibanje stopnje v obdobju 2015</w:t>
      </w:r>
      <w:r w:rsidR="00480A95" w:rsidRPr="006057C4">
        <w:t>–</w:t>
      </w:r>
      <w:r w:rsidR="00C602DA" w:rsidRPr="006057C4">
        <w:t>2020 (desno)</w:t>
      </w:r>
    </w:p>
    <w:p w14:paraId="1381EEE8" w14:textId="71D6747C" w:rsidR="00C602DA" w:rsidRPr="006057C4" w:rsidRDefault="00CE24D3" w:rsidP="00CE24D3">
      <w:pPr>
        <w:pStyle w:val="VirUMAR"/>
        <w:rPr>
          <w:rStyle w:val="BesediloUMARChar"/>
        </w:rPr>
      </w:pPr>
      <w:r w:rsidRPr="00CE24D3">
        <w:rPr>
          <w:rStyle w:val="BesediloUMARChar"/>
          <w:noProof/>
        </w:rPr>
        <w:drawing>
          <wp:inline distT="0" distB="0" distL="0" distR="0" wp14:anchorId="40589B61" wp14:editId="4A9DE25E">
            <wp:extent cx="2768400" cy="226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8400" cy="2268000"/>
                    </a:xfrm>
                    <a:prstGeom prst="rect">
                      <a:avLst/>
                    </a:prstGeom>
                    <a:noFill/>
                    <a:ln>
                      <a:noFill/>
                    </a:ln>
                  </pic:spPr>
                </pic:pic>
              </a:graphicData>
            </a:graphic>
          </wp:inline>
        </w:drawing>
      </w:r>
      <w:r>
        <w:rPr>
          <w:rStyle w:val="BesediloUMARChar"/>
        </w:rPr>
        <w:t xml:space="preserve">         </w:t>
      </w:r>
      <w:r w:rsidRPr="00CE24D3">
        <w:rPr>
          <w:rStyle w:val="BesediloUMARChar"/>
          <w:noProof/>
        </w:rPr>
        <w:drawing>
          <wp:inline distT="0" distB="0" distL="0" distR="0" wp14:anchorId="281DBEF2" wp14:editId="6CE6A617">
            <wp:extent cx="2772000" cy="2264400"/>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72000" cy="2264400"/>
                    </a:xfrm>
                    <a:prstGeom prst="rect">
                      <a:avLst/>
                    </a:prstGeom>
                    <a:noFill/>
                    <a:ln>
                      <a:noFill/>
                    </a:ln>
                  </pic:spPr>
                </pic:pic>
              </a:graphicData>
            </a:graphic>
          </wp:inline>
        </w:drawing>
      </w:r>
    </w:p>
    <w:bookmarkStart w:id="18" w:name="_Hlk123908966"/>
    <w:p w14:paraId="7AB708E1" w14:textId="25D5E11C" w:rsidR="00C602DA" w:rsidRPr="004F3647" w:rsidRDefault="00C602DA" w:rsidP="00CE24D3">
      <w:pPr>
        <w:pStyle w:val="VirUMAR"/>
      </w:pPr>
      <w:r w:rsidRPr="006057C4">
        <w:fldChar w:fldCharType="begin"/>
      </w:r>
      <w:r w:rsidRPr="006057C4">
        <w:instrText xml:space="preserve"> ADDIN ZOTERO_ITEM CSL_CITATION {"citationID":"tsKZQfRu","properties":{"formattedCitation":"(Eurostat, 2023)","plainCitation":"(Eurostat, 2023)","dontUpdate":true,"noteIndex":0},"citationItems":[{"id":3713,"uris":["http://zotero.org/users/8351010/items/LEDCKEFD"],"itemData":{"id":3713,"type":"report","title":"Database","URL":"https://ec.europa.eu/eurostat/data/database","author":[{"literal":"Eurostat"}],"issued":{"date-parts":[["2023"]]}}}],"schema":"https://github.com/citation-style-language/schema/raw/master/csl-citation.json"} </w:instrText>
      </w:r>
      <w:r w:rsidRPr="006057C4">
        <w:fldChar w:fldCharType="separate"/>
      </w:r>
      <w:r w:rsidRPr="006057C4">
        <w:t>Vir: Eurostat</w:t>
      </w:r>
      <w:r w:rsidR="00D55BC3">
        <w:t xml:space="preserve"> (</w:t>
      </w:r>
      <w:r w:rsidRPr="006057C4">
        <w:t>2023</w:t>
      </w:r>
      <w:r w:rsidRPr="006057C4">
        <w:fldChar w:fldCharType="end"/>
      </w:r>
      <w:r w:rsidR="00D55BC3">
        <w:t>)</w:t>
      </w:r>
      <w:r w:rsidR="00A93BEB">
        <w:t>.</w:t>
      </w:r>
    </w:p>
    <w:p w14:paraId="7CBA71B4" w14:textId="77777777" w:rsidR="005A41AB" w:rsidRPr="005A41AB" w:rsidRDefault="005A41AB" w:rsidP="005A41AB">
      <w:pPr>
        <w:pStyle w:val="BesediloUMAR"/>
      </w:pPr>
    </w:p>
    <w:p w14:paraId="5E4ED9CA" w14:textId="728E310D" w:rsidR="00C602DA" w:rsidRPr="005A41AB" w:rsidRDefault="00C602DA" w:rsidP="005A41AB">
      <w:pPr>
        <w:pStyle w:val="BesediloUMAR"/>
      </w:pPr>
      <w:r w:rsidRPr="005A41AB">
        <w:rPr>
          <w:b/>
        </w:rPr>
        <w:t>Večina starejših želi v starosti živeti v domačem okolju, vendar je sistem dolgotrajne oskrbe na domu v Sloveniji premalo razvit.</w:t>
      </w:r>
      <w:r w:rsidRPr="005A41AB">
        <w:t xml:space="preserve"> Delež starejših od 65 let, ki so prejemniki dolgotrajne oskrbe</w:t>
      </w:r>
      <w:r w:rsidR="002D4122">
        <w:t xml:space="preserve"> (DO)</w:t>
      </w:r>
      <w:r w:rsidRPr="005A41AB">
        <w:t xml:space="preserve"> na domu, se je v obdobju 2015</w:t>
      </w:r>
      <w:r w:rsidR="00075F43">
        <w:t>–</w:t>
      </w:r>
      <w:r w:rsidRPr="005A41AB">
        <w:t>2019 le skromno povečal.</w:t>
      </w:r>
      <w:r w:rsidRPr="00B36639">
        <w:rPr>
          <w:rStyle w:val="FootnoteReference"/>
        </w:rPr>
        <w:footnoteReference w:id="23"/>
      </w:r>
      <w:r w:rsidRPr="005A41AB">
        <w:t xml:space="preserve"> Na drugi strani se je delež starejših od 65 let, ki prejemajo </w:t>
      </w:r>
      <w:r w:rsidR="00075F43">
        <w:t xml:space="preserve">dolgotrajno oskrbo </w:t>
      </w:r>
      <w:r w:rsidRPr="005A41AB">
        <w:t>v institucijah</w:t>
      </w:r>
      <w:r w:rsidR="00B11E3C">
        <w:t>,</w:t>
      </w:r>
      <w:r w:rsidRPr="005A41AB">
        <w:t xml:space="preserve"> nekoliko zmanjšal (</w:t>
      </w:r>
      <w:r w:rsidR="004C15D7" w:rsidRPr="005A41AB">
        <w:t xml:space="preserve">s </w:t>
      </w:r>
      <w:r w:rsidRPr="005A41AB">
        <w:t>4,9 % leta 2015 na 4,6 % leta 2019). Pomanjkanje formalnih storitev DO nadomeščajo neformalni oskrbovalci, katerih število narašča. Po podatkih raziskave SHARE se je delež starejših od 50 let, ki nudijo neformalno oskrbo</w:t>
      </w:r>
      <w:r w:rsidR="00856A79">
        <w:t>,</w:t>
      </w:r>
      <w:r w:rsidRPr="005A41AB">
        <w:t xml:space="preserve"> povečal </w:t>
      </w:r>
      <w:r w:rsidR="004C15D7" w:rsidRPr="005A41AB">
        <w:t>s</w:t>
      </w:r>
      <w:r w:rsidRPr="005A41AB">
        <w:t xml:space="preserve"> 14,9</w:t>
      </w:r>
      <w:r w:rsidR="009E7877" w:rsidRPr="005A41AB">
        <w:t xml:space="preserve"> </w:t>
      </w:r>
      <w:r w:rsidRPr="005A41AB">
        <w:t>% leta 2013 na 22,8</w:t>
      </w:r>
      <w:r w:rsidR="009E7877" w:rsidRPr="005A41AB">
        <w:t xml:space="preserve"> </w:t>
      </w:r>
      <w:r w:rsidRPr="005A41AB">
        <w:t>% leta 2020.</w:t>
      </w:r>
      <w:bookmarkEnd w:id="18"/>
      <w:r w:rsidRPr="005A41AB">
        <w:t xml:space="preserve"> </w:t>
      </w:r>
      <w:bookmarkStart w:id="19" w:name="_Hlk137123709"/>
      <w:r w:rsidRPr="005A41AB">
        <w:t>Po deležu starejših od 65 let, ki živijo doma in imajo neizpolnjen</w:t>
      </w:r>
      <w:r w:rsidR="004C15D7" w:rsidRPr="005A41AB">
        <w:t>e</w:t>
      </w:r>
      <w:r w:rsidRPr="005A41AB">
        <w:t xml:space="preserve"> potreb</w:t>
      </w:r>
      <w:r w:rsidR="004C15D7" w:rsidRPr="005A41AB">
        <w:t>e</w:t>
      </w:r>
      <w:r w:rsidRPr="005A41AB">
        <w:t xml:space="preserve"> po dolgotrajni oskrbi</w:t>
      </w:r>
      <w:r w:rsidR="00E80B1B">
        <w:t>,</w:t>
      </w:r>
      <w:r w:rsidRPr="005A41AB">
        <w:t xml:space="preserve"> pa Slovenija sodi med države z največjimi nezadovoljenimi potrebam</w:t>
      </w:r>
      <w:bookmarkEnd w:id="19"/>
      <w:r w:rsidRPr="005A41AB">
        <w:t>i</w:t>
      </w:r>
      <w:r w:rsidRPr="00B36639">
        <w:rPr>
          <w:rStyle w:val="FootnoteReference"/>
        </w:rPr>
        <w:footnoteReference w:id="24"/>
      </w:r>
      <w:r w:rsidRPr="005A41AB">
        <w:t xml:space="preserve"> </w:t>
      </w:r>
      <w:r w:rsidRPr="005A41AB">
        <w:fldChar w:fldCharType="begin"/>
      </w:r>
      <w:r w:rsidRPr="005A41AB">
        <w:instrText xml:space="preserve"> ADDIN ZOTERO_ITEM CSL_CITATION {"citationID":"NpLJllzj","properties":{"formattedCitation":"(B\\uc0\\u246{}rsch-Supan, 2022)","plainCitation":"(Börsch-Supan, 2022)","noteIndex":0},"citationItems":[{"id":3680,"uris":["http://zotero.org/users/8351010/items/M7ZY58GK"],"itemData":{"id":3680,"type":"dataset","DOI":"10.6103/SHARE.W8.800","language":"en","publisher":"SHARE-ERIC","source":"DOI.org (Datacite)","title":"Survey of Health, Ageing and Retirement in Europe (SHARE) Wave 8","URL":"http://www.share-project.org/data-documentation/waves-overview/wave-8.html","version":"8.0.0","author":[{"family":"Börsch-Supan","given":"Axel"}],"accessed":{"date-parts":[["2023",1,17]]},"issued":{"date-parts":[["2022"]]}}}],"schema":"https://github.com/citation-style-language/schema/raw/master/csl-citation.json"} </w:instrText>
      </w:r>
      <w:r w:rsidRPr="005A41AB">
        <w:fldChar w:fldCharType="separate"/>
      </w:r>
      <w:r w:rsidRPr="005A41AB">
        <w:t>(Börsch-Supan, 2022)</w:t>
      </w:r>
      <w:r w:rsidRPr="005A41AB">
        <w:fldChar w:fldCharType="end"/>
      </w:r>
      <w:r w:rsidRPr="005A41AB">
        <w:t>.</w:t>
      </w:r>
    </w:p>
    <w:p w14:paraId="120603A9" w14:textId="53FCC398" w:rsidR="00C602DA" w:rsidRPr="00A93BEB" w:rsidRDefault="005A41AB" w:rsidP="005A41AB">
      <w:pPr>
        <w:pStyle w:val="Caption"/>
        <w:jc w:val="left"/>
      </w:pPr>
      <w:r w:rsidRPr="00A93BEB">
        <w:t xml:space="preserve">Slika </w:t>
      </w:r>
      <w:r w:rsidRPr="00A93BEB">
        <w:fldChar w:fldCharType="begin"/>
      </w:r>
      <w:r w:rsidRPr="00A93BEB">
        <w:instrText xml:space="preserve"> SEQ Slika \* ARABIC </w:instrText>
      </w:r>
      <w:r w:rsidRPr="00A93BEB">
        <w:fldChar w:fldCharType="separate"/>
      </w:r>
      <w:r w:rsidRPr="00A93BEB">
        <w:t>24</w:t>
      </w:r>
      <w:r w:rsidRPr="00A93BEB">
        <w:fldChar w:fldCharType="end"/>
      </w:r>
      <w:r w:rsidR="00C602DA" w:rsidRPr="00A93BEB">
        <w:t>:</w:t>
      </w:r>
      <w:bookmarkStart w:id="20" w:name="_Hlk124349842"/>
      <w:r w:rsidR="00C602DA" w:rsidRPr="00A93BEB">
        <w:t xml:space="preserve"> Prejemniki dolgotrajne oskrbe na domu, delež v prebivalstvu 65 let in več</w:t>
      </w:r>
      <w:r w:rsidR="00282B2B" w:rsidRPr="00A93BEB">
        <w:t xml:space="preserve"> leta</w:t>
      </w:r>
      <w:r w:rsidR="00C602DA" w:rsidRPr="00A93BEB">
        <w:t xml:space="preserve"> 201</w:t>
      </w:r>
      <w:r w:rsidR="007118F9" w:rsidRPr="00A93BEB">
        <w:t>5</w:t>
      </w:r>
      <w:r w:rsidR="00C602DA" w:rsidRPr="00A93BEB">
        <w:t xml:space="preserve"> in 2020</w:t>
      </w:r>
    </w:p>
    <w:p w14:paraId="757B127B" w14:textId="6463F2B9" w:rsidR="00C602DA" w:rsidRPr="00CE24D3" w:rsidRDefault="00CE24D3" w:rsidP="00CE24D3">
      <w:pPr>
        <w:pStyle w:val="VirUMAR"/>
        <w:rPr>
          <w:sz w:val="22"/>
        </w:rPr>
      </w:pPr>
      <w:r w:rsidRPr="00CE24D3">
        <w:rPr>
          <w:rStyle w:val="BesediloUMARChar"/>
          <w:noProof/>
        </w:rPr>
        <w:drawing>
          <wp:inline distT="0" distB="0" distL="0" distR="0" wp14:anchorId="53A5B2BE" wp14:editId="5F0BD7D5">
            <wp:extent cx="5759450" cy="210213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59450" cy="2102137"/>
                    </a:xfrm>
                    <a:prstGeom prst="rect">
                      <a:avLst/>
                    </a:prstGeom>
                    <a:noFill/>
                    <a:ln>
                      <a:noFill/>
                    </a:ln>
                  </pic:spPr>
                </pic:pic>
              </a:graphicData>
            </a:graphic>
          </wp:inline>
        </w:drawing>
      </w:r>
      <w:bookmarkEnd w:id="20"/>
      <w:r w:rsidR="00C602DA" w:rsidRPr="00A93BEB">
        <w:t xml:space="preserve">Vir: </w:t>
      </w:r>
      <w:r w:rsidR="00C602DA" w:rsidRPr="00A93BEB">
        <w:fldChar w:fldCharType="begin"/>
      </w:r>
      <w:r w:rsidR="00C602DA" w:rsidRPr="00A93BEB">
        <w:instrText xml:space="preserve"> ADDIN ZOTERO_ITEM CSL_CITATION {"citationID":"V8tC9RdB","properties":{"formattedCitation":"(OECD, 2022)","plainCitation":"(OECD, 2022)","dontUpdate":true,"noteIndex":0},"citationItems":[{"id":3714,"uris":["http://zotero.org/users/8351010/items/NJREYQT9"],"itemData":{"id":3714,"type":"entry-dictionary","event-place":"Paris","publisher-place":"Paris","title":"Statistics","URL":"https://stats.oecd.org/","author":[{"literal":"OECD"}],"issued":{"date-parts":[["2022"]]}}}],"schema":"https://github.com/citation-style-language/schema/raw/master/csl-citation.json"} </w:instrText>
      </w:r>
      <w:r w:rsidR="00C602DA" w:rsidRPr="00A93BEB">
        <w:fldChar w:fldCharType="separate"/>
      </w:r>
      <w:r w:rsidR="00C602DA" w:rsidRPr="009E264E">
        <w:t>OECD (2022)</w:t>
      </w:r>
      <w:r w:rsidR="00C602DA" w:rsidRPr="00A93BEB">
        <w:fldChar w:fldCharType="end"/>
      </w:r>
      <w:r w:rsidR="009E264E">
        <w:t>.</w:t>
      </w:r>
      <w:r w:rsidR="00C602DA">
        <w:t xml:space="preserve"> </w:t>
      </w:r>
      <w:r w:rsidR="00C602DA" w:rsidRPr="00572701">
        <w:t>Opomba: za Slovenijo in Nizozemsko je podatek za leto 2019.</w:t>
      </w:r>
      <w:r w:rsidR="00C602DA">
        <w:rPr>
          <w:sz w:val="20"/>
          <w:szCs w:val="20"/>
        </w:rPr>
        <w:t xml:space="preserve"> </w:t>
      </w:r>
    </w:p>
    <w:p w14:paraId="4EE6EBDE" w14:textId="0349A11C" w:rsidR="00C602DA" w:rsidRPr="005A41AB" w:rsidRDefault="00F16357" w:rsidP="005A41AB">
      <w:pPr>
        <w:pStyle w:val="Heading1"/>
      </w:pPr>
      <w:bookmarkStart w:id="21" w:name="_Hlk143245054"/>
      <w:r w:rsidRPr="005A41AB">
        <w:lastRenderedPageBreak/>
        <w:t xml:space="preserve">Zaključek </w:t>
      </w:r>
    </w:p>
    <w:p w14:paraId="38344190" w14:textId="77777777" w:rsidR="008910F9" w:rsidRDefault="008910F9" w:rsidP="005A41AB">
      <w:pPr>
        <w:pStyle w:val="BesediloUMAR"/>
      </w:pPr>
    </w:p>
    <w:p w14:paraId="55C0820D" w14:textId="0C406430" w:rsidR="008910F9" w:rsidRPr="00A32418" w:rsidRDefault="008910F9" w:rsidP="005A41AB">
      <w:pPr>
        <w:pStyle w:val="BesediloUMAR"/>
        <w:rPr>
          <w:spacing w:val="-1"/>
        </w:rPr>
      </w:pPr>
      <w:r w:rsidRPr="00A32418">
        <w:rPr>
          <w:b/>
          <w:spacing w:val="-1"/>
        </w:rPr>
        <w:t>Intenzivne demografske spremembe, ki zahtevajo prilagajanje sistemov in družbe na številnih področjih</w:t>
      </w:r>
      <w:r w:rsidR="00EF6E2A" w:rsidRPr="00A32418">
        <w:rPr>
          <w:b/>
          <w:spacing w:val="-1"/>
        </w:rPr>
        <w:t>,</w:t>
      </w:r>
      <w:r w:rsidRPr="00A32418">
        <w:rPr>
          <w:b/>
          <w:spacing w:val="-1"/>
        </w:rPr>
        <w:t xml:space="preserve"> se v zadnjih šestih letih (od sprejetja </w:t>
      </w:r>
      <w:r w:rsidR="003A7EE3" w:rsidRPr="00A32418">
        <w:rPr>
          <w:b/>
          <w:spacing w:val="-1"/>
        </w:rPr>
        <w:t>SDD</w:t>
      </w:r>
      <w:r w:rsidRPr="00A32418">
        <w:rPr>
          <w:b/>
          <w:spacing w:val="-1"/>
        </w:rPr>
        <w:t>) nadaljujejo.</w:t>
      </w:r>
      <w:r w:rsidRPr="00A32418">
        <w:rPr>
          <w:spacing w:val="-1"/>
        </w:rPr>
        <w:t xml:space="preserve"> Delež prebivalstva</w:t>
      </w:r>
      <w:r w:rsidR="00DF5E0E" w:rsidRPr="00A32418">
        <w:rPr>
          <w:spacing w:val="-1"/>
        </w:rPr>
        <w:t>,</w:t>
      </w:r>
      <w:r w:rsidRPr="00A32418">
        <w:rPr>
          <w:spacing w:val="-1"/>
        </w:rPr>
        <w:t xml:space="preserve"> starejšega od 65 let</w:t>
      </w:r>
      <w:r w:rsidR="00DF5E0E" w:rsidRPr="00A32418">
        <w:rPr>
          <w:spacing w:val="-1"/>
        </w:rPr>
        <w:t>,</w:t>
      </w:r>
      <w:r w:rsidRPr="00A32418">
        <w:rPr>
          <w:spacing w:val="-1"/>
        </w:rPr>
        <w:t xml:space="preserve"> se je v obdobju 2015</w:t>
      </w:r>
      <w:r w:rsidR="00DF5E0E" w:rsidRPr="00A32418">
        <w:rPr>
          <w:spacing w:val="-1"/>
        </w:rPr>
        <w:t>–</w:t>
      </w:r>
      <w:r w:rsidRPr="00A32418">
        <w:rPr>
          <w:spacing w:val="-1"/>
        </w:rPr>
        <w:t>2022 precej povečal. Hkrati se je število prebivalcev v najbolj aktivni dobi (20</w:t>
      </w:r>
      <w:r w:rsidR="00DF5E0E" w:rsidRPr="00A32418">
        <w:rPr>
          <w:spacing w:val="-1"/>
        </w:rPr>
        <w:t>–</w:t>
      </w:r>
      <w:r w:rsidRPr="00A32418">
        <w:rPr>
          <w:spacing w:val="-1"/>
        </w:rPr>
        <w:t xml:space="preserve">64 let), ki predstavljajo potencialno delovno silo, precej zmanjšalo, kar je ob krepitvi gospodarske aktivnosti še zaostrilo </w:t>
      </w:r>
      <w:r w:rsidR="006A02BE" w:rsidRPr="00A32418">
        <w:rPr>
          <w:spacing w:val="-1"/>
        </w:rPr>
        <w:t xml:space="preserve">težavo </w:t>
      </w:r>
      <w:r w:rsidRPr="00A32418">
        <w:rPr>
          <w:spacing w:val="-1"/>
        </w:rPr>
        <w:t xml:space="preserve">pomanjkanja delovne sile. Demografske spremembe v smeri povečevanja deleža starejših </w:t>
      </w:r>
      <w:r w:rsidR="00D810E2" w:rsidRPr="00A32418">
        <w:rPr>
          <w:spacing w:val="-1"/>
        </w:rPr>
        <w:t xml:space="preserve">od </w:t>
      </w:r>
      <w:r w:rsidRPr="00A32418">
        <w:rPr>
          <w:spacing w:val="-1"/>
        </w:rPr>
        <w:t xml:space="preserve">65 let se bodo nadaljevale tudi v prihodnjih desetletjih. Za zagotavljanje kakovostnega življenja posameznikov v vseh življenjskih obdobjih je zato potrebno hitro in sistematično odzivanje na številnih področjih, ki jih izpostavlja SDD. </w:t>
      </w:r>
    </w:p>
    <w:p w14:paraId="554A04B0" w14:textId="77777777" w:rsidR="008910F9" w:rsidRPr="00630424" w:rsidRDefault="008910F9" w:rsidP="005A41AB">
      <w:pPr>
        <w:pStyle w:val="BesediloUMAR"/>
      </w:pPr>
    </w:p>
    <w:p w14:paraId="13A2B738" w14:textId="7AD079BA" w:rsidR="008910F9" w:rsidRDefault="008910F9" w:rsidP="005A41AB">
      <w:pPr>
        <w:pStyle w:val="BesediloUMAR"/>
      </w:pPr>
      <w:r w:rsidRPr="00630424">
        <w:rPr>
          <w:b/>
          <w:bCs/>
        </w:rPr>
        <w:t xml:space="preserve">Ob odsotnosti akcijskega načrta </w:t>
      </w:r>
      <w:r>
        <w:rPr>
          <w:b/>
          <w:bCs/>
        </w:rPr>
        <w:t xml:space="preserve">za izvedbo SDD </w:t>
      </w:r>
      <w:r w:rsidRPr="00630424">
        <w:rPr>
          <w:b/>
          <w:bCs/>
        </w:rPr>
        <w:t xml:space="preserve">v zadnjih </w:t>
      </w:r>
      <w:r>
        <w:rPr>
          <w:b/>
          <w:bCs/>
        </w:rPr>
        <w:t xml:space="preserve">šestih </w:t>
      </w:r>
      <w:r w:rsidRPr="00630424">
        <w:rPr>
          <w:b/>
          <w:bCs/>
        </w:rPr>
        <w:t xml:space="preserve">letih ni bilo načrtnega in celovitega ukrepanja za doseganje ciljev </w:t>
      </w:r>
      <w:r>
        <w:rPr>
          <w:b/>
          <w:bCs/>
        </w:rPr>
        <w:t>strategije</w:t>
      </w:r>
      <w:r w:rsidRPr="00630424">
        <w:rPr>
          <w:b/>
          <w:bCs/>
        </w:rPr>
        <w:t xml:space="preserve">. </w:t>
      </w:r>
      <w:r w:rsidRPr="001A2073">
        <w:t>Čeprav je SDD predvidevala</w:t>
      </w:r>
      <w:r>
        <w:t xml:space="preserve"> </w:t>
      </w:r>
      <w:r w:rsidRPr="001A2073">
        <w:t xml:space="preserve">pripravo akcijskih načrtov za izvedbo v roku </w:t>
      </w:r>
      <w:r w:rsidR="003D1009">
        <w:t xml:space="preserve">šestih </w:t>
      </w:r>
      <w:r w:rsidRPr="001A2073">
        <w:t>mes</w:t>
      </w:r>
      <w:r w:rsidR="003D1009">
        <w:t>e</w:t>
      </w:r>
      <w:r w:rsidRPr="001A2073">
        <w:t>cev p</w:t>
      </w:r>
      <w:r>
        <w:t>o</w:t>
      </w:r>
      <w:r w:rsidRPr="001A2073">
        <w:t xml:space="preserve"> sprejetju</w:t>
      </w:r>
      <w:r>
        <w:t>,</w:t>
      </w:r>
      <w:r w:rsidRPr="001A2073">
        <w:t xml:space="preserve"> </w:t>
      </w:r>
      <w:r>
        <w:t xml:space="preserve">doslej </w:t>
      </w:r>
      <w:r w:rsidR="00B741EC" w:rsidRPr="001A2073">
        <w:t xml:space="preserve">akcijski načrti </w:t>
      </w:r>
      <w:r w:rsidRPr="001A2073">
        <w:t>niso bili pripravljeni.</w:t>
      </w:r>
      <w:r>
        <w:t xml:space="preserve"> </w:t>
      </w:r>
      <w:r w:rsidRPr="00630424">
        <w:t>Pregled kazalnikov, s katerimi merimo stanje in spremembe na nekaterih področjih SDD, kaže na razvoj v želeni smeri le na nekaterih področjih,</w:t>
      </w:r>
      <w:r>
        <w:t xml:space="preserve"> na številnih drugih pa se je stanje zaostrilo, </w:t>
      </w:r>
      <w:r w:rsidRPr="00630424">
        <w:t xml:space="preserve">kar </w:t>
      </w:r>
      <w:r>
        <w:t xml:space="preserve">povezujemo </w:t>
      </w:r>
      <w:r w:rsidRPr="00630424">
        <w:t xml:space="preserve">z odsotnostjo sistematičnega in celovitega ukrepanja </w:t>
      </w:r>
      <w:r w:rsidR="00D21D8C">
        <w:t>ter</w:t>
      </w:r>
      <w:r w:rsidRPr="00630424">
        <w:t xml:space="preserve"> reform </w:t>
      </w:r>
      <w:r w:rsidR="00DC3029">
        <w:t xml:space="preserve">za dosego </w:t>
      </w:r>
      <w:r w:rsidRPr="00630424">
        <w:t>ciljev dolgožive družbe</w:t>
      </w:r>
      <w:r>
        <w:t>.</w:t>
      </w:r>
      <w:r>
        <w:rPr>
          <w:rStyle w:val="FootnoteReference"/>
          <w:szCs w:val="20"/>
        </w:rPr>
        <w:footnoteReference w:id="25"/>
      </w:r>
    </w:p>
    <w:p w14:paraId="645BACAB" w14:textId="77777777" w:rsidR="008910F9" w:rsidRPr="00630424" w:rsidRDefault="008910F9" w:rsidP="005A41AB">
      <w:pPr>
        <w:pStyle w:val="BesediloUMAR"/>
      </w:pPr>
    </w:p>
    <w:p w14:paraId="2BFC0758" w14:textId="77777777" w:rsidR="008910F9" w:rsidRPr="00C92438" w:rsidRDefault="008910F9" w:rsidP="005A41AB">
      <w:pPr>
        <w:pStyle w:val="BesediloUMAR"/>
        <w:rPr>
          <w:rFonts w:cs="Arial"/>
          <w:szCs w:val="20"/>
        </w:rPr>
      </w:pPr>
      <w:r>
        <w:rPr>
          <w:rFonts w:cs="Arial"/>
          <w:b/>
          <w:bCs/>
          <w:szCs w:val="20"/>
        </w:rPr>
        <w:t xml:space="preserve">Na področju trga dela in izobraževanja so bili kljub odsotnosti sistematičnega ukrepanja zabeleženi nekateri pozitivni trendi, vendar se je močno zaostril problem pomanjkanja delovne sile. </w:t>
      </w:r>
      <w:r w:rsidRPr="00F06491">
        <w:rPr>
          <w:rFonts w:cs="Arial"/>
          <w:szCs w:val="20"/>
        </w:rPr>
        <w:t>Postopno uveljavljanje pokojninske refo</w:t>
      </w:r>
      <w:r>
        <w:rPr>
          <w:rFonts w:cs="Arial"/>
          <w:szCs w:val="20"/>
        </w:rPr>
        <w:t>r</w:t>
      </w:r>
      <w:r w:rsidRPr="00F06491">
        <w:rPr>
          <w:rFonts w:cs="Arial"/>
          <w:szCs w:val="20"/>
        </w:rPr>
        <w:t>me iz leta 2013</w:t>
      </w:r>
      <w:r>
        <w:rPr>
          <w:rFonts w:cs="Arial"/>
          <w:szCs w:val="20"/>
        </w:rPr>
        <w:t xml:space="preserve"> </w:t>
      </w:r>
      <w:r w:rsidRPr="00F06491">
        <w:rPr>
          <w:rFonts w:cs="Arial"/>
          <w:szCs w:val="20"/>
        </w:rPr>
        <w:t>in povečevanje spodbud za daljše ostajanje v delovni aktivno</w:t>
      </w:r>
      <w:r>
        <w:rPr>
          <w:rFonts w:cs="Arial"/>
          <w:szCs w:val="20"/>
        </w:rPr>
        <w:t>s</w:t>
      </w:r>
      <w:r w:rsidRPr="00F06491">
        <w:rPr>
          <w:rFonts w:cs="Arial"/>
          <w:szCs w:val="20"/>
        </w:rPr>
        <w:t>ti je prispevalo k povečanju stopnje delovne aktivnosti starejših in s tem blažilo problem pomanjkanja delov</w:t>
      </w:r>
      <w:r>
        <w:rPr>
          <w:rFonts w:cs="Arial"/>
          <w:szCs w:val="20"/>
        </w:rPr>
        <w:t>n</w:t>
      </w:r>
      <w:r w:rsidRPr="00F06491">
        <w:rPr>
          <w:rFonts w:cs="Arial"/>
          <w:szCs w:val="20"/>
        </w:rPr>
        <w:t>e sile.</w:t>
      </w:r>
      <w:r>
        <w:rPr>
          <w:rFonts w:cs="Arial"/>
          <w:szCs w:val="20"/>
        </w:rPr>
        <w:t xml:space="preserve"> Delodajalci so ob pomanjkanju delovne sile povečali zaposlovanje tujcev, čeprav Slovenija ni imela celovite migracijske in integracijske politike, ki jo je med drugim predvidela SDD. Na področju </w:t>
      </w:r>
      <w:r w:rsidRPr="00630424">
        <w:rPr>
          <w:rFonts w:cs="Arial"/>
          <w:szCs w:val="20"/>
        </w:rPr>
        <w:t xml:space="preserve">vseživljenjskega učenja </w:t>
      </w:r>
      <w:r>
        <w:rPr>
          <w:rFonts w:cs="Arial"/>
          <w:szCs w:val="20"/>
        </w:rPr>
        <w:t>je prišlo v letu 2021 do pozitivnega preobrata</w:t>
      </w:r>
      <w:r w:rsidRPr="00630424">
        <w:rPr>
          <w:rFonts w:cs="Arial"/>
          <w:szCs w:val="20"/>
        </w:rPr>
        <w:t>,</w:t>
      </w:r>
      <w:r>
        <w:rPr>
          <w:rFonts w:cs="Arial"/>
          <w:szCs w:val="20"/>
        </w:rPr>
        <w:t xml:space="preserve"> ki je v veliki meri posledica razmaha izobraževanja in usposabljanja na daljavo ter prestavitve izvajanja določenih programov iz leta 2020 v leto 2021.</w:t>
      </w:r>
      <w:r w:rsidRPr="002C430D">
        <w:rPr>
          <w:rFonts w:cs="Arial"/>
          <w:szCs w:val="20"/>
        </w:rPr>
        <w:t xml:space="preserve"> </w:t>
      </w:r>
      <w:r w:rsidRPr="00630424">
        <w:rPr>
          <w:rFonts w:cs="Arial"/>
          <w:szCs w:val="20"/>
        </w:rPr>
        <w:t xml:space="preserve">Zaskrbljujoče pa </w:t>
      </w:r>
      <w:r>
        <w:rPr>
          <w:rFonts w:cs="Arial"/>
          <w:szCs w:val="20"/>
        </w:rPr>
        <w:t xml:space="preserve">je </w:t>
      </w:r>
      <w:r w:rsidRPr="00630424">
        <w:rPr>
          <w:rFonts w:cs="Arial"/>
          <w:szCs w:val="20"/>
        </w:rPr>
        <w:t xml:space="preserve">dejstvo, da je bil napredek </w:t>
      </w:r>
      <w:r>
        <w:rPr>
          <w:rFonts w:cs="Arial"/>
          <w:szCs w:val="20"/>
        </w:rPr>
        <w:t xml:space="preserve">na tem področju </w:t>
      </w:r>
      <w:r w:rsidRPr="00630424">
        <w:rPr>
          <w:rFonts w:cs="Arial"/>
          <w:szCs w:val="20"/>
        </w:rPr>
        <w:t>najmanjši pri starejših in pri nizko izobraženih</w:t>
      </w:r>
      <w:r>
        <w:rPr>
          <w:rFonts w:cs="Arial"/>
          <w:szCs w:val="20"/>
        </w:rPr>
        <w:t>.</w:t>
      </w:r>
    </w:p>
    <w:p w14:paraId="0454BC10" w14:textId="77777777" w:rsidR="005A41AB" w:rsidRDefault="005A41AB" w:rsidP="005A41AB">
      <w:pPr>
        <w:pStyle w:val="BesediloUMAR"/>
      </w:pPr>
    </w:p>
    <w:p w14:paraId="7EB29208" w14:textId="4308DFF1" w:rsidR="008910F9" w:rsidRDefault="008910F9" w:rsidP="005A41AB">
      <w:pPr>
        <w:pStyle w:val="BesediloUMAR"/>
        <w:rPr>
          <w:bCs/>
        </w:rPr>
      </w:pPr>
      <w:r w:rsidRPr="005A41AB">
        <w:rPr>
          <w:b/>
        </w:rPr>
        <w:t xml:space="preserve">Na področju zagotavljanja samostojnega, zdravega in varnega življenja vseh generacij so v zadnjih šestih letih izostale nujne reforme sistemov socialne zaščite. </w:t>
      </w:r>
      <w:r w:rsidRPr="005A41AB">
        <w:rPr>
          <w:bCs/>
        </w:rPr>
        <w:t xml:space="preserve">Za </w:t>
      </w:r>
      <w:r w:rsidR="009C318B">
        <w:rPr>
          <w:bCs/>
        </w:rPr>
        <w:t xml:space="preserve">njihovo </w:t>
      </w:r>
      <w:r w:rsidRPr="005A41AB">
        <w:rPr>
          <w:bCs/>
        </w:rPr>
        <w:t xml:space="preserve">vzdržnost </w:t>
      </w:r>
      <w:r w:rsidRPr="00630424">
        <w:rPr>
          <w:bCs/>
        </w:rPr>
        <w:t>je treba prilagoditi financiranj</w:t>
      </w:r>
      <w:r w:rsidR="009C318B">
        <w:rPr>
          <w:bCs/>
        </w:rPr>
        <w:t>e</w:t>
      </w:r>
      <w:r w:rsidRPr="00630424">
        <w:rPr>
          <w:bCs/>
        </w:rPr>
        <w:t xml:space="preserve"> teh sistemov, da bodo lahko zagotavljali zadostno dohodkovno varnost posameznikov v vseh življenjskih obdobjih in dostop do ustreznih socialni</w:t>
      </w:r>
      <w:r>
        <w:rPr>
          <w:bCs/>
        </w:rPr>
        <w:t>h</w:t>
      </w:r>
      <w:r w:rsidRPr="00630424">
        <w:rPr>
          <w:bCs/>
        </w:rPr>
        <w:t xml:space="preserve"> storitev.</w:t>
      </w:r>
      <w:r>
        <w:rPr>
          <w:bCs/>
        </w:rPr>
        <w:t xml:space="preserve"> Z izjemo izboljšane dostopnosti do storitev osebne asistence so se razmere </w:t>
      </w:r>
      <w:r w:rsidR="001F3DFC">
        <w:rPr>
          <w:bCs/>
        </w:rPr>
        <w:t xml:space="preserve">pri </w:t>
      </w:r>
      <w:r>
        <w:rPr>
          <w:bCs/>
        </w:rPr>
        <w:t>dostopnosti storitev DO v zadnjih šestih letih močno poslabšale, poslabšala pa se je tudi dostopnost do zdravstvenih storitev. Julija letos je bil sicer sprejet Zakon o dolgotrajni oskrbi, ki predvideva postopno uvajanje storitev DO od leta 2024 do leta 2026, predvidel pa je tudi nove vire financiranj</w:t>
      </w:r>
      <w:r w:rsidR="00AA1046">
        <w:rPr>
          <w:bCs/>
        </w:rPr>
        <w:t>a</w:t>
      </w:r>
      <w:r>
        <w:rPr>
          <w:bCs/>
        </w:rPr>
        <w:t>. Njegovo izvajanje, ki bi moralo pripeljati do večje dostopnosti storitev DO na domu, pa bo v veliki meri odvisno od zadostnega obsega kadrov</w:t>
      </w:r>
      <w:r w:rsidR="001F3DFC">
        <w:rPr>
          <w:bCs/>
        </w:rPr>
        <w:t>.</w:t>
      </w:r>
      <w:r>
        <w:rPr>
          <w:bCs/>
        </w:rPr>
        <w:t xml:space="preserve"> Čeprav je bila bela knjiga o pokojninski reformi sprejeta leta 2016, se je s pokojninsko reformo odlagalo</w:t>
      </w:r>
      <w:r w:rsidR="00672818">
        <w:rPr>
          <w:bCs/>
        </w:rPr>
        <w:t>; n</w:t>
      </w:r>
      <w:r>
        <w:rPr>
          <w:bCs/>
        </w:rPr>
        <w:t>ačrt za okrevanje in odpornost predvideva sprejem pokojninske reforme do konca</w:t>
      </w:r>
      <w:r w:rsidR="00A32418">
        <w:rPr>
          <w:bCs/>
        </w:rPr>
        <w:t xml:space="preserve"> </w:t>
      </w:r>
      <w:r w:rsidR="00672818">
        <w:rPr>
          <w:bCs/>
        </w:rPr>
        <w:t>prihodnjega leta</w:t>
      </w:r>
      <w:r>
        <w:rPr>
          <w:bCs/>
        </w:rPr>
        <w:t>.</w:t>
      </w:r>
    </w:p>
    <w:p w14:paraId="669AB9AF" w14:textId="77777777" w:rsidR="005A41AB" w:rsidRPr="00630424" w:rsidRDefault="005A41AB" w:rsidP="005A41AB">
      <w:pPr>
        <w:pStyle w:val="BesediloUMAR"/>
        <w:rPr>
          <w:rFonts w:cs="Arial"/>
          <w:sz w:val="18"/>
          <w:szCs w:val="18"/>
        </w:rPr>
      </w:pPr>
    </w:p>
    <w:p w14:paraId="23993FA8" w14:textId="01E18B14" w:rsidR="008910F9" w:rsidRDefault="000A6B50" w:rsidP="00F523D4">
      <w:pPr>
        <w:pStyle w:val="BesediloUMAR"/>
      </w:pPr>
      <w:r>
        <w:rPr>
          <w:b/>
        </w:rPr>
        <w:t xml:space="preserve">Pri </w:t>
      </w:r>
      <w:r w:rsidR="008910F9">
        <w:rPr>
          <w:b/>
        </w:rPr>
        <w:t>social</w:t>
      </w:r>
      <w:r w:rsidR="00260C67">
        <w:rPr>
          <w:b/>
        </w:rPr>
        <w:t xml:space="preserve">ni </w:t>
      </w:r>
      <w:r w:rsidR="008910F9">
        <w:rPr>
          <w:b/>
        </w:rPr>
        <w:t>vključenost</w:t>
      </w:r>
      <w:r w:rsidR="003B0CEE">
        <w:rPr>
          <w:b/>
        </w:rPr>
        <w:t>i</w:t>
      </w:r>
      <w:r w:rsidR="008910F9">
        <w:rPr>
          <w:b/>
        </w:rPr>
        <w:t xml:space="preserve"> in oblikovanj</w:t>
      </w:r>
      <w:r w:rsidR="00260C67">
        <w:rPr>
          <w:b/>
        </w:rPr>
        <w:t>u</w:t>
      </w:r>
      <w:r w:rsidR="008910F9">
        <w:rPr>
          <w:b/>
        </w:rPr>
        <w:t xml:space="preserve"> okolja za aktivno staranje je prišlo do minimalnega napredka.</w:t>
      </w:r>
      <w:r w:rsidR="008910F9" w:rsidRPr="003528CF">
        <w:rPr>
          <w:b/>
        </w:rPr>
        <w:t xml:space="preserve"> </w:t>
      </w:r>
      <w:r w:rsidR="008910F9" w:rsidRPr="000D46E0">
        <w:t>Stopnja</w:t>
      </w:r>
      <w:r w:rsidR="008910F9" w:rsidRPr="003528CF">
        <w:t xml:space="preserve"> </w:t>
      </w:r>
      <w:r w:rsidR="008910F9" w:rsidRPr="00630424">
        <w:t>tveganja socialne izključenosti in stopnja tveganja revščine</w:t>
      </w:r>
      <w:r w:rsidR="008910F9">
        <w:t xml:space="preserve"> v povprečju celotnega prebivalstva </w:t>
      </w:r>
      <w:r w:rsidR="008910F9" w:rsidRPr="00630424">
        <w:t>sta</w:t>
      </w:r>
      <w:r w:rsidR="008910F9">
        <w:t xml:space="preserve"> se </w:t>
      </w:r>
      <w:r w:rsidR="008910F9" w:rsidRPr="00630424">
        <w:t>v obdobju 2015</w:t>
      </w:r>
      <w:r w:rsidR="00337701">
        <w:t>–</w:t>
      </w:r>
      <w:r w:rsidR="008910F9" w:rsidRPr="00630424">
        <w:t>2019</w:t>
      </w:r>
      <w:r w:rsidR="008910F9">
        <w:t xml:space="preserve"> zmanjševali, vendar je bila stopnja tveganja revščine med ženskami</w:t>
      </w:r>
      <w:r w:rsidR="00337701">
        <w:t>,</w:t>
      </w:r>
      <w:r w:rsidR="008910F9">
        <w:t xml:space="preserve"> starejšimi od 65 let</w:t>
      </w:r>
      <w:r w:rsidR="00337701">
        <w:t>,</w:t>
      </w:r>
      <w:r w:rsidR="008910F9">
        <w:t xml:space="preserve"> </w:t>
      </w:r>
      <w:r w:rsidR="008910F9">
        <w:lastRenderedPageBreak/>
        <w:t xml:space="preserve">še naprej nad povprečjem EU, stopnja socialne izključenosti starejših od 60 let pa se je povečala. </w:t>
      </w:r>
      <w:r w:rsidR="008910F9" w:rsidRPr="00630424">
        <w:t>Stopnja stanovanjske prikrajšanosti starejših od 65 let je</w:t>
      </w:r>
      <w:r w:rsidR="00EB3D7D">
        <w:t>,</w:t>
      </w:r>
      <w:r w:rsidR="008910F9" w:rsidRPr="00630424">
        <w:t xml:space="preserve"> </w:t>
      </w:r>
      <w:r w:rsidR="008910F9">
        <w:t>kljub zmanjšanju v letu 2020</w:t>
      </w:r>
      <w:r w:rsidR="00C90AD6">
        <w:t>,</w:t>
      </w:r>
      <w:r w:rsidR="008910F9">
        <w:t xml:space="preserve"> ostala </w:t>
      </w:r>
      <w:r w:rsidR="008910F9" w:rsidRPr="00630424">
        <w:t>ena najvišjih v EU</w:t>
      </w:r>
      <w:r w:rsidR="008910F9">
        <w:t>, saj je stanovanjski fond v Sloveniji star in pogosto n</w:t>
      </w:r>
      <w:r w:rsidR="00337701">
        <w:t>eprimeren</w:t>
      </w:r>
      <w:r w:rsidR="008910F9">
        <w:t xml:space="preserve"> za bivanje, še posebej starejših oseb.</w:t>
      </w:r>
    </w:p>
    <w:p w14:paraId="02D5A58F" w14:textId="6CDD4706" w:rsidR="00F523D4" w:rsidRDefault="00F523D4">
      <w:pPr>
        <w:spacing w:after="0" w:line="240" w:lineRule="auto"/>
        <w:rPr>
          <w:rFonts w:ascii="Myriad Pro" w:hAnsi="Myriad Pro"/>
          <w:sz w:val="20"/>
        </w:rPr>
      </w:pPr>
      <w:r>
        <w:br w:type="page"/>
      </w:r>
    </w:p>
    <w:bookmarkEnd w:id="21"/>
    <w:p w14:paraId="49379B53" w14:textId="0D7F33F3" w:rsidR="001908FD" w:rsidRDefault="00F523D4" w:rsidP="00F523D4">
      <w:pPr>
        <w:pStyle w:val="Heading1"/>
        <w:numPr>
          <w:ilvl w:val="0"/>
          <w:numId w:val="0"/>
        </w:numPr>
      </w:pPr>
      <w:r>
        <w:lastRenderedPageBreak/>
        <w:t>L</w:t>
      </w:r>
      <w:r w:rsidR="00C97166">
        <w:t>iteratura</w:t>
      </w:r>
    </w:p>
    <w:p w14:paraId="47BEE1A1" w14:textId="77777777" w:rsidR="00C97166" w:rsidRDefault="00C97166" w:rsidP="00F523D4">
      <w:pPr>
        <w:pStyle w:val="LiteraturaUMAR"/>
      </w:pPr>
    </w:p>
    <w:p w14:paraId="4BB5D5AA" w14:textId="77777777" w:rsidR="00831EB1" w:rsidRPr="00831EB1" w:rsidRDefault="00C97166" w:rsidP="00F523D4">
      <w:pPr>
        <w:pStyle w:val="LiteraturaUMAR"/>
      </w:pPr>
      <w:r>
        <w:fldChar w:fldCharType="begin"/>
      </w:r>
      <w:r>
        <w:instrText xml:space="preserve"> ADDIN ZOTERO_BIBL {"uncited":[],"omitted":[],"custom":[]} CSL_BIBLIOGRAPHY </w:instrText>
      </w:r>
      <w:r>
        <w:fldChar w:fldCharType="separate"/>
      </w:r>
      <w:r w:rsidR="00831EB1" w:rsidRPr="00831EB1">
        <w:t>Bednaš. M. in Kajzer, A.(Ured.). (2017). Strategija dolgožive družbe. Ljubljana: Urad RS za makroekonomske analize in razvij in Minstrstvo za delo, družino in socilane zadeve. Pridobljeno s https://www.umar.gov.si/fileadmin/user_upload/publikacije/kratke_analize/Strategija_dolgozive_druzbe/Strategija_dolgozive_druzbe.pdf</w:t>
      </w:r>
    </w:p>
    <w:p w14:paraId="19D2C65C" w14:textId="77777777" w:rsidR="00831EB1" w:rsidRPr="00831EB1" w:rsidRDefault="00831EB1" w:rsidP="00F523D4">
      <w:pPr>
        <w:pStyle w:val="LiteraturaUMAR"/>
      </w:pPr>
      <w:r w:rsidRPr="00831EB1">
        <w:t>Börsch-Supan, A. (2022). Survey of Health, Ageing and Retirement in Europe (SHARE) Wave 8, Različica 8.0.0 [Data set]. SHARE-ERIC. https://doi.org/10.6103/SHARE.W8.800</w:t>
      </w:r>
    </w:p>
    <w:p w14:paraId="4610649B" w14:textId="77777777" w:rsidR="00831EB1" w:rsidRPr="00831EB1" w:rsidRDefault="00831EB1" w:rsidP="00F523D4">
      <w:pPr>
        <w:pStyle w:val="LiteraturaUMAR"/>
      </w:pPr>
      <w:r w:rsidRPr="00831EB1">
        <w:t>EC. (2021). The 2021 Ageing Report Economic and Budgetary Projections for the EU Member States, Insitutional Paper 148. Bruselj. Pridobljeno s https://economy-finance.ec.europa.eu/system/files/2021-10/ip148_en.pdf</w:t>
      </w:r>
    </w:p>
    <w:p w14:paraId="7DF05616" w14:textId="77777777" w:rsidR="00831EB1" w:rsidRPr="00831EB1" w:rsidRDefault="00831EB1" w:rsidP="00F523D4">
      <w:pPr>
        <w:pStyle w:val="LiteraturaUMAR"/>
      </w:pPr>
      <w:r w:rsidRPr="00831EB1">
        <w:t>EC. (2023). The future of social protection and the welfare state in EU. Pridobljeno s https://ec.europa.eu/social/main.jsp?catId=88&amp;eventsId=2057&amp;furtherEvents=yes&amp;langId=en</w:t>
      </w:r>
    </w:p>
    <w:p w14:paraId="08238AA6" w14:textId="77777777" w:rsidR="00831EB1" w:rsidRPr="00831EB1" w:rsidRDefault="00831EB1" w:rsidP="00F523D4">
      <w:pPr>
        <w:pStyle w:val="LiteraturaUMAR"/>
      </w:pPr>
      <w:r w:rsidRPr="00831EB1">
        <w:t>Eurostat. (2023). Database. Pridobljeno s https://ec.europa.eu/eurostat/data/database</w:t>
      </w:r>
    </w:p>
    <w:p w14:paraId="568AB122" w14:textId="77777777" w:rsidR="00831EB1" w:rsidRPr="00831EB1" w:rsidRDefault="00831EB1" w:rsidP="00F523D4">
      <w:pPr>
        <w:pStyle w:val="LiteraturaUMAR"/>
      </w:pPr>
      <w:r w:rsidRPr="00831EB1">
        <w:t>Gregorčič, M. in Kajzer,A.(ured,). (2021). Evropski steber socialnih pravic, Slovenija 2000–2020. Ljubljana: Urad R Slovenije za makroekonomske analize in razvoj. Pridobljeno s https://www.umar.gov.si/fileadmin/user_upload/publikacije/ESSP/2021/ESSP_splet.pdf</w:t>
      </w:r>
    </w:p>
    <w:p w14:paraId="21BA5359" w14:textId="77777777" w:rsidR="00831EB1" w:rsidRPr="00831EB1" w:rsidRDefault="00831EB1" w:rsidP="00F523D4">
      <w:pPr>
        <w:pStyle w:val="LiteraturaUMAR"/>
      </w:pPr>
      <w:r w:rsidRPr="00831EB1">
        <w:t xml:space="preserve">Kump, S. (2015). Vpliv izobrazbe in spretsnoti starejših na individualno in deužbeno blaginjo. </w:t>
      </w:r>
      <w:r w:rsidRPr="00831EB1">
        <w:rPr>
          <w:i/>
          <w:iCs/>
        </w:rPr>
        <w:t>Andagoška spoznanja</w:t>
      </w:r>
      <w:r w:rsidRPr="00831EB1">
        <w:t xml:space="preserve">, </w:t>
      </w:r>
      <w:r w:rsidRPr="00831EB1">
        <w:rPr>
          <w:i/>
          <w:iCs/>
        </w:rPr>
        <w:t>21</w:t>
      </w:r>
      <w:r w:rsidRPr="00831EB1">
        <w:t>(2), 9–27.</w:t>
      </w:r>
    </w:p>
    <w:p w14:paraId="041C49B0" w14:textId="77777777" w:rsidR="00831EB1" w:rsidRPr="00831EB1" w:rsidRDefault="00831EB1" w:rsidP="00F523D4">
      <w:pPr>
        <w:pStyle w:val="LiteraturaUMAR"/>
      </w:pPr>
      <w:r w:rsidRPr="00831EB1">
        <w:t>MDDSZ. (2023). Osebna asistenca – proračunska sredstva [osebna korespondenca]. Ljubljana: Ministrstvo za delo, družino, socialne zadeve in enake možnosti.</w:t>
      </w:r>
    </w:p>
    <w:p w14:paraId="4C439BEF" w14:textId="77777777" w:rsidR="00831EB1" w:rsidRPr="00831EB1" w:rsidRDefault="00831EB1" w:rsidP="00F523D4">
      <w:pPr>
        <w:pStyle w:val="LiteraturaUMAR"/>
      </w:pPr>
      <w:r w:rsidRPr="00831EB1">
        <w:t>OECD. (2022). Statistics. Paris. Pridobljeno s https://stats.oecd.org/</w:t>
      </w:r>
    </w:p>
    <w:p w14:paraId="58C2061A" w14:textId="77777777" w:rsidR="00831EB1" w:rsidRPr="00831EB1" w:rsidRDefault="00831EB1" w:rsidP="00F523D4">
      <w:pPr>
        <w:pStyle w:val="LiteraturaUMAR"/>
      </w:pPr>
      <w:r w:rsidRPr="00831EB1">
        <w:t>SURS. (2020). Kazalniki dohodka, revščine in socialne izključenosti, str. 24. Pridobljeno s https://www.stat.si/statweb/File/DocSysFile/8141</w:t>
      </w:r>
    </w:p>
    <w:p w14:paraId="2670EAF7" w14:textId="77777777" w:rsidR="00831EB1" w:rsidRPr="00831EB1" w:rsidRDefault="00831EB1" w:rsidP="00F523D4">
      <w:pPr>
        <w:pStyle w:val="LiteraturaUMAR"/>
      </w:pPr>
      <w:r w:rsidRPr="00831EB1">
        <w:t>SURS. (b. d.). Podatkovna baza SI-STAT. Ljubljana. Pridobljeno s https://pxweb.stat.si/SiStat/sl</w:t>
      </w:r>
    </w:p>
    <w:p w14:paraId="54F2BF33" w14:textId="77777777" w:rsidR="00831EB1" w:rsidRPr="00831EB1" w:rsidRDefault="00831EB1" w:rsidP="00F523D4">
      <w:pPr>
        <w:pStyle w:val="LiteraturaUMAR"/>
      </w:pPr>
      <w:r w:rsidRPr="00831EB1">
        <w:t>UMAR. (2016). Demografske spremembe in njihove ekonomske in socialne posledice [ekonomski izzivi 2016]. Ljubljana: Urad RS za makroekonomske analize in razvoj. Pridobljeno s https://www.umar.gov.si/fileadmin/user_upload/publikacije/izzivi/2016/EkonomskiIzzivi2016.pdf</w:t>
      </w:r>
    </w:p>
    <w:p w14:paraId="7F9DED93" w14:textId="77777777" w:rsidR="00831EB1" w:rsidRPr="00831EB1" w:rsidRDefault="00831EB1" w:rsidP="00F523D4">
      <w:pPr>
        <w:pStyle w:val="LiteraturaUMAR"/>
      </w:pPr>
      <w:r w:rsidRPr="00831EB1">
        <w:t>UMAR. (2021). Evropski steber socialnih pravic, Slovenija 2000–2020. Ljubljana: Urad RS za makroekonomske analize in razvoj RS. Pridobljeno s https://www.umar.gov.si/fileadmin/user_upload/publikacije/ESSP/2021/ESSP_splet.pdf</w:t>
      </w:r>
    </w:p>
    <w:p w14:paraId="68B02FBD" w14:textId="77777777" w:rsidR="00831EB1" w:rsidRPr="00831EB1" w:rsidRDefault="00831EB1" w:rsidP="00F523D4">
      <w:pPr>
        <w:pStyle w:val="LiteraturaUMAR"/>
      </w:pPr>
      <w:r w:rsidRPr="00831EB1">
        <w:t>UMAR. (2023). Poročilo orazvoju 2023. Urad RS za makroekonomske analize in razvoj. Pridobljeno s https://www.umar.gov.si/fileadmin/user_upload/razvoj_slovenije/2023/slovenski/POR2023.pdf</w:t>
      </w:r>
    </w:p>
    <w:p w14:paraId="14A882CD" w14:textId="2755A97B" w:rsidR="00C97166" w:rsidRPr="00C97166" w:rsidRDefault="00C97166" w:rsidP="00F523D4">
      <w:pPr>
        <w:pStyle w:val="LiteraturaUMAR"/>
      </w:pPr>
      <w:r>
        <w:fldChar w:fldCharType="end"/>
      </w:r>
    </w:p>
    <w:sectPr w:rsidR="00C97166" w:rsidRPr="00C97166" w:rsidSect="00DA3486">
      <w:headerReference w:type="default" r:id="rId47"/>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DB3C" w14:textId="77777777" w:rsidR="00BF7FBA" w:rsidRDefault="00BF7FBA" w:rsidP="009E1648">
      <w:r>
        <w:separator/>
      </w:r>
    </w:p>
    <w:p w14:paraId="0FD47E3E" w14:textId="77777777" w:rsidR="00BF7FBA" w:rsidRDefault="00BF7FBA" w:rsidP="009E1648"/>
    <w:p w14:paraId="65FBC44C" w14:textId="77777777" w:rsidR="00BF7FBA" w:rsidRDefault="00BF7FBA" w:rsidP="009E1648"/>
    <w:p w14:paraId="06A68529" w14:textId="77777777" w:rsidR="00BF7FBA" w:rsidRDefault="00BF7FBA" w:rsidP="009E1648"/>
    <w:p w14:paraId="3D4F1870" w14:textId="77777777" w:rsidR="00BF7FBA" w:rsidRDefault="00BF7FBA" w:rsidP="009E1648"/>
    <w:p w14:paraId="1E69506A" w14:textId="77777777" w:rsidR="00BF7FBA" w:rsidRDefault="00BF7FBA" w:rsidP="009E1648"/>
    <w:p w14:paraId="493EB02C" w14:textId="77777777" w:rsidR="00BF7FBA" w:rsidRDefault="00BF7FBA" w:rsidP="009E1648"/>
    <w:p w14:paraId="04F974A2" w14:textId="77777777" w:rsidR="00BF7FBA" w:rsidRDefault="00BF7FBA" w:rsidP="009E1648"/>
    <w:p w14:paraId="70FC2CDC" w14:textId="77777777" w:rsidR="00BF7FBA" w:rsidRDefault="00BF7FBA"/>
    <w:p w14:paraId="1551F51A" w14:textId="77777777" w:rsidR="00BF7FBA" w:rsidRDefault="00BF7FBA"/>
    <w:p w14:paraId="04349F9F" w14:textId="77777777" w:rsidR="00BF7FBA" w:rsidRDefault="00BF7FBA" w:rsidP="00A540FA"/>
    <w:p w14:paraId="71DC3A93" w14:textId="77777777" w:rsidR="00BF7FBA" w:rsidRDefault="00BF7FBA" w:rsidP="00A540FA"/>
    <w:p w14:paraId="28C012DD" w14:textId="77777777" w:rsidR="00BF7FBA" w:rsidRDefault="00BF7FBA" w:rsidP="00A540FA"/>
    <w:p w14:paraId="6BA06CB1" w14:textId="77777777" w:rsidR="00BF7FBA" w:rsidRDefault="00BF7FBA" w:rsidP="00A540FA"/>
    <w:p w14:paraId="0476BC4A" w14:textId="77777777" w:rsidR="00BF7FBA" w:rsidRDefault="00BF7FBA" w:rsidP="00A540FA"/>
    <w:p w14:paraId="5A220B45" w14:textId="77777777" w:rsidR="00BF7FBA" w:rsidRDefault="00BF7FBA"/>
  </w:endnote>
  <w:endnote w:type="continuationSeparator" w:id="0">
    <w:p w14:paraId="7F08CF49" w14:textId="77777777" w:rsidR="00BF7FBA" w:rsidRDefault="00BF7FBA" w:rsidP="009E1648">
      <w:r>
        <w:continuationSeparator/>
      </w:r>
    </w:p>
    <w:p w14:paraId="10052D64" w14:textId="77777777" w:rsidR="00BF7FBA" w:rsidRDefault="00BF7FBA" w:rsidP="009E1648"/>
    <w:p w14:paraId="31AB1132" w14:textId="77777777" w:rsidR="00BF7FBA" w:rsidRDefault="00BF7FBA" w:rsidP="009E1648"/>
    <w:p w14:paraId="0ABF8A07" w14:textId="77777777" w:rsidR="00BF7FBA" w:rsidRDefault="00BF7FBA" w:rsidP="009E1648"/>
    <w:p w14:paraId="711EE05E" w14:textId="77777777" w:rsidR="00BF7FBA" w:rsidRDefault="00BF7FBA" w:rsidP="009E1648"/>
    <w:p w14:paraId="48926E55" w14:textId="77777777" w:rsidR="00BF7FBA" w:rsidRDefault="00BF7FBA" w:rsidP="009E1648"/>
    <w:p w14:paraId="349F9A35" w14:textId="77777777" w:rsidR="00BF7FBA" w:rsidRDefault="00BF7FBA" w:rsidP="009E1648"/>
    <w:p w14:paraId="69EBA93C" w14:textId="77777777" w:rsidR="00BF7FBA" w:rsidRDefault="00BF7FBA" w:rsidP="009E1648"/>
    <w:p w14:paraId="10C855AA" w14:textId="77777777" w:rsidR="00BF7FBA" w:rsidRDefault="00BF7FBA"/>
    <w:p w14:paraId="708B1FB0" w14:textId="77777777" w:rsidR="00BF7FBA" w:rsidRDefault="00BF7FBA"/>
    <w:p w14:paraId="244BA756" w14:textId="77777777" w:rsidR="00BF7FBA" w:rsidRDefault="00BF7FBA" w:rsidP="00A540FA"/>
    <w:p w14:paraId="055F6696" w14:textId="77777777" w:rsidR="00BF7FBA" w:rsidRDefault="00BF7FBA" w:rsidP="00A540FA"/>
    <w:p w14:paraId="37EF41E3" w14:textId="77777777" w:rsidR="00BF7FBA" w:rsidRDefault="00BF7FBA" w:rsidP="00A540FA"/>
    <w:p w14:paraId="70BF808C" w14:textId="77777777" w:rsidR="00BF7FBA" w:rsidRDefault="00BF7FBA" w:rsidP="00A540FA"/>
    <w:p w14:paraId="7DB367F4" w14:textId="77777777" w:rsidR="00BF7FBA" w:rsidRDefault="00BF7FBA" w:rsidP="00A540FA"/>
    <w:p w14:paraId="66A7E776" w14:textId="77777777" w:rsidR="00BF7FBA" w:rsidRDefault="00BF7FBA"/>
  </w:endnote>
  <w:endnote w:type="continuationNotice" w:id="1">
    <w:p w14:paraId="68021F13" w14:textId="77777777" w:rsidR="00BF7FBA" w:rsidRDefault="00BF7F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A81D" w14:textId="77777777" w:rsidR="004554F9" w:rsidRDefault="004554F9"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D34D" w14:textId="77777777" w:rsidR="00BF7FBA" w:rsidRPr="009B56EE" w:rsidRDefault="00BF7FBA" w:rsidP="009B56EE">
      <w:pPr>
        <w:pStyle w:val="BesediloUMAR"/>
      </w:pPr>
      <w:r w:rsidRPr="009B56EE">
        <w:separator/>
      </w:r>
    </w:p>
  </w:footnote>
  <w:footnote w:type="continuationSeparator" w:id="0">
    <w:p w14:paraId="71ED8B93" w14:textId="77777777" w:rsidR="00BF7FBA" w:rsidRDefault="00BF7FBA">
      <w:r>
        <w:separator/>
      </w:r>
    </w:p>
  </w:footnote>
  <w:footnote w:type="continuationNotice" w:id="1">
    <w:p w14:paraId="3014908F" w14:textId="77777777" w:rsidR="00BF7FBA" w:rsidRPr="00E66389" w:rsidRDefault="00BF7FBA" w:rsidP="00E66389">
      <w:pPr>
        <w:pStyle w:val="Footer"/>
        <w:framePr w:wrap="around"/>
        <w:jc w:val="left"/>
      </w:pPr>
    </w:p>
  </w:footnote>
  <w:footnote w:id="2">
    <w:p w14:paraId="102AC372" w14:textId="61814EB4" w:rsidR="001C2337" w:rsidRPr="001C2337" w:rsidRDefault="001C2337" w:rsidP="001C2337">
      <w:pPr>
        <w:pStyle w:val="SprotnaopombaPOR"/>
        <w:rPr>
          <w:u w:val="single"/>
        </w:rPr>
      </w:pPr>
      <w:r w:rsidRPr="00D12C15">
        <w:rPr>
          <w:rStyle w:val="FootnoteReference"/>
        </w:rPr>
        <w:footnoteRef/>
      </w:r>
      <w:r w:rsidRPr="006278D9">
        <w:rPr>
          <w:rFonts w:ascii="Myriad Pro" w:eastAsiaTheme="minorHAnsi" w:hAnsi="Myriad Pro" w:cstheme="minorBidi"/>
          <w:noProof w:val="0"/>
          <w:szCs w:val="14"/>
        </w:rPr>
        <w:t xml:space="preserve"> Vlada R</w:t>
      </w:r>
      <w:r w:rsidR="004068EF" w:rsidRPr="006278D9">
        <w:rPr>
          <w:rFonts w:ascii="Myriad Pro" w:eastAsiaTheme="minorHAnsi" w:hAnsi="Myriad Pro" w:cstheme="minorBidi"/>
          <w:noProof w:val="0"/>
          <w:szCs w:val="14"/>
        </w:rPr>
        <w:t>S</w:t>
      </w:r>
      <w:r w:rsidRPr="006278D9">
        <w:rPr>
          <w:rFonts w:ascii="Myriad Pro" w:eastAsiaTheme="minorHAnsi" w:hAnsi="Myriad Pro" w:cstheme="minorBidi"/>
          <w:noProof w:val="0"/>
          <w:szCs w:val="14"/>
        </w:rPr>
        <w:t xml:space="preserve"> je Strategijo dolgožive družbe sprejela 20.</w:t>
      </w:r>
      <w:r w:rsidR="004068EF" w:rsidRPr="006278D9">
        <w:rPr>
          <w:rFonts w:ascii="Myriad Pro" w:eastAsiaTheme="minorHAnsi" w:hAnsi="Myriad Pro" w:cstheme="minorBidi"/>
          <w:noProof w:val="0"/>
          <w:szCs w:val="14"/>
        </w:rPr>
        <w:t xml:space="preserve"> </w:t>
      </w:r>
      <w:r w:rsidRPr="006278D9">
        <w:rPr>
          <w:rFonts w:ascii="Myriad Pro" w:eastAsiaTheme="minorHAnsi" w:hAnsi="Myriad Pro" w:cstheme="minorBidi"/>
          <w:noProof w:val="0"/>
          <w:szCs w:val="14"/>
        </w:rPr>
        <w:t>julija 2017.</w:t>
      </w:r>
      <w:r w:rsidDel="001C2337">
        <w:t xml:space="preserve"> </w:t>
      </w:r>
    </w:p>
  </w:footnote>
  <w:footnote w:id="3">
    <w:p w14:paraId="536B6609" w14:textId="3B7A81E6" w:rsidR="004554F9" w:rsidRDefault="004554F9" w:rsidP="001C2337">
      <w:pPr>
        <w:pStyle w:val="FootnoteText"/>
      </w:pPr>
      <w:r>
        <w:rPr>
          <w:rStyle w:val="FootnoteReference"/>
        </w:rPr>
        <w:footnoteRef/>
      </w:r>
      <w:r>
        <w:t xml:space="preserve"> Kot je razvidno iz slike 2, se bo delež zmanjšal s 60,2 % na 51,5 %.</w:t>
      </w:r>
    </w:p>
  </w:footnote>
  <w:footnote w:id="4">
    <w:p w14:paraId="003BD049" w14:textId="4D43989B" w:rsidR="004554F9" w:rsidRDefault="004554F9" w:rsidP="001C2337">
      <w:pPr>
        <w:pStyle w:val="FootnoteText"/>
      </w:pPr>
      <w:r>
        <w:rPr>
          <w:rStyle w:val="FootnoteReference"/>
        </w:rPr>
        <w:footnoteRef/>
      </w:r>
      <w:r>
        <w:t xml:space="preserve"> </w:t>
      </w:r>
      <w:r w:rsidRPr="00F958F8">
        <w:t xml:space="preserve">Leta 2020 je na </w:t>
      </w:r>
      <w:r>
        <w:t xml:space="preserve">statistično prikazan </w:t>
      </w:r>
      <w:r w:rsidRPr="00F958F8">
        <w:t>visok selitven</w:t>
      </w:r>
      <w:r>
        <w:t xml:space="preserve">i </w:t>
      </w:r>
      <w:r w:rsidRPr="00F958F8">
        <w:t xml:space="preserve">prirast vplivalo administrativno urejanje registra. Dejanski </w:t>
      </w:r>
      <w:r w:rsidRPr="00D9645F">
        <w:t>selitven</w:t>
      </w:r>
      <w:r w:rsidRPr="001C2337">
        <w:t>i</w:t>
      </w:r>
      <w:r w:rsidRPr="00D9645F">
        <w:t xml:space="preserve"> p</w:t>
      </w:r>
      <w:r w:rsidRPr="00F958F8">
        <w:t xml:space="preserve">rirast je bil za skoraj 7500 oseb </w:t>
      </w:r>
      <w:r w:rsidR="00753254">
        <w:t>manjši</w:t>
      </w:r>
      <w:r>
        <w:t xml:space="preserve"> </w:t>
      </w:r>
      <w:r w:rsidRPr="00F958F8">
        <w:t>kot na</w:t>
      </w:r>
      <w:r>
        <w:t xml:space="preserve"> sliki 7.</w:t>
      </w:r>
    </w:p>
  </w:footnote>
  <w:footnote w:id="5">
    <w:p w14:paraId="633F0E59" w14:textId="34AD32CF" w:rsidR="004554F9" w:rsidRDefault="004554F9" w:rsidP="001C2337">
      <w:pPr>
        <w:pStyle w:val="FootnoteText"/>
      </w:pPr>
      <w:r>
        <w:rPr>
          <w:rStyle w:val="FootnoteReference"/>
        </w:rPr>
        <w:footnoteRef/>
      </w:r>
      <w:r>
        <w:t xml:space="preserve"> Na povečanje je vplivala tudi prestavitev izvajanja nekaterih programov iz leta 2020 v leto 2021 zaradi epide</w:t>
      </w:r>
      <w:r w:rsidRPr="0088440C">
        <w:t>mije covid</w:t>
      </w:r>
      <w:r w:rsidR="0088440C" w:rsidRPr="00DF75C9">
        <w:t>a</w:t>
      </w:r>
      <w:r w:rsidRPr="0088440C">
        <w:t>-19.</w:t>
      </w:r>
      <w:r>
        <w:t xml:space="preserve"> </w:t>
      </w:r>
    </w:p>
  </w:footnote>
  <w:footnote w:id="6">
    <w:p w14:paraId="2D8A1FA6" w14:textId="5CA5DC89" w:rsidR="00611105" w:rsidRDefault="00611105" w:rsidP="001C2337">
      <w:pPr>
        <w:pStyle w:val="FootnoteText"/>
      </w:pPr>
      <w:r w:rsidRPr="0005097C">
        <w:rPr>
          <w:rStyle w:val="FootnoteReference"/>
        </w:rPr>
        <w:footnoteRef/>
      </w:r>
      <w:r w:rsidRPr="0005097C">
        <w:t xml:space="preserve">  Gre za mednarodno raziskavo o kompetencah odrasli</w:t>
      </w:r>
      <w:r w:rsidR="0005097C">
        <w:t>h</w:t>
      </w:r>
      <w:r w:rsidRPr="0005097C">
        <w:t>.</w:t>
      </w:r>
    </w:p>
  </w:footnote>
  <w:footnote w:id="7">
    <w:p w14:paraId="17676BBC" w14:textId="77777777" w:rsidR="004554F9" w:rsidRPr="00262ADC" w:rsidRDefault="004554F9" w:rsidP="001C2337">
      <w:pPr>
        <w:pStyle w:val="FootnoteText"/>
      </w:pPr>
      <w:r>
        <w:rPr>
          <w:rStyle w:val="FootnoteReference"/>
        </w:rPr>
        <w:footnoteRef/>
      </w:r>
      <w:r>
        <w:t xml:space="preserve"> </w:t>
      </w:r>
      <w:r w:rsidRPr="00262ADC">
        <w:t>Izdatki so prikazani po metodologiji ESPROS.</w:t>
      </w:r>
    </w:p>
  </w:footnote>
  <w:footnote w:id="8">
    <w:p w14:paraId="2F939554" w14:textId="4D261902" w:rsidR="004554F9" w:rsidRDefault="004554F9" w:rsidP="001C2337">
      <w:pPr>
        <w:pStyle w:val="FootnoteText"/>
      </w:pPr>
      <w:r>
        <w:rPr>
          <w:rStyle w:val="FootnoteReference"/>
        </w:rPr>
        <w:footnoteRef/>
      </w:r>
      <w:r>
        <w:t xml:space="preserve"> Izdatki za pokojnine so prikazani po metodologji ESPROS. </w:t>
      </w:r>
    </w:p>
  </w:footnote>
  <w:footnote w:id="9">
    <w:p w14:paraId="2AB4DA90" w14:textId="77777777" w:rsidR="004554F9" w:rsidRDefault="004554F9" w:rsidP="001C2337">
      <w:pPr>
        <w:pStyle w:val="FootnoteText"/>
      </w:pPr>
      <w:r>
        <w:rPr>
          <w:rStyle w:val="FootnoteReference"/>
        </w:rPr>
        <w:footnoteRef/>
      </w:r>
      <w:r>
        <w:t xml:space="preserve"> Sistem zdravstvenih računov (ang. SHA – Sistem of Health Accounts) .</w:t>
      </w:r>
    </w:p>
  </w:footnote>
  <w:footnote w:id="10">
    <w:p w14:paraId="7731A252" w14:textId="2AFE3956" w:rsidR="004554F9" w:rsidRDefault="004554F9" w:rsidP="001C2337">
      <w:pPr>
        <w:pStyle w:val="FootnoteText"/>
      </w:pPr>
      <w:r>
        <w:rPr>
          <w:rStyle w:val="FootnoteReference"/>
        </w:rPr>
        <w:footnoteRef/>
      </w:r>
      <w:r>
        <w:t xml:space="preserve"> Povečanje je tako v Sloveniji kot v povprčeju EU glede na BDP znašalo 1 o. t.</w:t>
      </w:r>
    </w:p>
  </w:footnote>
  <w:footnote w:id="11">
    <w:p w14:paraId="462D2617" w14:textId="75EA595A" w:rsidR="004554F9" w:rsidRDefault="004554F9" w:rsidP="001C2337">
      <w:pPr>
        <w:pStyle w:val="FootnoteText"/>
      </w:pPr>
      <w:r>
        <w:rPr>
          <w:rStyle w:val="FootnoteReference"/>
        </w:rPr>
        <w:footnoteRef/>
      </w:r>
      <w:r>
        <w:t xml:space="preserve"> Tehtano povprečje EU je znašalo 10,9 % BDP, navadno povprečje 9,1 % BDP. Evropska komisija in Eurostat prikazujeta tehtano povprečje, v katerem pa se odraža predvsem podatek velikih držav (Nemčija, Francija) in se od navadnega povprečja precej razlikuje.</w:t>
      </w:r>
    </w:p>
  </w:footnote>
  <w:footnote w:id="12">
    <w:p w14:paraId="01A324D1" w14:textId="45E4DFA5" w:rsidR="004554F9" w:rsidRPr="008E7FF9" w:rsidRDefault="004554F9" w:rsidP="001C2337">
      <w:pPr>
        <w:pStyle w:val="FootnoteText"/>
      </w:pPr>
      <w:r>
        <w:rPr>
          <w:rStyle w:val="FootnoteReference"/>
        </w:rPr>
        <w:footnoteRef/>
      </w:r>
      <w:r w:rsidRPr="008E7FF9">
        <w:t>Javni izdatki za osebno asistenco (OA) strmo naraščajo: od 3,8 mio EUR v povprečju leta 2018</w:t>
      </w:r>
      <w:r>
        <w:t xml:space="preserve">, </w:t>
      </w:r>
      <w:r w:rsidRPr="008E7FF9">
        <w:t>84,4 mio v letu 2020</w:t>
      </w:r>
      <w:r>
        <w:t>,</w:t>
      </w:r>
      <w:r w:rsidRPr="008E7FF9">
        <w:t xml:space="preserve"> 127,5 mio v letu 2021</w:t>
      </w:r>
      <w:r>
        <w:t>,</w:t>
      </w:r>
      <w:r w:rsidRPr="008E7FF9">
        <w:t xml:space="preserve"> </w:t>
      </w:r>
      <w:r>
        <w:t xml:space="preserve">do </w:t>
      </w:r>
      <w:r w:rsidRPr="008E7FF9">
        <w:t>173,5 mio v letu 2022</w:t>
      </w:r>
      <w:r>
        <w:t xml:space="preserve"> </w:t>
      </w:r>
      <w:r>
        <w:fldChar w:fldCharType="begin"/>
      </w:r>
      <w:r>
        <w:instrText xml:space="preserve"> ADDIN ZOTERO_ITEM CSL_CITATION {"citationID":"4wolCWSD","properties":{"formattedCitation":"(MDDSZ, 2023)","plainCitation":"(MDDSZ, 2023)","noteIndex":9},"citationItems":[{"id":4027,"uris":["http://zotero.org/users/8351010/items/4WPJ95ZA"],"itemData":{"id":4027,"type":"report","event-place":"Ljubljana","genre":"osebna korespondenca","publisher":"Ministrstvo za delo, družino, socialne zadeve in enake možnosti","publisher-place":"Ljubljana","title":"Osebna asistenca – proračunska sredstva","author":[{"literal":"MDDSZ"}],"issued":{"date-parts":[["2023"]]}}}],"schema":"https://github.com/citation-style-language/schema/raw/master/csl-citation.json"} </w:instrText>
      </w:r>
      <w:r>
        <w:fldChar w:fldCharType="separate"/>
      </w:r>
      <w:r w:rsidRPr="00831EB1">
        <w:t>(MDDSZ, 2023)</w:t>
      </w:r>
      <w:r>
        <w:fldChar w:fldCharType="end"/>
      </w:r>
      <w:r>
        <w:t>.</w:t>
      </w:r>
      <w:r w:rsidRPr="008E7FF9">
        <w:t xml:space="preserve"> Po mednarodni metodologiji so ti izdatki zajeti k izdatkom za zdravstveni del DO (na domu). Leta 2021 sprejeta novela ZOA je zaostrila pogoje za izvajalce OA, predvideva pa tudi ponovno oceno upravičencev do OA.</w:t>
      </w:r>
    </w:p>
    <w:p w14:paraId="6AC816DA" w14:textId="77777777" w:rsidR="004554F9" w:rsidRDefault="004554F9" w:rsidP="001C2337">
      <w:pPr>
        <w:pStyle w:val="FootnoteText"/>
      </w:pPr>
    </w:p>
    <w:p w14:paraId="7F015D86" w14:textId="19219A7E" w:rsidR="004554F9" w:rsidRDefault="004554F9" w:rsidP="001C2337">
      <w:pPr>
        <w:pStyle w:val="FootnoteText"/>
      </w:pPr>
    </w:p>
  </w:footnote>
  <w:footnote w:id="13">
    <w:p w14:paraId="281E251C" w14:textId="77777777" w:rsidR="004554F9" w:rsidRPr="00B36639" w:rsidRDefault="004554F9" w:rsidP="001C2337">
      <w:pPr>
        <w:pStyle w:val="FootnoteText"/>
      </w:pPr>
      <w:r w:rsidRPr="00B36639">
        <w:rPr>
          <w:rStyle w:val="FootnoteReference"/>
        </w:rPr>
        <w:footnoteRef/>
      </w:r>
      <w:r w:rsidRPr="00B36639">
        <w:t xml:space="preserve"> Zaradi metodoloških sprememb podatki pred letom 2017 niso primerljivi z novejšimi podatki.</w:t>
      </w:r>
    </w:p>
  </w:footnote>
  <w:footnote w:id="14">
    <w:p w14:paraId="27827D16" w14:textId="6B55BE6B" w:rsidR="004554F9" w:rsidRPr="00FC48B3" w:rsidRDefault="004554F9" w:rsidP="001C2337">
      <w:pPr>
        <w:pStyle w:val="FootnoteText"/>
      </w:pPr>
      <w:r w:rsidRPr="00FC48B3">
        <w:rPr>
          <w:rStyle w:val="FootnoteReference"/>
          <w:rFonts w:ascii="Arial" w:hAnsi="Arial" w:cs="Arial"/>
          <w:sz w:val="16"/>
          <w:szCs w:val="16"/>
        </w:rPr>
        <w:footnoteRef/>
      </w:r>
      <w:r w:rsidRPr="00FC48B3">
        <w:t xml:space="preserve"> Kot temeljni kazalnik dostopnosti do zdravstvenega varstva se v okviru ESSP uporablja anketni kazalnik nezadovoljenih potreb po zdravstveni oskrbi (</w:t>
      </w:r>
      <w:r w:rsidRPr="00FC48B3">
        <w:rPr>
          <w:i/>
        </w:rPr>
        <w:t>medical examination</w:t>
      </w:r>
      <w:r w:rsidRPr="00FC48B3">
        <w:t xml:space="preserve">) zaradi finančnih razlogov, oddaljenosti ali čakalne dobe. </w:t>
      </w:r>
      <w:r w:rsidR="007B5D5A">
        <w:t xml:space="preserve">Težava </w:t>
      </w:r>
      <w:r w:rsidRPr="00FC48B3">
        <w:t>kazalnika neizpolnjenih potreb je deloma v tem, da ankete ne zajamejo nekaterih skupin prebivalstva (brezdomnih, deloma migrantov in oseb, ki živijo v institucionalnem varstvu). V Sloveniji je bil</w:t>
      </w:r>
      <w:r>
        <w:t>a</w:t>
      </w:r>
      <w:r w:rsidRPr="00FC48B3">
        <w:t xml:space="preserve"> v preteklosti </w:t>
      </w:r>
      <w:r>
        <w:t xml:space="preserve">težava v </w:t>
      </w:r>
      <w:r w:rsidRPr="00FC48B3">
        <w:t>prevodu vprašanja ankete EU-SILC, zato je podatek ustrezen šele od leta 2017.</w:t>
      </w:r>
    </w:p>
  </w:footnote>
  <w:footnote w:id="15">
    <w:p w14:paraId="211F731E" w14:textId="65B4CF5E" w:rsidR="004554F9" w:rsidRPr="00B36639" w:rsidRDefault="004554F9" w:rsidP="001C2337">
      <w:pPr>
        <w:pStyle w:val="FootnoteText"/>
      </w:pPr>
      <w:r w:rsidRPr="00E9293D">
        <w:rPr>
          <w:rStyle w:val="FootnoteReference"/>
        </w:rPr>
        <w:footnoteRef/>
      </w:r>
      <w:r w:rsidRPr="00E9293D">
        <w:t xml:space="preserve"> Stopnja tveganja socialne izključenosti je sestavljena iz stopnje tveganja revščine (delež oseb, ki živijo v gospodinjstvu z ekvivalentnim razpoložljivim dohodkom, manjšim od 60 % mediane ekvivalentnega razpoložljivega dohodka vseh gospodinjstev; ob tem se upošteva </w:t>
      </w:r>
      <w:r w:rsidR="00D12C15">
        <w:br/>
      </w:r>
      <w:r w:rsidRPr="00E9293D">
        <w:t>t. i. prilagojena OECD-jeva ekvivalenčna lestvica) in stopnje resne materialne in socialne prikrajšanosti ter deleža oseb, ki živijo v gospodinjstvih z zelo nizko delovno intenzivnostjo (manj kot 20 % celotnega delovnega potenciala gospodinjstva). Osebe, ki sodijo v več dimenzij, se v skupnem številu štejejo le enkrat.</w:t>
      </w:r>
    </w:p>
  </w:footnote>
  <w:footnote w:id="16">
    <w:p w14:paraId="40C2A15D" w14:textId="1BA8B342" w:rsidR="004554F9" w:rsidRPr="00012164" w:rsidRDefault="004554F9" w:rsidP="001C2337">
      <w:pPr>
        <w:pStyle w:val="FootnoteText"/>
      </w:pPr>
      <w:r>
        <w:rPr>
          <w:rStyle w:val="FootnoteReference"/>
        </w:rPr>
        <w:footnoteRef/>
      </w:r>
      <w:r>
        <w:t xml:space="preserve"> Ob soočanju </w:t>
      </w:r>
      <w:r w:rsidR="00570E34">
        <w:t xml:space="preserve">s </w:t>
      </w:r>
      <w:r>
        <w:t xml:space="preserve">težavami ali stiskami ljudje </w:t>
      </w:r>
      <w:r w:rsidRPr="00012164">
        <w:t xml:space="preserve">ponavadi poiščejo pomoč oziroma oporo pri </w:t>
      </w:r>
      <w:r>
        <w:t>različnih posameznikih.</w:t>
      </w:r>
      <w:r w:rsidRPr="00012164">
        <w:t xml:space="preserve"> </w:t>
      </w:r>
      <w:r>
        <w:t xml:space="preserve">Raziskava SHARE </w:t>
      </w:r>
      <w:r w:rsidRPr="00012164">
        <w:t>proučuje razširjenost posameznikove socia</w:t>
      </w:r>
      <w:r>
        <w:t>l</w:t>
      </w:r>
      <w:r w:rsidRPr="00012164">
        <w:t>ne mreže</w:t>
      </w:r>
      <w:r w:rsidR="00644AE4">
        <w:t xml:space="preserve">. </w:t>
      </w:r>
      <w:r>
        <w:t>G</w:t>
      </w:r>
      <w:r w:rsidRPr="00012164">
        <w:t xml:space="preserve">re za delež oseb, ki nimajo nikogar, s </w:t>
      </w:r>
      <w:r>
        <w:t xml:space="preserve">komer </w:t>
      </w:r>
      <w:r w:rsidRPr="00012164">
        <w:t>bi lahko razpravljali o</w:t>
      </w:r>
      <w:r>
        <w:t xml:space="preserve"> zanje pomembnih vsebinah</w:t>
      </w:r>
      <w:r w:rsidRPr="00012164">
        <w:t xml:space="preserve"> (npr. dobrih ali slabih stvareh</w:t>
      </w:r>
      <w:r>
        <w:t xml:space="preserve"> v njihovem življen</w:t>
      </w:r>
      <w:r w:rsidR="0060669B">
        <w:t>j</w:t>
      </w:r>
      <w:r>
        <w:t xml:space="preserve">u, </w:t>
      </w:r>
      <w:r w:rsidRPr="00012164">
        <w:t>o težavah in skrbeh)</w:t>
      </w:r>
      <w:r>
        <w:t>,</w:t>
      </w:r>
      <w:r w:rsidRPr="00012164">
        <w:t xml:space="preserve"> in nikogar, ki je za</w:t>
      </w:r>
      <w:r w:rsidR="0060669B">
        <w:t>nje</w:t>
      </w:r>
      <w:r w:rsidRPr="00012164">
        <w:t xml:space="preserve"> pomemben </w:t>
      </w:r>
      <w:r w:rsidRPr="0060669B">
        <w:t>iz</w:t>
      </w:r>
      <w:r w:rsidR="0060669B" w:rsidRPr="0060669B">
        <w:t xml:space="preserve"> drugih razlogov</w:t>
      </w:r>
      <w:r w:rsidRPr="0060669B">
        <w:t>.</w:t>
      </w:r>
    </w:p>
  </w:footnote>
  <w:footnote w:id="17">
    <w:p w14:paraId="1D0BD8E5" w14:textId="1A99FA20" w:rsidR="004554F9" w:rsidRPr="005A41AB" w:rsidRDefault="004554F9" w:rsidP="001C2337">
      <w:pPr>
        <w:pStyle w:val="FootnoteText"/>
      </w:pPr>
      <w:r w:rsidRPr="005A41AB">
        <w:rPr>
          <w:rStyle w:val="FootnoteReference"/>
        </w:rPr>
        <w:footnoteRef/>
      </w:r>
      <w:r w:rsidRPr="005A41AB">
        <w:t xml:space="preserve"> Leta 2011 je znašal 9,2 %</w:t>
      </w:r>
      <w:r>
        <w:t>.</w:t>
      </w:r>
    </w:p>
  </w:footnote>
  <w:footnote w:id="18">
    <w:p w14:paraId="6BDE9F84" w14:textId="77777777" w:rsidR="004554F9" w:rsidRPr="005A41AB" w:rsidRDefault="004554F9" w:rsidP="001C2337">
      <w:pPr>
        <w:pStyle w:val="FootnoteText"/>
        <w:rPr>
          <w:rStyle w:val="VirOpombaPORChar"/>
          <w:rFonts w:ascii="Myriad Pro" w:eastAsiaTheme="minorHAnsi" w:hAnsi="Myriad Pro"/>
          <w:sz w:val="16"/>
        </w:rPr>
      </w:pPr>
      <w:r w:rsidRPr="005A41AB">
        <w:rPr>
          <w:rStyle w:val="FootnoteReference"/>
        </w:rPr>
        <w:footnoteRef/>
      </w:r>
      <w:r w:rsidRPr="005A41AB">
        <w:t xml:space="preserve"> </w:t>
      </w:r>
      <w:r w:rsidRPr="005A41AB">
        <w:rPr>
          <w:rStyle w:val="VirOpombaPORChar"/>
          <w:rFonts w:ascii="Myriad Pro" w:eastAsiaTheme="minorHAnsi" w:hAnsi="Myriad Pro"/>
          <w:sz w:val="16"/>
        </w:rPr>
        <w:t>Več kot 80 % stanovanj je bilo zgrajenih do leta 1990 (SURS, 2021a).</w:t>
      </w:r>
    </w:p>
  </w:footnote>
  <w:footnote w:id="19">
    <w:p w14:paraId="00A12427" w14:textId="573F339D" w:rsidR="004554F9" w:rsidRPr="005A41AB" w:rsidRDefault="004554F9" w:rsidP="001C2337">
      <w:pPr>
        <w:pStyle w:val="FootnoteText"/>
        <w:rPr>
          <w:rStyle w:val="VirOpombaPORChar"/>
          <w:rFonts w:ascii="Myriad Pro" w:eastAsiaTheme="minorHAnsi" w:hAnsi="Myriad Pro"/>
          <w:sz w:val="16"/>
        </w:rPr>
      </w:pPr>
      <w:r w:rsidRPr="005A41AB">
        <w:rPr>
          <w:rStyle w:val="FootnoteReference"/>
        </w:rPr>
        <w:footnoteRef/>
      </w:r>
      <w:r w:rsidRPr="005A41AB">
        <w:rPr>
          <w:rStyle w:val="VirOpombaPORChar"/>
          <w:rFonts w:ascii="Myriad Pro" w:eastAsiaTheme="minorHAnsi" w:hAnsi="Myriad Pro"/>
          <w:sz w:val="16"/>
        </w:rPr>
        <w:t xml:space="preserve"> Stopnja stanovanjske prikrajšanosti meri delež</w:t>
      </w:r>
      <w:r>
        <w:rPr>
          <w:rStyle w:val="VirOpombaPORChar"/>
          <w:rFonts w:ascii="Myriad Pro" w:eastAsiaTheme="minorHAnsi" w:hAnsi="Myriad Pro"/>
          <w:sz w:val="16"/>
        </w:rPr>
        <w:t xml:space="preserve"> oseb</w:t>
      </w:r>
      <w:r w:rsidRPr="005A41AB">
        <w:rPr>
          <w:rStyle w:val="VirOpombaPORChar"/>
          <w:rFonts w:ascii="Myriad Pro" w:eastAsiaTheme="minorHAnsi" w:hAnsi="Myriad Pro"/>
          <w:sz w:val="16"/>
        </w:rPr>
        <w:t>, prikrajšan</w:t>
      </w:r>
      <w:r>
        <w:rPr>
          <w:rStyle w:val="VirOpombaPORChar"/>
          <w:rFonts w:ascii="Myriad Pro" w:eastAsiaTheme="minorHAnsi" w:hAnsi="Myriad Pro"/>
          <w:sz w:val="16"/>
        </w:rPr>
        <w:t>ih</w:t>
      </w:r>
      <w:r w:rsidRPr="005A41AB">
        <w:rPr>
          <w:rStyle w:val="VirOpombaPORChar"/>
          <w:rFonts w:ascii="Myriad Pro" w:eastAsiaTheme="minorHAnsi" w:hAnsi="Myriad Pro"/>
          <w:sz w:val="16"/>
        </w:rPr>
        <w:t xml:space="preserve"> za vsaj enega </w:t>
      </w:r>
      <w:r>
        <w:rPr>
          <w:rStyle w:val="VirOpombaPORChar"/>
          <w:rFonts w:ascii="Myriad Pro" w:eastAsiaTheme="minorHAnsi" w:hAnsi="Myriad Pro"/>
          <w:sz w:val="16"/>
        </w:rPr>
        <w:t>od</w:t>
      </w:r>
      <w:r w:rsidRPr="005A41AB">
        <w:rPr>
          <w:rStyle w:val="VirOpombaPORChar"/>
          <w:rFonts w:ascii="Myriad Pro" w:eastAsiaTheme="minorHAnsi" w:hAnsi="Myriad Pro"/>
          <w:sz w:val="16"/>
        </w:rPr>
        <w:t xml:space="preserve"> naslednjih elementov: (i) slabo stanje stanovanja (težave s </w:t>
      </w:r>
      <w:r>
        <w:rPr>
          <w:rStyle w:val="VirOpombaPORChar"/>
          <w:rFonts w:ascii="Myriad Pro" w:eastAsiaTheme="minorHAnsi" w:hAnsi="Myriad Pro"/>
          <w:sz w:val="16"/>
        </w:rPr>
        <w:t xml:space="preserve">puščajočo </w:t>
      </w:r>
      <w:r w:rsidRPr="005A41AB">
        <w:rPr>
          <w:rStyle w:val="VirOpombaPORChar"/>
          <w:rFonts w:ascii="Myriad Pro" w:eastAsiaTheme="minorHAnsi" w:hAnsi="Myriad Pro"/>
          <w:sz w:val="16"/>
        </w:rPr>
        <w:t>streho</w:t>
      </w:r>
      <w:r>
        <w:rPr>
          <w:rStyle w:val="VirOpombaPORChar"/>
          <w:rFonts w:ascii="Myriad Pro" w:eastAsiaTheme="minorHAnsi" w:hAnsi="Myriad Pro"/>
          <w:sz w:val="16"/>
        </w:rPr>
        <w:t>,</w:t>
      </w:r>
      <w:r w:rsidRPr="005A41AB">
        <w:rPr>
          <w:rStyle w:val="VirOpombaPORChar"/>
          <w:rFonts w:ascii="Myriad Pro" w:eastAsiaTheme="minorHAnsi" w:hAnsi="Myriad Pro"/>
          <w:sz w:val="16"/>
        </w:rPr>
        <w:t xml:space="preserve"> vlažnimi stenami, tlemi ali trhlimi okenskimi okvirji), (ii) </w:t>
      </w:r>
      <w:r>
        <w:rPr>
          <w:rStyle w:val="VirOpombaPORChar"/>
          <w:rFonts w:ascii="Myriad Pro" w:eastAsiaTheme="minorHAnsi" w:hAnsi="Myriad Pro"/>
          <w:sz w:val="16"/>
        </w:rPr>
        <w:t xml:space="preserve">v stanovanju </w:t>
      </w:r>
      <w:r w:rsidRPr="005A41AB">
        <w:rPr>
          <w:rStyle w:val="VirOpombaPORChar"/>
          <w:rFonts w:ascii="Myriad Pro" w:eastAsiaTheme="minorHAnsi" w:hAnsi="Myriad Pro"/>
          <w:sz w:val="16"/>
        </w:rPr>
        <w:t xml:space="preserve">nimajo kadi ali prhe, (iii) nimajo stranišča na izplakovanje za lastno uporabo, (iv) </w:t>
      </w:r>
      <w:r>
        <w:rPr>
          <w:rStyle w:val="VirOpombaPORChar"/>
          <w:rFonts w:ascii="Myriad Pro" w:eastAsiaTheme="minorHAnsi" w:hAnsi="Myriad Pro"/>
          <w:sz w:val="16"/>
        </w:rPr>
        <w:t>ni zadostne svetlobe</w:t>
      </w:r>
      <w:r w:rsidRPr="005A41AB">
        <w:rPr>
          <w:rStyle w:val="VirOpombaPORChar"/>
          <w:rFonts w:ascii="Myriad Pro" w:eastAsiaTheme="minorHAnsi" w:hAnsi="Myriad Pro"/>
          <w:sz w:val="16"/>
        </w:rPr>
        <w:t xml:space="preserve">. </w:t>
      </w:r>
    </w:p>
  </w:footnote>
  <w:footnote w:id="20">
    <w:p w14:paraId="40F4ABC8" w14:textId="4681796C" w:rsidR="004554F9" w:rsidRPr="005A41AB" w:rsidRDefault="004554F9" w:rsidP="001C2337">
      <w:pPr>
        <w:pStyle w:val="FootnoteText"/>
      </w:pPr>
      <w:r w:rsidRPr="005A41AB">
        <w:rPr>
          <w:rStyle w:val="FootnoteReference"/>
        </w:rPr>
        <w:footnoteRef/>
      </w:r>
      <w:r w:rsidRPr="005A41AB">
        <w:t xml:space="preserve"> Po raziskavi SHARE starejši od 50 let v povprečju najdlje živijo v sedanjem </w:t>
      </w:r>
      <w:r w:rsidRPr="006446A5">
        <w:t xml:space="preserve">stanovanju </w:t>
      </w:r>
      <w:r>
        <w:t>(</w:t>
      </w:r>
      <w:r w:rsidRPr="006446A5">
        <w:t>med državami</w:t>
      </w:r>
      <w:r>
        <w:t>,</w:t>
      </w:r>
      <w:r w:rsidRPr="006446A5">
        <w:t xml:space="preserve"> vključenimi v raziskavo</w:t>
      </w:r>
      <w:r>
        <w:t>)</w:t>
      </w:r>
      <w:r w:rsidRPr="006446A5">
        <w:t>. Pri nas</w:t>
      </w:r>
      <w:r w:rsidRPr="005A41AB">
        <w:t xml:space="preserve"> tako živijo v sedanjem bivališču v povprečju 32 let, kar je največ med vključenimi državami.</w:t>
      </w:r>
    </w:p>
  </w:footnote>
  <w:footnote w:id="21">
    <w:p w14:paraId="056EF9AB" w14:textId="7147C64A" w:rsidR="004554F9" w:rsidRPr="005A41AB" w:rsidRDefault="004554F9" w:rsidP="001C2337">
      <w:pPr>
        <w:pStyle w:val="FootnoteText"/>
      </w:pPr>
      <w:r w:rsidRPr="005A41AB">
        <w:rPr>
          <w:rStyle w:val="FootnoteReference"/>
        </w:rPr>
        <w:footnoteRef/>
      </w:r>
      <w:r w:rsidRPr="005A41AB">
        <w:t xml:space="preserve"> Delež oseb v stanovanju v slabem stanju (pušča</w:t>
      </w:r>
      <w:r>
        <w:t>joča</w:t>
      </w:r>
      <w:r w:rsidRPr="005A41AB">
        <w:t xml:space="preserve"> streha, vlažne stene/temelji/tla ali trhli okenski okvirji/tla </w:t>
      </w:r>
      <w:r w:rsidRPr="005A41AB">
        <w:fldChar w:fldCharType="begin"/>
      </w:r>
      <w:r w:rsidRPr="005A41AB">
        <w:instrText xml:space="preserve"> ADDIN ZOTERO_ITEM CSL_CITATION {"citationID":"6EnEj4bO","properties":{"formattedCitation":"(SURS, 2020)","plainCitation":"(SURS, 2020)","noteIndex":18},"citationItems":[{"id":"G2ZWKWqU/pJaPjrly","uris":["http://zotero.org/users/8353284/items/YV34VH56",["http://zotero.org/users/8353284/items/YV34VH56"]],"itemData":{"id":1092,"type":"report","language":"sl","page":"24","source":"Zotero","title":"Kazalniki dohodka, revščine in socialne izključenosti","URL":"https://www.stat.si/statweb/File/DocSysFile/8141","author":[{"family":"SURS","given":""}],"issued":{"date-parts":[["2020"]]}}}],"schema":"https://github.com/citation-style-language/schema/raw/master/csl-citation.json"} </w:instrText>
      </w:r>
      <w:r w:rsidRPr="005A41AB">
        <w:fldChar w:fldCharType="separate"/>
      </w:r>
      <w:r w:rsidRPr="005A41AB">
        <w:t>(SURS, 2020)</w:t>
      </w:r>
      <w:r w:rsidRPr="005A41AB">
        <w:fldChar w:fldCharType="end"/>
      </w:r>
      <w:r>
        <w:t>)</w:t>
      </w:r>
      <w:r w:rsidRPr="005A41AB">
        <w:t>. V podatkih niso zastopani brezdomni, nezadostno pa Romi</w:t>
      </w:r>
      <w:r>
        <w:t xml:space="preserve"> in druge</w:t>
      </w:r>
      <w:r w:rsidRPr="005A41AB">
        <w:t xml:space="preserve"> skupine z nizkimi dohodki ter pogosto slabšimi stanovanjskimi razmerami (gl. </w:t>
      </w:r>
      <w:r w:rsidRPr="005A41AB">
        <w:fldChar w:fldCharType="begin"/>
      </w:r>
      <w:r w:rsidRPr="005A41AB">
        <w:instrText xml:space="preserve"> ADDIN ZOTERO_ITEM CSL_CITATION {"citationID":"iuLGo80o","properties":{"formattedCitation":"(UMAR, 2021)","plainCitation":"(UMAR, 2021)","dontUpdate":true,"noteIndex":18},"citationItems":[{"id":"G2ZWKWqU/DrbiA9p9","uris":["http://zotero.org/users/8353284/items/82HQX53H",["http://zotero.org/users/8353284/items/82HQX53H"]],"itemData":{"id":1129,"type":"report","event-place":"Ljubljana","publisher":"Urad RS za makroekonomske analize in razvoj RS","publisher-place":"Ljubljana","title":"Evropski steber socialnih pravic, Slovenija 2000–2020","URL":"https://www.umar.gov.si/fileadmin/user_upload/publikacije/ESSP/2021/ESSP_splet.pdf","author":[{"family":"UMAR","given":""}],"issued":{"date-parts":[["2021"]]}}}],"schema":"https://github.com/citation-style-language/schema/raw/master/csl-citation.json"} </w:instrText>
      </w:r>
      <w:r w:rsidRPr="005A41AB">
        <w:fldChar w:fldCharType="separate"/>
      </w:r>
      <w:r w:rsidRPr="005A41AB">
        <w:t>UMAR, 2021)</w:t>
      </w:r>
      <w:r w:rsidRPr="005A41AB">
        <w:fldChar w:fldCharType="end"/>
      </w:r>
      <w:r w:rsidRPr="005A41AB">
        <w:t xml:space="preserve">. </w:t>
      </w:r>
    </w:p>
  </w:footnote>
  <w:footnote w:id="22">
    <w:p w14:paraId="0D6CC42E" w14:textId="2FA8E465" w:rsidR="004554F9" w:rsidRPr="00486BC9" w:rsidRDefault="004554F9" w:rsidP="001C2337">
      <w:pPr>
        <w:pStyle w:val="FootnoteText"/>
      </w:pPr>
      <w:r w:rsidRPr="005A41AB">
        <w:rPr>
          <w:rStyle w:val="FootnoteReference"/>
        </w:rPr>
        <w:footnoteRef/>
      </w:r>
      <w:r w:rsidRPr="005A41AB">
        <w:t xml:space="preserve"> SURS je do leta 2007 tako kot večina držav EU podatke za slabo stanje stanovanja zbiral z enim vprašanjem, od leta 2008 pa s tremi: </w:t>
      </w:r>
      <w:r>
        <w:br/>
      </w:r>
      <w:r w:rsidRPr="005A41AB">
        <w:t>(i) pušča</w:t>
      </w:r>
      <w:r w:rsidRPr="005A41AB" w:rsidDel="00A103F1">
        <w:t xml:space="preserve"> </w:t>
      </w:r>
      <w:r w:rsidRPr="005A41AB">
        <w:t xml:space="preserve">streha, (ii) vlažni stene/tla/temelji, (iii) trhli okenski okvirji/tla. Vsaj en pozitiven odgovor pomeni slabo stanje stanovanja. Spremembe so bile vpeljane zaradi podcenjenosti pojava v Sloveniji </w:t>
      </w:r>
      <w:r w:rsidRPr="005A41AB">
        <w:fldChar w:fldCharType="begin"/>
      </w:r>
      <w:r w:rsidRPr="005A41AB">
        <w:instrText xml:space="preserve"> ADDIN ZOTERO_ITEM CSL_CITATION {"citationID":"dWHnB4ib","properties":{"formattedCitation":"(SURS, 2020)","plainCitation":"(SURS, 2020)","noteIndex":19},"citationItems":[{"id":"G2ZWKWqU/pJaPjrly","uris":["http://zotero.org/users/8353284/items/YV34VH56",["http://zotero.org/users/8353284/items/YV34VH56"]],"itemData":{"id":1092,"type":"report","language":"sl","page":"24","source":"Zotero","title":"Kazalniki dohodka, revščine in socialne izključenosti","URL":"https://www.stat.si/statweb/File/DocSysFile/8141","author":[{"family":"SURS","given":""}],"issued":{"date-parts":[["2020"]]}}}],"schema":"https://github.com/citation-style-language/schema/raw/master/csl-citation.json"} </w:instrText>
      </w:r>
      <w:r w:rsidRPr="005A41AB">
        <w:fldChar w:fldCharType="separate"/>
      </w:r>
      <w:r w:rsidRPr="005A41AB">
        <w:t>(SURS, 2020)</w:t>
      </w:r>
      <w:r w:rsidRPr="005A41AB">
        <w:fldChar w:fldCharType="end"/>
      </w:r>
      <w:r w:rsidRPr="005A41AB">
        <w:t xml:space="preserve">. Rezultati se glede </w:t>
      </w:r>
      <w:r w:rsidRPr="00485281">
        <w:t xml:space="preserve">na </w:t>
      </w:r>
      <w:r w:rsidRPr="00771807">
        <w:t>pretekli</w:t>
      </w:r>
      <w:r w:rsidRPr="00485281">
        <w:t xml:space="preserve"> in nov način m</w:t>
      </w:r>
      <w:r w:rsidRPr="005A41AB">
        <w:t>erjenja zelo razlikujejo: delež oseb v slabem stanju stanovanja je leta 2007</w:t>
      </w:r>
      <w:r>
        <w:t xml:space="preserve"> znašal</w:t>
      </w:r>
      <w:r w:rsidRPr="005A41AB">
        <w:t xml:space="preserve"> 17,5 %, leta 2008 pa 30,2 %.</w:t>
      </w:r>
    </w:p>
  </w:footnote>
  <w:footnote w:id="23">
    <w:p w14:paraId="20AECEE3" w14:textId="77777777" w:rsidR="004554F9" w:rsidRPr="00630424" w:rsidRDefault="004554F9" w:rsidP="001C2337">
      <w:pPr>
        <w:pStyle w:val="FootnoteText"/>
      </w:pPr>
      <w:r>
        <w:rPr>
          <w:rStyle w:val="FootnoteReference"/>
        </w:rPr>
        <w:footnoteRef/>
      </w:r>
      <w:r>
        <w:t xml:space="preserve"> </w:t>
      </w:r>
      <w:r w:rsidRPr="00630424">
        <w:t>Po podatkih OECD se je delež starejših od 65 let, ki prejemajo DO na domu, povečal z 6,5 leta 2015 na 7,3 % leta 2019.</w:t>
      </w:r>
    </w:p>
  </w:footnote>
  <w:footnote w:id="24">
    <w:p w14:paraId="6D439A73" w14:textId="21FB3409" w:rsidR="004554F9" w:rsidRPr="00630424" w:rsidRDefault="004554F9" w:rsidP="001C2337">
      <w:pPr>
        <w:pStyle w:val="FootnoteText"/>
      </w:pPr>
      <w:r w:rsidRPr="00630424">
        <w:rPr>
          <w:rStyle w:val="FootnoteReference"/>
          <w:sz w:val="16"/>
          <w:szCs w:val="16"/>
        </w:rPr>
        <w:footnoteRef/>
      </w:r>
      <w:r w:rsidRPr="00630424">
        <w:t xml:space="preserve"> P</w:t>
      </w:r>
      <w:r>
        <w:t>r</w:t>
      </w:r>
      <w:r w:rsidRPr="00630424">
        <w:t>i osebah z vsaj eno</w:t>
      </w:r>
      <w:r>
        <w:t xml:space="preserve"> oviranostjo pri osnovnih ali podportnih dnevnih aktivnostih (ADL in IADL) je d</w:t>
      </w:r>
      <w:r w:rsidRPr="00630424">
        <w:t>elež starejših z nezadovoljenimi potrebami leta 2020 znašal 65</w:t>
      </w:r>
      <w:r>
        <w:t> </w:t>
      </w:r>
      <w:r w:rsidRPr="00630424">
        <w:t>%</w:t>
      </w:r>
      <w:r>
        <w:t xml:space="preserve"> </w:t>
      </w:r>
      <w:r w:rsidRPr="00630424">
        <w:fldChar w:fldCharType="begin"/>
      </w:r>
      <w:r>
        <w:instrText xml:space="preserve"> ADDIN ZOTERO_ITEM CSL_CITATION {"citationID":"fAJmhkDm","properties":{"formattedCitation":"(B\\uc0\\u246{}rsch-Supan, 2022)","plainCitation":"(Börsch-Supan, 2022)","noteIndex":21},"citationItems":[{"id":3680,"uris":["http://zotero.org/users/8351010/items/M7ZY58GK"],"itemData":{"id":3680,"type":"dataset","DOI":"10.6103/SHARE.W8.800","language":"en","publisher":"SHARE-ERIC","source":"DOI.org (Datacite)","title":"Survey of Health, Ageing and Retirement in Europe (SHARE) Wave 8","URL":"http://www.share-project.org/data-documentation/waves-overview/wave-8.html","version":"8.0.0","author":[{"family":"Börsch-Supan","given":"Axel"}],"accessed":{"date-parts":[["2023",1,17]]},"issued":{"date-parts":[["2022"]]}}}],"schema":"https://github.com/citation-style-language/schema/raw/master/csl-citation.json"} </w:instrText>
      </w:r>
      <w:r w:rsidRPr="00630424">
        <w:fldChar w:fldCharType="separate"/>
      </w:r>
      <w:r w:rsidRPr="00630424">
        <w:rPr>
          <w:rFonts w:cs="Calibri"/>
        </w:rPr>
        <w:t>(Börsch-Supan, 2022)</w:t>
      </w:r>
      <w:r w:rsidRPr="00630424">
        <w:fldChar w:fldCharType="end"/>
      </w:r>
      <w:r w:rsidRPr="00630424">
        <w:t>.</w:t>
      </w:r>
    </w:p>
  </w:footnote>
  <w:footnote w:id="25">
    <w:p w14:paraId="492BE885" w14:textId="3D1EC0F0" w:rsidR="004554F9" w:rsidRDefault="004554F9" w:rsidP="001C2337">
      <w:pPr>
        <w:pStyle w:val="FootnoteText"/>
      </w:pPr>
      <w:r>
        <w:rPr>
          <w:rStyle w:val="FootnoteReference"/>
        </w:rPr>
        <w:footnoteRef/>
      </w:r>
      <w:r>
        <w:t xml:space="preserve"> Cilji </w:t>
      </w:r>
      <w:r w:rsidRPr="00630424">
        <w:t xml:space="preserve">so: (i) </w:t>
      </w:r>
      <w:r w:rsidRPr="00630424">
        <w:rPr>
          <w:lang w:eastAsia="sl-SI"/>
        </w:rPr>
        <w:t>blaginja vseh generacij ter dostojno in varno bivanje v domačem okolju z upoštevanjem visoke ravni človekovih pravic, (ii) vključenost vseh generacij v ekonomsko, družbeno, socialno in kulturno življenje v skladu z njihovimi željami in potrebami ter medgeneracijsko sožitje, (iii) ohranjanje in izboljšanje telesnega in duševnega zdravja ljudi vseh starosti.</w:t>
      </w:r>
      <w:r>
        <w:rPr>
          <w:lang w:eastAsia="sl-SI"/>
        </w:rPr>
        <w:t xml:space="preserve"> </w:t>
      </w:r>
      <w:r>
        <w:fldChar w:fldCharType="begin"/>
      </w:r>
      <w:r>
        <w:instrText xml:space="preserve"> ADDIN ZOTERO_ITEM CSL_CITATION {"citationID":"JZiwsbH7","properties":{"formattedCitation":"(Bedna\\uc0\\u353{}. M. in Kajzer, A.(Ured.), 2017)","plainCitation":"(Bednaš. M. in Kajzer, A.(Ured.), 2017)","dontUpdate":true,"noteIndex":22},"citationItems":[{"id":3593,"uris":["http://zotero.org/users/8351010/items/4QVB2TCS"],"itemData":{"id":3593,"type":"report","event-place":"Ljubljana","publisher":"Urad RS za makroekonomske analize in razvij in Minstrstvo za delo, družino in socilane zadeve","publisher-place":"Ljubljana","title":"Strategija dolgožive družbe","URL":"https://www.umar.gov.si/fileadmin/user_upload/publikacije/kratke_analize/Strategija_dolgozive_druzbe/Strategija_dolgozive_druzbe.pdf","author":[{"literal":"Bednaš. M. in Kajzer, A.(Ured.)"}],"issued":{"date-parts":[["2017"]]}}}],"schema":"https://github.com/citation-style-language/schema/raw/master/csl-citation.json"} </w:instrText>
      </w:r>
      <w:r>
        <w:fldChar w:fldCharType="separate"/>
      </w:r>
      <w:r w:rsidRPr="00630424">
        <w:rPr>
          <w:szCs w:val="24"/>
        </w:rPr>
        <w:t>(Bednaš. M. in Kajzer, A.</w:t>
      </w:r>
      <w:r>
        <w:rPr>
          <w:szCs w:val="24"/>
        </w:rPr>
        <w:t xml:space="preserve"> </w:t>
      </w:r>
      <w:r w:rsidRPr="00630424">
        <w:rPr>
          <w:szCs w:val="24"/>
        </w:rPr>
        <w:t>(</w:t>
      </w:r>
      <w:r>
        <w:rPr>
          <w:szCs w:val="24"/>
        </w:rPr>
        <w:t>u</w:t>
      </w:r>
      <w:r w:rsidRPr="00630424">
        <w:rPr>
          <w:szCs w:val="24"/>
        </w:rPr>
        <w:t>red.), 2017)</w:t>
      </w:r>
      <w:r>
        <w:fldChar w:fldCharType="end"/>
      </w:r>
      <w:r>
        <w:t>.</w:t>
      </w:r>
    </w:p>
    <w:p w14:paraId="34842403" w14:textId="77777777" w:rsidR="004554F9" w:rsidRDefault="004554F9" w:rsidP="001C2337">
      <w:pPr>
        <w:pStyle w:val="SprotnaopombaP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4554F9" w:rsidRPr="00A540FA" w14:paraId="6B1EFBBB" w14:textId="77777777" w:rsidTr="00287C4E">
      <w:trPr>
        <w:trHeight w:val="552"/>
      </w:trPr>
      <w:tc>
        <w:tcPr>
          <w:tcW w:w="8276" w:type="dxa"/>
        </w:tcPr>
        <w:p w14:paraId="06641BF6" w14:textId="514C1C55" w:rsidR="004554F9" w:rsidRPr="00F43CB0" w:rsidRDefault="004554F9" w:rsidP="004016AB">
          <w:pPr>
            <w:pStyle w:val="Header"/>
            <w:tabs>
              <w:tab w:val="clear" w:pos="4536"/>
              <w:tab w:val="clear" w:pos="9072"/>
              <w:tab w:val="right" w:pos="8276"/>
            </w:tabs>
            <w:spacing w:line="240" w:lineRule="auto"/>
            <w:rPr>
              <w:rFonts w:cstheme="minorHAnsi"/>
              <w:b/>
              <w:sz w:val="16"/>
            </w:rPr>
          </w:pPr>
          <w:r w:rsidRPr="00F43CB0">
            <w:rPr>
              <w:rFonts w:cstheme="minorHAnsi"/>
              <w:noProof/>
              <w:lang w:eastAsia="sl-SI"/>
            </w:rPr>
            <w:drawing>
              <wp:anchor distT="0" distB="0" distL="114300" distR="114300" simplePos="0" relativeHeight="251658240" behindDoc="0" locked="0" layoutInCell="1" allowOverlap="1" wp14:anchorId="706160B3" wp14:editId="20B50651">
                <wp:simplePos x="0" y="0"/>
                <wp:positionH relativeFrom="column">
                  <wp:posOffset>306705</wp:posOffset>
                </wp:positionH>
                <wp:positionV relativeFrom="paragraph">
                  <wp:posOffset>15928</wp:posOffset>
                </wp:positionV>
                <wp:extent cx="58420" cy="76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76200"/>
                        </a:xfrm>
                        <a:prstGeom prst="rect">
                          <a:avLst/>
                        </a:prstGeom>
                        <a:noFill/>
                        <a:ln>
                          <a:noFill/>
                        </a:ln>
                      </pic:spPr>
                    </pic:pic>
                  </a:graphicData>
                </a:graphic>
              </wp:anchor>
            </w:drawing>
          </w:r>
          <w:r>
            <w:rPr>
              <w:rFonts w:cstheme="minorHAnsi"/>
              <w:b/>
              <w:sz w:val="16"/>
            </w:rPr>
            <w:t xml:space="preserve">UMAR     Stanje na področjih </w:t>
          </w:r>
          <w:r w:rsidR="00D31614">
            <w:rPr>
              <w:rFonts w:cstheme="minorHAnsi"/>
              <w:b/>
              <w:sz w:val="16"/>
            </w:rPr>
            <w:t>S</w:t>
          </w:r>
          <w:r>
            <w:rPr>
              <w:rFonts w:cstheme="minorHAnsi"/>
              <w:b/>
              <w:sz w:val="16"/>
            </w:rPr>
            <w:t xml:space="preserve">trategije dolgožive družbe </w:t>
          </w:r>
          <w:r>
            <w:rPr>
              <w:rFonts w:cstheme="minorHAnsi"/>
              <w:b/>
              <w:sz w:val="16"/>
            </w:rPr>
            <w:tab/>
          </w:r>
        </w:p>
      </w:tc>
      <w:tc>
        <w:tcPr>
          <w:tcW w:w="796" w:type="dxa"/>
        </w:tcPr>
        <w:p w14:paraId="49916D68" w14:textId="77777777" w:rsidR="004554F9" w:rsidRPr="00B607E3" w:rsidRDefault="004554F9"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1EAC23AE" w14:textId="77777777" w:rsidR="004554F9" w:rsidRDefault="004554F9"/>
  <w:p w14:paraId="4CE18FAB" w14:textId="77777777" w:rsidR="004554F9" w:rsidRDefault="004554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abstractNum w:abstractNumId="4" w15:restartNumberingAfterBreak="0">
    <w:nsid w:val="778A3D09"/>
    <w:multiLevelType w:val="multilevel"/>
    <w:tmpl w:val="632E78CA"/>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D393D72"/>
    <w:multiLevelType w:val="hybridMultilevel"/>
    <w:tmpl w:val="2A987C9E"/>
    <w:lvl w:ilvl="0" w:tplc="963631B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2"/>
    <w:lvlOverride w:ilvl="0">
      <w:startOverride w:val="3"/>
    </w:lvlOverride>
    <w:lvlOverride w:ilvl="1">
      <w:startOverride w:val="1"/>
    </w:lvlOverride>
  </w:num>
  <w:num w:numId="7">
    <w:abstractNumId w:val="2"/>
    <w:lvlOverride w:ilvl="0">
      <w:startOverride w:val="3"/>
    </w:lvlOverride>
    <w:lvlOverride w:ilvl="1">
      <w:startOverride w:val="1"/>
    </w:lvlOverride>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33"/>
    <w:rsid w:val="00000E19"/>
    <w:rsid w:val="000016FF"/>
    <w:rsid w:val="000026EC"/>
    <w:rsid w:val="00002CAF"/>
    <w:rsid w:val="000032F1"/>
    <w:rsid w:val="000033D4"/>
    <w:rsid w:val="00003462"/>
    <w:rsid w:val="00003D71"/>
    <w:rsid w:val="00003E9D"/>
    <w:rsid w:val="00004DAC"/>
    <w:rsid w:val="00006657"/>
    <w:rsid w:val="00006975"/>
    <w:rsid w:val="00006998"/>
    <w:rsid w:val="00006BC6"/>
    <w:rsid w:val="000071B5"/>
    <w:rsid w:val="00007719"/>
    <w:rsid w:val="00011526"/>
    <w:rsid w:val="00012164"/>
    <w:rsid w:val="00013848"/>
    <w:rsid w:val="000141E1"/>
    <w:rsid w:val="00014DA7"/>
    <w:rsid w:val="00021509"/>
    <w:rsid w:val="00023524"/>
    <w:rsid w:val="00023A5C"/>
    <w:rsid w:val="00023FFD"/>
    <w:rsid w:val="0002452C"/>
    <w:rsid w:val="00024FA0"/>
    <w:rsid w:val="000267E2"/>
    <w:rsid w:val="00026ACB"/>
    <w:rsid w:val="00027B30"/>
    <w:rsid w:val="0003011B"/>
    <w:rsid w:val="00031C92"/>
    <w:rsid w:val="00033FF7"/>
    <w:rsid w:val="00035A28"/>
    <w:rsid w:val="00035FBD"/>
    <w:rsid w:val="000365D0"/>
    <w:rsid w:val="0003751E"/>
    <w:rsid w:val="00037DDD"/>
    <w:rsid w:val="000406C4"/>
    <w:rsid w:val="0004147D"/>
    <w:rsid w:val="00041BCA"/>
    <w:rsid w:val="00042B8F"/>
    <w:rsid w:val="000438D4"/>
    <w:rsid w:val="00043F74"/>
    <w:rsid w:val="00044259"/>
    <w:rsid w:val="00046D94"/>
    <w:rsid w:val="00046E49"/>
    <w:rsid w:val="0004723A"/>
    <w:rsid w:val="00047754"/>
    <w:rsid w:val="0005097C"/>
    <w:rsid w:val="00053395"/>
    <w:rsid w:val="00054645"/>
    <w:rsid w:val="0005475A"/>
    <w:rsid w:val="000547F0"/>
    <w:rsid w:val="000572B9"/>
    <w:rsid w:val="00057C74"/>
    <w:rsid w:val="00060302"/>
    <w:rsid w:val="00066A45"/>
    <w:rsid w:val="0007025B"/>
    <w:rsid w:val="00070B55"/>
    <w:rsid w:val="00072E0A"/>
    <w:rsid w:val="0007354C"/>
    <w:rsid w:val="00075D73"/>
    <w:rsid w:val="00075F43"/>
    <w:rsid w:val="00077993"/>
    <w:rsid w:val="00077C63"/>
    <w:rsid w:val="00077E9C"/>
    <w:rsid w:val="0008109A"/>
    <w:rsid w:val="00083E22"/>
    <w:rsid w:val="00084484"/>
    <w:rsid w:val="0008550C"/>
    <w:rsid w:val="000855DF"/>
    <w:rsid w:val="0008604D"/>
    <w:rsid w:val="0008712F"/>
    <w:rsid w:val="000871CC"/>
    <w:rsid w:val="000912D0"/>
    <w:rsid w:val="000918F3"/>
    <w:rsid w:val="0009247A"/>
    <w:rsid w:val="000927A8"/>
    <w:rsid w:val="000929C6"/>
    <w:rsid w:val="00092DA8"/>
    <w:rsid w:val="000936DA"/>
    <w:rsid w:val="000968B4"/>
    <w:rsid w:val="000969D0"/>
    <w:rsid w:val="00096DB6"/>
    <w:rsid w:val="000A171A"/>
    <w:rsid w:val="000A1F78"/>
    <w:rsid w:val="000A528A"/>
    <w:rsid w:val="000A6B50"/>
    <w:rsid w:val="000A6E55"/>
    <w:rsid w:val="000A78C0"/>
    <w:rsid w:val="000B0C7C"/>
    <w:rsid w:val="000B177F"/>
    <w:rsid w:val="000B1E80"/>
    <w:rsid w:val="000B29EE"/>
    <w:rsid w:val="000B2CC4"/>
    <w:rsid w:val="000B3619"/>
    <w:rsid w:val="000B3ABA"/>
    <w:rsid w:val="000B4005"/>
    <w:rsid w:val="000B48FF"/>
    <w:rsid w:val="000B75F3"/>
    <w:rsid w:val="000C11F7"/>
    <w:rsid w:val="000C1C5A"/>
    <w:rsid w:val="000C2CAF"/>
    <w:rsid w:val="000C2CFF"/>
    <w:rsid w:val="000C36A2"/>
    <w:rsid w:val="000C43BF"/>
    <w:rsid w:val="000C4E62"/>
    <w:rsid w:val="000C5063"/>
    <w:rsid w:val="000C66F6"/>
    <w:rsid w:val="000C7F62"/>
    <w:rsid w:val="000D0C8F"/>
    <w:rsid w:val="000D191D"/>
    <w:rsid w:val="000D1E72"/>
    <w:rsid w:val="000D21DC"/>
    <w:rsid w:val="000D3A81"/>
    <w:rsid w:val="000D4CA8"/>
    <w:rsid w:val="000D7AF1"/>
    <w:rsid w:val="000E0B25"/>
    <w:rsid w:val="000E1358"/>
    <w:rsid w:val="000E1F2B"/>
    <w:rsid w:val="000E3BEC"/>
    <w:rsid w:val="000E70CE"/>
    <w:rsid w:val="000E7ADD"/>
    <w:rsid w:val="000E7B27"/>
    <w:rsid w:val="000E7BCB"/>
    <w:rsid w:val="000E7D56"/>
    <w:rsid w:val="000F0B06"/>
    <w:rsid w:val="000F15F3"/>
    <w:rsid w:val="000F23D6"/>
    <w:rsid w:val="000F2B1C"/>
    <w:rsid w:val="000F3003"/>
    <w:rsid w:val="000F37C8"/>
    <w:rsid w:val="000F3AB7"/>
    <w:rsid w:val="000F59B1"/>
    <w:rsid w:val="000F6794"/>
    <w:rsid w:val="000F6F5D"/>
    <w:rsid w:val="000F7579"/>
    <w:rsid w:val="00100DB9"/>
    <w:rsid w:val="00101588"/>
    <w:rsid w:val="00102756"/>
    <w:rsid w:val="0010366B"/>
    <w:rsid w:val="0010507E"/>
    <w:rsid w:val="00105A87"/>
    <w:rsid w:val="00105D95"/>
    <w:rsid w:val="00106008"/>
    <w:rsid w:val="00106B4D"/>
    <w:rsid w:val="00106BE5"/>
    <w:rsid w:val="00107A6B"/>
    <w:rsid w:val="00107A7C"/>
    <w:rsid w:val="00110C49"/>
    <w:rsid w:val="00110FEB"/>
    <w:rsid w:val="00111562"/>
    <w:rsid w:val="001116E9"/>
    <w:rsid w:val="00113567"/>
    <w:rsid w:val="00115051"/>
    <w:rsid w:val="001153EC"/>
    <w:rsid w:val="0011551D"/>
    <w:rsid w:val="001170C5"/>
    <w:rsid w:val="00117115"/>
    <w:rsid w:val="00117342"/>
    <w:rsid w:val="0011783D"/>
    <w:rsid w:val="001207AC"/>
    <w:rsid w:val="00121772"/>
    <w:rsid w:val="001237EF"/>
    <w:rsid w:val="00124C9D"/>
    <w:rsid w:val="0012593F"/>
    <w:rsid w:val="00127B1E"/>
    <w:rsid w:val="00130A1A"/>
    <w:rsid w:val="00132F1C"/>
    <w:rsid w:val="0013312D"/>
    <w:rsid w:val="00134E3A"/>
    <w:rsid w:val="0013548A"/>
    <w:rsid w:val="00135CF8"/>
    <w:rsid w:val="00137AB5"/>
    <w:rsid w:val="001406F5"/>
    <w:rsid w:val="00140706"/>
    <w:rsid w:val="001419ED"/>
    <w:rsid w:val="00141E1A"/>
    <w:rsid w:val="00142D76"/>
    <w:rsid w:val="00143E7F"/>
    <w:rsid w:val="00143F8E"/>
    <w:rsid w:val="0014497B"/>
    <w:rsid w:val="001455D8"/>
    <w:rsid w:val="001466E1"/>
    <w:rsid w:val="00150E9F"/>
    <w:rsid w:val="0015467F"/>
    <w:rsid w:val="00154D70"/>
    <w:rsid w:val="0015528E"/>
    <w:rsid w:val="00161445"/>
    <w:rsid w:val="00161611"/>
    <w:rsid w:val="0016173F"/>
    <w:rsid w:val="00162561"/>
    <w:rsid w:val="00165810"/>
    <w:rsid w:val="001666EE"/>
    <w:rsid w:val="001673B5"/>
    <w:rsid w:val="001673FC"/>
    <w:rsid w:val="001709CB"/>
    <w:rsid w:val="00170FA1"/>
    <w:rsid w:val="00172931"/>
    <w:rsid w:val="00173779"/>
    <w:rsid w:val="00175219"/>
    <w:rsid w:val="00175D93"/>
    <w:rsid w:val="001764AB"/>
    <w:rsid w:val="001770F0"/>
    <w:rsid w:val="001800CD"/>
    <w:rsid w:val="00181502"/>
    <w:rsid w:val="00181CCA"/>
    <w:rsid w:val="00182305"/>
    <w:rsid w:val="0018519C"/>
    <w:rsid w:val="00186CF7"/>
    <w:rsid w:val="001908FD"/>
    <w:rsid w:val="001910C2"/>
    <w:rsid w:val="001917B6"/>
    <w:rsid w:val="00192673"/>
    <w:rsid w:val="00194111"/>
    <w:rsid w:val="00195F97"/>
    <w:rsid w:val="0019720D"/>
    <w:rsid w:val="001A0885"/>
    <w:rsid w:val="001A1629"/>
    <w:rsid w:val="001A3EB9"/>
    <w:rsid w:val="001A51A2"/>
    <w:rsid w:val="001A5589"/>
    <w:rsid w:val="001A6DEA"/>
    <w:rsid w:val="001B2F40"/>
    <w:rsid w:val="001B6398"/>
    <w:rsid w:val="001C20B3"/>
    <w:rsid w:val="001C2337"/>
    <w:rsid w:val="001C31A9"/>
    <w:rsid w:val="001C3A0A"/>
    <w:rsid w:val="001C487D"/>
    <w:rsid w:val="001C4D46"/>
    <w:rsid w:val="001C5AF2"/>
    <w:rsid w:val="001D0A6E"/>
    <w:rsid w:val="001D0B2F"/>
    <w:rsid w:val="001D1834"/>
    <w:rsid w:val="001D2606"/>
    <w:rsid w:val="001D3A3F"/>
    <w:rsid w:val="001D4089"/>
    <w:rsid w:val="001D5E74"/>
    <w:rsid w:val="001D65E7"/>
    <w:rsid w:val="001D663D"/>
    <w:rsid w:val="001D77DC"/>
    <w:rsid w:val="001E07FD"/>
    <w:rsid w:val="001E0960"/>
    <w:rsid w:val="001E7BEE"/>
    <w:rsid w:val="001F0482"/>
    <w:rsid w:val="001F13D1"/>
    <w:rsid w:val="001F1537"/>
    <w:rsid w:val="001F166C"/>
    <w:rsid w:val="001F19AB"/>
    <w:rsid w:val="001F1F26"/>
    <w:rsid w:val="001F379C"/>
    <w:rsid w:val="001F3DFC"/>
    <w:rsid w:val="001F484B"/>
    <w:rsid w:val="001F5A8C"/>
    <w:rsid w:val="001F60CF"/>
    <w:rsid w:val="001F62CF"/>
    <w:rsid w:val="001F6860"/>
    <w:rsid w:val="00200123"/>
    <w:rsid w:val="00203C04"/>
    <w:rsid w:val="00204B09"/>
    <w:rsid w:val="00204FAA"/>
    <w:rsid w:val="00205270"/>
    <w:rsid w:val="00205616"/>
    <w:rsid w:val="00205B5D"/>
    <w:rsid w:val="002111FC"/>
    <w:rsid w:val="00212697"/>
    <w:rsid w:val="00213C2C"/>
    <w:rsid w:val="00214084"/>
    <w:rsid w:val="00214A8B"/>
    <w:rsid w:val="00215302"/>
    <w:rsid w:val="00216D06"/>
    <w:rsid w:val="00217E32"/>
    <w:rsid w:val="00220A86"/>
    <w:rsid w:val="00220E84"/>
    <w:rsid w:val="002223FF"/>
    <w:rsid w:val="002225D3"/>
    <w:rsid w:val="00223423"/>
    <w:rsid w:val="00225170"/>
    <w:rsid w:val="0022533F"/>
    <w:rsid w:val="002257A9"/>
    <w:rsid w:val="0022693B"/>
    <w:rsid w:val="00226FA3"/>
    <w:rsid w:val="00230DE5"/>
    <w:rsid w:val="00232A6B"/>
    <w:rsid w:val="00232BBE"/>
    <w:rsid w:val="002340A4"/>
    <w:rsid w:val="0023463D"/>
    <w:rsid w:val="00234DFD"/>
    <w:rsid w:val="00234E12"/>
    <w:rsid w:val="00234FE9"/>
    <w:rsid w:val="00235E12"/>
    <w:rsid w:val="00243D25"/>
    <w:rsid w:val="00244E0B"/>
    <w:rsid w:val="00250B99"/>
    <w:rsid w:val="00251572"/>
    <w:rsid w:val="00252660"/>
    <w:rsid w:val="00252F81"/>
    <w:rsid w:val="002531D4"/>
    <w:rsid w:val="00253567"/>
    <w:rsid w:val="00256A4B"/>
    <w:rsid w:val="00256DD5"/>
    <w:rsid w:val="002572F0"/>
    <w:rsid w:val="002577FF"/>
    <w:rsid w:val="00260C67"/>
    <w:rsid w:val="002611DC"/>
    <w:rsid w:val="002612D6"/>
    <w:rsid w:val="002628DA"/>
    <w:rsid w:val="00263300"/>
    <w:rsid w:val="00263E3D"/>
    <w:rsid w:val="002643D0"/>
    <w:rsid w:val="00264870"/>
    <w:rsid w:val="00265B02"/>
    <w:rsid w:val="00265E7B"/>
    <w:rsid w:val="00266B89"/>
    <w:rsid w:val="0026726D"/>
    <w:rsid w:val="00272385"/>
    <w:rsid w:val="00272C68"/>
    <w:rsid w:val="002739B3"/>
    <w:rsid w:val="00273F43"/>
    <w:rsid w:val="00274A6B"/>
    <w:rsid w:val="002750B5"/>
    <w:rsid w:val="00275CAC"/>
    <w:rsid w:val="002800D2"/>
    <w:rsid w:val="00281355"/>
    <w:rsid w:val="00282A01"/>
    <w:rsid w:val="00282B2B"/>
    <w:rsid w:val="00287845"/>
    <w:rsid w:val="00287C4E"/>
    <w:rsid w:val="002901C9"/>
    <w:rsid w:val="00291052"/>
    <w:rsid w:val="00291B55"/>
    <w:rsid w:val="0029204B"/>
    <w:rsid w:val="002930F7"/>
    <w:rsid w:val="00293DD3"/>
    <w:rsid w:val="00295489"/>
    <w:rsid w:val="00296655"/>
    <w:rsid w:val="00296ADF"/>
    <w:rsid w:val="00296B59"/>
    <w:rsid w:val="002973F5"/>
    <w:rsid w:val="002A0E59"/>
    <w:rsid w:val="002A126A"/>
    <w:rsid w:val="002A1940"/>
    <w:rsid w:val="002A27A0"/>
    <w:rsid w:val="002A368E"/>
    <w:rsid w:val="002A6C97"/>
    <w:rsid w:val="002B06FB"/>
    <w:rsid w:val="002B3773"/>
    <w:rsid w:val="002B3890"/>
    <w:rsid w:val="002B3FA8"/>
    <w:rsid w:val="002B5937"/>
    <w:rsid w:val="002B5D48"/>
    <w:rsid w:val="002B631F"/>
    <w:rsid w:val="002B66E4"/>
    <w:rsid w:val="002B7E01"/>
    <w:rsid w:val="002C0805"/>
    <w:rsid w:val="002C0D76"/>
    <w:rsid w:val="002C42D3"/>
    <w:rsid w:val="002D0D1B"/>
    <w:rsid w:val="002D16B0"/>
    <w:rsid w:val="002D1D30"/>
    <w:rsid w:val="002D3CA2"/>
    <w:rsid w:val="002D4122"/>
    <w:rsid w:val="002D4281"/>
    <w:rsid w:val="002D460E"/>
    <w:rsid w:val="002D5102"/>
    <w:rsid w:val="002D6AA3"/>
    <w:rsid w:val="002E032A"/>
    <w:rsid w:val="002E053C"/>
    <w:rsid w:val="002E12FB"/>
    <w:rsid w:val="002E2F4F"/>
    <w:rsid w:val="002E35F9"/>
    <w:rsid w:val="002E37AA"/>
    <w:rsid w:val="002E45C6"/>
    <w:rsid w:val="002E603C"/>
    <w:rsid w:val="002F2CDE"/>
    <w:rsid w:val="002F36AC"/>
    <w:rsid w:val="002F5D0F"/>
    <w:rsid w:val="002F62CB"/>
    <w:rsid w:val="002F63D4"/>
    <w:rsid w:val="0030011D"/>
    <w:rsid w:val="003014DC"/>
    <w:rsid w:val="00305924"/>
    <w:rsid w:val="003061CF"/>
    <w:rsid w:val="00306706"/>
    <w:rsid w:val="003119D2"/>
    <w:rsid w:val="0031446B"/>
    <w:rsid w:val="00315406"/>
    <w:rsid w:val="0031550F"/>
    <w:rsid w:val="003205A0"/>
    <w:rsid w:val="00320F24"/>
    <w:rsid w:val="0032108E"/>
    <w:rsid w:val="0032109D"/>
    <w:rsid w:val="0032787A"/>
    <w:rsid w:val="00330829"/>
    <w:rsid w:val="0033107B"/>
    <w:rsid w:val="003312A2"/>
    <w:rsid w:val="0033366D"/>
    <w:rsid w:val="00334607"/>
    <w:rsid w:val="00336899"/>
    <w:rsid w:val="00337701"/>
    <w:rsid w:val="003378F3"/>
    <w:rsid w:val="00337C77"/>
    <w:rsid w:val="0034024E"/>
    <w:rsid w:val="00340546"/>
    <w:rsid w:val="0034152B"/>
    <w:rsid w:val="00341E37"/>
    <w:rsid w:val="00341EEF"/>
    <w:rsid w:val="00343039"/>
    <w:rsid w:val="00344940"/>
    <w:rsid w:val="00344FE4"/>
    <w:rsid w:val="00345374"/>
    <w:rsid w:val="00347515"/>
    <w:rsid w:val="0035126D"/>
    <w:rsid w:val="00351BD0"/>
    <w:rsid w:val="003529F5"/>
    <w:rsid w:val="00353175"/>
    <w:rsid w:val="00353D73"/>
    <w:rsid w:val="00354A68"/>
    <w:rsid w:val="00355D20"/>
    <w:rsid w:val="003601BD"/>
    <w:rsid w:val="00361BD3"/>
    <w:rsid w:val="00362460"/>
    <w:rsid w:val="00363634"/>
    <w:rsid w:val="00363A1A"/>
    <w:rsid w:val="00364CEA"/>
    <w:rsid w:val="00365253"/>
    <w:rsid w:val="003656BC"/>
    <w:rsid w:val="00365B36"/>
    <w:rsid w:val="00365CA9"/>
    <w:rsid w:val="00365D5F"/>
    <w:rsid w:val="003663C9"/>
    <w:rsid w:val="003672FA"/>
    <w:rsid w:val="00367549"/>
    <w:rsid w:val="00370630"/>
    <w:rsid w:val="00373951"/>
    <w:rsid w:val="00373E63"/>
    <w:rsid w:val="00374268"/>
    <w:rsid w:val="003743DD"/>
    <w:rsid w:val="00374A64"/>
    <w:rsid w:val="00374A78"/>
    <w:rsid w:val="00374C61"/>
    <w:rsid w:val="00375C3D"/>
    <w:rsid w:val="00376234"/>
    <w:rsid w:val="00380DEB"/>
    <w:rsid w:val="00382AEE"/>
    <w:rsid w:val="00383F11"/>
    <w:rsid w:val="003844E5"/>
    <w:rsid w:val="00385490"/>
    <w:rsid w:val="00385684"/>
    <w:rsid w:val="003861B0"/>
    <w:rsid w:val="00386ACD"/>
    <w:rsid w:val="0038783C"/>
    <w:rsid w:val="00390A78"/>
    <w:rsid w:val="00391645"/>
    <w:rsid w:val="003926AD"/>
    <w:rsid w:val="003936E4"/>
    <w:rsid w:val="00394200"/>
    <w:rsid w:val="003944B6"/>
    <w:rsid w:val="00394B17"/>
    <w:rsid w:val="00394D2D"/>
    <w:rsid w:val="00395593"/>
    <w:rsid w:val="003958D1"/>
    <w:rsid w:val="00396660"/>
    <w:rsid w:val="00396AD0"/>
    <w:rsid w:val="003A130C"/>
    <w:rsid w:val="003A1CC3"/>
    <w:rsid w:val="003A2EB1"/>
    <w:rsid w:val="003A4B98"/>
    <w:rsid w:val="003A4C58"/>
    <w:rsid w:val="003A5848"/>
    <w:rsid w:val="003A58EE"/>
    <w:rsid w:val="003A6845"/>
    <w:rsid w:val="003A6C2F"/>
    <w:rsid w:val="003A7D45"/>
    <w:rsid w:val="003A7EE3"/>
    <w:rsid w:val="003A7F44"/>
    <w:rsid w:val="003B0CEE"/>
    <w:rsid w:val="003B1BDA"/>
    <w:rsid w:val="003B2E0E"/>
    <w:rsid w:val="003B3133"/>
    <w:rsid w:val="003B3D3D"/>
    <w:rsid w:val="003B3E38"/>
    <w:rsid w:val="003B5F73"/>
    <w:rsid w:val="003B64A5"/>
    <w:rsid w:val="003B653A"/>
    <w:rsid w:val="003B7CD1"/>
    <w:rsid w:val="003C3E4B"/>
    <w:rsid w:val="003D1009"/>
    <w:rsid w:val="003D2EFD"/>
    <w:rsid w:val="003D39EE"/>
    <w:rsid w:val="003D431F"/>
    <w:rsid w:val="003D65E1"/>
    <w:rsid w:val="003D666E"/>
    <w:rsid w:val="003D7EE3"/>
    <w:rsid w:val="003E0B22"/>
    <w:rsid w:val="003E193D"/>
    <w:rsid w:val="003E1D01"/>
    <w:rsid w:val="003E284B"/>
    <w:rsid w:val="003E2BA4"/>
    <w:rsid w:val="003E31F6"/>
    <w:rsid w:val="003E382C"/>
    <w:rsid w:val="003E3A2D"/>
    <w:rsid w:val="003E3D32"/>
    <w:rsid w:val="003E4990"/>
    <w:rsid w:val="003E5C63"/>
    <w:rsid w:val="003F001A"/>
    <w:rsid w:val="003F058C"/>
    <w:rsid w:val="003F090C"/>
    <w:rsid w:val="003F18D2"/>
    <w:rsid w:val="003F1B14"/>
    <w:rsid w:val="003F1D09"/>
    <w:rsid w:val="003F1D22"/>
    <w:rsid w:val="003F252F"/>
    <w:rsid w:val="003F2614"/>
    <w:rsid w:val="003F26A8"/>
    <w:rsid w:val="003F32BC"/>
    <w:rsid w:val="003F33CD"/>
    <w:rsid w:val="003F5FD3"/>
    <w:rsid w:val="003F6AB1"/>
    <w:rsid w:val="003F7DB9"/>
    <w:rsid w:val="00400465"/>
    <w:rsid w:val="00400DE5"/>
    <w:rsid w:val="004016AB"/>
    <w:rsid w:val="00402400"/>
    <w:rsid w:val="004029BB"/>
    <w:rsid w:val="00402B00"/>
    <w:rsid w:val="00403981"/>
    <w:rsid w:val="00404473"/>
    <w:rsid w:val="00404606"/>
    <w:rsid w:val="00404841"/>
    <w:rsid w:val="004049B7"/>
    <w:rsid w:val="00406443"/>
    <w:rsid w:val="004068EF"/>
    <w:rsid w:val="00407C0D"/>
    <w:rsid w:val="00407E3C"/>
    <w:rsid w:val="00411076"/>
    <w:rsid w:val="00411FE9"/>
    <w:rsid w:val="00413A61"/>
    <w:rsid w:val="004145F9"/>
    <w:rsid w:val="004155C8"/>
    <w:rsid w:val="00415D75"/>
    <w:rsid w:val="00416D9C"/>
    <w:rsid w:val="0042350D"/>
    <w:rsid w:val="00423D6C"/>
    <w:rsid w:val="004248C0"/>
    <w:rsid w:val="0042577D"/>
    <w:rsid w:val="00427E7B"/>
    <w:rsid w:val="00430947"/>
    <w:rsid w:val="004316F7"/>
    <w:rsid w:val="00431FB3"/>
    <w:rsid w:val="00433EC8"/>
    <w:rsid w:val="00435423"/>
    <w:rsid w:val="00437CB6"/>
    <w:rsid w:val="00440FB2"/>
    <w:rsid w:val="00441504"/>
    <w:rsid w:val="0044242E"/>
    <w:rsid w:val="0044421E"/>
    <w:rsid w:val="004448D1"/>
    <w:rsid w:val="00446186"/>
    <w:rsid w:val="004462CF"/>
    <w:rsid w:val="0044754D"/>
    <w:rsid w:val="00447A71"/>
    <w:rsid w:val="004526C7"/>
    <w:rsid w:val="00452B84"/>
    <w:rsid w:val="004534D1"/>
    <w:rsid w:val="00454751"/>
    <w:rsid w:val="004554F9"/>
    <w:rsid w:val="00456494"/>
    <w:rsid w:val="0045716E"/>
    <w:rsid w:val="00457C59"/>
    <w:rsid w:val="004610CF"/>
    <w:rsid w:val="00461535"/>
    <w:rsid w:val="00463654"/>
    <w:rsid w:val="0046366D"/>
    <w:rsid w:val="00464E10"/>
    <w:rsid w:val="00467B42"/>
    <w:rsid w:val="00470031"/>
    <w:rsid w:val="004711DB"/>
    <w:rsid w:val="00471237"/>
    <w:rsid w:val="00471568"/>
    <w:rsid w:val="00471713"/>
    <w:rsid w:val="00471D85"/>
    <w:rsid w:val="004730B8"/>
    <w:rsid w:val="00474F4F"/>
    <w:rsid w:val="0047533F"/>
    <w:rsid w:val="0047635E"/>
    <w:rsid w:val="00477262"/>
    <w:rsid w:val="004774EA"/>
    <w:rsid w:val="004774F9"/>
    <w:rsid w:val="00477DBE"/>
    <w:rsid w:val="00480397"/>
    <w:rsid w:val="00480A95"/>
    <w:rsid w:val="00481B30"/>
    <w:rsid w:val="00481E14"/>
    <w:rsid w:val="00483248"/>
    <w:rsid w:val="00484DF1"/>
    <w:rsid w:val="00485096"/>
    <w:rsid w:val="00485174"/>
    <w:rsid w:val="00485281"/>
    <w:rsid w:val="00485403"/>
    <w:rsid w:val="004856A5"/>
    <w:rsid w:val="0048594C"/>
    <w:rsid w:val="0048599C"/>
    <w:rsid w:val="00487357"/>
    <w:rsid w:val="00487D9F"/>
    <w:rsid w:val="00487DB9"/>
    <w:rsid w:val="00487FA1"/>
    <w:rsid w:val="004901C2"/>
    <w:rsid w:val="0049345B"/>
    <w:rsid w:val="0049356B"/>
    <w:rsid w:val="00493ADB"/>
    <w:rsid w:val="004945BD"/>
    <w:rsid w:val="00494A3D"/>
    <w:rsid w:val="00495854"/>
    <w:rsid w:val="00495889"/>
    <w:rsid w:val="00496165"/>
    <w:rsid w:val="004964C0"/>
    <w:rsid w:val="004964EE"/>
    <w:rsid w:val="004966FB"/>
    <w:rsid w:val="00497805"/>
    <w:rsid w:val="004A0DC1"/>
    <w:rsid w:val="004A0EF8"/>
    <w:rsid w:val="004A318E"/>
    <w:rsid w:val="004A3288"/>
    <w:rsid w:val="004A3312"/>
    <w:rsid w:val="004A45DA"/>
    <w:rsid w:val="004A6495"/>
    <w:rsid w:val="004A7B55"/>
    <w:rsid w:val="004B275E"/>
    <w:rsid w:val="004B3384"/>
    <w:rsid w:val="004B39ED"/>
    <w:rsid w:val="004B3B3B"/>
    <w:rsid w:val="004B4B54"/>
    <w:rsid w:val="004B5A95"/>
    <w:rsid w:val="004B67D9"/>
    <w:rsid w:val="004B7532"/>
    <w:rsid w:val="004C0235"/>
    <w:rsid w:val="004C06F8"/>
    <w:rsid w:val="004C1588"/>
    <w:rsid w:val="004C15D7"/>
    <w:rsid w:val="004C1673"/>
    <w:rsid w:val="004C22C6"/>
    <w:rsid w:val="004C36D8"/>
    <w:rsid w:val="004C4982"/>
    <w:rsid w:val="004C5AD3"/>
    <w:rsid w:val="004C6B99"/>
    <w:rsid w:val="004D1933"/>
    <w:rsid w:val="004D1C81"/>
    <w:rsid w:val="004D22FB"/>
    <w:rsid w:val="004D2B31"/>
    <w:rsid w:val="004D33D1"/>
    <w:rsid w:val="004D372F"/>
    <w:rsid w:val="004D51EA"/>
    <w:rsid w:val="004D5670"/>
    <w:rsid w:val="004D6D6F"/>
    <w:rsid w:val="004D78A9"/>
    <w:rsid w:val="004D7963"/>
    <w:rsid w:val="004E149D"/>
    <w:rsid w:val="004E26C0"/>
    <w:rsid w:val="004E27FA"/>
    <w:rsid w:val="004E5079"/>
    <w:rsid w:val="004E50C9"/>
    <w:rsid w:val="004E538D"/>
    <w:rsid w:val="004E643E"/>
    <w:rsid w:val="004F09ED"/>
    <w:rsid w:val="004F0F3E"/>
    <w:rsid w:val="004F1872"/>
    <w:rsid w:val="004F25F6"/>
    <w:rsid w:val="004F2BE3"/>
    <w:rsid w:val="004F35D7"/>
    <w:rsid w:val="004F38FC"/>
    <w:rsid w:val="004F3C08"/>
    <w:rsid w:val="004F45A8"/>
    <w:rsid w:val="004F54A2"/>
    <w:rsid w:val="004F62F9"/>
    <w:rsid w:val="004F6459"/>
    <w:rsid w:val="004F6889"/>
    <w:rsid w:val="0050010C"/>
    <w:rsid w:val="005007C5"/>
    <w:rsid w:val="00501B23"/>
    <w:rsid w:val="00501BD9"/>
    <w:rsid w:val="00502FA8"/>
    <w:rsid w:val="0050550D"/>
    <w:rsid w:val="0050616E"/>
    <w:rsid w:val="00507640"/>
    <w:rsid w:val="0050798F"/>
    <w:rsid w:val="00510461"/>
    <w:rsid w:val="005139FA"/>
    <w:rsid w:val="00513F8E"/>
    <w:rsid w:val="0051582D"/>
    <w:rsid w:val="00515A21"/>
    <w:rsid w:val="0051702C"/>
    <w:rsid w:val="005175C1"/>
    <w:rsid w:val="00520E00"/>
    <w:rsid w:val="00521786"/>
    <w:rsid w:val="005227E6"/>
    <w:rsid w:val="005237FD"/>
    <w:rsid w:val="0052552A"/>
    <w:rsid w:val="00525FE4"/>
    <w:rsid w:val="00527415"/>
    <w:rsid w:val="00530590"/>
    <w:rsid w:val="00530EB8"/>
    <w:rsid w:val="0053228F"/>
    <w:rsid w:val="00532FEB"/>
    <w:rsid w:val="005331FB"/>
    <w:rsid w:val="0053327D"/>
    <w:rsid w:val="0053381E"/>
    <w:rsid w:val="00534995"/>
    <w:rsid w:val="00535CAE"/>
    <w:rsid w:val="00537053"/>
    <w:rsid w:val="00537175"/>
    <w:rsid w:val="0054083E"/>
    <w:rsid w:val="0054256C"/>
    <w:rsid w:val="00543646"/>
    <w:rsid w:val="00543748"/>
    <w:rsid w:val="005438FA"/>
    <w:rsid w:val="0054632F"/>
    <w:rsid w:val="0054650F"/>
    <w:rsid w:val="005472C7"/>
    <w:rsid w:val="00550662"/>
    <w:rsid w:val="00551677"/>
    <w:rsid w:val="00555663"/>
    <w:rsid w:val="00556C94"/>
    <w:rsid w:val="0055724C"/>
    <w:rsid w:val="00560321"/>
    <w:rsid w:val="005604EC"/>
    <w:rsid w:val="0056113D"/>
    <w:rsid w:val="00562453"/>
    <w:rsid w:val="005633C7"/>
    <w:rsid w:val="00563809"/>
    <w:rsid w:val="00564898"/>
    <w:rsid w:val="00570E34"/>
    <w:rsid w:val="005727D4"/>
    <w:rsid w:val="00574238"/>
    <w:rsid w:val="00575C6D"/>
    <w:rsid w:val="00576C22"/>
    <w:rsid w:val="00577A81"/>
    <w:rsid w:val="00577D88"/>
    <w:rsid w:val="00577DA4"/>
    <w:rsid w:val="005840E9"/>
    <w:rsid w:val="00584252"/>
    <w:rsid w:val="00585C7B"/>
    <w:rsid w:val="005861F1"/>
    <w:rsid w:val="0058622D"/>
    <w:rsid w:val="00586C8F"/>
    <w:rsid w:val="00587AA5"/>
    <w:rsid w:val="00590676"/>
    <w:rsid w:val="0059231A"/>
    <w:rsid w:val="00593328"/>
    <w:rsid w:val="00594ACA"/>
    <w:rsid w:val="00594B4F"/>
    <w:rsid w:val="005955CD"/>
    <w:rsid w:val="00596071"/>
    <w:rsid w:val="00596BFA"/>
    <w:rsid w:val="005A1D18"/>
    <w:rsid w:val="005A265B"/>
    <w:rsid w:val="005A41AB"/>
    <w:rsid w:val="005A545F"/>
    <w:rsid w:val="005A6B61"/>
    <w:rsid w:val="005A6C05"/>
    <w:rsid w:val="005A7F55"/>
    <w:rsid w:val="005B0194"/>
    <w:rsid w:val="005B0540"/>
    <w:rsid w:val="005B0D84"/>
    <w:rsid w:val="005B2E29"/>
    <w:rsid w:val="005B3500"/>
    <w:rsid w:val="005B3887"/>
    <w:rsid w:val="005B3B73"/>
    <w:rsid w:val="005B4654"/>
    <w:rsid w:val="005B6E4D"/>
    <w:rsid w:val="005C00FC"/>
    <w:rsid w:val="005C0307"/>
    <w:rsid w:val="005C144C"/>
    <w:rsid w:val="005C161F"/>
    <w:rsid w:val="005C2526"/>
    <w:rsid w:val="005C2CEA"/>
    <w:rsid w:val="005C441B"/>
    <w:rsid w:val="005C5C18"/>
    <w:rsid w:val="005C60C3"/>
    <w:rsid w:val="005C6830"/>
    <w:rsid w:val="005C6CC2"/>
    <w:rsid w:val="005D0DF9"/>
    <w:rsid w:val="005D1010"/>
    <w:rsid w:val="005D17C6"/>
    <w:rsid w:val="005D1D02"/>
    <w:rsid w:val="005D1FEF"/>
    <w:rsid w:val="005D270D"/>
    <w:rsid w:val="005D40BC"/>
    <w:rsid w:val="005D46FD"/>
    <w:rsid w:val="005D50A8"/>
    <w:rsid w:val="005D6BEE"/>
    <w:rsid w:val="005D6EE4"/>
    <w:rsid w:val="005D741E"/>
    <w:rsid w:val="005E1891"/>
    <w:rsid w:val="005E2A7C"/>
    <w:rsid w:val="005E3DEA"/>
    <w:rsid w:val="005F333F"/>
    <w:rsid w:val="005F3BD9"/>
    <w:rsid w:val="005F3C8A"/>
    <w:rsid w:val="005F4578"/>
    <w:rsid w:val="005F4B6E"/>
    <w:rsid w:val="005F52F4"/>
    <w:rsid w:val="005F63E9"/>
    <w:rsid w:val="005F7F5A"/>
    <w:rsid w:val="006000A1"/>
    <w:rsid w:val="00603C90"/>
    <w:rsid w:val="00603F7C"/>
    <w:rsid w:val="006040E6"/>
    <w:rsid w:val="00604372"/>
    <w:rsid w:val="006057C4"/>
    <w:rsid w:val="00605B8A"/>
    <w:rsid w:val="0060669B"/>
    <w:rsid w:val="0060744B"/>
    <w:rsid w:val="00607E3B"/>
    <w:rsid w:val="00611105"/>
    <w:rsid w:val="006119CB"/>
    <w:rsid w:val="006134EC"/>
    <w:rsid w:val="006137BC"/>
    <w:rsid w:val="0061384F"/>
    <w:rsid w:val="0061500C"/>
    <w:rsid w:val="006151CF"/>
    <w:rsid w:val="0061586C"/>
    <w:rsid w:val="00617A5B"/>
    <w:rsid w:val="00617F94"/>
    <w:rsid w:val="0062054C"/>
    <w:rsid w:val="006207F9"/>
    <w:rsid w:val="006217FD"/>
    <w:rsid w:val="00622948"/>
    <w:rsid w:val="006236C4"/>
    <w:rsid w:val="006246AE"/>
    <w:rsid w:val="0062563A"/>
    <w:rsid w:val="00626525"/>
    <w:rsid w:val="006278D9"/>
    <w:rsid w:val="0063281E"/>
    <w:rsid w:val="00632C88"/>
    <w:rsid w:val="00633AA6"/>
    <w:rsid w:val="006344F9"/>
    <w:rsid w:val="00634816"/>
    <w:rsid w:val="00634AF6"/>
    <w:rsid w:val="00634D6B"/>
    <w:rsid w:val="00636589"/>
    <w:rsid w:val="00637ECF"/>
    <w:rsid w:val="00641386"/>
    <w:rsid w:val="006446A5"/>
    <w:rsid w:val="0064491A"/>
    <w:rsid w:val="00644AE4"/>
    <w:rsid w:val="006501DA"/>
    <w:rsid w:val="006556AC"/>
    <w:rsid w:val="00655CD6"/>
    <w:rsid w:val="006604A5"/>
    <w:rsid w:val="00660522"/>
    <w:rsid w:val="006620FF"/>
    <w:rsid w:val="00662C48"/>
    <w:rsid w:val="0066357F"/>
    <w:rsid w:val="00663770"/>
    <w:rsid w:val="00664CDB"/>
    <w:rsid w:val="006658A7"/>
    <w:rsid w:val="006667FE"/>
    <w:rsid w:val="00666BE2"/>
    <w:rsid w:val="006674A7"/>
    <w:rsid w:val="0066780A"/>
    <w:rsid w:val="006721D9"/>
    <w:rsid w:val="0067227C"/>
    <w:rsid w:val="00672818"/>
    <w:rsid w:val="006730C0"/>
    <w:rsid w:val="00673674"/>
    <w:rsid w:val="0067399E"/>
    <w:rsid w:val="00674223"/>
    <w:rsid w:val="006745CB"/>
    <w:rsid w:val="0067505F"/>
    <w:rsid w:val="00676463"/>
    <w:rsid w:val="0067685D"/>
    <w:rsid w:val="00677435"/>
    <w:rsid w:val="006803E3"/>
    <w:rsid w:val="00680E4A"/>
    <w:rsid w:val="00681BBC"/>
    <w:rsid w:val="006839FC"/>
    <w:rsid w:val="00686F72"/>
    <w:rsid w:val="006909E4"/>
    <w:rsid w:val="00691850"/>
    <w:rsid w:val="00691861"/>
    <w:rsid w:val="00693AF7"/>
    <w:rsid w:val="00693BD3"/>
    <w:rsid w:val="0069486F"/>
    <w:rsid w:val="006954CB"/>
    <w:rsid w:val="00695F23"/>
    <w:rsid w:val="006966BC"/>
    <w:rsid w:val="006969C3"/>
    <w:rsid w:val="006A02BE"/>
    <w:rsid w:val="006A2EF0"/>
    <w:rsid w:val="006A3079"/>
    <w:rsid w:val="006A62B0"/>
    <w:rsid w:val="006B1011"/>
    <w:rsid w:val="006B1D3D"/>
    <w:rsid w:val="006B20DE"/>
    <w:rsid w:val="006B2E64"/>
    <w:rsid w:val="006B34CB"/>
    <w:rsid w:val="006B7AE0"/>
    <w:rsid w:val="006C00BD"/>
    <w:rsid w:val="006C086E"/>
    <w:rsid w:val="006C09F7"/>
    <w:rsid w:val="006C1554"/>
    <w:rsid w:val="006C1815"/>
    <w:rsid w:val="006C403C"/>
    <w:rsid w:val="006C42D5"/>
    <w:rsid w:val="006C4B8D"/>
    <w:rsid w:val="006C4DBB"/>
    <w:rsid w:val="006C5869"/>
    <w:rsid w:val="006C6647"/>
    <w:rsid w:val="006C680F"/>
    <w:rsid w:val="006C7E4C"/>
    <w:rsid w:val="006D0C34"/>
    <w:rsid w:val="006D186E"/>
    <w:rsid w:val="006D1872"/>
    <w:rsid w:val="006D1AFD"/>
    <w:rsid w:val="006D3890"/>
    <w:rsid w:val="006D48B0"/>
    <w:rsid w:val="006D4C24"/>
    <w:rsid w:val="006D5FC6"/>
    <w:rsid w:val="006D7195"/>
    <w:rsid w:val="006E2C8C"/>
    <w:rsid w:val="006E4FDE"/>
    <w:rsid w:val="006E78F4"/>
    <w:rsid w:val="006E7DEF"/>
    <w:rsid w:val="006F1948"/>
    <w:rsid w:val="006F4BBF"/>
    <w:rsid w:val="006F5351"/>
    <w:rsid w:val="00701097"/>
    <w:rsid w:val="00701E95"/>
    <w:rsid w:val="00703342"/>
    <w:rsid w:val="00704190"/>
    <w:rsid w:val="00704A07"/>
    <w:rsid w:val="00705590"/>
    <w:rsid w:val="00706494"/>
    <w:rsid w:val="0070699D"/>
    <w:rsid w:val="0071002E"/>
    <w:rsid w:val="007118F9"/>
    <w:rsid w:val="007123CD"/>
    <w:rsid w:val="0071240A"/>
    <w:rsid w:val="00713D6E"/>
    <w:rsid w:val="0071423C"/>
    <w:rsid w:val="007149B8"/>
    <w:rsid w:val="00715778"/>
    <w:rsid w:val="00717734"/>
    <w:rsid w:val="00717AD3"/>
    <w:rsid w:val="00717DA3"/>
    <w:rsid w:val="007209FA"/>
    <w:rsid w:val="00722488"/>
    <w:rsid w:val="0072522B"/>
    <w:rsid w:val="00725D56"/>
    <w:rsid w:val="00727AA2"/>
    <w:rsid w:val="00731841"/>
    <w:rsid w:val="00732BAD"/>
    <w:rsid w:val="00733E66"/>
    <w:rsid w:val="007340C3"/>
    <w:rsid w:val="007345C0"/>
    <w:rsid w:val="00735D71"/>
    <w:rsid w:val="00736DB1"/>
    <w:rsid w:val="0073783D"/>
    <w:rsid w:val="007439FD"/>
    <w:rsid w:val="007444E2"/>
    <w:rsid w:val="007444EC"/>
    <w:rsid w:val="00744677"/>
    <w:rsid w:val="00744C9F"/>
    <w:rsid w:val="00744F0D"/>
    <w:rsid w:val="00747002"/>
    <w:rsid w:val="00753254"/>
    <w:rsid w:val="007532FA"/>
    <w:rsid w:val="0075345D"/>
    <w:rsid w:val="007538F0"/>
    <w:rsid w:val="00753CE9"/>
    <w:rsid w:val="00756DFB"/>
    <w:rsid w:val="00757564"/>
    <w:rsid w:val="007610B9"/>
    <w:rsid w:val="00761FD7"/>
    <w:rsid w:val="00763700"/>
    <w:rsid w:val="00763A67"/>
    <w:rsid w:val="00763CDB"/>
    <w:rsid w:val="00765C58"/>
    <w:rsid w:val="007661DC"/>
    <w:rsid w:val="00766A04"/>
    <w:rsid w:val="00767900"/>
    <w:rsid w:val="00770703"/>
    <w:rsid w:val="00771744"/>
    <w:rsid w:val="00771807"/>
    <w:rsid w:val="00772268"/>
    <w:rsid w:val="00772F99"/>
    <w:rsid w:val="007731CD"/>
    <w:rsid w:val="007736C3"/>
    <w:rsid w:val="00773F2F"/>
    <w:rsid w:val="00774B58"/>
    <w:rsid w:val="00774D84"/>
    <w:rsid w:val="007759EA"/>
    <w:rsid w:val="00776801"/>
    <w:rsid w:val="00777ADF"/>
    <w:rsid w:val="00777FF0"/>
    <w:rsid w:val="0078037C"/>
    <w:rsid w:val="00781D29"/>
    <w:rsid w:val="00781F66"/>
    <w:rsid w:val="0078243B"/>
    <w:rsid w:val="00784074"/>
    <w:rsid w:val="00784670"/>
    <w:rsid w:val="007860F8"/>
    <w:rsid w:val="00786676"/>
    <w:rsid w:val="00787735"/>
    <w:rsid w:val="00787EC1"/>
    <w:rsid w:val="00787F5E"/>
    <w:rsid w:val="007914B0"/>
    <w:rsid w:val="007915C0"/>
    <w:rsid w:val="00792BEF"/>
    <w:rsid w:val="007960DF"/>
    <w:rsid w:val="00796692"/>
    <w:rsid w:val="007A3179"/>
    <w:rsid w:val="007A3C64"/>
    <w:rsid w:val="007A4D39"/>
    <w:rsid w:val="007B04BB"/>
    <w:rsid w:val="007B34D6"/>
    <w:rsid w:val="007B3947"/>
    <w:rsid w:val="007B5D5A"/>
    <w:rsid w:val="007B6137"/>
    <w:rsid w:val="007B7666"/>
    <w:rsid w:val="007B7CC6"/>
    <w:rsid w:val="007C26AB"/>
    <w:rsid w:val="007C3256"/>
    <w:rsid w:val="007C3A38"/>
    <w:rsid w:val="007C58E1"/>
    <w:rsid w:val="007C5ADD"/>
    <w:rsid w:val="007C6528"/>
    <w:rsid w:val="007C7A54"/>
    <w:rsid w:val="007D02D4"/>
    <w:rsid w:val="007D22BF"/>
    <w:rsid w:val="007D3936"/>
    <w:rsid w:val="007D3FAF"/>
    <w:rsid w:val="007D4FDE"/>
    <w:rsid w:val="007D5FE5"/>
    <w:rsid w:val="007D6B1B"/>
    <w:rsid w:val="007E2B35"/>
    <w:rsid w:val="007E2FA8"/>
    <w:rsid w:val="007E56AE"/>
    <w:rsid w:val="007E5FB3"/>
    <w:rsid w:val="007F1523"/>
    <w:rsid w:val="007F1CC9"/>
    <w:rsid w:val="007F24FB"/>
    <w:rsid w:val="007F3981"/>
    <w:rsid w:val="007F4A5A"/>
    <w:rsid w:val="007F5B95"/>
    <w:rsid w:val="007F662E"/>
    <w:rsid w:val="00803E1C"/>
    <w:rsid w:val="00804622"/>
    <w:rsid w:val="00805108"/>
    <w:rsid w:val="00806D14"/>
    <w:rsid w:val="008101ED"/>
    <w:rsid w:val="008118B7"/>
    <w:rsid w:val="00811F1B"/>
    <w:rsid w:val="00812202"/>
    <w:rsid w:val="008122F4"/>
    <w:rsid w:val="008135D9"/>
    <w:rsid w:val="008139D4"/>
    <w:rsid w:val="00813F73"/>
    <w:rsid w:val="00816849"/>
    <w:rsid w:val="00816CD8"/>
    <w:rsid w:val="00820007"/>
    <w:rsid w:val="00821155"/>
    <w:rsid w:val="0082247E"/>
    <w:rsid w:val="00824448"/>
    <w:rsid w:val="00825445"/>
    <w:rsid w:val="008256C6"/>
    <w:rsid w:val="00825CC5"/>
    <w:rsid w:val="008261A9"/>
    <w:rsid w:val="00826216"/>
    <w:rsid w:val="0082699E"/>
    <w:rsid w:val="00827CB0"/>
    <w:rsid w:val="00830962"/>
    <w:rsid w:val="00831EB1"/>
    <w:rsid w:val="0083280E"/>
    <w:rsid w:val="00833551"/>
    <w:rsid w:val="008336EA"/>
    <w:rsid w:val="008339B7"/>
    <w:rsid w:val="00835CBB"/>
    <w:rsid w:val="00835D43"/>
    <w:rsid w:val="00836476"/>
    <w:rsid w:val="008374CD"/>
    <w:rsid w:val="008413EA"/>
    <w:rsid w:val="008416E2"/>
    <w:rsid w:val="00841F72"/>
    <w:rsid w:val="00845D54"/>
    <w:rsid w:val="008463BF"/>
    <w:rsid w:val="008474F2"/>
    <w:rsid w:val="00847855"/>
    <w:rsid w:val="00847870"/>
    <w:rsid w:val="008507C3"/>
    <w:rsid w:val="00852D36"/>
    <w:rsid w:val="008542A0"/>
    <w:rsid w:val="008544BC"/>
    <w:rsid w:val="008544ED"/>
    <w:rsid w:val="00855703"/>
    <w:rsid w:val="0085653D"/>
    <w:rsid w:val="00856A79"/>
    <w:rsid w:val="008577F4"/>
    <w:rsid w:val="008621D2"/>
    <w:rsid w:val="00862ABA"/>
    <w:rsid w:val="00863095"/>
    <w:rsid w:val="008634A6"/>
    <w:rsid w:val="008639E8"/>
    <w:rsid w:val="00865904"/>
    <w:rsid w:val="00867508"/>
    <w:rsid w:val="00867CC9"/>
    <w:rsid w:val="00870DED"/>
    <w:rsid w:val="0087311A"/>
    <w:rsid w:val="0087606A"/>
    <w:rsid w:val="0087719D"/>
    <w:rsid w:val="00877898"/>
    <w:rsid w:val="00880D8D"/>
    <w:rsid w:val="00880DE7"/>
    <w:rsid w:val="00881457"/>
    <w:rsid w:val="00881F1C"/>
    <w:rsid w:val="0088440C"/>
    <w:rsid w:val="00885F2F"/>
    <w:rsid w:val="00886E25"/>
    <w:rsid w:val="00887956"/>
    <w:rsid w:val="00890FA1"/>
    <w:rsid w:val="008910F9"/>
    <w:rsid w:val="00892DD2"/>
    <w:rsid w:val="00895B4C"/>
    <w:rsid w:val="00897D11"/>
    <w:rsid w:val="008A0F80"/>
    <w:rsid w:val="008A3347"/>
    <w:rsid w:val="008A5C0C"/>
    <w:rsid w:val="008A5FC7"/>
    <w:rsid w:val="008B068D"/>
    <w:rsid w:val="008B0CCC"/>
    <w:rsid w:val="008B18F0"/>
    <w:rsid w:val="008B2066"/>
    <w:rsid w:val="008B4AB1"/>
    <w:rsid w:val="008B4F50"/>
    <w:rsid w:val="008B6EC2"/>
    <w:rsid w:val="008B7525"/>
    <w:rsid w:val="008C0014"/>
    <w:rsid w:val="008C2631"/>
    <w:rsid w:val="008C4268"/>
    <w:rsid w:val="008C44ED"/>
    <w:rsid w:val="008C5000"/>
    <w:rsid w:val="008D07FF"/>
    <w:rsid w:val="008D0E22"/>
    <w:rsid w:val="008D3F1B"/>
    <w:rsid w:val="008D64B9"/>
    <w:rsid w:val="008E1911"/>
    <w:rsid w:val="008E1ECC"/>
    <w:rsid w:val="008E2858"/>
    <w:rsid w:val="008E2BF8"/>
    <w:rsid w:val="008E32CA"/>
    <w:rsid w:val="008E5D52"/>
    <w:rsid w:val="008E6DFD"/>
    <w:rsid w:val="008F0344"/>
    <w:rsid w:val="008F0A52"/>
    <w:rsid w:val="008F1409"/>
    <w:rsid w:val="008F19FA"/>
    <w:rsid w:val="008F27B7"/>
    <w:rsid w:val="008F2DB6"/>
    <w:rsid w:val="008F3146"/>
    <w:rsid w:val="008F329B"/>
    <w:rsid w:val="008F35C6"/>
    <w:rsid w:val="008F3BA1"/>
    <w:rsid w:val="008F4F89"/>
    <w:rsid w:val="008F5E24"/>
    <w:rsid w:val="008F5F86"/>
    <w:rsid w:val="008F699C"/>
    <w:rsid w:val="00900064"/>
    <w:rsid w:val="00901025"/>
    <w:rsid w:val="0090185E"/>
    <w:rsid w:val="00901ACE"/>
    <w:rsid w:val="009025BA"/>
    <w:rsid w:val="00910F47"/>
    <w:rsid w:val="009118A5"/>
    <w:rsid w:val="00911EE6"/>
    <w:rsid w:val="00911F6B"/>
    <w:rsid w:val="00912B20"/>
    <w:rsid w:val="00912E6D"/>
    <w:rsid w:val="009138CB"/>
    <w:rsid w:val="00914772"/>
    <w:rsid w:val="00915726"/>
    <w:rsid w:val="00915D10"/>
    <w:rsid w:val="009203C4"/>
    <w:rsid w:val="009210F6"/>
    <w:rsid w:val="00921E98"/>
    <w:rsid w:val="00922D25"/>
    <w:rsid w:val="00922FB8"/>
    <w:rsid w:val="00923AFA"/>
    <w:rsid w:val="00923B83"/>
    <w:rsid w:val="0092535E"/>
    <w:rsid w:val="00925373"/>
    <w:rsid w:val="00927013"/>
    <w:rsid w:val="00932310"/>
    <w:rsid w:val="00932E92"/>
    <w:rsid w:val="00933E33"/>
    <w:rsid w:val="009348BD"/>
    <w:rsid w:val="00936DB4"/>
    <w:rsid w:val="00937259"/>
    <w:rsid w:val="009373B9"/>
    <w:rsid w:val="009400F0"/>
    <w:rsid w:val="00941D0A"/>
    <w:rsid w:val="0094225F"/>
    <w:rsid w:val="009436C9"/>
    <w:rsid w:val="009457C6"/>
    <w:rsid w:val="00945C5A"/>
    <w:rsid w:val="00946ADC"/>
    <w:rsid w:val="00947E74"/>
    <w:rsid w:val="009525B3"/>
    <w:rsid w:val="00954193"/>
    <w:rsid w:val="00956337"/>
    <w:rsid w:val="00957C45"/>
    <w:rsid w:val="00960C7D"/>
    <w:rsid w:val="009627CD"/>
    <w:rsid w:val="009627D2"/>
    <w:rsid w:val="00963048"/>
    <w:rsid w:val="00964E2B"/>
    <w:rsid w:val="00965315"/>
    <w:rsid w:val="00967DEC"/>
    <w:rsid w:val="0097063C"/>
    <w:rsid w:val="0097070F"/>
    <w:rsid w:val="00970931"/>
    <w:rsid w:val="00971382"/>
    <w:rsid w:val="00971F86"/>
    <w:rsid w:val="00973B3C"/>
    <w:rsid w:val="009759A0"/>
    <w:rsid w:val="00977E7C"/>
    <w:rsid w:val="0098600D"/>
    <w:rsid w:val="00986CB8"/>
    <w:rsid w:val="009877C6"/>
    <w:rsid w:val="00987E90"/>
    <w:rsid w:val="00990F48"/>
    <w:rsid w:val="0099400D"/>
    <w:rsid w:val="0099612C"/>
    <w:rsid w:val="00996BF0"/>
    <w:rsid w:val="009A02AF"/>
    <w:rsid w:val="009A0AA1"/>
    <w:rsid w:val="009A144B"/>
    <w:rsid w:val="009A27D2"/>
    <w:rsid w:val="009A3A04"/>
    <w:rsid w:val="009A7FC8"/>
    <w:rsid w:val="009B0030"/>
    <w:rsid w:val="009B0607"/>
    <w:rsid w:val="009B0A34"/>
    <w:rsid w:val="009B469A"/>
    <w:rsid w:val="009B56EE"/>
    <w:rsid w:val="009B5D75"/>
    <w:rsid w:val="009B5EE7"/>
    <w:rsid w:val="009B7566"/>
    <w:rsid w:val="009B7C4C"/>
    <w:rsid w:val="009C1561"/>
    <w:rsid w:val="009C23EA"/>
    <w:rsid w:val="009C2471"/>
    <w:rsid w:val="009C2527"/>
    <w:rsid w:val="009C27DC"/>
    <w:rsid w:val="009C318B"/>
    <w:rsid w:val="009C4DDF"/>
    <w:rsid w:val="009C5658"/>
    <w:rsid w:val="009C6C39"/>
    <w:rsid w:val="009D02DD"/>
    <w:rsid w:val="009D0F39"/>
    <w:rsid w:val="009D2526"/>
    <w:rsid w:val="009D4A53"/>
    <w:rsid w:val="009D62A6"/>
    <w:rsid w:val="009D6D27"/>
    <w:rsid w:val="009D6F28"/>
    <w:rsid w:val="009D702B"/>
    <w:rsid w:val="009E1610"/>
    <w:rsid w:val="009E1648"/>
    <w:rsid w:val="009E2576"/>
    <w:rsid w:val="009E264E"/>
    <w:rsid w:val="009E3791"/>
    <w:rsid w:val="009E3AEA"/>
    <w:rsid w:val="009E5207"/>
    <w:rsid w:val="009E60E6"/>
    <w:rsid w:val="009E627A"/>
    <w:rsid w:val="009E660C"/>
    <w:rsid w:val="009E6D1C"/>
    <w:rsid w:val="009E6EA1"/>
    <w:rsid w:val="009E718A"/>
    <w:rsid w:val="009E77A8"/>
    <w:rsid w:val="009E7877"/>
    <w:rsid w:val="009F16E1"/>
    <w:rsid w:val="009F174F"/>
    <w:rsid w:val="009F2785"/>
    <w:rsid w:val="009F330F"/>
    <w:rsid w:val="009F4AE6"/>
    <w:rsid w:val="009F5424"/>
    <w:rsid w:val="00A006D0"/>
    <w:rsid w:val="00A01F8A"/>
    <w:rsid w:val="00A02AF2"/>
    <w:rsid w:val="00A02FC4"/>
    <w:rsid w:val="00A030BA"/>
    <w:rsid w:val="00A03F4D"/>
    <w:rsid w:val="00A04ED7"/>
    <w:rsid w:val="00A0586D"/>
    <w:rsid w:val="00A05D92"/>
    <w:rsid w:val="00A10664"/>
    <w:rsid w:val="00A1240D"/>
    <w:rsid w:val="00A12E4C"/>
    <w:rsid w:val="00A14069"/>
    <w:rsid w:val="00A148B3"/>
    <w:rsid w:val="00A148E1"/>
    <w:rsid w:val="00A149C2"/>
    <w:rsid w:val="00A14B5F"/>
    <w:rsid w:val="00A17354"/>
    <w:rsid w:val="00A20691"/>
    <w:rsid w:val="00A2167B"/>
    <w:rsid w:val="00A21F90"/>
    <w:rsid w:val="00A23281"/>
    <w:rsid w:val="00A242AE"/>
    <w:rsid w:val="00A2549E"/>
    <w:rsid w:val="00A271A3"/>
    <w:rsid w:val="00A27DF9"/>
    <w:rsid w:val="00A30109"/>
    <w:rsid w:val="00A30C4A"/>
    <w:rsid w:val="00A32418"/>
    <w:rsid w:val="00A32666"/>
    <w:rsid w:val="00A32A44"/>
    <w:rsid w:val="00A33A1F"/>
    <w:rsid w:val="00A3547C"/>
    <w:rsid w:val="00A35AF0"/>
    <w:rsid w:val="00A36CD8"/>
    <w:rsid w:val="00A40164"/>
    <w:rsid w:val="00A420E5"/>
    <w:rsid w:val="00A431FB"/>
    <w:rsid w:val="00A4374F"/>
    <w:rsid w:val="00A479C5"/>
    <w:rsid w:val="00A50610"/>
    <w:rsid w:val="00A51E1C"/>
    <w:rsid w:val="00A51E75"/>
    <w:rsid w:val="00A52DF1"/>
    <w:rsid w:val="00A53E2D"/>
    <w:rsid w:val="00A540FA"/>
    <w:rsid w:val="00A56E31"/>
    <w:rsid w:val="00A57D65"/>
    <w:rsid w:val="00A600FE"/>
    <w:rsid w:val="00A60206"/>
    <w:rsid w:val="00A61130"/>
    <w:rsid w:val="00A629CB"/>
    <w:rsid w:val="00A62BAF"/>
    <w:rsid w:val="00A62F53"/>
    <w:rsid w:val="00A63099"/>
    <w:rsid w:val="00A637C9"/>
    <w:rsid w:val="00A63FF1"/>
    <w:rsid w:val="00A6402E"/>
    <w:rsid w:val="00A647F3"/>
    <w:rsid w:val="00A65C05"/>
    <w:rsid w:val="00A7070D"/>
    <w:rsid w:val="00A716E2"/>
    <w:rsid w:val="00A71860"/>
    <w:rsid w:val="00A7408A"/>
    <w:rsid w:val="00A74239"/>
    <w:rsid w:val="00A74277"/>
    <w:rsid w:val="00A74EFF"/>
    <w:rsid w:val="00A756E1"/>
    <w:rsid w:val="00A75DA8"/>
    <w:rsid w:val="00A77D2B"/>
    <w:rsid w:val="00A81144"/>
    <w:rsid w:val="00A8210E"/>
    <w:rsid w:val="00A82463"/>
    <w:rsid w:val="00A836E7"/>
    <w:rsid w:val="00A83835"/>
    <w:rsid w:val="00A83FBB"/>
    <w:rsid w:val="00A8446A"/>
    <w:rsid w:val="00A86DE3"/>
    <w:rsid w:val="00A87994"/>
    <w:rsid w:val="00A9191A"/>
    <w:rsid w:val="00A92A65"/>
    <w:rsid w:val="00A93BEB"/>
    <w:rsid w:val="00A93D1C"/>
    <w:rsid w:val="00A947DF"/>
    <w:rsid w:val="00AA0164"/>
    <w:rsid w:val="00AA0F51"/>
    <w:rsid w:val="00AA1046"/>
    <w:rsid w:val="00AA1566"/>
    <w:rsid w:val="00AA1A80"/>
    <w:rsid w:val="00AA1D6E"/>
    <w:rsid w:val="00AA2221"/>
    <w:rsid w:val="00AA5404"/>
    <w:rsid w:val="00AA5EF3"/>
    <w:rsid w:val="00AA6CE9"/>
    <w:rsid w:val="00AA796C"/>
    <w:rsid w:val="00AB09C9"/>
    <w:rsid w:val="00AB1E38"/>
    <w:rsid w:val="00AB276E"/>
    <w:rsid w:val="00AB2BDC"/>
    <w:rsid w:val="00AB2D21"/>
    <w:rsid w:val="00AB514D"/>
    <w:rsid w:val="00AB770E"/>
    <w:rsid w:val="00AC0949"/>
    <w:rsid w:val="00AC2293"/>
    <w:rsid w:val="00AC23C3"/>
    <w:rsid w:val="00AC5AF3"/>
    <w:rsid w:val="00AD04FC"/>
    <w:rsid w:val="00AD1692"/>
    <w:rsid w:val="00AD208C"/>
    <w:rsid w:val="00AD24EB"/>
    <w:rsid w:val="00AD46D5"/>
    <w:rsid w:val="00AD492E"/>
    <w:rsid w:val="00AD53FA"/>
    <w:rsid w:val="00AD78D7"/>
    <w:rsid w:val="00AD7EE1"/>
    <w:rsid w:val="00AE10D2"/>
    <w:rsid w:val="00AE2805"/>
    <w:rsid w:val="00AE3561"/>
    <w:rsid w:val="00AE35C2"/>
    <w:rsid w:val="00AE3F61"/>
    <w:rsid w:val="00AE438F"/>
    <w:rsid w:val="00AE7EE7"/>
    <w:rsid w:val="00AF081B"/>
    <w:rsid w:val="00AF1BFC"/>
    <w:rsid w:val="00AF230B"/>
    <w:rsid w:val="00AF2E43"/>
    <w:rsid w:val="00AF4BD4"/>
    <w:rsid w:val="00AF5825"/>
    <w:rsid w:val="00B00D38"/>
    <w:rsid w:val="00B02A2B"/>
    <w:rsid w:val="00B02F8F"/>
    <w:rsid w:val="00B045D1"/>
    <w:rsid w:val="00B0539C"/>
    <w:rsid w:val="00B05C88"/>
    <w:rsid w:val="00B07120"/>
    <w:rsid w:val="00B1008F"/>
    <w:rsid w:val="00B107CA"/>
    <w:rsid w:val="00B10C74"/>
    <w:rsid w:val="00B110B9"/>
    <w:rsid w:val="00B11E3C"/>
    <w:rsid w:val="00B122B4"/>
    <w:rsid w:val="00B122C1"/>
    <w:rsid w:val="00B12FF0"/>
    <w:rsid w:val="00B1433E"/>
    <w:rsid w:val="00B155DD"/>
    <w:rsid w:val="00B15C74"/>
    <w:rsid w:val="00B1676B"/>
    <w:rsid w:val="00B16F29"/>
    <w:rsid w:val="00B201D8"/>
    <w:rsid w:val="00B22D01"/>
    <w:rsid w:val="00B22F4C"/>
    <w:rsid w:val="00B25340"/>
    <w:rsid w:val="00B30065"/>
    <w:rsid w:val="00B31880"/>
    <w:rsid w:val="00B35647"/>
    <w:rsid w:val="00B36023"/>
    <w:rsid w:val="00B3615D"/>
    <w:rsid w:val="00B36639"/>
    <w:rsid w:val="00B36A91"/>
    <w:rsid w:val="00B36C9B"/>
    <w:rsid w:val="00B3702F"/>
    <w:rsid w:val="00B371B2"/>
    <w:rsid w:val="00B37623"/>
    <w:rsid w:val="00B426E6"/>
    <w:rsid w:val="00B434E0"/>
    <w:rsid w:val="00B438C8"/>
    <w:rsid w:val="00B4477D"/>
    <w:rsid w:val="00B44E41"/>
    <w:rsid w:val="00B45979"/>
    <w:rsid w:val="00B45DAB"/>
    <w:rsid w:val="00B50419"/>
    <w:rsid w:val="00B511F2"/>
    <w:rsid w:val="00B514FD"/>
    <w:rsid w:val="00B5274D"/>
    <w:rsid w:val="00B54069"/>
    <w:rsid w:val="00B550F2"/>
    <w:rsid w:val="00B560A6"/>
    <w:rsid w:val="00B56987"/>
    <w:rsid w:val="00B607E3"/>
    <w:rsid w:val="00B6114E"/>
    <w:rsid w:val="00B613B6"/>
    <w:rsid w:val="00B62ED6"/>
    <w:rsid w:val="00B63504"/>
    <w:rsid w:val="00B636EB"/>
    <w:rsid w:val="00B64CD8"/>
    <w:rsid w:val="00B65FA9"/>
    <w:rsid w:val="00B724BA"/>
    <w:rsid w:val="00B741EC"/>
    <w:rsid w:val="00B74BA9"/>
    <w:rsid w:val="00B75916"/>
    <w:rsid w:val="00B75A3D"/>
    <w:rsid w:val="00B75EE2"/>
    <w:rsid w:val="00B7609F"/>
    <w:rsid w:val="00B767D7"/>
    <w:rsid w:val="00B76C29"/>
    <w:rsid w:val="00B77A5C"/>
    <w:rsid w:val="00B80CF5"/>
    <w:rsid w:val="00B813D7"/>
    <w:rsid w:val="00B81785"/>
    <w:rsid w:val="00B81A22"/>
    <w:rsid w:val="00B82E45"/>
    <w:rsid w:val="00B83BE7"/>
    <w:rsid w:val="00B83EB7"/>
    <w:rsid w:val="00B83EF6"/>
    <w:rsid w:val="00B83F64"/>
    <w:rsid w:val="00B84351"/>
    <w:rsid w:val="00B84DC2"/>
    <w:rsid w:val="00B85066"/>
    <w:rsid w:val="00B85FA5"/>
    <w:rsid w:val="00B904AA"/>
    <w:rsid w:val="00B91D24"/>
    <w:rsid w:val="00B91F71"/>
    <w:rsid w:val="00B92B86"/>
    <w:rsid w:val="00B92FB5"/>
    <w:rsid w:val="00B93698"/>
    <w:rsid w:val="00B93C61"/>
    <w:rsid w:val="00B94B1F"/>
    <w:rsid w:val="00B951D5"/>
    <w:rsid w:val="00B95EA1"/>
    <w:rsid w:val="00B96F89"/>
    <w:rsid w:val="00B970D1"/>
    <w:rsid w:val="00BA092D"/>
    <w:rsid w:val="00BA0EC6"/>
    <w:rsid w:val="00BA23F1"/>
    <w:rsid w:val="00BA3AE0"/>
    <w:rsid w:val="00BA406E"/>
    <w:rsid w:val="00BA4571"/>
    <w:rsid w:val="00BA482C"/>
    <w:rsid w:val="00BA6D9F"/>
    <w:rsid w:val="00BB1C7E"/>
    <w:rsid w:val="00BB213C"/>
    <w:rsid w:val="00BB247E"/>
    <w:rsid w:val="00BB2A74"/>
    <w:rsid w:val="00BB3F75"/>
    <w:rsid w:val="00BB539F"/>
    <w:rsid w:val="00BB5712"/>
    <w:rsid w:val="00BB6382"/>
    <w:rsid w:val="00BC0687"/>
    <w:rsid w:val="00BC1C29"/>
    <w:rsid w:val="00BC3A8C"/>
    <w:rsid w:val="00BC4993"/>
    <w:rsid w:val="00BC4F2C"/>
    <w:rsid w:val="00BC7925"/>
    <w:rsid w:val="00BD086F"/>
    <w:rsid w:val="00BD17B2"/>
    <w:rsid w:val="00BD4DE8"/>
    <w:rsid w:val="00BD5C16"/>
    <w:rsid w:val="00BE0341"/>
    <w:rsid w:val="00BE117F"/>
    <w:rsid w:val="00BE2121"/>
    <w:rsid w:val="00BE3732"/>
    <w:rsid w:val="00BE3C03"/>
    <w:rsid w:val="00BE3DAE"/>
    <w:rsid w:val="00BE4897"/>
    <w:rsid w:val="00BE49D4"/>
    <w:rsid w:val="00BE55C3"/>
    <w:rsid w:val="00BE5E05"/>
    <w:rsid w:val="00BF00D5"/>
    <w:rsid w:val="00BF3456"/>
    <w:rsid w:val="00BF3D71"/>
    <w:rsid w:val="00BF6401"/>
    <w:rsid w:val="00BF688F"/>
    <w:rsid w:val="00BF7667"/>
    <w:rsid w:val="00BF7FBA"/>
    <w:rsid w:val="00C0037D"/>
    <w:rsid w:val="00C0057E"/>
    <w:rsid w:val="00C01C27"/>
    <w:rsid w:val="00C02607"/>
    <w:rsid w:val="00C047F1"/>
    <w:rsid w:val="00C055A6"/>
    <w:rsid w:val="00C0565A"/>
    <w:rsid w:val="00C06B12"/>
    <w:rsid w:val="00C06BC1"/>
    <w:rsid w:val="00C076A1"/>
    <w:rsid w:val="00C07CEA"/>
    <w:rsid w:val="00C1241B"/>
    <w:rsid w:val="00C12FC2"/>
    <w:rsid w:val="00C1460A"/>
    <w:rsid w:val="00C15000"/>
    <w:rsid w:val="00C15367"/>
    <w:rsid w:val="00C166CD"/>
    <w:rsid w:val="00C200C8"/>
    <w:rsid w:val="00C20566"/>
    <w:rsid w:val="00C23E2B"/>
    <w:rsid w:val="00C2435B"/>
    <w:rsid w:val="00C24E64"/>
    <w:rsid w:val="00C25EED"/>
    <w:rsid w:val="00C30182"/>
    <w:rsid w:val="00C316CD"/>
    <w:rsid w:val="00C32842"/>
    <w:rsid w:val="00C32C57"/>
    <w:rsid w:val="00C33DAD"/>
    <w:rsid w:val="00C34320"/>
    <w:rsid w:val="00C35CF7"/>
    <w:rsid w:val="00C3633A"/>
    <w:rsid w:val="00C36BAB"/>
    <w:rsid w:val="00C40038"/>
    <w:rsid w:val="00C40E92"/>
    <w:rsid w:val="00C41181"/>
    <w:rsid w:val="00C42146"/>
    <w:rsid w:val="00C43BBD"/>
    <w:rsid w:val="00C453A8"/>
    <w:rsid w:val="00C456C4"/>
    <w:rsid w:val="00C475AF"/>
    <w:rsid w:val="00C47BE7"/>
    <w:rsid w:val="00C500CC"/>
    <w:rsid w:val="00C50BE0"/>
    <w:rsid w:val="00C50C3B"/>
    <w:rsid w:val="00C51A95"/>
    <w:rsid w:val="00C52E1F"/>
    <w:rsid w:val="00C52FC3"/>
    <w:rsid w:val="00C53A5D"/>
    <w:rsid w:val="00C54592"/>
    <w:rsid w:val="00C56118"/>
    <w:rsid w:val="00C5680B"/>
    <w:rsid w:val="00C56B2A"/>
    <w:rsid w:val="00C5740D"/>
    <w:rsid w:val="00C5748F"/>
    <w:rsid w:val="00C57DED"/>
    <w:rsid w:val="00C60027"/>
    <w:rsid w:val="00C602DA"/>
    <w:rsid w:val="00C62B23"/>
    <w:rsid w:val="00C63903"/>
    <w:rsid w:val="00C63A93"/>
    <w:rsid w:val="00C63E97"/>
    <w:rsid w:val="00C64AD2"/>
    <w:rsid w:val="00C654AE"/>
    <w:rsid w:val="00C659C1"/>
    <w:rsid w:val="00C66804"/>
    <w:rsid w:val="00C70492"/>
    <w:rsid w:val="00C71B4C"/>
    <w:rsid w:val="00C72360"/>
    <w:rsid w:val="00C72B6E"/>
    <w:rsid w:val="00C73240"/>
    <w:rsid w:val="00C73717"/>
    <w:rsid w:val="00C73CAA"/>
    <w:rsid w:val="00C75E1D"/>
    <w:rsid w:val="00C76573"/>
    <w:rsid w:val="00C76913"/>
    <w:rsid w:val="00C76A39"/>
    <w:rsid w:val="00C76ADD"/>
    <w:rsid w:val="00C7748A"/>
    <w:rsid w:val="00C7779E"/>
    <w:rsid w:val="00C77FD3"/>
    <w:rsid w:val="00C809A8"/>
    <w:rsid w:val="00C824F7"/>
    <w:rsid w:val="00C847CF"/>
    <w:rsid w:val="00C85302"/>
    <w:rsid w:val="00C85995"/>
    <w:rsid w:val="00C86814"/>
    <w:rsid w:val="00C86DBC"/>
    <w:rsid w:val="00C90AD6"/>
    <w:rsid w:val="00C92340"/>
    <w:rsid w:val="00C9246C"/>
    <w:rsid w:val="00C92F5E"/>
    <w:rsid w:val="00C935FB"/>
    <w:rsid w:val="00C93B11"/>
    <w:rsid w:val="00C94362"/>
    <w:rsid w:val="00C9459B"/>
    <w:rsid w:val="00C97166"/>
    <w:rsid w:val="00CA094A"/>
    <w:rsid w:val="00CA1D5E"/>
    <w:rsid w:val="00CA37B1"/>
    <w:rsid w:val="00CA387F"/>
    <w:rsid w:val="00CA4C1C"/>
    <w:rsid w:val="00CA6C96"/>
    <w:rsid w:val="00CB06BD"/>
    <w:rsid w:val="00CB36AD"/>
    <w:rsid w:val="00CB4E86"/>
    <w:rsid w:val="00CB560C"/>
    <w:rsid w:val="00CB6664"/>
    <w:rsid w:val="00CB7058"/>
    <w:rsid w:val="00CB79C0"/>
    <w:rsid w:val="00CC0529"/>
    <w:rsid w:val="00CC1DD1"/>
    <w:rsid w:val="00CC1FD8"/>
    <w:rsid w:val="00CC2626"/>
    <w:rsid w:val="00CC28D2"/>
    <w:rsid w:val="00CC320E"/>
    <w:rsid w:val="00CC5987"/>
    <w:rsid w:val="00CC688F"/>
    <w:rsid w:val="00CC7036"/>
    <w:rsid w:val="00CC735F"/>
    <w:rsid w:val="00CC7CC0"/>
    <w:rsid w:val="00CC7E33"/>
    <w:rsid w:val="00CD02BC"/>
    <w:rsid w:val="00CD3502"/>
    <w:rsid w:val="00CD40DF"/>
    <w:rsid w:val="00CD432D"/>
    <w:rsid w:val="00CD605E"/>
    <w:rsid w:val="00CD6712"/>
    <w:rsid w:val="00CE03CD"/>
    <w:rsid w:val="00CE0A6D"/>
    <w:rsid w:val="00CE0C27"/>
    <w:rsid w:val="00CE1396"/>
    <w:rsid w:val="00CE2225"/>
    <w:rsid w:val="00CE24D3"/>
    <w:rsid w:val="00CE5E57"/>
    <w:rsid w:val="00CE6D73"/>
    <w:rsid w:val="00CE7996"/>
    <w:rsid w:val="00CF24CE"/>
    <w:rsid w:val="00CF5DDE"/>
    <w:rsid w:val="00CF623C"/>
    <w:rsid w:val="00CF7B98"/>
    <w:rsid w:val="00D006D1"/>
    <w:rsid w:val="00D01AE0"/>
    <w:rsid w:val="00D01EB5"/>
    <w:rsid w:val="00D01F75"/>
    <w:rsid w:val="00D02F94"/>
    <w:rsid w:val="00D0505F"/>
    <w:rsid w:val="00D06833"/>
    <w:rsid w:val="00D07A48"/>
    <w:rsid w:val="00D100FC"/>
    <w:rsid w:val="00D1060A"/>
    <w:rsid w:val="00D11999"/>
    <w:rsid w:val="00D1212F"/>
    <w:rsid w:val="00D12C15"/>
    <w:rsid w:val="00D12E86"/>
    <w:rsid w:val="00D142E1"/>
    <w:rsid w:val="00D146D5"/>
    <w:rsid w:val="00D15EE0"/>
    <w:rsid w:val="00D16EF8"/>
    <w:rsid w:val="00D17034"/>
    <w:rsid w:val="00D17D42"/>
    <w:rsid w:val="00D21D8C"/>
    <w:rsid w:val="00D22DA7"/>
    <w:rsid w:val="00D23059"/>
    <w:rsid w:val="00D26069"/>
    <w:rsid w:val="00D27F3A"/>
    <w:rsid w:val="00D302CC"/>
    <w:rsid w:val="00D31614"/>
    <w:rsid w:val="00D31D24"/>
    <w:rsid w:val="00D32518"/>
    <w:rsid w:val="00D3263F"/>
    <w:rsid w:val="00D33745"/>
    <w:rsid w:val="00D3515B"/>
    <w:rsid w:val="00D364AA"/>
    <w:rsid w:val="00D36E92"/>
    <w:rsid w:val="00D37421"/>
    <w:rsid w:val="00D37EFE"/>
    <w:rsid w:val="00D400E3"/>
    <w:rsid w:val="00D41181"/>
    <w:rsid w:val="00D4386F"/>
    <w:rsid w:val="00D44FE5"/>
    <w:rsid w:val="00D45226"/>
    <w:rsid w:val="00D4795E"/>
    <w:rsid w:val="00D50AB4"/>
    <w:rsid w:val="00D5139E"/>
    <w:rsid w:val="00D52C6C"/>
    <w:rsid w:val="00D52C76"/>
    <w:rsid w:val="00D546D9"/>
    <w:rsid w:val="00D54705"/>
    <w:rsid w:val="00D55BC3"/>
    <w:rsid w:val="00D56DEC"/>
    <w:rsid w:val="00D61039"/>
    <w:rsid w:val="00D63900"/>
    <w:rsid w:val="00D63AD5"/>
    <w:rsid w:val="00D63DB9"/>
    <w:rsid w:val="00D64796"/>
    <w:rsid w:val="00D6595C"/>
    <w:rsid w:val="00D6613C"/>
    <w:rsid w:val="00D66667"/>
    <w:rsid w:val="00D67382"/>
    <w:rsid w:val="00D67F8F"/>
    <w:rsid w:val="00D71159"/>
    <w:rsid w:val="00D720E1"/>
    <w:rsid w:val="00D73310"/>
    <w:rsid w:val="00D7413F"/>
    <w:rsid w:val="00D77D88"/>
    <w:rsid w:val="00D810E2"/>
    <w:rsid w:val="00D812D7"/>
    <w:rsid w:val="00D82C2A"/>
    <w:rsid w:val="00D83D84"/>
    <w:rsid w:val="00D85442"/>
    <w:rsid w:val="00D86267"/>
    <w:rsid w:val="00D862F1"/>
    <w:rsid w:val="00D86C63"/>
    <w:rsid w:val="00D90003"/>
    <w:rsid w:val="00D90D0F"/>
    <w:rsid w:val="00D92B68"/>
    <w:rsid w:val="00D95305"/>
    <w:rsid w:val="00D963ED"/>
    <w:rsid w:val="00D9645F"/>
    <w:rsid w:val="00DA02F7"/>
    <w:rsid w:val="00DA1F19"/>
    <w:rsid w:val="00DA2EAA"/>
    <w:rsid w:val="00DA3486"/>
    <w:rsid w:val="00DA6514"/>
    <w:rsid w:val="00DA7D75"/>
    <w:rsid w:val="00DB1C17"/>
    <w:rsid w:val="00DB2577"/>
    <w:rsid w:val="00DB29AB"/>
    <w:rsid w:val="00DB2A47"/>
    <w:rsid w:val="00DB3F24"/>
    <w:rsid w:val="00DB5113"/>
    <w:rsid w:val="00DB68A1"/>
    <w:rsid w:val="00DC1380"/>
    <w:rsid w:val="00DC1B9A"/>
    <w:rsid w:val="00DC26E4"/>
    <w:rsid w:val="00DC26F6"/>
    <w:rsid w:val="00DC2848"/>
    <w:rsid w:val="00DC3029"/>
    <w:rsid w:val="00DC305D"/>
    <w:rsid w:val="00DC4347"/>
    <w:rsid w:val="00DC53FB"/>
    <w:rsid w:val="00DC7644"/>
    <w:rsid w:val="00DC7DA9"/>
    <w:rsid w:val="00DC7DF8"/>
    <w:rsid w:val="00DD1CF3"/>
    <w:rsid w:val="00DD2377"/>
    <w:rsid w:val="00DD240B"/>
    <w:rsid w:val="00DD4080"/>
    <w:rsid w:val="00DD7D15"/>
    <w:rsid w:val="00DE26F9"/>
    <w:rsid w:val="00DE3607"/>
    <w:rsid w:val="00DE4A89"/>
    <w:rsid w:val="00DE5022"/>
    <w:rsid w:val="00DE6D08"/>
    <w:rsid w:val="00DF1FEA"/>
    <w:rsid w:val="00DF3078"/>
    <w:rsid w:val="00DF4996"/>
    <w:rsid w:val="00DF567A"/>
    <w:rsid w:val="00DF5E0E"/>
    <w:rsid w:val="00DF709F"/>
    <w:rsid w:val="00DF75C9"/>
    <w:rsid w:val="00DF777C"/>
    <w:rsid w:val="00E01653"/>
    <w:rsid w:val="00E03051"/>
    <w:rsid w:val="00E041D2"/>
    <w:rsid w:val="00E04822"/>
    <w:rsid w:val="00E100BA"/>
    <w:rsid w:val="00E10F03"/>
    <w:rsid w:val="00E1338F"/>
    <w:rsid w:val="00E1461E"/>
    <w:rsid w:val="00E14771"/>
    <w:rsid w:val="00E14E0E"/>
    <w:rsid w:val="00E162C5"/>
    <w:rsid w:val="00E171D2"/>
    <w:rsid w:val="00E20554"/>
    <w:rsid w:val="00E2567D"/>
    <w:rsid w:val="00E2679B"/>
    <w:rsid w:val="00E34258"/>
    <w:rsid w:val="00E35522"/>
    <w:rsid w:val="00E35AA8"/>
    <w:rsid w:val="00E402B8"/>
    <w:rsid w:val="00E4053F"/>
    <w:rsid w:val="00E41A80"/>
    <w:rsid w:val="00E42EFE"/>
    <w:rsid w:val="00E43059"/>
    <w:rsid w:val="00E4356C"/>
    <w:rsid w:val="00E4547C"/>
    <w:rsid w:val="00E47687"/>
    <w:rsid w:val="00E47F60"/>
    <w:rsid w:val="00E47F9F"/>
    <w:rsid w:val="00E524A5"/>
    <w:rsid w:val="00E52D30"/>
    <w:rsid w:val="00E53445"/>
    <w:rsid w:val="00E56ECC"/>
    <w:rsid w:val="00E56FBC"/>
    <w:rsid w:val="00E571AD"/>
    <w:rsid w:val="00E573A4"/>
    <w:rsid w:val="00E57AD2"/>
    <w:rsid w:val="00E60966"/>
    <w:rsid w:val="00E609DD"/>
    <w:rsid w:val="00E64152"/>
    <w:rsid w:val="00E66389"/>
    <w:rsid w:val="00E66A3F"/>
    <w:rsid w:val="00E67AB1"/>
    <w:rsid w:val="00E71624"/>
    <w:rsid w:val="00E71E41"/>
    <w:rsid w:val="00E724ED"/>
    <w:rsid w:val="00E72ACF"/>
    <w:rsid w:val="00E732F8"/>
    <w:rsid w:val="00E7465A"/>
    <w:rsid w:val="00E80B1B"/>
    <w:rsid w:val="00E80C7E"/>
    <w:rsid w:val="00E81D39"/>
    <w:rsid w:val="00E8317D"/>
    <w:rsid w:val="00E838DA"/>
    <w:rsid w:val="00E83A25"/>
    <w:rsid w:val="00E83E84"/>
    <w:rsid w:val="00E855DE"/>
    <w:rsid w:val="00E87097"/>
    <w:rsid w:val="00E87633"/>
    <w:rsid w:val="00E8774C"/>
    <w:rsid w:val="00E87C99"/>
    <w:rsid w:val="00E91CB0"/>
    <w:rsid w:val="00E9270C"/>
    <w:rsid w:val="00E9293D"/>
    <w:rsid w:val="00E92F4B"/>
    <w:rsid w:val="00E95014"/>
    <w:rsid w:val="00E952FF"/>
    <w:rsid w:val="00EA0B3A"/>
    <w:rsid w:val="00EA1B99"/>
    <w:rsid w:val="00EA4147"/>
    <w:rsid w:val="00EA61C6"/>
    <w:rsid w:val="00EA61C7"/>
    <w:rsid w:val="00EA7277"/>
    <w:rsid w:val="00EB071D"/>
    <w:rsid w:val="00EB3D7D"/>
    <w:rsid w:val="00EB5559"/>
    <w:rsid w:val="00EB5B82"/>
    <w:rsid w:val="00EB5BD7"/>
    <w:rsid w:val="00EB5C23"/>
    <w:rsid w:val="00EB67A4"/>
    <w:rsid w:val="00EC02BB"/>
    <w:rsid w:val="00EC13C8"/>
    <w:rsid w:val="00EC293E"/>
    <w:rsid w:val="00EC2AC6"/>
    <w:rsid w:val="00EC2E5D"/>
    <w:rsid w:val="00EC35DA"/>
    <w:rsid w:val="00EC3F6C"/>
    <w:rsid w:val="00EC56A1"/>
    <w:rsid w:val="00EC598A"/>
    <w:rsid w:val="00EC69F5"/>
    <w:rsid w:val="00EC78CF"/>
    <w:rsid w:val="00EC7E96"/>
    <w:rsid w:val="00ED0B9F"/>
    <w:rsid w:val="00ED12FD"/>
    <w:rsid w:val="00ED1C7D"/>
    <w:rsid w:val="00ED1EFE"/>
    <w:rsid w:val="00ED222C"/>
    <w:rsid w:val="00ED43D9"/>
    <w:rsid w:val="00ED53E3"/>
    <w:rsid w:val="00ED6923"/>
    <w:rsid w:val="00ED71F8"/>
    <w:rsid w:val="00ED7E59"/>
    <w:rsid w:val="00EE0560"/>
    <w:rsid w:val="00EE0E7B"/>
    <w:rsid w:val="00EE5402"/>
    <w:rsid w:val="00EE5BA7"/>
    <w:rsid w:val="00EE6AB3"/>
    <w:rsid w:val="00EE6BD9"/>
    <w:rsid w:val="00EE6DFB"/>
    <w:rsid w:val="00EE7B76"/>
    <w:rsid w:val="00EF00FF"/>
    <w:rsid w:val="00EF1FAC"/>
    <w:rsid w:val="00EF351C"/>
    <w:rsid w:val="00EF4A8B"/>
    <w:rsid w:val="00EF4C70"/>
    <w:rsid w:val="00EF4DF5"/>
    <w:rsid w:val="00EF58C4"/>
    <w:rsid w:val="00EF6D2F"/>
    <w:rsid w:val="00EF6E2A"/>
    <w:rsid w:val="00F00DBD"/>
    <w:rsid w:val="00F0161D"/>
    <w:rsid w:val="00F02AD4"/>
    <w:rsid w:val="00F02E77"/>
    <w:rsid w:val="00F03DA8"/>
    <w:rsid w:val="00F044BD"/>
    <w:rsid w:val="00F046E9"/>
    <w:rsid w:val="00F04AA9"/>
    <w:rsid w:val="00F04C07"/>
    <w:rsid w:val="00F04C77"/>
    <w:rsid w:val="00F06491"/>
    <w:rsid w:val="00F067C5"/>
    <w:rsid w:val="00F069FD"/>
    <w:rsid w:val="00F12060"/>
    <w:rsid w:val="00F146F6"/>
    <w:rsid w:val="00F14F84"/>
    <w:rsid w:val="00F16227"/>
    <w:rsid w:val="00F16357"/>
    <w:rsid w:val="00F168D8"/>
    <w:rsid w:val="00F20854"/>
    <w:rsid w:val="00F20BAD"/>
    <w:rsid w:val="00F21006"/>
    <w:rsid w:val="00F22E73"/>
    <w:rsid w:val="00F260C9"/>
    <w:rsid w:val="00F266D5"/>
    <w:rsid w:val="00F267DB"/>
    <w:rsid w:val="00F314E4"/>
    <w:rsid w:val="00F326B5"/>
    <w:rsid w:val="00F32F09"/>
    <w:rsid w:val="00F33D11"/>
    <w:rsid w:val="00F34E4E"/>
    <w:rsid w:val="00F356EA"/>
    <w:rsid w:val="00F36C90"/>
    <w:rsid w:val="00F3718A"/>
    <w:rsid w:val="00F371DB"/>
    <w:rsid w:val="00F37B0C"/>
    <w:rsid w:val="00F43CB0"/>
    <w:rsid w:val="00F45418"/>
    <w:rsid w:val="00F45BA7"/>
    <w:rsid w:val="00F468ED"/>
    <w:rsid w:val="00F47618"/>
    <w:rsid w:val="00F47EDC"/>
    <w:rsid w:val="00F50628"/>
    <w:rsid w:val="00F50D6E"/>
    <w:rsid w:val="00F523D4"/>
    <w:rsid w:val="00F52B18"/>
    <w:rsid w:val="00F54777"/>
    <w:rsid w:val="00F54E0F"/>
    <w:rsid w:val="00F5506E"/>
    <w:rsid w:val="00F56F61"/>
    <w:rsid w:val="00F57C55"/>
    <w:rsid w:val="00F61C64"/>
    <w:rsid w:val="00F6642F"/>
    <w:rsid w:val="00F6783F"/>
    <w:rsid w:val="00F7040B"/>
    <w:rsid w:val="00F70E22"/>
    <w:rsid w:val="00F72346"/>
    <w:rsid w:val="00F747C1"/>
    <w:rsid w:val="00F758B8"/>
    <w:rsid w:val="00F76910"/>
    <w:rsid w:val="00F76BF2"/>
    <w:rsid w:val="00F76F39"/>
    <w:rsid w:val="00F8044E"/>
    <w:rsid w:val="00F80B42"/>
    <w:rsid w:val="00F8107B"/>
    <w:rsid w:val="00F81B2B"/>
    <w:rsid w:val="00F81F7D"/>
    <w:rsid w:val="00F8318F"/>
    <w:rsid w:val="00F83532"/>
    <w:rsid w:val="00F838A6"/>
    <w:rsid w:val="00F83DE2"/>
    <w:rsid w:val="00F84AD8"/>
    <w:rsid w:val="00F85D25"/>
    <w:rsid w:val="00F86AD3"/>
    <w:rsid w:val="00F91B32"/>
    <w:rsid w:val="00F91F7E"/>
    <w:rsid w:val="00F92DA9"/>
    <w:rsid w:val="00F935C1"/>
    <w:rsid w:val="00F938A5"/>
    <w:rsid w:val="00F944CB"/>
    <w:rsid w:val="00F9728B"/>
    <w:rsid w:val="00FA02D9"/>
    <w:rsid w:val="00FA1175"/>
    <w:rsid w:val="00FA2777"/>
    <w:rsid w:val="00FA2BC2"/>
    <w:rsid w:val="00FA3974"/>
    <w:rsid w:val="00FA51E5"/>
    <w:rsid w:val="00FA55B6"/>
    <w:rsid w:val="00FA5942"/>
    <w:rsid w:val="00FA6FE2"/>
    <w:rsid w:val="00FA703B"/>
    <w:rsid w:val="00FA786D"/>
    <w:rsid w:val="00FB1AC1"/>
    <w:rsid w:val="00FB3A46"/>
    <w:rsid w:val="00FB5F5D"/>
    <w:rsid w:val="00FB63FA"/>
    <w:rsid w:val="00FB6FB0"/>
    <w:rsid w:val="00FB7A1E"/>
    <w:rsid w:val="00FC0F43"/>
    <w:rsid w:val="00FC17BD"/>
    <w:rsid w:val="00FC225E"/>
    <w:rsid w:val="00FC2624"/>
    <w:rsid w:val="00FC27DC"/>
    <w:rsid w:val="00FC281A"/>
    <w:rsid w:val="00FC2FDB"/>
    <w:rsid w:val="00FC4A55"/>
    <w:rsid w:val="00FC69C8"/>
    <w:rsid w:val="00FC6BD4"/>
    <w:rsid w:val="00FC7274"/>
    <w:rsid w:val="00FC7F55"/>
    <w:rsid w:val="00FD013A"/>
    <w:rsid w:val="00FD10AF"/>
    <w:rsid w:val="00FD227E"/>
    <w:rsid w:val="00FD2392"/>
    <w:rsid w:val="00FD2422"/>
    <w:rsid w:val="00FD2F70"/>
    <w:rsid w:val="00FD5276"/>
    <w:rsid w:val="00FD6A49"/>
    <w:rsid w:val="00FD7B2A"/>
    <w:rsid w:val="00FE0769"/>
    <w:rsid w:val="00FE334C"/>
    <w:rsid w:val="00FE374D"/>
    <w:rsid w:val="00FE3914"/>
    <w:rsid w:val="00FE4644"/>
    <w:rsid w:val="00FE4B4C"/>
    <w:rsid w:val="00FF1E10"/>
    <w:rsid w:val="00FF2D03"/>
    <w:rsid w:val="00FF4E3C"/>
    <w:rsid w:val="00FF55F6"/>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02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13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C659C1"/>
    <w:pPr>
      <w:keepNext/>
      <w:keepLines/>
      <w:pageBreakBefore/>
      <w:numPr>
        <w:numId w:val="2"/>
      </w:numPr>
      <w:spacing w:before="200" w:after="100" w:line="288" w:lineRule="auto"/>
      <w:ind w:left="357" w:hanging="357"/>
      <w:outlineLvl w:val="0"/>
    </w:pPr>
    <w:rPr>
      <w:rFonts w:ascii="Myriad Pro" w:eastAsiaTheme="minorHAnsi" w:hAnsi="Myriad Pro" w:cs="Arial"/>
      <w:b/>
      <w:bCs/>
      <w:color w:val="A10305" w:themeColor="accent1"/>
      <w:kern w:val="32"/>
      <w:sz w:val="28"/>
      <w:szCs w:val="22"/>
      <w:lang w:eastAsia="en-US"/>
    </w:rPr>
  </w:style>
  <w:style w:type="paragraph" w:styleId="Heading2">
    <w:name w:val="heading 2"/>
    <w:aliases w:val="Heading 2_UMAR"/>
    <w:next w:val="BesediloUMAR"/>
    <w:link w:val="Heading2Char"/>
    <w:uiPriority w:val="2"/>
    <w:qFormat/>
    <w:rsid w:val="00C659C1"/>
    <w:pPr>
      <w:keepNext/>
      <w:keepLines/>
      <w:numPr>
        <w:ilvl w:val="1"/>
        <w:numId w:val="2"/>
      </w:numPr>
      <w:spacing w:before="200" w:after="100" w:line="288" w:lineRule="auto"/>
      <w:contextualSpacing/>
      <w:outlineLvl w:val="1"/>
    </w:pPr>
    <w:rPr>
      <w:rFonts w:ascii="Myriad Pro" w:eastAsiaTheme="minorHAnsi" w:hAnsi="Myriad Pro" w:cstheme="minorBidi"/>
      <w:b/>
      <w:color w:val="A10305" w:themeColor="accent1"/>
      <w:sz w:val="24"/>
      <w:szCs w:val="22"/>
      <w:lang w:eastAsia="en-US"/>
    </w:rPr>
  </w:style>
  <w:style w:type="paragraph" w:styleId="Heading3">
    <w:name w:val="heading 3"/>
    <w:aliases w:val="Heading 3_UMAR"/>
    <w:next w:val="BesediloUMAR"/>
    <w:link w:val="Heading3Char"/>
    <w:uiPriority w:val="3"/>
    <w:qFormat/>
    <w:rsid w:val="00C659C1"/>
    <w:pPr>
      <w:keepNext/>
      <w:keepLines/>
      <w:numPr>
        <w:ilvl w:val="2"/>
        <w:numId w:val="2"/>
      </w:numPr>
      <w:spacing w:before="200" w:after="100" w:line="288" w:lineRule="auto"/>
      <w:contextualSpacing/>
      <w:outlineLvl w:val="2"/>
    </w:pPr>
    <w:rPr>
      <w:rFonts w:ascii="Myriad Pro" w:eastAsiaTheme="minorHAnsi" w:hAnsi="Myriad Pro" w:cs="Arial"/>
      <w:b/>
      <w:bCs/>
      <w:color w:val="A10305" w:themeColor="accent1"/>
      <w:sz w:val="24"/>
      <w:szCs w:val="26"/>
      <w:lang w:eastAsia="en-US"/>
    </w:rPr>
  </w:style>
  <w:style w:type="paragraph" w:styleId="Heading4">
    <w:name w:val="heading 4"/>
    <w:basedOn w:val="Normal"/>
    <w:next w:val="Normal"/>
    <w:uiPriority w:val="8"/>
    <w:unhideWhenUsed/>
    <w:rsid w:val="00C659C1"/>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C659C1"/>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C659C1"/>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C659C1"/>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C659C1"/>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C659C1"/>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D661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613C"/>
  </w:style>
  <w:style w:type="paragraph" w:styleId="FootnoteText">
    <w:name w:val="footnote text"/>
    <w:aliases w:val="EI_Footnote Text,Sprotna opomba-besedilo,Char Char,Char Char Char Char,Char Char Char,Sprotna opomba - besedilo Znak1,Sprotna opomba - besedilo Znak Znak2,Sprotna opomba - besedilo Znak1 Znak Znak1,fn,Char Ch,o"/>
    <w:basedOn w:val="BesediloUMAR"/>
    <w:link w:val="FootnoteTextChar"/>
    <w:autoRedefine/>
    <w:uiPriority w:val="8"/>
    <w:qFormat/>
    <w:rsid w:val="00C659C1"/>
    <w:rPr>
      <w:sz w:val="16"/>
      <w:szCs w:val="14"/>
    </w:rPr>
  </w:style>
  <w:style w:type="character" w:customStyle="1" w:styleId="FootnoteTextChar">
    <w:name w:val="Footnote Text Char"/>
    <w:aliases w:val="EI_Footnote Text Char,Sprotna opomba-besedilo Char,Char Char Char1,Char Char Char Char Char,Char Char Char Char1,Sprotna opomba - besedilo Znak1 Char,Sprotna opomba - besedilo Znak Znak2 Char,fn Char,Char Ch Char,o Char"/>
    <w:basedOn w:val="DefaultParagraphFont"/>
    <w:link w:val="FootnoteText"/>
    <w:uiPriority w:val="8"/>
    <w:rsid w:val="00C659C1"/>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Times 10 Point,Exposant 3 Point,EN Footnote Reference,note TESI,E...,nota de rodapé,Footnote Reference_LVL6,Footnote Reference_LVL61,Footnote Reference_LVL62,Footnot"/>
    <w:basedOn w:val="DefaultParagraphFont"/>
    <w:uiPriority w:val="8"/>
    <w:rsid w:val="00C659C1"/>
    <w:rPr>
      <w:rFonts w:ascii="Myriad Pro" w:hAnsi="Myriad Pro"/>
      <w:sz w:val="18"/>
      <w:vertAlign w:val="superscript"/>
    </w:rPr>
  </w:style>
  <w:style w:type="paragraph" w:styleId="Caption">
    <w:name w:val="caption"/>
    <w:aliases w:val="Okvir/Slika/Tabela_UMAR,Slika/Tabela_POR,Okvir/Slika/Tabela_POR,Naslov slike,tabele"/>
    <w:basedOn w:val="TableofFigures"/>
    <w:next w:val="BesediloUMAR"/>
    <w:link w:val="CaptionChar"/>
    <w:uiPriority w:val="4"/>
    <w:qFormat/>
    <w:rsid w:val="00C659C1"/>
    <w:pPr>
      <w:keepNext/>
      <w:keepLines/>
      <w:spacing w:before="240" w:after="60"/>
      <w:contextualSpacing/>
    </w:pPr>
    <w:rPr>
      <w:b/>
      <w:bCs/>
    </w:rPr>
  </w:style>
  <w:style w:type="paragraph" w:styleId="Footer">
    <w:name w:val="footer"/>
    <w:basedOn w:val="Normal"/>
    <w:next w:val="Normal"/>
    <w:link w:val="FooterChar"/>
    <w:autoRedefine/>
    <w:uiPriority w:val="99"/>
    <w:rsid w:val="00C659C1"/>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C659C1"/>
    <w:pPr>
      <w:tabs>
        <w:tab w:val="right" w:leader="dot" w:pos="9070"/>
      </w:tabs>
    </w:pPr>
    <w:rPr>
      <w:noProof/>
      <w:szCs w:val="20"/>
    </w:rPr>
  </w:style>
  <w:style w:type="paragraph" w:styleId="TableofAuthorities">
    <w:name w:val="table of authorities"/>
    <w:basedOn w:val="Normal"/>
    <w:next w:val="Normal"/>
    <w:semiHidden/>
    <w:rsid w:val="00C659C1"/>
    <w:pPr>
      <w:ind w:left="220" w:hanging="220"/>
    </w:pPr>
  </w:style>
  <w:style w:type="paragraph" w:styleId="TOAHeading">
    <w:name w:val="toa heading"/>
    <w:basedOn w:val="Normal"/>
    <w:next w:val="Normal"/>
    <w:semiHidden/>
    <w:rsid w:val="00C659C1"/>
    <w:pPr>
      <w:spacing w:before="120"/>
    </w:pPr>
    <w:rPr>
      <w:rFonts w:cs="Arial"/>
      <w:b/>
      <w:bCs/>
    </w:rPr>
  </w:style>
  <w:style w:type="paragraph" w:styleId="TOC1">
    <w:name w:val="toc 1"/>
    <w:basedOn w:val="BesediloUMAR"/>
    <w:next w:val="BesediloUMAR"/>
    <w:autoRedefine/>
    <w:uiPriority w:val="39"/>
    <w:rsid w:val="00C659C1"/>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C659C1"/>
    <w:pPr>
      <w:tabs>
        <w:tab w:val="right" w:leader="dot" w:pos="9070"/>
      </w:tabs>
      <w:spacing w:before="100" w:after="100"/>
      <w:ind w:left="340"/>
    </w:pPr>
    <w:rPr>
      <w:noProof/>
    </w:rPr>
  </w:style>
  <w:style w:type="paragraph" w:styleId="TOC3">
    <w:name w:val="toc 3"/>
    <w:next w:val="BesediloUMAR"/>
    <w:autoRedefine/>
    <w:uiPriority w:val="39"/>
    <w:rsid w:val="00C659C1"/>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C659C1"/>
    <w:pPr>
      <w:spacing w:after="20"/>
      <w:ind w:left="340"/>
      <w:contextualSpacing/>
    </w:pPr>
  </w:style>
  <w:style w:type="paragraph" w:styleId="TOC5">
    <w:name w:val="toc 5"/>
    <w:basedOn w:val="Normal"/>
    <w:autoRedefine/>
    <w:semiHidden/>
    <w:rsid w:val="00C659C1"/>
    <w:pPr>
      <w:spacing w:after="20"/>
      <w:contextualSpacing/>
    </w:pPr>
  </w:style>
  <w:style w:type="paragraph" w:styleId="TOC6">
    <w:name w:val="toc 6"/>
    <w:basedOn w:val="Normal"/>
    <w:next w:val="Normal"/>
    <w:autoRedefine/>
    <w:semiHidden/>
    <w:rsid w:val="00C659C1"/>
    <w:pPr>
      <w:ind w:left="1100"/>
    </w:pPr>
  </w:style>
  <w:style w:type="paragraph" w:styleId="TOC7">
    <w:name w:val="toc 7"/>
    <w:basedOn w:val="Normal"/>
    <w:next w:val="Normal"/>
    <w:autoRedefine/>
    <w:semiHidden/>
    <w:rsid w:val="00C659C1"/>
    <w:pPr>
      <w:ind w:left="1320"/>
    </w:pPr>
  </w:style>
  <w:style w:type="paragraph" w:styleId="TOC8">
    <w:name w:val="toc 8"/>
    <w:basedOn w:val="Normal"/>
    <w:next w:val="Normal"/>
    <w:autoRedefine/>
    <w:semiHidden/>
    <w:rsid w:val="00C659C1"/>
    <w:pPr>
      <w:ind w:left="1540"/>
    </w:pPr>
  </w:style>
  <w:style w:type="paragraph" w:styleId="TOC9">
    <w:name w:val="toc 9"/>
    <w:basedOn w:val="Normal"/>
    <w:next w:val="Normal"/>
    <w:autoRedefine/>
    <w:semiHidden/>
    <w:rsid w:val="00C659C1"/>
    <w:pPr>
      <w:ind w:left="1760"/>
    </w:pPr>
  </w:style>
  <w:style w:type="paragraph" w:styleId="CommentText">
    <w:name w:val="annotation text"/>
    <w:basedOn w:val="Normal"/>
    <w:link w:val="CommentTextChar"/>
    <w:semiHidden/>
    <w:rsid w:val="00C659C1"/>
    <w:rPr>
      <w:szCs w:val="20"/>
    </w:rPr>
  </w:style>
  <w:style w:type="character" w:styleId="CommentReference">
    <w:name w:val="annotation reference"/>
    <w:basedOn w:val="DefaultParagraphFont"/>
    <w:semiHidden/>
    <w:rsid w:val="00C659C1"/>
    <w:rPr>
      <w:sz w:val="16"/>
      <w:szCs w:val="16"/>
    </w:rPr>
  </w:style>
  <w:style w:type="paragraph" w:styleId="EndnoteText">
    <w:name w:val="endnote text"/>
    <w:basedOn w:val="Normal"/>
    <w:autoRedefine/>
    <w:semiHidden/>
    <w:rsid w:val="00C659C1"/>
    <w:rPr>
      <w:szCs w:val="20"/>
    </w:rPr>
  </w:style>
  <w:style w:type="character" w:styleId="EndnoteReference">
    <w:name w:val="endnote reference"/>
    <w:basedOn w:val="DefaultParagraphFont"/>
    <w:semiHidden/>
    <w:rsid w:val="00C659C1"/>
    <w:rPr>
      <w:vertAlign w:val="superscript"/>
    </w:rPr>
  </w:style>
  <w:style w:type="paragraph" w:styleId="MacroText">
    <w:name w:val="macro"/>
    <w:semiHidden/>
    <w:rsid w:val="00C659C1"/>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C659C1"/>
    <w:pPr>
      <w:ind w:left="220" w:hanging="220"/>
    </w:pPr>
  </w:style>
  <w:style w:type="paragraph" w:styleId="IndexHeading">
    <w:name w:val="index heading"/>
    <w:basedOn w:val="Normal"/>
    <w:next w:val="Index1"/>
    <w:semiHidden/>
    <w:rsid w:val="00C659C1"/>
    <w:rPr>
      <w:rFonts w:cs="Arial"/>
      <w:b/>
      <w:bCs/>
    </w:rPr>
  </w:style>
  <w:style w:type="paragraph" w:styleId="Index2">
    <w:name w:val="index 2"/>
    <w:basedOn w:val="Normal"/>
    <w:next w:val="Normal"/>
    <w:autoRedefine/>
    <w:semiHidden/>
    <w:rsid w:val="00C659C1"/>
    <w:pPr>
      <w:ind w:left="440" w:hanging="220"/>
    </w:pPr>
  </w:style>
  <w:style w:type="paragraph" w:styleId="Index3">
    <w:name w:val="index 3"/>
    <w:basedOn w:val="Normal"/>
    <w:next w:val="Normal"/>
    <w:autoRedefine/>
    <w:semiHidden/>
    <w:rsid w:val="00C659C1"/>
    <w:pPr>
      <w:ind w:left="660" w:hanging="220"/>
    </w:pPr>
  </w:style>
  <w:style w:type="paragraph" w:styleId="Index4">
    <w:name w:val="index 4"/>
    <w:basedOn w:val="Normal"/>
    <w:next w:val="Normal"/>
    <w:autoRedefine/>
    <w:semiHidden/>
    <w:rsid w:val="00C659C1"/>
    <w:pPr>
      <w:ind w:left="880" w:hanging="220"/>
    </w:pPr>
  </w:style>
  <w:style w:type="paragraph" w:styleId="Index5">
    <w:name w:val="index 5"/>
    <w:basedOn w:val="Normal"/>
    <w:next w:val="Normal"/>
    <w:autoRedefine/>
    <w:semiHidden/>
    <w:rsid w:val="00C659C1"/>
    <w:pPr>
      <w:ind w:left="1100" w:hanging="220"/>
    </w:pPr>
  </w:style>
  <w:style w:type="paragraph" w:styleId="Index6">
    <w:name w:val="index 6"/>
    <w:basedOn w:val="Normal"/>
    <w:next w:val="Normal"/>
    <w:autoRedefine/>
    <w:semiHidden/>
    <w:rsid w:val="00C659C1"/>
    <w:pPr>
      <w:ind w:left="1320" w:hanging="220"/>
    </w:pPr>
  </w:style>
  <w:style w:type="paragraph" w:styleId="Index7">
    <w:name w:val="index 7"/>
    <w:basedOn w:val="Normal"/>
    <w:next w:val="Normal"/>
    <w:autoRedefine/>
    <w:semiHidden/>
    <w:rsid w:val="00C659C1"/>
    <w:pPr>
      <w:ind w:left="1540" w:hanging="220"/>
    </w:pPr>
  </w:style>
  <w:style w:type="paragraph" w:styleId="Index8">
    <w:name w:val="index 8"/>
    <w:basedOn w:val="Normal"/>
    <w:next w:val="Normal"/>
    <w:autoRedefine/>
    <w:semiHidden/>
    <w:rsid w:val="00C659C1"/>
    <w:pPr>
      <w:ind w:left="1760" w:hanging="220"/>
    </w:pPr>
  </w:style>
  <w:style w:type="paragraph" w:styleId="Index9">
    <w:name w:val="index 9"/>
    <w:basedOn w:val="Normal"/>
    <w:next w:val="Normal"/>
    <w:autoRedefine/>
    <w:semiHidden/>
    <w:rsid w:val="00C659C1"/>
    <w:pPr>
      <w:ind w:left="1980" w:hanging="220"/>
    </w:pPr>
  </w:style>
  <w:style w:type="paragraph" w:styleId="DocumentMap">
    <w:name w:val="Document Map"/>
    <w:basedOn w:val="Normal"/>
    <w:semiHidden/>
    <w:rsid w:val="00C659C1"/>
    <w:pPr>
      <w:shd w:val="clear" w:color="auto" w:fill="000080"/>
    </w:pPr>
    <w:rPr>
      <w:rFonts w:ascii="Tahoma" w:hAnsi="Tahoma" w:cs="Tahoma"/>
      <w:szCs w:val="20"/>
    </w:rPr>
  </w:style>
  <w:style w:type="character" w:customStyle="1" w:styleId="VodilnistavekUMAR">
    <w:name w:val="Vodilni stavek_UMAR"/>
    <w:basedOn w:val="DefaultParagraphFont"/>
    <w:qFormat/>
    <w:rsid w:val="00C659C1"/>
    <w:rPr>
      <w:b/>
    </w:rPr>
  </w:style>
  <w:style w:type="paragraph" w:styleId="BalloonText">
    <w:name w:val="Balloon Text"/>
    <w:basedOn w:val="Normal"/>
    <w:semiHidden/>
    <w:rsid w:val="00C659C1"/>
    <w:rPr>
      <w:rFonts w:ascii="Tahoma" w:hAnsi="Tahoma" w:cs="Tahoma"/>
      <w:sz w:val="16"/>
      <w:szCs w:val="16"/>
    </w:rPr>
  </w:style>
  <w:style w:type="character" w:customStyle="1" w:styleId="HeaderChar">
    <w:name w:val="Header Char"/>
    <w:basedOn w:val="DefaultParagraphFont"/>
    <w:link w:val="Header"/>
    <w:uiPriority w:val="99"/>
    <w:rsid w:val="00C659C1"/>
    <w:rPr>
      <w:rFonts w:ascii="Myriad Pro" w:eastAsiaTheme="minorHAnsi" w:hAnsi="Myriad Pro" w:cstheme="minorBidi"/>
      <w:sz w:val="22"/>
      <w:szCs w:val="22"/>
      <w:lang w:eastAsia="en-US"/>
    </w:rPr>
  </w:style>
  <w:style w:type="table" w:styleId="TableGrid">
    <w:name w:val="Table Grid"/>
    <w:basedOn w:val="TableNormal"/>
    <w:uiPriority w:val="59"/>
    <w:rsid w:val="00C659C1"/>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659C1"/>
    <w:pPr>
      <w:tabs>
        <w:tab w:val="center" w:pos="4536"/>
        <w:tab w:val="right" w:pos="9072"/>
      </w:tabs>
    </w:pPr>
    <w:rPr>
      <w:rFonts w:ascii="Myriad Pro" w:hAnsi="Myriad Pro"/>
    </w:rPr>
  </w:style>
  <w:style w:type="character" w:styleId="Hyperlink">
    <w:name w:val="Hyperlink"/>
    <w:basedOn w:val="BesediloUMARChar"/>
    <w:uiPriority w:val="99"/>
    <w:rsid w:val="00C659C1"/>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C659C1"/>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C659C1"/>
    <w:rPr>
      <w:rFonts w:ascii="Myriad Pro" w:eastAsiaTheme="minorHAnsi" w:hAnsi="Myriad Pro" w:cs="Arial"/>
      <w:b/>
      <w:bCs/>
      <w:color w:val="A10305" w:themeColor="accent1"/>
      <w:sz w:val="24"/>
      <w:szCs w:val="26"/>
      <w:lang w:eastAsia="en-US"/>
    </w:rPr>
  </w:style>
  <w:style w:type="character" w:customStyle="1" w:styleId="Heading2Char">
    <w:name w:val="Heading 2 Char"/>
    <w:aliases w:val="Heading 2_UMAR Char"/>
    <w:basedOn w:val="DefaultParagraphFont"/>
    <w:link w:val="Heading2"/>
    <w:uiPriority w:val="2"/>
    <w:rsid w:val="00C659C1"/>
    <w:rPr>
      <w:rFonts w:ascii="Myriad Pro" w:eastAsiaTheme="minorHAnsi" w:hAnsi="Myriad Pro" w:cstheme="minorBidi"/>
      <w:b/>
      <w:color w:val="A10305" w:themeColor="accent1"/>
      <w:sz w:val="24"/>
      <w:szCs w:val="22"/>
      <w:lang w:eastAsia="en-US"/>
    </w:rPr>
  </w:style>
  <w:style w:type="character" w:customStyle="1" w:styleId="Heading1Char">
    <w:name w:val="Heading 1 Char"/>
    <w:aliases w:val="Heading 1_UMAR Char"/>
    <w:basedOn w:val="DefaultParagraphFont"/>
    <w:link w:val="Heading1"/>
    <w:uiPriority w:val="1"/>
    <w:rsid w:val="00C659C1"/>
    <w:rPr>
      <w:rFonts w:ascii="Myriad Pro" w:eastAsiaTheme="minorHAnsi" w:hAnsi="Myriad Pro" w:cs="Arial"/>
      <w:b/>
      <w:bCs/>
      <w:color w:val="A10305" w:themeColor="accent1"/>
      <w:kern w:val="32"/>
      <w:sz w:val="28"/>
      <w:szCs w:val="22"/>
      <w:lang w:eastAsia="en-US"/>
    </w:rPr>
  </w:style>
  <w:style w:type="character" w:styleId="PlaceholderText">
    <w:name w:val="Placeholder Text"/>
    <w:basedOn w:val="DefaultParagraphFont"/>
    <w:uiPriority w:val="99"/>
    <w:semiHidden/>
    <w:rsid w:val="00C659C1"/>
    <w:rPr>
      <w:color w:val="808080"/>
    </w:rPr>
  </w:style>
  <w:style w:type="character" w:customStyle="1" w:styleId="FooterChar">
    <w:name w:val="Footer Char"/>
    <w:basedOn w:val="DefaultParagraphFont"/>
    <w:link w:val="Footer"/>
    <w:uiPriority w:val="99"/>
    <w:rsid w:val="00C659C1"/>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C659C1"/>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C659C1"/>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C659C1"/>
    <w:pPr>
      <w:spacing w:before="40" w:line="240" w:lineRule="auto"/>
    </w:pPr>
    <w:rPr>
      <w:sz w:val="16"/>
    </w:rPr>
  </w:style>
  <w:style w:type="character" w:customStyle="1" w:styleId="VirUMARChar">
    <w:name w:val="Vir_UMAR Char"/>
    <w:basedOn w:val="DefaultParagraphFont"/>
    <w:link w:val="VirUMAR"/>
    <w:uiPriority w:val="6"/>
    <w:rsid w:val="00C659C1"/>
    <w:rPr>
      <w:rFonts w:ascii="Myriad Pro" w:eastAsiaTheme="minorHAnsi" w:hAnsi="Myriad Pro" w:cstheme="minorBidi"/>
      <w:sz w:val="16"/>
      <w:szCs w:val="22"/>
      <w:lang w:eastAsia="en-US"/>
    </w:rPr>
  </w:style>
  <w:style w:type="character" w:customStyle="1" w:styleId="CaptionChar">
    <w:name w:val="Caption Char"/>
    <w:aliases w:val="Okvir/Slika/Tabela_UMAR Char,Slika/Tabela_POR Char,Okvir/Slika/Tabela_POR Char,Naslov slike Char,tabele Char"/>
    <w:basedOn w:val="DefaultParagraphFont"/>
    <w:link w:val="Caption"/>
    <w:uiPriority w:val="4"/>
    <w:rsid w:val="00C659C1"/>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C659C1"/>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C659C1"/>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C659C1"/>
    <w:pPr>
      <w:jc w:val="left"/>
    </w:pPr>
  </w:style>
  <w:style w:type="paragraph" w:customStyle="1" w:styleId="TabelalevoUMAR">
    <w:name w:val="Tabela levo_UMAR"/>
    <w:basedOn w:val="TabelaglavalevoUMAR"/>
    <w:link w:val="TabelalevoUMARChar"/>
    <w:uiPriority w:val="5"/>
    <w:qFormat/>
    <w:rsid w:val="00C659C1"/>
    <w:rPr>
      <w:b w:val="0"/>
    </w:rPr>
  </w:style>
  <w:style w:type="character" w:customStyle="1" w:styleId="TabelaglavalevoUMARChar">
    <w:name w:val="Tabela glava levo_UMAR Char"/>
    <w:basedOn w:val="TabelaglavadesnoUMARChar"/>
    <w:link w:val="TabelaglavalevoUMAR"/>
    <w:uiPriority w:val="5"/>
    <w:rsid w:val="00C659C1"/>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C659C1"/>
    <w:rPr>
      <w:b w:val="0"/>
    </w:rPr>
  </w:style>
  <w:style w:type="character" w:customStyle="1" w:styleId="TabelalevoUMARChar">
    <w:name w:val="Tabela levo_UMAR Char"/>
    <w:basedOn w:val="TabelaglavalevoUMARChar"/>
    <w:link w:val="TabelalevoUMAR"/>
    <w:uiPriority w:val="5"/>
    <w:rsid w:val="00C659C1"/>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C659C1"/>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C659C1"/>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C659C1"/>
  </w:style>
  <w:style w:type="character" w:customStyle="1" w:styleId="NaslovnicanaslovUMARChar">
    <w:name w:val="Naslovnica_naslov_UMAR Char"/>
    <w:basedOn w:val="DefaultParagraphFont"/>
    <w:link w:val="NaslovnicanaslovUMAR"/>
    <w:uiPriority w:val="99"/>
    <w:rsid w:val="00C659C1"/>
    <w:rPr>
      <w:rFonts w:ascii="Myriad Pro" w:eastAsiaTheme="minorHAnsi" w:hAnsi="Myriad Pro" w:cstheme="minorBidi"/>
      <w:b/>
      <w:color w:val="A10305" w:themeColor="accent1"/>
      <w:sz w:val="24"/>
      <w:szCs w:val="22"/>
      <w:lang w:eastAsia="en-US"/>
    </w:rPr>
  </w:style>
  <w:style w:type="table" w:styleId="TableGridLight">
    <w:name w:val="Grid Table Light"/>
    <w:aliases w:val="UMAR tabela"/>
    <w:basedOn w:val="TableNormal"/>
    <w:uiPriority w:val="40"/>
    <w:rsid w:val="00C659C1"/>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C659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59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59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59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59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659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659C1"/>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C659C1"/>
    <w:pPr>
      <w:spacing w:line="240" w:lineRule="auto"/>
    </w:pPr>
    <w:rPr>
      <w:b/>
      <w:bCs/>
    </w:rPr>
  </w:style>
  <w:style w:type="character" w:customStyle="1" w:styleId="CommentTextChar">
    <w:name w:val="Comment Text Char"/>
    <w:basedOn w:val="DefaultParagraphFont"/>
    <w:link w:val="CommentText"/>
    <w:semiHidden/>
    <w:rsid w:val="00C659C1"/>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C659C1"/>
    <w:rPr>
      <w:rFonts w:asciiTheme="minorHAnsi" w:eastAsiaTheme="minorHAnsi" w:hAnsiTheme="minorHAnsi" w:cstheme="minorBidi"/>
      <w:b/>
      <w:bCs/>
      <w:sz w:val="22"/>
      <w:lang w:eastAsia="en-US"/>
    </w:rPr>
  </w:style>
  <w:style w:type="table" w:customStyle="1" w:styleId="UMARokvir">
    <w:name w:val="UMAR okvir"/>
    <w:basedOn w:val="TableNormal"/>
    <w:uiPriority w:val="99"/>
    <w:rsid w:val="00C659C1"/>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C659C1"/>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C659C1"/>
    <w:pPr>
      <w:numPr>
        <w:numId w:val="0"/>
      </w:numPr>
      <w:spacing w:before="240" w:after="0" w:line="259" w:lineRule="auto"/>
      <w:outlineLvl w:val="9"/>
    </w:pPr>
    <w:rPr>
      <w:rFonts w:eastAsiaTheme="majorEastAsia" w:cstheme="majorBidi"/>
      <w:b w:val="0"/>
      <w:bCs w:val="0"/>
      <w:color w:val="780203" w:themeColor="accent1" w:themeShade="BF"/>
      <w:kern w:val="0"/>
      <w:sz w:val="32"/>
      <w:szCs w:val="32"/>
      <w:lang w:val="en-US"/>
    </w:rPr>
  </w:style>
  <w:style w:type="paragraph" w:styleId="ListParagraph">
    <w:name w:val="List Paragraph"/>
    <w:basedOn w:val="Normal"/>
    <w:link w:val="ListParagraphChar"/>
    <w:uiPriority w:val="34"/>
    <w:rsid w:val="00C659C1"/>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C659C1"/>
    <w:pPr>
      <w:spacing w:before="80"/>
      <w:ind w:left="340" w:hanging="340"/>
      <w:jc w:val="left"/>
    </w:pPr>
  </w:style>
  <w:style w:type="character" w:customStyle="1" w:styleId="LiteraturaUMARChar">
    <w:name w:val="Literatura_UMAR Char"/>
    <w:basedOn w:val="BesediloUMARChar"/>
    <w:link w:val="LiteraturaUMAR"/>
    <w:uiPriority w:val="7"/>
    <w:rsid w:val="00C659C1"/>
    <w:rPr>
      <w:rFonts w:ascii="Myriad Pro" w:eastAsiaTheme="minorHAnsi" w:hAnsi="Myriad Pro" w:cstheme="minorBidi"/>
      <w:szCs w:val="22"/>
      <w:lang w:eastAsia="en-US"/>
    </w:rPr>
  </w:style>
  <w:style w:type="character" w:customStyle="1" w:styleId="ListParagraphChar">
    <w:name w:val="List Paragraph Char"/>
    <w:basedOn w:val="DefaultParagraphFont"/>
    <w:link w:val="ListParagraph"/>
    <w:uiPriority w:val="34"/>
    <w:rsid w:val="00F3718A"/>
    <w:rPr>
      <w:rFonts w:ascii="Myriad Pro" w:eastAsiaTheme="minorHAnsi" w:hAnsi="Myriad Pro" w:cstheme="minorBidi"/>
      <w:sz w:val="22"/>
      <w:szCs w:val="22"/>
      <w:lang w:eastAsia="en-US"/>
    </w:rPr>
  </w:style>
  <w:style w:type="paragraph" w:customStyle="1" w:styleId="TekstPOR">
    <w:name w:val="Tekst_POR"/>
    <w:basedOn w:val="Normal"/>
    <w:link w:val="TekstPORChar"/>
    <w:qFormat/>
    <w:rsid w:val="00C76ADD"/>
    <w:pPr>
      <w:spacing w:before="20" w:after="20" w:line="240" w:lineRule="auto"/>
      <w:jc w:val="both"/>
    </w:pPr>
    <w:rPr>
      <w:rFonts w:ascii="Arial" w:eastAsia="Calibri" w:hAnsi="Arial" w:cs="Times New Roman"/>
      <w:noProof/>
      <w:sz w:val="19"/>
    </w:rPr>
  </w:style>
  <w:style w:type="character" w:customStyle="1" w:styleId="TekstPORChar">
    <w:name w:val="Tekst_POR Char"/>
    <w:basedOn w:val="DefaultParagraphFont"/>
    <w:link w:val="TekstPOR"/>
    <w:rsid w:val="00C76ADD"/>
    <w:rPr>
      <w:rFonts w:ascii="Arial" w:eastAsia="Calibri" w:hAnsi="Arial"/>
      <w:noProof/>
      <w:sz w:val="19"/>
      <w:szCs w:val="22"/>
      <w:lang w:eastAsia="en-US"/>
    </w:rPr>
  </w:style>
  <w:style w:type="paragraph" w:customStyle="1" w:styleId="SprotnaopombaPOR">
    <w:name w:val="Sprotna opomba_POR"/>
    <w:basedOn w:val="FootnoteText"/>
    <w:uiPriority w:val="8"/>
    <w:qFormat/>
    <w:rsid w:val="00E573A4"/>
    <w:pPr>
      <w:spacing w:before="20" w:after="20" w:line="240" w:lineRule="auto"/>
    </w:pPr>
    <w:rPr>
      <w:rFonts w:ascii="Arial" w:eastAsia="Calibri" w:hAnsi="Arial" w:cs="Times New Roman"/>
      <w:noProof/>
      <w:szCs w:val="20"/>
    </w:rPr>
  </w:style>
  <w:style w:type="table" w:customStyle="1" w:styleId="TableGrid1">
    <w:name w:val="Table Grid1"/>
    <w:basedOn w:val="TableNormal"/>
    <w:next w:val="TableGrid"/>
    <w:uiPriority w:val="39"/>
    <w:rsid w:val="008F03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OpombaPOR">
    <w:name w:val="Vir/Opomba_POR"/>
    <w:basedOn w:val="TekstPOR"/>
    <w:link w:val="VirOpombaPORChar"/>
    <w:uiPriority w:val="7"/>
    <w:qFormat/>
    <w:rsid w:val="008F0344"/>
    <w:pPr>
      <w:spacing w:before="40" w:after="0"/>
    </w:pPr>
    <w:rPr>
      <w:noProof w:val="0"/>
      <w:sz w:val="14"/>
      <w:szCs w:val="14"/>
    </w:rPr>
  </w:style>
  <w:style w:type="character" w:customStyle="1" w:styleId="VirOpombaPORChar">
    <w:name w:val="Vir/Opomba_POR Char"/>
    <w:link w:val="VirOpombaPOR"/>
    <w:uiPriority w:val="7"/>
    <w:rsid w:val="008F0344"/>
    <w:rPr>
      <w:rFonts w:ascii="Arial" w:eastAsia="Calibri" w:hAnsi="Arial"/>
      <w:sz w:val="14"/>
      <w:szCs w:val="14"/>
      <w:lang w:eastAsia="en-US"/>
    </w:rPr>
  </w:style>
  <w:style w:type="paragraph" w:styleId="Bibliography">
    <w:name w:val="Bibliography"/>
    <w:basedOn w:val="Normal"/>
    <w:next w:val="Normal"/>
    <w:uiPriority w:val="37"/>
    <w:unhideWhenUsed/>
    <w:rsid w:val="00C97166"/>
    <w:pPr>
      <w:spacing w:after="0" w:line="480" w:lineRule="auto"/>
      <w:ind w:left="720" w:hanging="720"/>
    </w:pPr>
  </w:style>
  <w:style w:type="paragraph" w:customStyle="1" w:styleId="SprotnaopombaUMAR">
    <w:name w:val="Sprotna opomba_UMAR"/>
    <w:basedOn w:val="BesediloUMAR"/>
    <w:link w:val="SprotnaopombaUMARChar"/>
    <w:uiPriority w:val="1"/>
    <w:qFormat/>
    <w:rsid w:val="00273F43"/>
    <w:rPr>
      <w:rFonts w:asciiTheme="minorHAnsi" w:hAnsiTheme="minorHAnsi"/>
      <w:sz w:val="16"/>
      <w:szCs w:val="20"/>
    </w:rPr>
  </w:style>
  <w:style w:type="character" w:customStyle="1" w:styleId="SprotnaopombaUMARChar">
    <w:name w:val="Sprotna opomba_UMAR Char"/>
    <w:basedOn w:val="DefaultParagraphFont"/>
    <w:link w:val="SprotnaopombaUMAR"/>
    <w:uiPriority w:val="1"/>
    <w:rsid w:val="00273F43"/>
    <w:rPr>
      <w:rFonts w:asciiTheme="minorHAnsi" w:eastAsiaTheme="minorHAnsi" w:hAnsiTheme="minorHAnsi" w:cstheme="minorBidi"/>
      <w:sz w:val="16"/>
      <w:lang w:eastAsia="en-US"/>
    </w:rPr>
  </w:style>
  <w:style w:type="character" w:customStyle="1" w:styleId="Sprotnaopomba-besediloZnak2">
    <w:name w:val="Sprotna opomba - besedilo Znak2"/>
    <w:aliases w:val="EI_Footnote Text Znak1,Sprotna opomba-besedilo Znak1,Char Char Znak1,Char Char Char Char Znak1,Char Char Char Znak1,Sprotna opomba - besedilo Znak1 Znak1,Sprotna opomba - besedilo Znak Znak2 Znak1,fn Znak1,Char Ch Znak1"/>
    <w:basedOn w:val="DefaultParagraphFont"/>
    <w:uiPriority w:val="8"/>
    <w:rsid w:val="00771807"/>
    <w:rPr>
      <w:rFonts w:ascii="Myriad Pro" w:eastAsiaTheme="minorHAnsi" w:hAnsi="Myriad Pro" w:cstheme="minorBidi"/>
      <w:sz w:val="16"/>
      <w:szCs w:val="14"/>
      <w:lang w:eastAsia="en-US"/>
    </w:rPr>
  </w:style>
  <w:style w:type="character" w:customStyle="1" w:styleId="GlavaZnak1">
    <w:name w:val="Glava Znak1"/>
    <w:basedOn w:val="DefaultParagraphFont"/>
    <w:uiPriority w:val="99"/>
    <w:rsid w:val="00771807"/>
    <w:rPr>
      <w:rFonts w:ascii="Myriad Pro" w:eastAsiaTheme="minorHAnsi" w:hAnsi="Myriad Pro" w:cstheme="minorBidi"/>
      <w:sz w:val="22"/>
      <w:szCs w:val="22"/>
      <w:lang w:eastAsia="en-US"/>
    </w:rPr>
  </w:style>
  <w:style w:type="character" w:customStyle="1" w:styleId="Naslov3Znak1">
    <w:name w:val="Naslov 3 Znak1"/>
    <w:aliases w:val="Heading 3_UMAR Znak1"/>
    <w:basedOn w:val="DefaultParagraphFont"/>
    <w:uiPriority w:val="3"/>
    <w:rsid w:val="00771807"/>
    <w:rPr>
      <w:rFonts w:ascii="Myriad Pro" w:eastAsiaTheme="minorHAnsi" w:hAnsi="Myriad Pro" w:cs="Arial"/>
      <w:b/>
      <w:bCs/>
      <w:color w:val="A10305" w:themeColor="accent1"/>
      <w:sz w:val="24"/>
      <w:szCs w:val="26"/>
      <w:lang w:eastAsia="en-US"/>
    </w:rPr>
  </w:style>
  <w:style w:type="character" w:customStyle="1" w:styleId="Naslov2Znak1">
    <w:name w:val="Naslov 2 Znak1"/>
    <w:aliases w:val="Heading 2_UMAR Znak1"/>
    <w:basedOn w:val="DefaultParagraphFont"/>
    <w:uiPriority w:val="2"/>
    <w:rsid w:val="00771807"/>
    <w:rPr>
      <w:rFonts w:ascii="Myriad Pro" w:eastAsiaTheme="minorHAnsi" w:hAnsi="Myriad Pro" w:cstheme="minorBidi"/>
      <w:b/>
      <w:color w:val="A10305" w:themeColor="accent1"/>
      <w:sz w:val="24"/>
      <w:szCs w:val="22"/>
      <w:lang w:eastAsia="en-US"/>
    </w:rPr>
  </w:style>
  <w:style w:type="character" w:customStyle="1" w:styleId="Naslov1Znak1">
    <w:name w:val="Naslov 1 Znak1"/>
    <w:aliases w:val="Heading 1_UMAR Znak1"/>
    <w:basedOn w:val="DefaultParagraphFont"/>
    <w:uiPriority w:val="1"/>
    <w:rsid w:val="00771807"/>
    <w:rPr>
      <w:rFonts w:ascii="Myriad Pro" w:eastAsiaTheme="minorHAnsi" w:hAnsi="Myriad Pro" w:cs="Arial"/>
      <w:b/>
      <w:bCs/>
      <w:color w:val="A10305" w:themeColor="accent1"/>
      <w:kern w:val="32"/>
      <w:sz w:val="28"/>
      <w:szCs w:val="22"/>
      <w:lang w:eastAsia="en-US"/>
    </w:rPr>
  </w:style>
  <w:style w:type="character" w:customStyle="1" w:styleId="NogaZnak1">
    <w:name w:val="Noga Znak1"/>
    <w:basedOn w:val="DefaultParagraphFont"/>
    <w:uiPriority w:val="99"/>
    <w:rsid w:val="00771807"/>
    <w:rPr>
      <w:rFonts w:ascii="Myriad Pro" w:eastAsiaTheme="minorHAnsi" w:hAnsi="Myriad Pro" w:cstheme="minorBidi"/>
      <w:noProof/>
      <w:sz w:val="16"/>
      <w:szCs w:val="16"/>
      <w:lang w:eastAsia="en-US"/>
    </w:rPr>
  </w:style>
  <w:style w:type="character" w:customStyle="1" w:styleId="NapisZnak1">
    <w:name w:val="Napis Znak1"/>
    <w:aliases w:val="Okvir/Slika/Tabela_UMAR Znak1,Slika/Tabela_POR Znak1,Okvir/Slika/Tabela_POR Znak1,Naslov slike Znak1,tabele Znak1"/>
    <w:basedOn w:val="DefaultParagraphFont"/>
    <w:uiPriority w:val="4"/>
    <w:rsid w:val="00771807"/>
    <w:rPr>
      <w:rFonts w:ascii="Myriad Pro" w:eastAsiaTheme="minorHAnsi" w:hAnsi="Myriad Pro" w:cstheme="minorBidi"/>
      <w:b/>
      <w:bCs/>
      <w:noProof/>
      <w:lang w:eastAsia="en-US"/>
    </w:rPr>
  </w:style>
  <w:style w:type="character" w:customStyle="1" w:styleId="PripombabesediloZnak1">
    <w:name w:val="Pripomba – besedilo Znak1"/>
    <w:basedOn w:val="DefaultParagraphFont"/>
    <w:semiHidden/>
    <w:rsid w:val="00771807"/>
    <w:rPr>
      <w:rFonts w:asciiTheme="minorHAnsi" w:eastAsiaTheme="minorHAnsi" w:hAnsiTheme="minorHAnsi" w:cstheme="minorBidi"/>
      <w:sz w:val="22"/>
      <w:lang w:eastAsia="en-US"/>
    </w:rPr>
  </w:style>
  <w:style w:type="character" w:customStyle="1" w:styleId="ZadevapripombeZnak1">
    <w:name w:val="Zadeva pripombe Znak1"/>
    <w:basedOn w:val="PripombabesediloZnak1"/>
    <w:semiHidden/>
    <w:rsid w:val="00771807"/>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UMAR tema">
  <a:themeElements>
    <a:clrScheme name="umar-tema1">
      <a:dk1>
        <a:sysClr val="windowText" lastClr="000000"/>
      </a:dk1>
      <a:lt1>
        <a:sysClr val="window" lastClr="FFFFFF"/>
      </a:lt1>
      <a:dk2>
        <a:srgbClr val="44546A"/>
      </a:dk2>
      <a:lt2>
        <a:srgbClr val="DBDBDB"/>
      </a:lt2>
      <a:accent1>
        <a:srgbClr val="A10305"/>
      </a:accent1>
      <a:accent2>
        <a:srgbClr val="D46565"/>
      </a:accent2>
      <a:accent3>
        <a:srgbClr val="A7AEB4"/>
      </a:accent3>
      <a:accent4>
        <a:srgbClr val="343D58"/>
      </a:accent4>
      <a:accent5>
        <a:srgbClr val="176F8B"/>
      </a:accent5>
      <a:accent6>
        <a:srgbClr val="98C576"/>
      </a:accent6>
      <a:hlink>
        <a:srgbClr val="668AB6"/>
      </a:hlink>
      <a:folHlink>
        <a:srgbClr val="321443"/>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AR tema" id="{6858A847-9EE0-427F-93E2-97AFCA21391D}" vid="{84F208F5-1E2B-4021-B341-6627EA6AB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712F-4AF7-4F00-8C0B-AB9AFDF2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5575</Words>
  <Characters>55736</Characters>
  <Application>Microsoft Office Word</Application>
  <DocSecurity>0</DocSecurity>
  <Lines>464</Lines>
  <Paragraphs>122</Paragraphs>
  <ScaleCrop>false</ScaleCrop>
  <Company/>
  <LinksUpToDate>false</LinksUpToDate>
  <CharactersWithSpaces>61189</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2023-10-11T07:06:00Z</dcterms:created>
  <dcterms:modified xsi:type="dcterms:W3CDTF">2023-10-11T07:06:00Z</dcterms:modified>
</cp:coreProperties>
</file>