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654AB" w14:textId="1E513D8E" w:rsidR="0050616E" w:rsidRPr="0050616E" w:rsidRDefault="00471713" w:rsidP="0050616E">
      <w:pPr>
        <w:pStyle w:val="Heading2"/>
        <w:numPr>
          <w:ilvl w:val="0"/>
          <w:numId w:val="0"/>
        </w:numPr>
      </w:pPr>
      <w:bookmarkStart w:id="0" w:name="_Hlk68861605"/>
      <w:bookmarkStart w:id="1" w:name="_GoBack"/>
      <w:bookmarkEnd w:id="0"/>
      <w:r>
        <w:rPr>
          <w:noProof/>
          <w:lang w:eastAsia="sl-SI"/>
        </w:rPr>
        <w:drawing>
          <wp:anchor distT="0" distB="0" distL="114300" distR="114300" simplePos="0" relativeHeight="251661312" behindDoc="0" locked="0" layoutInCell="1" allowOverlap="1" wp14:anchorId="27585D9D" wp14:editId="0F60D85F">
            <wp:simplePos x="0" y="0"/>
            <wp:positionH relativeFrom="page">
              <wp:posOffset>0</wp:posOffset>
            </wp:positionH>
            <wp:positionV relativeFrom="paragraph">
              <wp:posOffset>-1115391</wp:posOffset>
            </wp:positionV>
            <wp:extent cx="4737100" cy="10815955"/>
            <wp:effectExtent l="0" t="0" r="6350" b="4445"/>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7100" cy="10815955"/>
                    </a:xfrm>
                    <a:prstGeom prst="rect">
                      <a:avLst/>
                    </a:prstGeom>
                  </pic:spPr>
                </pic:pic>
              </a:graphicData>
            </a:graphic>
            <wp14:sizeRelH relativeFrom="margin">
              <wp14:pctWidth>0</wp14:pctWidth>
            </wp14:sizeRelH>
            <wp14:sizeRelV relativeFrom="margin">
              <wp14:pctHeight>0</wp14:pctHeight>
            </wp14:sizeRelV>
          </wp:anchor>
        </w:drawing>
      </w:r>
      <w:bookmarkEnd w:id="1"/>
      <w:r w:rsidR="00341E37">
        <w:rPr>
          <w:noProof/>
          <w:lang w:eastAsia="sl-SI"/>
        </w:rPr>
        <w:drawing>
          <wp:anchor distT="0" distB="0" distL="114300" distR="114300" simplePos="0" relativeHeight="251663360" behindDoc="0" locked="0" layoutInCell="1" allowOverlap="1" wp14:anchorId="6030F93F" wp14:editId="51D6CA4A">
            <wp:simplePos x="0" y="0"/>
            <wp:positionH relativeFrom="column">
              <wp:posOffset>4939343</wp:posOffset>
            </wp:positionH>
            <wp:positionV relativeFrom="paragraph">
              <wp:posOffset>-626110</wp:posOffset>
            </wp:positionV>
            <wp:extent cx="1294227" cy="365859"/>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MA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227" cy="365859"/>
                    </a:xfrm>
                    <a:prstGeom prst="rect">
                      <a:avLst/>
                    </a:prstGeom>
                  </pic:spPr>
                </pic:pic>
              </a:graphicData>
            </a:graphic>
            <wp14:sizeRelH relativeFrom="margin">
              <wp14:pctWidth>0</wp14:pctWidth>
            </wp14:sizeRelH>
            <wp14:sizeRelV relativeFrom="margin">
              <wp14:pctHeight>0</wp14:pctHeight>
            </wp14:sizeRelV>
          </wp:anchor>
        </w:drawing>
      </w:r>
    </w:p>
    <w:p w14:paraId="2C5AF21F" w14:textId="344EBCA5" w:rsidR="0050616E" w:rsidRPr="0050616E" w:rsidRDefault="00001D3E" w:rsidP="00FF5B7E">
      <w:pPr>
        <w:sectPr w:rsidR="0050616E" w:rsidRPr="0050616E" w:rsidSect="007C3A38">
          <w:pgSz w:w="11906" w:h="16838"/>
          <w:pgMar w:top="1701" w:right="1418" w:bottom="1418" w:left="1418" w:header="709" w:footer="709" w:gutter="0"/>
          <w:pgNumType w:fmt="lowerRoman" w:start="1"/>
          <w:cols w:space="708"/>
        </w:sectPr>
      </w:pPr>
      <w:r>
        <w:rPr>
          <w:noProof/>
        </w:rPr>
        <mc:AlternateContent>
          <mc:Choice Requires="wps">
            <w:drawing>
              <wp:anchor distT="0" distB="0" distL="114300" distR="114300" simplePos="0" relativeHeight="251659262" behindDoc="0" locked="0" layoutInCell="1" allowOverlap="1" wp14:anchorId="65496565" wp14:editId="70C3E6B0">
                <wp:simplePos x="0" y="0"/>
                <wp:positionH relativeFrom="margin">
                  <wp:posOffset>3489551</wp:posOffset>
                </wp:positionH>
                <wp:positionV relativeFrom="paragraph">
                  <wp:posOffset>755650</wp:posOffset>
                </wp:positionV>
                <wp:extent cx="2869983" cy="7834839"/>
                <wp:effectExtent l="0" t="0" r="6985" b="139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9983" cy="7834839"/>
                        </a:xfrm>
                        <a:prstGeom prst="rect">
                          <a:avLst/>
                        </a:prstGeom>
                        <a:noFill/>
                        <a:ln w="6350">
                          <a:noFill/>
                        </a:ln>
                        <a:effectLst/>
                      </wps:spPr>
                      <wps:txbx>
                        <w:txbxContent>
                          <w:p w14:paraId="6FFDE982" w14:textId="77777777" w:rsidR="00717C1B" w:rsidRPr="0050616E" w:rsidRDefault="00717C1B" w:rsidP="0050616E">
                            <w:pPr>
                              <w:pStyle w:val="NaslovnicanaslovUMAR"/>
                              <w:numPr>
                                <w:ilvl w:val="0"/>
                                <w:numId w:val="0"/>
                              </w:numPr>
                              <w:spacing w:line="760" w:lineRule="exact"/>
                              <w:rPr>
                                <w:color w:val="auto"/>
                                <w:sz w:val="76"/>
                                <w:szCs w:val="76"/>
                              </w:rPr>
                            </w:pPr>
                          </w:p>
                          <w:p w14:paraId="7F0EF5D9" w14:textId="77777777" w:rsidR="00717C1B" w:rsidRPr="0050616E" w:rsidRDefault="00717C1B" w:rsidP="0050616E">
                            <w:pPr>
                              <w:pStyle w:val="NaslovnicanaslovUMAR"/>
                              <w:numPr>
                                <w:ilvl w:val="0"/>
                                <w:numId w:val="0"/>
                              </w:numPr>
                              <w:spacing w:line="240" w:lineRule="auto"/>
                              <w:rPr>
                                <w:color w:val="auto"/>
                                <w:sz w:val="26"/>
                                <w:szCs w:val="26"/>
                              </w:rPr>
                            </w:pPr>
                            <w:r w:rsidRPr="0050616E">
                              <w:rPr>
                                <w:color w:val="auto"/>
                                <w:sz w:val="26"/>
                                <w:szCs w:val="26"/>
                              </w:rPr>
                              <w:t>Kratke analize</w:t>
                            </w:r>
                          </w:p>
                          <w:p w14:paraId="7BFA9551" w14:textId="1AA8D343" w:rsidR="00717C1B" w:rsidRPr="0050616E" w:rsidRDefault="00717C1B" w:rsidP="0050616E">
                            <w:pPr>
                              <w:pStyle w:val="NaslovnicanaslovUMAR"/>
                              <w:numPr>
                                <w:ilvl w:val="0"/>
                                <w:numId w:val="0"/>
                              </w:numPr>
                              <w:spacing w:line="240" w:lineRule="auto"/>
                              <w:rPr>
                                <w:b w:val="0"/>
                                <w:bCs/>
                                <w:color w:val="auto"/>
                                <w:sz w:val="26"/>
                                <w:szCs w:val="26"/>
                              </w:rPr>
                            </w:pPr>
                            <w:r>
                              <w:rPr>
                                <w:b w:val="0"/>
                                <w:bCs/>
                                <w:color w:val="auto"/>
                                <w:sz w:val="26"/>
                                <w:szCs w:val="26"/>
                              </w:rPr>
                              <w:t>September 2021</w:t>
                            </w:r>
                          </w:p>
                          <w:p w14:paraId="573F3EA2" w14:textId="77777777" w:rsidR="00717C1B" w:rsidRPr="0050616E" w:rsidRDefault="00717C1B" w:rsidP="0050616E">
                            <w:pPr>
                              <w:pStyle w:val="NaslovnicanaslovUMAR"/>
                              <w:numPr>
                                <w:ilvl w:val="0"/>
                                <w:numId w:val="0"/>
                              </w:numPr>
                              <w:spacing w:line="760" w:lineRule="exact"/>
                              <w:rPr>
                                <w:color w:val="auto"/>
                                <w:sz w:val="52"/>
                                <w:szCs w:val="52"/>
                              </w:rPr>
                            </w:pPr>
                          </w:p>
                          <w:p w14:paraId="3052B095" w14:textId="4EF6F300" w:rsidR="00717C1B" w:rsidRPr="0050616E" w:rsidRDefault="00717C1B" w:rsidP="0050616E">
                            <w:pPr>
                              <w:pStyle w:val="NaslovnicanaslovUMAR"/>
                              <w:numPr>
                                <w:ilvl w:val="0"/>
                                <w:numId w:val="0"/>
                              </w:numPr>
                              <w:spacing w:after="240" w:line="760" w:lineRule="exact"/>
                              <w:rPr>
                                <w:b w:val="0"/>
                                <w:bCs/>
                                <w:color w:val="auto"/>
                                <w:sz w:val="52"/>
                                <w:szCs w:val="52"/>
                              </w:rPr>
                            </w:pPr>
                            <w:r>
                              <w:rPr>
                                <w:b w:val="0"/>
                                <w:bCs/>
                                <w:color w:val="auto"/>
                                <w:sz w:val="52"/>
                                <w:szCs w:val="52"/>
                              </w:rPr>
                              <w:t>Jože Markič</w:t>
                            </w:r>
                          </w:p>
                          <w:p w14:paraId="7B27B469" w14:textId="2675EFDD" w:rsidR="00717C1B" w:rsidRPr="0050616E" w:rsidRDefault="00717C1B" w:rsidP="0050616E">
                            <w:pPr>
                              <w:pStyle w:val="NaslovnicanaslovUMAR"/>
                              <w:numPr>
                                <w:ilvl w:val="0"/>
                                <w:numId w:val="0"/>
                              </w:numPr>
                              <w:spacing w:line="760" w:lineRule="exact"/>
                              <w:rPr>
                                <w:color w:val="auto"/>
                                <w:sz w:val="76"/>
                                <w:szCs w:val="76"/>
                              </w:rPr>
                            </w:pPr>
                            <w:r>
                              <w:rPr>
                                <w:color w:val="auto"/>
                                <w:sz w:val="76"/>
                                <w:szCs w:val="76"/>
                              </w:rPr>
                              <w:t>Mednarodne naložbe Slovenije</w:t>
                            </w:r>
                          </w:p>
                        </w:txbxContent>
                      </wps:txbx>
                      <wps:bodyPr rot="0" spcFirstLastPara="0" vertOverflow="overflow" horzOverflow="overflow" vert="vert270" wrap="square" lIns="0" tIns="0" rIns="18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96565" id="_x0000_t202" coordsize="21600,21600" o:spt="202" path="m,l,21600r21600,l21600,xe">
                <v:stroke joinstyle="miter"/>
                <v:path gradientshapeok="t" o:connecttype="rect"/>
              </v:shapetype>
              <v:shape id="Text Box 2" o:spid="_x0000_s1026" type="#_x0000_t202" style="position:absolute;margin-left:274.75pt;margin-top:59.5pt;width:226pt;height:616.9pt;z-index:251659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" filled="f" stroked="f" strokeweight=".5pt">
                <v:textbox style="layout-flow:vertical;mso-layout-flow-alt:bottom-to-top" inset="0,0,.5mm,0">
                  <w:txbxContent>
                    <w:p w14:paraId="6FFDE982" w14:textId="77777777" w:rsidR="00717C1B" w:rsidRPr="0050616E" w:rsidRDefault="00717C1B" w:rsidP="0050616E">
                      <w:pPr>
                        <w:pStyle w:val="NaslovnicanaslovUMAR"/>
                        <w:numPr>
                          <w:ilvl w:val="0"/>
                          <w:numId w:val="0"/>
                        </w:numPr>
                        <w:spacing w:line="760" w:lineRule="exact"/>
                        <w:rPr>
                          <w:color w:val="auto"/>
                          <w:sz w:val="76"/>
                          <w:szCs w:val="76"/>
                        </w:rPr>
                      </w:pPr>
                    </w:p>
                    <w:p w14:paraId="7F0EF5D9" w14:textId="77777777" w:rsidR="00717C1B" w:rsidRPr="0050616E" w:rsidRDefault="00717C1B" w:rsidP="0050616E">
                      <w:pPr>
                        <w:pStyle w:val="NaslovnicanaslovUMAR"/>
                        <w:numPr>
                          <w:ilvl w:val="0"/>
                          <w:numId w:val="0"/>
                        </w:numPr>
                        <w:spacing w:line="240" w:lineRule="auto"/>
                        <w:rPr>
                          <w:color w:val="auto"/>
                          <w:sz w:val="26"/>
                          <w:szCs w:val="26"/>
                        </w:rPr>
                      </w:pPr>
                      <w:r w:rsidRPr="0050616E">
                        <w:rPr>
                          <w:color w:val="auto"/>
                          <w:sz w:val="26"/>
                          <w:szCs w:val="26"/>
                        </w:rPr>
                        <w:t>Kratke analize</w:t>
                      </w:r>
                    </w:p>
                    <w:p w14:paraId="7BFA9551" w14:textId="1AA8D343" w:rsidR="00717C1B" w:rsidRPr="0050616E" w:rsidRDefault="00717C1B" w:rsidP="0050616E">
                      <w:pPr>
                        <w:pStyle w:val="NaslovnicanaslovUMAR"/>
                        <w:numPr>
                          <w:ilvl w:val="0"/>
                          <w:numId w:val="0"/>
                        </w:numPr>
                        <w:spacing w:line="240" w:lineRule="auto"/>
                        <w:rPr>
                          <w:b w:val="0"/>
                          <w:bCs/>
                          <w:color w:val="auto"/>
                          <w:sz w:val="26"/>
                          <w:szCs w:val="26"/>
                        </w:rPr>
                      </w:pPr>
                      <w:r>
                        <w:rPr>
                          <w:b w:val="0"/>
                          <w:bCs/>
                          <w:color w:val="auto"/>
                          <w:sz w:val="26"/>
                          <w:szCs w:val="26"/>
                        </w:rPr>
                        <w:t>September 2021</w:t>
                      </w:r>
                    </w:p>
                    <w:p w14:paraId="573F3EA2" w14:textId="77777777" w:rsidR="00717C1B" w:rsidRPr="0050616E" w:rsidRDefault="00717C1B" w:rsidP="0050616E">
                      <w:pPr>
                        <w:pStyle w:val="NaslovnicanaslovUMAR"/>
                        <w:numPr>
                          <w:ilvl w:val="0"/>
                          <w:numId w:val="0"/>
                        </w:numPr>
                        <w:spacing w:line="760" w:lineRule="exact"/>
                        <w:rPr>
                          <w:color w:val="auto"/>
                          <w:sz w:val="52"/>
                          <w:szCs w:val="52"/>
                        </w:rPr>
                      </w:pPr>
                    </w:p>
                    <w:p w14:paraId="3052B095" w14:textId="4EF6F300" w:rsidR="00717C1B" w:rsidRPr="0050616E" w:rsidRDefault="00717C1B" w:rsidP="0050616E">
                      <w:pPr>
                        <w:pStyle w:val="NaslovnicanaslovUMAR"/>
                        <w:numPr>
                          <w:ilvl w:val="0"/>
                          <w:numId w:val="0"/>
                        </w:numPr>
                        <w:spacing w:after="240" w:line="760" w:lineRule="exact"/>
                        <w:rPr>
                          <w:b w:val="0"/>
                          <w:bCs/>
                          <w:color w:val="auto"/>
                          <w:sz w:val="52"/>
                          <w:szCs w:val="52"/>
                        </w:rPr>
                      </w:pPr>
                      <w:r>
                        <w:rPr>
                          <w:b w:val="0"/>
                          <w:bCs/>
                          <w:color w:val="auto"/>
                          <w:sz w:val="52"/>
                          <w:szCs w:val="52"/>
                        </w:rPr>
                        <w:t>Jože Markič</w:t>
                      </w:r>
                    </w:p>
                    <w:p w14:paraId="7B27B469" w14:textId="2675EFDD" w:rsidR="00717C1B" w:rsidRPr="0050616E" w:rsidRDefault="00717C1B" w:rsidP="0050616E">
                      <w:pPr>
                        <w:pStyle w:val="NaslovnicanaslovUMAR"/>
                        <w:numPr>
                          <w:ilvl w:val="0"/>
                          <w:numId w:val="0"/>
                        </w:numPr>
                        <w:spacing w:line="760" w:lineRule="exact"/>
                        <w:rPr>
                          <w:color w:val="auto"/>
                          <w:sz w:val="76"/>
                          <w:szCs w:val="76"/>
                        </w:rPr>
                      </w:pPr>
                      <w:r>
                        <w:rPr>
                          <w:color w:val="auto"/>
                          <w:sz w:val="76"/>
                          <w:szCs w:val="76"/>
                        </w:rPr>
                        <w:t>Mednarodne naložbe Slovenije</w:t>
                      </w:r>
                    </w:p>
                  </w:txbxContent>
                </v:textbox>
                <w10:wrap anchorx="margin"/>
              </v:shape>
            </w:pict>
          </mc:Fallback>
        </mc:AlternateContent>
      </w:r>
      <w:r w:rsidR="0050616E">
        <w:tab/>
      </w:r>
    </w:p>
    <w:p w14:paraId="56F6B4A8" w14:textId="699B5705" w:rsidR="00AF3AD4" w:rsidRDefault="00471713" w:rsidP="00F12988">
      <w:pPr>
        <w:pStyle w:val="Heading1"/>
        <w:numPr>
          <w:ilvl w:val="0"/>
          <w:numId w:val="0"/>
        </w:numPr>
      </w:pPr>
      <w:bookmarkStart w:id="2" w:name="_Toc525304171"/>
      <w:bookmarkStart w:id="3" w:name="_Toc527616894"/>
      <w:bookmarkStart w:id="4" w:name="_Toc528328881"/>
      <w:r w:rsidRPr="00471713">
        <w:lastRenderedPageBreak/>
        <w:t>Povzetek</w:t>
      </w:r>
    </w:p>
    <w:p w14:paraId="07665C4C" w14:textId="77777777" w:rsidR="00F12988" w:rsidRPr="00F12988" w:rsidRDefault="00F12988" w:rsidP="00F12988">
      <w:pPr>
        <w:pStyle w:val="BesediloUMAR"/>
      </w:pPr>
    </w:p>
    <w:p w14:paraId="3B47EFBD" w14:textId="5921282A" w:rsidR="006528D6" w:rsidRPr="00677AC1" w:rsidRDefault="006C39B1" w:rsidP="00677AC1">
      <w:pPr>
        <w:pStyle w:val="BesediloUMAR"/>
        <w:rPr>
          <w:b/>
          <w:bCs/>
        </w:rPr>
      </w:pPr>
      <w:r w:rsidRPr="00677AC1">
        <w:rPr>
          <w:b/>
          <w:bCs/>
        </w:rPr>
        <w:t>Stanje mednarodnih naložb</w:t>
      </w:r>
      <w:r w:rsidR="00721A70" w:rsidRPr="00677AC1">
        <w:rPr>
          <w:b/>
          <w:bCs/>
        </w:rPr>
        <w:t xml:space="preserve"> ali mednarodna investicijska pozicija Slovenije</w:t>
      </w:r>
      <w:r w:rsidRPr="00677AC1">
        <w:rPr>
          <w:b/>
          <w:bCs/>
        </w:rPr>
        <w:t xml:space="preserve"> izkazuje stanje celotnih terjatev in obveznosti, ki jih ima domače gospodarstvo do tujine ob koncu vsakega leta, s strukturo, ki je enaka strukturi finančnega računa plačilne bilance.</w:t>
      </w:r>
      <w:r w:rsidR="006528D6" w:rsidRPr="00677AC1">
        <w:rPr>
          <w:b/>
          <w:bCs/>
        </w:rPr>
        <w:t xml:space="preserve"> Položaj mednarodnih naložb je tudi pomemben barometer finančnega stanja in kreditne sposobnosti gospodarstva.  </w:t>
      </w:r>
    </w:p>
    <w:p w14:paraId="34885481" w14:textId="51C4E9EB" w:rsidR="006C39B1" w:rsidRDefault="006C39B1" w:rsidP="00CA0210">
      <w:pPr>
        <w:pStyle w:val="BodyText"/>
        <w:spacing w:after="0" w:line="288" w:lineRule="auto"/>
        <w:jc w:val="both"/>
        <w:rPr>
          <w:rFonts w:ascii="Myriad Pro" w:hAnsi="Myriad Pro"/>
          <w:b/>
          <w:bCs/>
          <w:sz w:val="20"/>
          <w:szCs w:val="20"/>
          <w:lang w:val="sl-SI"/>
        </w:rPr>
      </w:pPr>
    </w:p>
    <w:p w14:paraId="1DE61AB7" w14:textId="292CC9FE" w:rsidR="004A276B" w:rsidRPr="004A276B" w:rsidRDefault="00CC715B" w:rsidP="004A276B">
      <w:pPr>
        <w:spacing w:after="0" w:line="288" w:lineRule="auto"/>
        <w:jc w:val="both"/>
        <w:rPr>
          <w:rFonts w:ascii="Myriad Pro" w:hAnsi="Myriad Pro"/>
          <w:b/>
          <w:bCs/>
          <w:sz w:val="20"/>
          <w:szCs w:val="20"/>
        </w:rPr>
      </w:pPr>
      <w:r>
        <w:rPr>
          <w:rFonts w:ascii="Myriad Pro" w:hAnsi="Myriad Pro"/>
          <w:b/>
          <w:bCs/>
          <w:sz w:val="20"/>
          <w:szCs w:val="20"/>
        </w:rPr>
        <w:t xml:space="preserve">V analizi prikazujemo </w:t>
      </w:r>
      <w:r w:rsidR="004A276B" w:rsidRPr="001C6A33">
        <w:rPr>
          <w:rFonts w:ascii="Myriad Pro" w:hAnsi="Myriad Pro"/>
          <w:b/>
          <w:bCs/>
          <w:sz w:val="20"/>
          <w:szCs w:val="20"/>
        </w:rPr>
        <w:t xml:space="preserve">stanja mednarodnih naložb Slovenije </w:t>
      </w:r>
      <w:r w:rsidR="004A276B" w:rsidRPr="004A276B">
        <w:rPr>
          <w:rFonts w:ascii="Myriad Pro" w:hAnsi="Myriad Pro"/>
          <w:b/>
          <w:bCs/>
          <w:sz w:val="20"/>
          <w:szCs w:val="20"/>
        </w:rPr>
        <w:t xml:space="preserve">v posameznih podobdobjih: </w:t>
      </w:r>
      <w:r w:rsidR="004A276B" w:rsidRPr="004A276B">
        <w:rPr>
          <w:rStyle w:val="vstavekChar"/>
          <w:rFonts w:ascii="Myriad Pro" w:hAnsi="Myriad Pro"/>
          <w:b w:val="0"/>
          <w:bCs/>
          <w:i w:val="0"/>
          <w:noProof w:val="0"/>
          <w:sz w:val="20"/>
          <w:szCs w:val="20"/>
        </w:rPr>
        <w:t>(</w:t>
      </w:r>
      <w:r w:rsidR="004A276B" w:rsidRPr="004A276B">
        <w:rPr>
          <w:rStyle w:val="vstavekChar"/>
          <w:rFonts w:ascii="Myriad Pro" w:hAnsi="Myriad Pro"/>
          <w:i w:val="0"/>
          <w:noProof w:val="0"/>
          <w:sz w:val="20"/>
          <w:szCs w:val="20"/>
        </w:rPr>
        <w:t xml:space="preserve">i) obdobje od ravnotežne zunanje pozicije leta 2002, liberalizacije kapitalskih tokov, vstopa Slovenije v EU, prevzema evra, do </w:t>
      </w:r>
      <w:proofErr w:type="spellStart"/>
      <w:r w:rsidR="004A276B" w:rsidRPr="004A276B">
        <w:rPr>
          <w:rStyle w:val="vstavekChar"/>
          <w:rFonts w:ascii="Myriad Pro" w:hAnsi="Myriad Pro"/>
          <w:i w:val="0"/>
          <w:noProof w:val="0"/>
          <w:sz w:val="20"/>
          <w:szCs w:val="20"/>
        </w:rPr>
        <w:t>predkriznega</w:t>
      </w:r>
      <w:proofErr w:type="spellEnd"/>
      <w:r w:rsidR="004A276B" w:rsidRPr="004A276B">
        <w:rPr>
          <w:rStyle w:val="vstavekChar"/>
          <w:rFonts w:ascii="Myriad Pro" w:hAnsi="Myriad Pro"/>
          <w:i w:val="0"/>
          <w:noProof w:val="0"/>
          <w:sz w:val="20"/>
          <w:szCs w:val="20"/>
        </w:rPr>
        <w:t xml:space="preserve"> leta 2008,  (ii) prva leta finančne in gospodarske krize do vključno leta 2012 in (iii) obdobje 2013-2020, ki ga zaznamuje trajni presežek na tekočem računu plačilne bilance Slovenije. Posebej poudarjamo predvsem analizo v obdobju med obema krizama.</w:t>
      </w:r>
      <w:r w:rsidR="004A276B" w:rsidRPr="004A276B">
        <w:rPr>
          <w:rStyle w:val="vstavekChar"/>
          <w:rFonts w:ascii="Myriad Pro" w:hAnsi="Myriad Pro"/>
          <w:b w:val="0"/>
          <w:bCs/>
          <w:i w:val="0"/>
          <w:noProof w:val="0"/>
          <w:sz w:val="20"/>
          <w:szCs w:val="20"/>
        </w:rPr>
        <w:t xml:space="preserve"> </w:t>
      </w:r>
    </w:p>
    <w:p w14:paraId="0844DD6E" w14:textId="77777777" w:rsidR="004A276B" w:rsidRDefault="004A276B" w:rsidP="00E62AA7">
      <w:pPr>
        <w:pStyle w:val="BesediloUMAR"/>
        <w:rPr>
          <w:b/>
          <w:bCs/>
          <w:iCs/>
          <w:szCs w:val="20"/>
        </w:rPr>
      </w:pPr>
    </w:p>
    <w:p w14:paraId="71CEAE6E" w14:textId="77C236A8" w:rsidR="00E62AA7" w:rsidRPr="00E62AA7" w:rsidRDefault="005F4797" w:rsidP="002F61FF">
      <w:pPr>
        <w:pStyle w:val="BesediloUMAR"/>
        <w:rPr>
          <w:rFonts w:cs="Arial"/>
          <w:b/>
          <w:szCs w:val="20"/>
        </w:rPr>
      </w:pPr>
      <w:r w:rsidRPr="006C39B1">
        <w:rPr>
          <w:b/>
          <w:bCs/>
          <w:iCs/>
          <w:szCs w:val="20"/>
        </w:rPr>
        <w:t>Stanje</w:t>
      </w:r>
      <w:r>
        <w:rPr>
          <w:b/>
          <w:iCs/>
        </w:rPr>
        <w:t xml:space="preserve"> mednarodnih naložb </w:t>
      </w:r>
      <w:r w:rsidR="00386F59" w:rsidRPr="00CA0210">
        <w:rPr>
          <w:b/>
          <w:iCs/>
        </w:rPr>
        <w:t xml:space="preserve">Slovenije </w:t>
      </w:r>
      <w:r w:rsidR="00386F59" w:rsidRPr="00CA0210">
        <w:rPr>
          <w:b/>
        </w:rPr>
        <w:t xml:space="preserve">je po liberalizaciji kapitalskega in finančnega računa plačilne bilance in vstopu Slovenije v EU </w:t>
      </w:r>
      <w:r>
        <w:rPr>
          <w:b/>
        </w:rPr>
        <w:t xml:space="preserve">iz ravnotežja </w:t>
      </w:r>
      <w:r w:rsidR="00386F59" w:rsidRPr="00CA0210">
        <w:rPr>
          <w:b/>
        </w:rPr>
        <w:t>prešl</w:t>
      </w:r>
      <w:r>
        <w:rPr>
          <w:b/>
        </w:rPr>
        <w:t>o</w:t>
      </w:r>
      <w:r w:rsidR="00386F59" w:rsidRPr="00CA0210">
        <w:rPr>
          <w:b/>
        </w:rPr>
        <w:t xml:space="preserve"> v primanjkljaj. </w:t>
      </w:r>
      <w:r>
        <w:rPr>
          <w:b/>
        </w:rPr>
        <w:t xml:space="preserve">V obdobju 2009-2012 je </w:t>
      </w:r>
      <w:r w:rsidR="003C4984">
        <w:rPr>
          <w:b/>
        </w:rPr>
        <w:t xml:space="preserve">bilo </w:t>
      </w:r>
      <w:r w:rsidR="00B6359B">
        <w:rPr>
          <w:b/>
        </w:rPr>
        <w:t>stanje mednarodnih naložb</w:t>
      </w:r>
      <w:r w:rsidR="00303817">
        <w:rPr>
          <w:b/>
        </w:rPr>
        <w:t xml:space="preserve"> relativno</w:t>
      </w:r>
      <w:r>
        <w:rPr>
          <w:b/>
        </w:rPr>
        <w:t xml:space="preserve"> stabil</w:t>
      </w:r>
      <w:r w:rsidR="00B6359B">
        <w:rPr>
          <w:b/>
        </w:rPr>
        <w:t>no</w:t>
      </w:r>
      <w:r>
        <w:rPr>
          <w:b/>
        </w:rPr>
        <w:t xml:space="preserve">. </w:t>
      </w:r>
      <w:r w:rsidR="00386F59" w:rsidRPr="00CA0210">
        <w:rPr>
          <w:b/>
        </w:rPr>
        <w:t>Celotna neto zadolženost Slovenije se je začela zniževati po letu 2013</w:t>
      </w:r>
      <w:r w:rsidR="00303817">
        <w:rPr>
          <w:b/>
        </w:rPr>
        <w:t>. P</w:t>
      </w:r>
      <w:r w:rsidR="00386F59" w:rsidRPr="00CA0210">
        <w:rPr>
          <w:b/>
        </w:rPr>
        <w:t xml:space="preserve">odjetja </w:t>
      </w:r>
      <w:r w:rsidR="00303817">
        <w:rPr>
          <w:b/>
        </w:rPr>
        <w:t xml:space="preserve">so </w:t>
      </w:r>
      <w:r w:rsidR="00386F59" w:rsidRPr="00CA0210">
        <w:rPr>
          <w:b/>
        </w:rPr>
        <w:t>zaradi krepitve tujega povpraševanja</w:t>
      </w:r>
      <w:r w:rsidR="00303817">
        <w:rPr>
          <w:b/>
        </w:rPr>
        <w:t xml:space="preserve"> </w:t>
      </w:r>
      <w:r w:rsidR="00386F59" w:rsidRPr="00CA0210">
        <w:rPr>
          <w:b/>
        </w:rPr>
        <w:t xml:space="preserve">in tudi izboljšanja stroškovne konkurenčnosti, precej povečala tržni delež na svetovnem trgu. </w:t>
      </w:r>
      <w:r w:rsidR="00303817">
        <w:rPr>
          <w:b/>
        </w:rPr>
        <w:t>Ob zmerni rasti domačega trošenja je bila rast uvoza počasnejša od rast</w:t>
      </w:r>
      <w:r w:rsidR="006A2D0A">
        <w:rPr>
          <w:b/>
        </w:rPr>
        <w:t>i</w:t>
      </w:r>
      <w:r w:rsidR="00303817">
        <w:rPr>
          <w:b/>
        </w:rPr>
        <w:t xml:space="preserve"> izvoza. </w:t>
      </w:r>
      <w:r w:rsidR="00CE471C" w:rsidRPr="00CA0210">
        <w:rPr>
          <w:b/>
        </w:rPr>
        <w:t>Rast</w:t>
      </w:r>
      <w:r w:rsidR="00AF3AD4" w:rsidRPr="00CA0210">
        <w:rPr>
          <w:b/>
        </w:rPr>
        <w:t xml:space="preserve"> presežka </w:t>
      </w:r>
      <w:r w:rsidR="00AF3AD4" w:rsidRPr="00CA0210">
        <w:rPr>
          <w:rFonts w:cs="Arial"/>
          <w:b/>
        </w:rPr>
        <w:t>tekočega računa plačilne bilance se je odražala tako v povečanju terjatev kot tudi znižanju obveznosti do tujine</w:t>
      </w:r>
      <w:r w:rsidR="00CE471C" w:rsidRPr="00CA0210">
        <w:rPr>
          <w:rFonts w:cs="Arial"/>
          <w:b/>
        </w:rPr>
        <w:t>.</w:t>
      </w:r>
      <w:r w:rsidR="007735DF" w:rsidRPr="00CA0210">
        <w:rPr>
          <w:rFonts w:cs="Arial"/>
          <w:b/>
        </w:rPr>
        <w:t xml:space="preserve"> </w:t>
      </w:r>
      <w:r w:rsidR="001C6A33">
        <w:rPr>
          <w:rFonts w:cs="Arial"/>
          <w:b/>
        </w:rPr>
        <w:t>Zaradi vpliva p</w:t>
      </w:r>
      <w:r w:rsidR="00E62AA7">
        <w:rPr>
          <w:rFonts w:cs="Arial"/>
          <w:b/>
          <w:szCs w:val="20"/>
        </w:rPr>
        <w:t>andemij</w:t>
      </w:r>
      <w:r w:rsidR="001C6A33">
        <w:rPr>
          <w:rFonts w:cs="Arial"/>
          <w:b/>
          <w:szCs w:val="20"/>
        </w:rPr>
        <w:t xml:space="preserve">e na mednarodne finančne tokove se </w:t>
      </w:r>
      <w:r w:rsidR="00E62AA7">
        <w:rPr>
          <w:rFonts w:cs="Arial"/>
          <w:b/>
          <w:szCs w:val="20"/>
        </w:rPr>
        <w:t xml:space="preserve">je v letu </w:t>
      </w:r>
      <w:r w:rsidR="00E62AA7">
        <w:rPr>
          <w:b/>
          <w:bCs/>
          <w:szCs w:val="20"/>
        </w:rPr>
        <w:t xml:space="preserve">2020 </w:t>
      </w:r>
      <w:r w:rsidR="001C6A33">
        <w:rPr>
          <w:b/>
          <w:bCs/>
          <w:szCs w:val="20"/>
        </w:rPr>
        <w:t>mednarodna investicijska pozicija Slovenije še nekoliko izboljšala</w:t>
      </w:r>
      <w:r w:rsidR="000410C0">
        <w:rPr>
          <w:b/>
          <w:bCs/>
          <w:szCs w:val="20"/>
        </w:rPr>
        <w:t xml:space="preserve"> (na 15,2 % BDP). K temu je prispeval večji neto odliv sredstev BS in zasebnega sektorja, ki je presegal neto priliv finančnih sredstev državnega sektorja.</w:t>
      </w:r>
    </w:p>
    <w:p w14:paraId="55A4E7D7" w14:textId="210694CB" w:rsidR="005F4797" w:rsidRPr="002F61FF" w:rsidRDefault="005F4797" w:rsidP="002F61FF">
      <w:pPr>
        <w:pStyle w:val="BodyText"/>
        <w:spacing w:after="0" w:line="288" w:lineRule="auto"/>
        <w:jc w:val="both"/>
        <w:rPr>
          <w:rFonts w:ascii="Myriad Pro" w:hAnsi="Myriad Pro" w:cs="Arial"/>
          <w:b/>
          <w:sz w:val="20"/>
          <w:szCs w:val="20"/>
          <w:lang w:val="sl-SI"/>
        </w:rPr>
      </w:pPr>
    </w:p>
    <w:p w14:paraId="5B35FCDB" w14:textId="2284C4E1" w:rsidR="002F61FF" w:rsidRPr="00FA7235" w:rsidRDefault="009748DB" w:rsidP="002F61FF">
      <w:pPr>
        <w:spacing w:after="0" w:line="288" w:lineRule="auto"/>
        <w:jc w:val="both"/>
        <w:rPr>
          <w:rFonts w:ascii="Myriad Pro" w:eastAsia="Times New Roman" w:hAnsi="Myriad Pro" w:cs="Calibri"/>
          <w:b/>
          <w:sz w:val="20"/>
          <w:szCs w:val="20"/>
        </w:rPr>
      </w:pPr>
      <w:r w:rsidRPr="002F61FF">
        <w:rPr>
          <w:rFonts w:ascii="Myriad Pro" w:hAnsi="Myriad Pro" w:cs="Arial"/>
          <w:b/>
          <w:sz w:val="20"/>
          <w:szCs w:val="20"/>
        </w:rPr>
        <w:t>S</w:t>
      </w:r>
      <w:r w:rsidR="005F4797" w:rsidRPr="002F61FF">
        <w:rPr>
          <w:rFonts w:ascii="Myriad Pro" w:hAnsi="Myriad Pro" w:cs="Arial"/>
          <w:b/>
          <w:sz w:val="20"/>
          <w:szCs w:val="20"/>
        </w:rPr>
        <w:t>prememb</w:t>
      </w:r>
      <w:r w:rsidR="00E62AA7" w:rsidRPr="002F61FF">
        <w:rPr>
          <w:rFonts w:ascii="Myriad Pro" w:hAnsi="Myriad Pro" w:cs="Arial"/>
          <w:b/>
          <w:sz w:val="20"/>
          <w:szCs w:val="20"/>
        </w:rPr>
        <w:t>e</w:t>
      </w:r>
      <w:r w:rsidR="005F4797" w:rsidRPr="002F61FF">
        <w:rPr>
          <w:rFonts w:ascii="Myriad Pro" w:hAnsi="Myriad Pro" w:cs="Arial"/>
          <w:b/>
          <w:sz w:val="20"/>
          <w:szCs w:val="20"/>
        </w:rPr>
        <w:t xml:space="preserve"> stanja mednarodnih naložb Slovenije</w:t>
      </w:r>
      <w:r w:rsidR="00E62AA7" w:rsidRPr="002F61FF">
        <w:rPr>
          <w:rFonts w:ascii="Myriad Pro" w:hAnsi="Myriad Pro" w:cs="Arial"/>
          <w:b/>
          <w:sz w:val="20"/>
          <w:szCs w:val="20"/>
        </w:rPr>
        <w:t xml:space="preserve"> </w:t>
      </w:r>
      <w:r w:rsidR="00166305" w:rsidRPr="002F61FF">
        <w:rPr>
          <w:rFonts w:ascii="Myriad Pro" w:hAnsi="Myriad Pro" w:cs="Arial"/>
          <w:b/>
          <w:sz w:val="20"/>
          <w:szCs w:val="20"/>
        </w:rPr>
        <w:t>analiziramo</w:t>
      </w:r>
      <w:r w:rsidRPr="002F61FF">
        <w:rPr>
          <w:rFonts w:ascii="Myriad Pro" w:hAnsi="Myriad Pro" w:cs="Arial"/>
          <w:b/>
          <w:sz w:val="20"/>
          <w:szCs w:val="20"/>
        </w:rPr>
        <w:t xml:space="preserve"> z</w:t>
      </w:r>
      <w:r w:rsidR="00E62AA7" w:rsidRPr="002F61FF">
        <w:rPr>
          <w:rFonts w:ascii="Myriad Pro" w:hAnsi="Myriad Pro" w:cs="Arial"/>
          <w:b/>
          <w:sz w:val="20"/>
          <w:szCs w:val="20"/>
        </w:rPr>
        <w:t xml:space="preserve"> vidika integriranega sistema, ki ga predstavljajo račun dohodka, račun instrumentov in račun sektorjev. Račun dohodka kaže</w:t>
      </w:r>
      <w:r w:rsidR="005F4797" w:rsidRPr="002F61FF">
        <w:rPr>
          <w:rFonts w:ascii="Myriad Pro" w:hAnsi="Myriad Pro" w:cs="Arial"/>
          <w:b/>
          <w:sz w:val="20"/>
          <w:szCs w:val="20"/>
        </w:rPr>
        <w:t xml:space="preserve">, da so </w:t>
      </w:r>
      <w:r w:rsidR="00015775" w:rsidRPr="002F61FF">
        <w:rPr>
          <w:rFonts w:ascii="Myriad Pro" w:hAnsi="Myriad Pro" w:cs="Arial"/>
          <w:b/>
          <w:sz w:val="20"/>
          <w:szCs w:val="20"/>
        </w:rPr>
        <w:t xml:space="preserve">bili </w:t>
      </w:r>
      <w:r w:rsidR="005F4797" w:rsidRPr="002F61FF">
        <w:rPr>
          <w:rFonts w:ascii="Myriad Pro" w:hAnsi="Myriad Pro" w:cs="Arial"/>
          <w:b/>
          <w:sz w:val="20"/>
          <w:szCs w:val="20"/>
        </w:rPr>
        <w:t>glavni dejavnik izboljšanja neto finančne pozicije do tujine presežki tekočega računa plačilne bilance</w:t>
      </w:r>
      <w:r w:rsidR="006528D6" w:rsidRPr="002F61FF">
        <w:rPr>
          <w:rFonts w:ascii="Myriad Pro" w:hAnsi="Myriad Pro" w:cs="Arial"/>
          <w:b/>
          <w:sz w:val="20"/>
          <w:szCs w:val="20"/>
        </w:rPr>
        <w:t xml:space="preserve">, ki so pretehtali negativne vrednostne spremembe. Večina vrednostnih sprememb je bila posledica nihanj cen državnih obveznic, ki so v lasti nerezidentov in </w:t>
      </w:r>
      <w:r w:rsidR="006528D6" w:rsidRPr="002F61FF">
        <w:rPr>
          <w:rFonts w:ascii="Myriad Pro" w:hAnsi="Myriad Pro"/>
          <w:b/>
          <w:sz w:val="20"/>
          <w:szCs w:val="20"/>
        </w:rPr>
        <w:t>finančnih derivativov</w:t>
      </w:r>
      <w:r w:rsidR="002F61FF">
        <w:rPr>
          <w:rFonts w:ascii="Myriad Pro" w:hAnsi="Myriad Pro"/>
          <w:b/>
          <w:sz w:val="20"/>
          <w:szCs w:val="20"/>
        </w:rPr>
        <w:t>.</w:t>
      </w:r>
      <w:r w:rsidR="006528D6" w:rsidRPr="002F61FF">
        <w:rPr>
          <w:rFonts w:ascii="Myriad Pro" w:hAnsi="Myriad Pro"/>
          <w:b/>
          <w:sz w:val="20"/>
          <w:szCs w:val="20"/>
        </w:rPr>
        <w:t xml:space="preserve"> </w:t>
      </w:r>
      <w:r w:rsidR="002F61FF" w:rsidRPr="00FA7235">
        <w:rPr>
          <w:rFonts w:ascii="Myriad Pro" w:eastAsia="Times New Roman" w:hAnsi="Myriad Pro" w:cs="Calibri"/>
          <w:b/>
          <w:sz w:val="20"/>
          <w:szCs w:val="20"/>
        </w:rPr>
        <w:t>Država je zavarovala tveganje spremembe obrestnih mer in deviznega tečaja (za obveznice v USD) s sklenitvijo različnih izvedenih finančnih instrumentov</w:t>
      </w:r>
      <w:r w:rsidR="00EA536F">
        <w:rPr>
          <w:rFonts w:ascii="Myriad Pro" w:eastAsia="Times New Roman" w:hAnsi="Myriad Pro" w:cs="Calibri"/>
          <w:b/>
          <w:sz w:val="20"/>
          <w:szCs w:val="20"/>
        </w:rPr>
        <w:t>.</w:t>
      </w:r>
      <w:r w:rsidR="002F61FF" w:rsidRPr="00FA7235">
        <w:rPr>
          <w:rFonts w:ascii="Myriad Pro" w:eastAsia="Times New Roman" w:hAnsi="Myriad Pro" w:cs="Calibri"/>
          <w:b/>
          <w:sz w:val="20"/>
          <w:szCs w:val="20"/>
        </w:rPr>
        <w:t xml:space="preserve"> </w:t>
      </w:r>
      <w:r w:rsidR="00BD0FBD">
        <w:rPr>
          <w:rFonts w:ascii="Myriad Pro" w:eastAsia="Times New Roman" w:hAnsi="Myriad Pro" w:cs="Calibri"/>
          <w:b/>
          <w:sz w:val="20"/>
          <w:szCs w:val="20"/>
        </w:rPr>
        <w:t>T</w:t>
      </w:r>
      <w:r w:rsidR="002F61FF" w:rsidRPr="00FA7235">
        <w:rPr>
          <w:rFonts w:ascii="Myriad Pro" w:eastAsia="Times New Roman" w:hAnsi="Myriad Pro" w:cs="Calibri"/>
          <w:b/>
          <w:sz w:val="20"/>
          <w:szCs w:val="20"/>
        </w:rPr>
        <w:t xml:space="preserve">ržna vrednost izvedenih finančnih instrumentov </w:t>
      </w:r>
      <w:r w:rsidR="00BD0FBD">
        <w:rPr>
          <w:rFonts w:ascii="Myriad Pro" w:eastAsia="Times New Roman" w:hAnsi="Myriad Pro" w:cs="Calibri"/>
          <w:b/>
          <w:sz w:val="20"/>
          <w:szCs w:val="20"/>
        </w:rPr>
        <w:t xml:space="preserve">se je </w:t>
      </w:r>
      <w:r w:rsidR="002F61FF" w:rsidRPr="00FA7235">
        <w:rPr>
          <w:rFonts w:ascii="Myriad Pro" w:eastAsia="Times New Roman" w:hAnsi="Myriad Pro" w:cs="Calibri"/>
          <w:b/>
          <w:sz w:val="20"/>
          <w:szCs w:val="20"/>
        </w:rPr>
        <w:t>zaradi nihanja obrestnih mer in deviznih tečajev spreminja</w:t>
      </w:r>
      <w:r w:rsidR="00BD0FBD">
        <w:rPr>
          <w:rFonts w:ascii="Myriad Pro" w:eastAsia="Times New Roman" w:hAnsi="Myriad Pro" w:cs="Calibri"/>
          <w:b/>
          <w:sz w:val="20"/>
          <w:szCs w:val="20"/>
        </w:rPr>
        <w:t>la</w:t>
      </w:r>
      <w:r w:rsidR="002F61FF" w:rsidRPr="00FA7235">
        <w:rPr>
          <w:rFonts w:ascii="Myriad Pro" w:eastAsia="Times New Roman" w:hAnsi="Myriad Pro" w:cs="Calibri"/>
          <w:b/>
          <w:sz w:val="20"/>
          <w:szCs w:val="20"/>
        </w:rPr>
        <w:t xml:space="preserve">, </w:t>
      </w:r>
      <w:r w:rsidR="00BD0FBD">
        <w:rPr>
          <w:rFonts w:ascii="Myriad Pro" w:eastAsia="Times New Roman" w:hAnsi="Myriad Pro" w:cs="Calibri"/>
          <w:b/>
          <w:sz w:val="20"/>
          <w:szCs w:val="20"/>
        </w:rPr>
        <w:t xml:space="preserve">kar je </w:t>
      </w:r>
      <w:r w:rsidR="002F61FF" w:rsidRPr="00FA7235">
        <w:rPr>
          <w:rFonts w:ascii="Myriad Pro" w:eastAsia="Times New Roman" w:hAnsi="Myriad Pro" w:cs="Calibri"/>
          <w:b/>
          <w:sz w:val="20"/>
          <w:szCs w:val="20"/>
        </w:rPr>
        <w:t>posledično vpliva</w:t>
      </w:r>
      <w:r w:rsidR="00BD0FBD">
        <w:rPr>
          <w:rFonts w:ascii="Myriad Pro" w:eastAsia="Times New Roman" w:hAnsi="Myriad Pro" w:cs="Calibri"/>
          <w:b/>
          <w:sz w:val="20"/>
          <w:szCs w:val="20"/>
        </w:rPr>
        <w:t>lo</w:t>
      </w:r>
      <w:r w:rsidR="002F61FF" w:rsidRPr="00FA7235">
        <w:rPr>
          <w:rFonts w:ascii="Myriad Pro" w:eastAsia="Times New Roman" w:hAnsi="Myriad Pro" w:cs="Calibri"/>
          <w:b/>
          <w:sz w:val="20"/>
          <w:szCs w:val="20"/>
        </w:rPr>
        <w:t xml:space="preserve"> na izkazane vrednostne spremembe.</w:t>
      </w:r>
    </w:p>
    <w:p w14:paraId="684B22AC" w14:textId="413236A6" w:rsidR="0015219C" w:rsidRPr="002F61FF" w:rsidRDefault="0015219C" w:rsidP="002F61FF">
      <w:pPr>
        <w:pStyle w:val="BesediloUMAR"/>
        <w:rPr>
          <w:b/>
          <w:szCs w:val="20"/>
        </w:rPr>
      </w:pPr>
    </w:p>
    <w:p w14:paraId="32393FF4" w14:textId="4FAF3032" w:rsidR="005F4797" w:rsidRPr="000E04D0" w:rsidRDefault="009748DB" w:rsidP="005F4797">
      <w:pPr>
        <w:pStyle w:val="BesediloUMAR"/>
        <w:rPr>
          <w:rFonts w:cs="Arial"/>
          <w:b/>
          <w:bCs/>
          <w:szCs w:val="20"/>
        </w:rPr>
      </w:pPr>
      <w:r>
        <w:rPr>
          <w:b/>
          <w:bCs/>
          <w:szCs w:val="20"/>
        </w:rPr>
        <w:t xml:space="preserve">V obdobju </w:t>
      </w:r>
      <w:r w:rsidR="002C450B">
        <w:rPr>
          <w:b/>
          <w:bCs/>
          <w:szCs w:val="20"/>
        </w:rPr>
        <w:t>med</w:t>
      </w:r>
      <w:r w:rsidR="00EB3FCA">
        <w:rPr>
          <w:b/>
          <w:bCs/>
          <w:szCs w:val="20"/>
        </w:rPr>
        <w:t xml:space="preserve"> gospodarsko in korona krizo </w:t>
      </w:r>
      <w:r>
        <w:rPr>
          <w:b/>
          <w:bCs/>
          <w:szCs w:val="20"/>
        </w:rPr>
        <w:t xml:space="preserve">se je stanje mednarodnih naložb Slovenije izboljšalo za </w:t>
      </w:r>
      <w:r w:rsidR="00EB3FCA">
        <w:rPr>
          <w:b/>
          <w:bCs/>
          <w:szCs w:val="20"/>
        </w:rPr>
        <w:t>7,</w:t>
      </w:r>
      <w:r w:rsidR="00D950F8">
        <w:rPr>
          <w:b/>
          <w:bCs/>
          <w:szCs w:val="20"/>
        </w:rPr>
        <w:t>8</w:t>
      </w:r>
      <w:r w:rsidR="00EB3FCA">
        <w:rPr>
          <w:b/>
          <w:bCs/>
          <w:szCs w:val="20"/>
        </w:rPr>
        <w:t xml:space="preserve"> mrd EUR</w:t>
      </w:r>
      <w:r w:rsidR="00C81E2B">
        <w:rPr>
          <w:b/>
          <w:bCs/>
          <w:szCs w:val="20"/>
        </w:rPr>
        <w:t xml:space="preserve"> ali 2</w:t>
      </w:r>
      <w:r w:rsidR="00D950F8">
        <w:rPr>
          <w:b/>
          <w:bCs/>
          <w:szCs w:val="20"/>
        </w:rPr>
        <w:t>4,2</w:t>
      </w:r>
      <w:r w:rsidR="00C81E2B">
        <w:rPr>
          <w:b/>
          <w:bCs/>
          <w:szCs w:val="20"/>
        </w:rPr>
        <w:t xml:space="preserve"> o.</w:t>
      </w:r>
      <w:r w:rsidR="003C4984">
        <w:rPr>
          <w:b/>
          <w:bCs/>
          <w:szCs w:val="20"/>
        </w:rPr>
        <w:t xml:space="preserve"> </w:t>
      </w:r>
      <w:r w:rsidR="00C81E2B">
        <w:rPr>
          <w:b/>
          <w:bCs/>
          <w:szCs w:val="20"/>
        </w:rPr>
        <w:t>t. BDP.</w:t>
      </w:r>
      <w:r w:rsidR="00166305">
        <w:rPr>
          <w:b/>
          <w:bCs/>
          <w:szCs w:val="20"/>
        </w:rPr>
        <w:t xml:space="preserve"> </w:t>
      </w:r>
      <w:r w:rsidR="008944C1">
        <w:rPr>
          <w:b/>
          <w:bCs/>
          <w:szCs w:val="20"/>
        </w:rPr>
        <w:t>Z vidika računa i</w:t>
      </w:r>
      <w:r w:rsidR="003F73BF">
        <w:rPr>
          <w:b/>
          <w:bCs/>
          <w:szCs w:val="20"/>
        </w:rPr>
        <w:t>n</w:t>
      </w:r>
      <w:r w:rsidR="008944C1">
        <w:rPr>
          <w:b/>
          <w:bCs/>
          <w:szCs w:val="20"/>
        </w:rPr>
        <w:t xml:space="preserve">strumentov se je </w:t>
      </w:r>
      <w:r w:rsidR="001D63B1">
        <w:rPr>
          <w:b/>
          <w:bCs/>
          <w:szCs w:val="20"/>
        </w:rPr>
        <w:t xml:space="preserve">stanje mednarodnih naložb </w:t>
      </w:r>
      <w:r w:rsidR="003F73BF">
        <w:rPr>
          <w:b/>
          <w:bCs/>
          <w:szCs w:val="20"/>
        </w:rPr>
        <w:t xml:space="preserve">Slovenije </w:t>
      </w:r>
      <w:r w:rsidR="008944C1">
        <w:rPr>
          <w:b/>
          <w:bCs/>
          <w:szCs w:val="20"/>
        </w:rPr>
        <w:t>izboljšal</w:t>
      </w:r>
      <w:r w:rsidR="001D63B1">
        <w:rPr>
          <w:b/>
          <w:bCs/>
          <w:szCs w:val="20"/>
        </w:rPr>
        <w:t>o</w:t>
      </w:r>
      <w:r w:rsidR="003F73BF">
        <w:rPr>
          <w:b/>
          <w:bCs/>
          <w:szCs w:val="20"/>
        </w:rPr>
        <w:t xml:space="preserve"> </w:t>
      </w:r>
      <w:r w:rsidR="008944C1">
        <w:rPr>
          <w:b/>
          <w:bCs/>
          <w:szCs w:val="20"/>
        </w:rPr>
        <w:t xml:space="preserve">zaradi visokih neto odlivov na segmentu ostalih naložb. Pri terjatvah so se najbolj povečale gotovina in vloge </w:t>
      </w:r>
      <w:r w:rsidR="00303817">
        <w:rPr>
          <w:b/>
          <w:bCs/>
          <w:szCs w:val="20"/>
        </w:rPr>
        <w:t xml:space="preserve">bančnega sektorja </w:t>
      </w:r>
      <w:r w:rsidR="008944C1">
        <w:rPr>
          <w:b/>
          <w:bCs/>
          <w:szCs w:val="20"/>
        </w:rPr>
        <w:t xml:space="preserve">na računih v tujini, pri obveznostih </w:t>
      </w:r>
      <w:r w:rsidR="00303817">
        <w:rPr>
          <w:b/>
          <w:bCs/>
          <w:szCs w:val="20"/>
        </w:rPr>
        <w:t>pa odplačila posojil in umik vlog nereziden</w:t>
      </w:r>
      <w:r w:rsidR="00735E8D">
        <w:rPr>
          <w:b/>
          <w:bCs/>
          <w:szCs w:val="20"/>
        </w:rPr>
        <w:t>tov</w:t>
      </w:r>
      <w:r w:rsidR="00303817">
        <w:rPr>
          <w:b/>
          <w:bCs/>
          <w:szCs w:val="20"/>
        </w:rPr>
        <w:t xml:space="preserve"> iz domačih poslovnih bank.</w:t>
      </w:r>
      <w:r w:rsidR="00585293">
        <w:rPr>
          <w:b/>
          <w:bCs/>
          <w:szCs w:val="20"/>
        </w:rPr>
        <w:t xml:space="preserve"> </w:t>
      </w:r>
      <w:r w:rsidR="0012413A">
        <w:rPr>
          <w:b/>
          <w:bCs/>
          <w:szCs w:val="20"/>
        </w:rPr>
        <w:t xml:space="preserve">V računu sektorjev je </w:t>
      </w:r>
      <w:r w:rsidR="0012413A" w:rsidRPr="0019054C">
        <w:rPr>
          <w:b/>
          <w:bCs/>
        </w:rPr>
        <w:t xml:space="preserve">neto odliv </w:t>
      </w:r>
      <w:r w:rsidR="0012413A">
        <w:rPr>
          <w:b/>
          <w:bCs/>
        </w:rPr>
        <w:t xml:space="preserve">kapitala </w:t>
      </w:r>
      <w:r w:rsidR="0012413A" w:rsidRPr="0019054C">
        <w:rPr>
          <w:b/>
          <w:bCs/>
        </w:rPr>
        <w:t xml:space="preserve">zasebnega sektorja in BS presegal neto priliv </w:t>
      </w:r>
      <w:r w:rsidR="0012413A">
        <w:rPr>
          <w:b/>
          <w:bCs/>
        </w:rPr>
        <w:t xml:space="preserve">kapitala v sektor </w:t>
      </w:r>
      <w:r w:rsidR="0012413A" w:rsidRPr="0019054C">
        <w:rPr>
          <w:b/>
          <w:bCs/>
        </w:rPr>
        <w:t>držav</w:t>
      </w:r>
      <w:r w:rsidR="0012413A">
        <w:rPr>
          <w:b/>
          <w:bCs/>
        </w:rPr>
        <w:t>a</w:t>
      </w:r>
      <w:r w:rsidR="0012413A">
        <w:t>.</w:t>
      </w:r>
      <w:r w:rsidR="003F73BF">
        <w:t xml:space="preserve"> </w:t>
      </w:r>
      <w:r w:rsidR="003F73BF" w:rsidRPr="000E04D0">
        <w:rPr>
          <w:b/>
          <w:bCs/>
        </w:rPr>
        <w:t>Najbolj se je povečal neto odliv domač</w:t>
      </w:r>
      <w:r w:rsidR="00847493">
        <w:rPr>
          <w:b/>
          <w:bCs/>
        </w:rPr>
        <w:t>i</w:t>
      </w:r>
      <w:r w:rsidR="003F73BF" w:rsidRPr="000E04D0">
        <w:rPr>
          <w:b/>
          <w:bCs/>
        </w:rPr>
        <w:t>h poslovnih bank, ostalih finančnih družb in gospodinjstev.</w:t>
      </w:r>
      <w:r w:rsidR="000E04D0">
        <w:rPr>
          <w:b/>
          <w:bCs/>
        </w:rPr>
        <w:t xml:space="preserve"> </w:t>
      </w:r>
      <w:r w:rsidR="00847493">
        <w:rPr>
          <w:b/>
          <w:bCs/>
        </w:rPr>
        <w:t xml:space="preserve">Neto upniško pozicijo do tujine je izkazovala tudi </w:t>
      </w:r>
      <w:r w:rsidR="000E04D0">
        <w:rPr>
          <w:b/>
          <w:bCs/>
        </w:rPr>
        <w:t>BS</w:t>
      </w:r>
      <w:r w:rsidR="00847493">
        <w:rPr>
          <w:b/>
          <w:bCs/>
        </w:rPr>
        <w:t xml:space="preserve">, predvsem zaradi povečanja finančnih naložb v tuje vrednostne papirje in tudi zaradi povečanja terjatev v okviru </w:t>
      </w:r>
      <w:proofErr w:type="spellStart"/>
      <w:r w:rsidR="00847493">
        <w:rPr>
          <w:b/>
          <w:bCs/>
        </w:rPr>
        <w:t>Evrosistema</w:t>
      </w:r>
      <w:proofErr w:type="spellEnd"/>
      <w:r w:rsidR="00847493">
        <w:rPr>
          <w:b/>
          <w:bCs/>
        </w:rPr>
        <w:t>.</w:t>
      </w:r>
      <w:r w:rsidR="0075113D">
        <w:rPr>
          <w:b/>
          <w:bCs/>
        </w:rPr>
        <w:t xml:space="preserve"> </w:t>
      </w:r>
    </w:p>
    <w:p w14:paraId="0533D263" w14:textId="6E8182B9" w:rsidR="005F4797" w:rsidRDefault="005F4797" w:rsidP="00CA0210">
      <w:pPr>
        <w:pStyle w:val="BodyText"/>
        <w:spacing w:after="0" w:line="288" w:lineRule="auto"/>
        <w:jc w:val="both"/>
        <w:rPr>
          <w:rFonts w:ascii="Myriad Pro" w:hAnsi="Myriad Pro" w:cs="Arial"/>
          <w:b/>
          <w:sz w:val="20"/>
          <w:lang w:val="sl-SI"/>
        </w:rPr>
      </w:pPr>
    </w:p>
    <w:p w14:paraId="5E1BF5FB" w14:textId="52285AB8" w:rsidR="00AD6251" w:rsidRPr="00AD6251" w:rsidRDefault="0086096B" w:rsidP="00870882">
      <w:pPr>
        <w:spacing w:after="0" w:line="288" w:lineRule="auto"/>
        <w:jc w:val="both"/>
        <w:rPr>
          <w:rFonts w:ascii="Myriad Pro" w:hAnsi="Myriad Pro"/>
          <w:b/>
          <w:bCs/>
          <w:sz w:val="20"/>
          <w:szCs w:val="20"/>
        </w:rPr>
      </w:pPr>
      <w:r w:rsidRPr="00AD6251">
        <w:rPr>
          <w:rFonts w:ascii="Myriad Pro" w:hAnsi="Myriad Pro"/>
          <w:b/>
          <w:bCs/>
          <w:sz w:val="20"/>
          <w:szCs w:val="20"/>
        </w:rPr>
        <w:t xml:space="preserve">Mednarodna investicijska pozicija Slovenije </w:t>
      </w:r>
      <w:r w:rsidR="007735DF" w:rsidRPr="00AD6251">
        <w:rPr>
          <w:rFonts w:ascii="Myriad Pro" w:hAnsi="Myriad Pro" w:cs="Arial"/>
          <w:b/>
          <w:bCs/>
          <w:sz w:val="20"/>
          <w:szCs w:val="20"/>
        </w:rPr>
        <w:t>je od leta 2015 znotraj indikativnega praga zunanjega neravnovesja (</w:t>
      </w:r>
      <w:r w:rsidR="00B04468" w:rsidRPr="00AD6251">
        <w:rPr>
          <w:rFonts w:ascii="Myriad Pro" w:hAnsi="Myriad Pro" w:cs="Arial"/>
          <w:b/>
          <w:bCs/>
          <w:sz w:val="20"/>
          <w:szCs w:val="20"/>
        </w:rPr>
        <w:t>-</w:t>
      </w:r>
      <w:r w:rsidR="007735DF" w:rsidRPr="00AD6251">
        <w:rPr>
          <w:rFonts w:ascii="Myriad Pro" w:hAnsi="Myriad Pro" w:cs="Arial"/>
          <w:b/>
          <w:bCs/>
          <w:sz w:val="20"/>
          <w:szCs w:val="20"/>
        </w:rPr>
        <w:t>35 % BDP) in je v letu 2020 znašal</w:t>
      </w:r>
      <w:r w:rsidRPr="00AD6251">
        <w:rPr>
          <w:rFonts w:ascii="Myriad Pro" w:hAnsi="Myriad Pro" w:cs="Arial"/>
          <w:b/>
          <w:bCs/>
          <w:sz w:val="20"/>
          <w:szCs w:val="20"/>
        </w:rPr>
        <w:t>a</w:t>
      </w:r>
      <w:r w:rsidR="007735DF" w:rsidRPr="00AD6251">
        <w:rPr>
          <w:rFonts w:ascii="Myriad Pro" w:hAnsi="Myriad Pro" w:cs="Arial"/>
          <w:b/>
          <w:bCs/>
          <w:sz w:val="20"/>
          <w:szCs w:val="20"/>
        </w:rPr>
        <w:t xml:space="preserve"> </w:t>
      </w:r>
      <w:r w:rsidR="00B04468" w:rsidRPr="00AD6251">
        <w:rPr>
          <w:rFonts w:ascii="Myriad Pro" w:hAnsi="Myriad Pro" w:cs="Arial"/>
          <w:b/>
          <w:bCs/>
          <w:sz w:val="20"/>
          <w:szCs w:val="20"/>
        </w:rPr>
        <w:t>-</w:t>
      </w:r>
      <w:r w:rsidR="007735DF" w:rsidRPr="00AD6251">
        <w:rPr>
          <w:rFonts w:ascii="Myriad Pro" w:hAnsi="Myriad Pro" w:cs="Arial"/>
          <w:b/>
          <w:bCs/>
          <w:sz w:val="20"/>
          <w:szCs w:val="20"/>
        </w:rPr>
        <w:t>1</w:t>
      </w:r>
      <w:r w:rsidRPr="00AD6251">
        <w:rPr>
          <w:rFonts w:ascii="Myriad Pro" w:hAnsi="Myriad Pro" w:cs="Arial"/>
          <w:b/>
          <w:bCs/>
          <w:sz w:val="20"/>
          <w:szCs w:val="20"/>
        </w:rPr>
        <w:t>5,2</w:t>
      </w:r>
      <w:r w:rsidR="007735DF" w:rsidRPr="00AD6251">
        <w:rPr>
          <w:rFonts w:ascii="Myriad Pro" w:hAnsi="Myriad Pro" w:cs="Arial"/>
          <w:b/>
          <w:bCs/>
          <w:sz w:val="20"/>
          <w:szCs w:val="20"/>
        </w:rPr>
        <w:t xml:space="preserve"> % BDP. Ta prag še vedno najbolj presegajo države evrskega območja, ki so imele največjo gospodarsko in dolžniško krizo (Španija, Portugalska, Ciper, Grčija in Irska).</w:t>
      </w:r>
      <w:r w:rsidR="000410C0" w:rsidRPr="00AD6251">
        <w:rPr>
          <w:rFonts w:ascii="Myriad Pro" w:hAnsi="Myriad Pro" w:cs="Arial"/>
          <w:b/>
          <w:bCs/>
          <w:sz w:val="20"/>
          <w:szCs w:val="20"/>
        </w:rPr>
        <w:t xml:space="preserve"> </w:t>
      </w:r>
      <w:r w:rsidR="00796FBE" w:rsidRPr="00AD6251">
        <w:rPr>
          <w:rFonts w:ascii="Myriad Pro" w:hAnsi="Myriad Pro"/>
          <w:b/>
          <w:bCs/>
          <w:sz w:val="20"/>
          <w:szCs w:val="20"/>
        </w:rPr>
        <w:t xml:space="preserve">Ocenjujemo, da slovensko gospodarstvo </w:t>
      </w:r>
      <w:r w:rsidR="00641D14" w:rsidRPr="00AD6251">
        <w:rPr>
          <w:rFonts w:ascii="Myriad Pro" w:hAnsi="Myriad Pro"/>
          <w:b/>
          <w:bCs/>
          <w:sz w:val="20"/>
          <w:szCs w:val="20"/>
        </w:rPr>
        <w:t xml:space="preserve">po tem kazalniku </w:t>
      </w:r>
      <w:r w:rsidR="00796FBE" w:rsidRPr="00AD6251">
        <w:rPr>
          <w:rFonts w:ascii="Myriad Pro" w:hAnsi="Myriad Pro"/>
          <w:b/>
          <w:bCs/>
          <w:sz w:val="20"/>
          <w:szCs w:val="20"/>
        </w:rPr>
        <w:t xml:space="preserve">nima </w:t>
      </w:r>
      <w:r w:rsidR="00796FBE" w:rsidRPr="00AD6251">
        <w:rPr>
          <w:rFonts w:ascii="Myriad Pro" w:hAnsi="Myriad Pro"/>
          <w:b/>
          <w:bCs/>
          <w:sz w:val="20"/>
          <w:szCs w:val="20"/>
        </w:rPr>
        <w:lastRenderedPageBreak/>
        <w:t>makroekonomsk</w:t>
      </w:r>
      <w:r w:rsidR="00EC0DF4" w:rsidRPr="00AD6251">
        <w:rPr>
          <w:rFonts w:ascii="Myriad Pro" w:hAnsi="Myriad Pro"/>
          <w:b/>
          <w:bCs/>
          <w:sz w:val="20"/>
          <w:szCs w:val="20"/>
        </w:rPr>
        <w:t>ega</w:t>
      </w:r>
      <w:r w:rsidR="00796FBE" w:rsidRPr="00AD6251">
        <w:rPr>
          <w:rFonts w:ascii="Myriad Pro" w:hAnsi="Myriad Pro"/>
          <w:b/>
          <w:bCs/>
          <w:sz w:val="20"/>
          <w:szCs w:val="20"/>
        </w:rPr>
        <w:t xml:space="preserve"> zunanjega neravnotežja</w:t>
      </w:r>
      <w:r w:rsidR="00641D14" w:rsidRPr="00AD6251">
        <w:rPr>
          <w:rFonts w:ascii="Myriad Pro" w:hAnsi="Myriad Pro"/>
          <w:b/>
          <w:bCs/>
          <w:sz w:val="20"/>
          <w:szCs w:val="20"/>
        </w:rPr>
        <w:t>.</w:t>
      </w:r>
      <w:r w:rsidR="00796FBE" w:rsidRPr="00AD6251">
        <w:rPr>
          <w:rFonts w:ascii="Myriad Pro" w:hAnsi="Myriad Pro"/>
          <w:b/>
          <w:bCs/>
          <w:sz w:val="20"/>
          <w:szCs w:val="20"/>
        </w:rPr>
        <w:t xml:space="preserve"> Zaradi pandemije pričakujemo povečanje </w:t>
      </w:r>
      <w:r w:rsidR="00641D14" w:rsidRPr="00AD6251">
        <w:rPr>
          <w:rFonts w:ascii="Myriad Pro" w:hAnsi="Myriad Pro"/>
          <w:b/>
          <w:bCs/>
          <w:sz w:val="20"/>
          <w:szCs w:val="20"/>
        </w:rPr>
        <w:t xml:space="preserve">zunanjega </w:t>
      </w:r>
      <w:r w:rsidR="00796FBE" w:rsidRPr="00AD6251">
        <w:rPr>
          <w:rFonts w:ascii="Myriad Pro" w:hAnsi="Myriad Pro"/>
          <w:b/>
          <w:bCs/>
          <w:sz w:val="20"/>
          <w:szCs w:val="20"/>
        </w:rPr>
        <w:t>državnega dolga, vendar zunanja pozicija (presežek tekočega računa plačilne bilance) ostaja čvrsta.</w:t>
      </w:r>
      <w:r w:rsidR="001D63B1" w:rsidRPr="00AD6251">
        <w:rPr>
          <w:rFonts w:ascii="Myriad Pro" w:hAnsi="Myriad Pro"/>
          <w:b/>
          <w:bCs/>
          <w:sz w:val="20"/>
          <w:szCs w:val="20"/>
        </w:rPr>
        <w:t xml:space="preserve"> </w:t>
      </w:r>
      <w:r w:rsidR="0015219C" w:rsidRPr="00AD6251">
        <w:rPr>
          <w:rFonts w:ascii="Myriad Pro" w:hAnsi="Myriad Pro"/>
          <w:b/>
          <w:bCs/>
          <w:sz w:val="20"/>
          <w:szCs w:val="20"/>
        </w:rPr>
        <w:t xml:space="preserve">Tekoča gibanja kažejo, da se stanje mednarodnih naložb Slovenije </w:t>
      </w:r>
      <w:r w:rsidR="003C4984">
        <w:rPr>
          <w:rFonts w:ascii="Myriad Pro" w:hAnsi="Myriad Pro"/>
          <w:b/>
          <w:bCs/>
          <w:sz w:val="20"/>
          <w:szCs w:val="20"/>
        </w:rPr>
        <w:t>še naprej</w:t>
      </w:r>
      <w:r w:rsidR="003C4984" w:rsidRPr="00AD6251">
        <w:rPr>
          <w:rFonts w:ascii="Myriad Pro" w:hAnsi="Myriad Pro"/>
          <w:b/>
          <w:bCs/>
          <w:sz w:val="20"/>
          <w:szCs w:val="20"/>
        </w:rPr>
        <w:t xml:space="preserve"> </w:t>
      </w:r>
      <w:r w:rsidR="0015219C" w:rsidRPr="00AD6251">
        <w:rPr>
          <w:rFonts w:ascii="Myriad Pro" w:hAnsi="Myriad Pro"/>
          <w:b/>
          <w:bCs/>
          <w:sz w:val="20"/>
          <w:szCs w:val="20"/>
        </w:rPr>
        <w:t xml:space="preserve">izboljšuje. Celotna neto zadolženost Slovenije do tujine se je v primerjavi s koncem leta 2020 v prvem letošnjem četrtletju znižala za 3 mrd EUR, na 4,2 mrd EUR (-8,8 % BDP). </w:t>
      </w:r>
      <w:r w:rsidR="00AD6251" w:rsidRPr="00AD6251">
        <w:rPr>
          <w:rFonts w:ascii="Myriad Pro" w:hAnsi="Myriad Pro"/>
          <w:b/>
          <w:bCs/>
          <w:sz w:val="20"/>
          <w:szCs w:val="20"/>
        </w:rPr>
        <w:t xml:space="preserve">K zapiranju zunanje vrzeli bo tudi letos največ prispeval sicer postopno nižji presežek tekočega računa, deloma pa tudi prilivi na kapitalskem računu plačilne bilance ter rast nominalnega BDP. </w:t>
      </w:r>
    </w:p>
    <w:p w14:paraId="71B88F8C" w14:textId="77777777" w:rsidR="00AD6251" w:rsidRDefault="00AD6251" w:rsidP="00AD6251">
      <w:pPr>
        <w:pStyle w:val="TekstPOR"/>
      </w:pPr>
    </w:p>
    <w:p w14:paraId="76A23CDD" w14:textId="5067E73E" w:rsidR="0015219C" w:rsidRPr="0015219C" w:rsidRDefault="0015219C" w:rsidP="0015219C">
      <w:pPr>
        <w:pStyle w:val="BesediloUMAR"/>
        <w:rPr>
          <w:rFonts w:cs="Arial"/>
          <w:b/>
          <w:bCs/>
          <w:szCs w:val="20"/>
        </w:rPr>
      </w:pPr>
    </w:p>
    <w:p w14:paraId="3D9AE6BF" w14:textId="4905DD86" w:rsidR="00386F59" w:rsidRPr="001D63B1" w:rsidRDefault="00386F59" w:rsidP="000410C0">
      <w:pPr>
        <w:pStyle w:val="BodyText"/>
        <w:spacing w:after="0" w:line="288" w:lineRule="auto"/>
        <w:jc w:val="both"/>
        <w:rPr>
          <w:rFonts w:ascii="Myriad Pro" w:hAnsi="Myriad Pro"/>
          <w:b/>
          <w:bCs/>
          <w:sz w:val="20"/>
          <w:szCs w:val="20"/>
          <w:lang w:val="sl-SI"/>
        </w:rPr>
      </w:pPr>
    </w:p>
    <w:p w14:paraId="1B04E15F" w14:textId="4185BF0B" w:rsidR="00407C0D" w:rsidRPr="000410C0" w:rsidRDefault="00407C0D" w:rsidP="00CA0210">
      <w:pPr>
        <w:pStyle w:val="BesediloUMAR"/>
        <w:rPr>
          <w:b/>
          <w:bCs/>
          <w:szCs w:val="20"/>
        </w:rPr>
      </w:pPr>
    </w:p>
    <w:p w14:paraId="42FEDE90" w14:textId="769B1753" w:rsidR="005C0EAB" w:rsidRPr="005C0EAB" w:rsidRDefault="005C0EAB" w:rsidP="00CA0210">
      <w:pPr>
        <w:pStyle w:val="BesediloUMAR"/>
        <w:rPr>
          <w:b/>
          <w:bCs/>
        </w:rPr>
      </w:pPr>
    </w:p>
    <w:p w14:paraId="267D8877" w14:textId="77777777" w:rsidR="00796FBE" w:rsidRPr="00796FBE" w:rsidRDefault="00796FBE" w:rsidP="00CA0210">
      <w:pPr>
        <w:pStyle w:val="BesediloUMAR"/>
        <w:rPr>
          <w:b/>
          <w:bCs/>
        </w:rPr>
      </w:pPr>
    </w:p>
    <w:p w14:paraId="2546B23C" w14:textId="77777777" w:rsidR="00407C0D" w:rsidRDefault="00407C0D" w:rsidP="00CA0210">
      <w:pPr>
        <w:pStyle w:val="BesediloUMAR"/>
      </w:pPr>
    </w:p>
    <w:bookmarkEnd w:id="2"/>
    <w:bookmarkEnd w:id="3"/>
    <w:bookmarkEnd w:id="4"/>
    <w:p w14:paraId="465EC733" w14:textId="77777777" w:rsidR="004E481C" w:rsidRDefault="004E481C" w:rsidP="00CA0210">
      <w:pPr>
        <w:pStyle w:val="TekstPOR"/>
        <w:spacing w:line="288" w:lineRule="auto"/>
        <w:jc w:val="both"/>
        <w:rPr>
          <w:rFonts w:ascii="Myriad Pro" w:hAnsi="Myriad Pro"/>
          <w:b/>
          <w:sz w:val="20"/>
        </w:rPr>
      </w:pPr>
    </w:p>
    <w:p w14:paraId="2E7C0DFC" w14:textId="77777777" w:rsidR="004E481C" w:rsidRDefault="004E481C" w:rsidP="00CA0210">
      <w:pPr>
        <w:pStyle w:val="TekstPOR"/>
        <w:spacing w:line="288" w:lineRule="auto"/>
        <w:jc w:val="both"/>
        <w:rPr>
          <w:rFonts w:ascii="Myriad Pro" w:hAnsi="Myriad Pro"/>
          <w:b/>
          <w:sz w:val="20"/>
        </w:rPr>
      </w:pPr>
    </w:p>
    <w:p w14:paraId="4789C89C" w14:textId="77777777" w:rsidR="004E481C" w:rsidRDefault="004E481C" w:rsidP="00CA0210">
      <w:pPr>
        <w:pStyle w:val="TekstPOR"/>
        <w:spacing w:line="288" w:lineRule="auto"/>
        <w:jc w:val="both"/>
        <w:rPr>
          <w:rFonts w:ascii="Myriad Pro" w:hAnsi="Myriad Pro"/>
          <w:b/>
          <w:sz w:val="20"/>
        </w:rPr>
      </w:pPr>
    </w:p>
    <w:p w14:paraId="765F0EDE" w14:textId="77777777" w:rsidR="004E481C" w:rsidRDefault="004E481C" w:rsidP="00CA0210">
      <w:pPr>
        <w:pStyle w:val="TekstPOR"/>
        <w:spacing w:line="288" w:lineRule="auto"/>
        <w:jc w:val="both"/>
        <w:rPr>
          <w:rFonts w:ascii="Myriad Pro" w:hAnsi="Myriad Pro"/>
          <w:b/>
          <w:sz w:val="20"/>
        </w:rPr>
      </w:pPr>
    </w:p>
    <w:p w14:paraId="67939FCF" w14:textId="77777777" w:rsidR="004E481C" w:rsidRDefault="004E481C" w:rsidP="00CA0210">
      <w:pPr>
        <w:pStyle w:val="TekstPOR"/>
        <w:spacing w:line="288" w:lineRule="auto"/>
        <w:jc w:val="both"/>
        <w:rPr>
          <w:rFonts w:ascii="Myriad Pro" w:hAnsi="Myriad Pro"/>
          <w:b/>
          <w:sz w:val="20"/>
        </w:rPr>
      </w:pPr>
    </w:p>
    <w:p w14:paraId="6DBC474B" w14:textId="77777777" w:rsidR="004E481C" w:rsidRDefault="004E481C" w:rsidP="00CA0210">
      <w:pPr>
        <w:pStyle w:val="TekstPOR"/>
        <w:spacing w:line="288" w:lineRule="auto"/>
        <w:jc w:val="both"/>
        <w:rPr>
          <w:rFonts w:ascii="Myriad Pro" w:hAnsi="Myriad Pro"/>
          <w:b/>
          <w:sz w:val="20"/>
        </w:rPr>
      </w:pPr>
    </w:p>
    <w:p w14:paraId="2C41EC15" w14:textId="77777777" w:rsidR="004E481C" w:rsidRDefault="004E481C" w:rsidP="00CA0210">
      <w:pPr>
        <w:pStyle w:val="TekstPOR"/>
        <w:spacing w:line="288" w:lineRule="auto"/>
        <w:jc w:val="both"/>
        <w:rPr>
          <w:rFonts w:ascii="Myriad Pro" w:hAnsi="Myriad Pro"/>
          <w:b/>
          <w:sz w:val="20"/>
        </w:rPr>
      </w:pPr>
    </w:p>
    <w:p w14:paraId="4D904A3B" w14:textId="77777777" w:rsidR="004E481C" w:rsidRDefault="004E481C" w:rsidP="00CA0210">
      <w:pPr>
        <w:pStyle w:val="TekstPOR"/>
        <w:spacing w:line="288" w:lineRule="auto"/>
        <w:jc w:val="both"/>
        <w:rPr>
          <w:rFonts w:ascii="Myriad Pro" w:hAnsi="Myriad Pro"/>
          <w:b/>
          <w:sz w:val="20"/>
        </w:rPr>
      </w:pPr>
    </w:p>
    <w:p w14:paraId="50948EC9" w14:textId="77777777" w:rsidR="004E481C" w:rsidRDefault="004E481C" w:rsidP="00CA0210">
      <w:pPr>
        <w:pStyle w:val="TekstPOR"/>
        <w:spacing w:line="288" w:lineRule="auto"/>
        <w:jc w:val="both"/>
        <w:rPr>
          <w:rFonts w:ascii="Myriad Pro" w:hAnsi="Myriad Pro"/>
          <w:b/>
          <w:sz w:val="20"/>
        </w:rPr>
      </w:pPr>
    </w:p>
    <w:p w14:paraId="3FFC099C" w14:textId="77777777" w:rsidR="004E481C" w:rsidRDefault="004E481C" w:rsidP="00CA0210">
      <w:pPr>
        <w:pStyle w:val="TekstPOR"/>
        <w:spacing w:line="288" w:lineRule="auto"/>
        <w:jc w:val="both"/>
        <w:rPr>
          <w:rFonts w:ascii="Myriad Pro" w:hAnsi="Myriad Pro"/>
          <w:b/>
          <w:sz w:val="20"/>
        </w:rPr>
      </w:pPr>
    </w:p>
    <w:p w14:paraId="5CDB285E" w14:textId="77777777" w:rsidR="004E481C" w:rsidRDefault="004E481C" w:rsidP="00CA0210">
      <w:pPr>
        <w:pStyle w:val="TekstPOR"/>
        <w:spacing w:line="288" w:lineRule="auto"/>
        <w:jc w:val="both"/>
        <w:rPr>
          <w:rFonts w:ascii="Myriad Pro" w:hAnsi="Myriad Pro"/>
          <w:b/>
          <w:sz w:val="20"/>
        </w:rPr>
      </w:pPr>
    </w:p>
    <w:p w14:paraId="003834C7" w14:textId="77777777" w:rsidR="004E481C" w:rsidRDefault="004E481C" w:rsidP="00CA0210">
      <w:pPr>
        <w:pStyle w:val="TekstPOR"/>
        <w:spacing w:line="288" w:lineRule="auto"/>
        <w:jc w:val="both"/>
        <w:rPr>
          <w:rFonts w:ascii="Myriad Pro" w:hAnsi="Myriad Pro"/>
          <w:b/>
          <w:sz w:val="20"/>
        </w:rPr>
      </w:pPr>
    </w:p>
    <w:p w14:paraId="3CE89E62" w14:textId="77777777" w:rsidR="004E481C" w:rsidRDefault="004E481C" w:rsidP="00CA0210">
      <w:pPr>
        <w:pStyle w:val="TekstPOR"/>
        <w:spacing w:line="288" w:lineRule="auto"/>
        <w:jc w:val="both"/>
        <w:rPr>
          <w:rFonts w:ascii="Myriad Pro" w:hAnsi="Myriad Pro"/>
          <w:b/>
          <w:sz w:val="20"/>
        </w:rPr>
      </w:pPr>
    </w:p>
    <w:p w14:paraId="7A260A12" w14:textId="77777777" w:rsidR="004E481C" w:rsidRDefault="004E481C" w:rsidP="00CA0210">
      <w:pPr>
        <w:pStyle w:val="TekstPOR"/>
        <w:spacing w:line="288" w:lineRule="auto"/>
        <w:jc w:val="both"/>
        <w:rPr>
          <w:rFonts w:ascii="Myriad Pro" w:hAnsi="Myriad Pro"/>
          <w:b/>
          <w:sz w:val="20"/>
        </w:rPr>
      </w:pPr>
    </w:p>
    <w:p w14:paraId="389CC25B" w14:textId="77777777" w:rsidR="004E481C" w:rsidRDefault="004E481C" w:rsidP="00CA0210">
      <w:pPr>
        <w:pStyle w:val="TekstPOR"/>
        <w:spacing w:line="288" w:lineRule="auto"/>
        <w:jc w:val="both"/>
        <w:rPr>
          <w:rFonts w:ascii="Myriad Pro" w:hAnsi="Myriad Pro"/>
          <w:b/>
          <w:sz w:val="20"/>
        </w:rPr>
      </w:pPr>
    </w:p>
    <w:p w14:paraId="4DB2D0AB" w14:textId="77777777" w:rsidR="004E481C" w:rsidRDefault="004E481C" w:rsidP="00CA0210">
      <w:pPr>
        <w:pStyle w:val="TekstPOR"/>
        <w:spacing w:line="288" w:lineRule="auto"/>
        <w:jc w:val="both"/>
        <w:rPr>
          <w:rFonts w:ascii="Myriad Pro" w:hAnsi="Myriad Pro"/>
          <w:b/>
          <w:sz w:val="20"/>
        </w:rPr>
      </w:pPr>
    </w:p>
    <w:p w14:paraId="621FBF29" w14:textId="77777777" w:rsidR="004E481C" w:rsidRDefault="004E481C" w:rsidP="00CA0210">
      <w:pPr>
        <w:pStyle w:val="TekstPOR"/>
        <w:spacing w:line="288" w:lineRule="auto"/>
        <w:jc w:val="both"/>
        <w:rPr>
          <w:rFonts w:ascii="Myriad Pro" w:hAnsi="Myriad Pro"/>
          <w:b/>
          <w:sz w:val="20"/>
        </w:rPr>
      </w:pPr>
    </w:p>
    <w:p w14:paraId="4000ABF8" w14:textId="77777777" w:rsidR="004E481C" w:rsidRDefault="004E481C" w:rsidP="00CA0210">
      <w:pPr>
        <w:pStyle w:val="TekstPOR"/>
        <w:spacing w:line="288" w:lineRule="auto"/>
        <w:jc w:val="both"/>
        <w:rPr>
          <w:rFonts w:ascii="Myriad Pro" w:hAnsi="Myriad Pro"/>
          <w:b/>
          <w:sz w:val="20"/>
        </w:rPr>
      </w:pPr>
    </w:p>
    <w:p w14:paraId="39E11B89" w14:textId="77777777" w:rsidR="004E481C" w:rsidRDefault="004E481C" w:rsidP="00CA0210">
      <w:pPr>
        <w:pStyle w:val="TekstPOR"/>
        <w:spacing w:line="288" w:lineRule="auto"/>
        <w:jc w:val="both"/>
        <w:rPr>
          <w:rFonts w:ascii="Myriad Pro" w:hAnsi="Myriad Pro"/>
          <w:b/>
          <w:sz w:val="20"/>
        </w:rPr>
      </w:pPr>
    </w:p>
    <w:p w14:paraId="310A3159" w14:textId="77777777" w:rsidR="004E481C" w:rsidRDefault="004E481C" w:rsidP="00CA0210">
      <w:pPr>
        <w:pStyle w:val="TekstPOR"/>
        <w:spacing w:line="288" w:lineRule="auto"/>
        <w:jc w:val="both"/>
        <w:rPr>
          <w:rFonts w:ascii="Myriad Pro" w:hAnsi="Myriad Pro"/>
          <w:b/>
          <w:sz w:val="20"/>
        </w:rPr>
      </w:pPr>
    </w:p>
    <w:p w14:paraId="23DE93A1" w14:textId="6E90A12F" w:rsidR="00DE3B0D" w:rsidRPr="004C200D" w:rsidRDefault="004A276B" w:rsidP="00DE3B0D">
      <w:pPr>
        <w:pStyle w:val="Heading1"/>
        <w:numPr>
          <w:ilvl w:val="0"/>
          <w:numId w:val="7"/>
        </w:numPr>
      </w:pPr>
      <w:r>
        <w:lastRenderedPageBreak/>
        <w:t>Uvod</w:t>
      </w:r>
    </w:p>
    <w:p w14:paraId="3499D0D6" w14:textId="7407DF97" w:rsidR="00DE3B0D" w:rsidRPr="00717C1B" w:rsidRDefault="00DE3B0D" w:rsidP="00717C1B">
      <w:pPr>
        <w:pStyle w:val="BesediloUMAR"/>
      </w:pPr>
      <w:r w:rsidRPr="00717C1B">
        <w:t xml:space="preserve">Stanje mednarodnih naložb izkazuje stanje celotnih terjatev in obveznosti, ki jih ima domače gospodarstvo do tujine ob koncu vsakega leta, s strukturo, ki je enaka strukturi finančnega računa plačilne bilance. Poleg dolžniških instrumentov, ki so vključeni v bruto zunanje terjatve in bruto zunanji dolg, vključuje še terjatve in obveznosti iz lastniških razmerij ter finančne </w:t>
      </w:r>
      <w:proofErr w:type="spellStart"/>
      <w:r w:rsidRPr="00717C1B">
        <w:t>derivative</w:t>
      </w:r>
      <w:proofErr w:type="spellEnd"/>
      <w:r w:rsidRPr="00717C1B">
        <w:t xml:space="preserve">. Negativna pozicija kaže, da obveznosti celotnega gospodarstva do tujine presegajo imetja v tujini. Neto mednarodna investicijska pozicija je temeljna komponenta nacionalne bilance stanja, saj je neto pozicija plus vrednost nefinančnih sredstev enaka neto vrednosti gospodarstva. Položaj mednarodnih naložb je </w:t>
      </w:r>
      <w:r w:rsidR="0066575F" w:rsidRPr="00717C1B">
        <w:t xml:space="preserve">tudi </w:t>
      </w:r>
      <w:r w:rsidRPr="00717C1B">
        <w:t>pomemben barometer finančnega stanja in kreditne sposobnosti gospodarstva. Spremembe stanja mednarodnih naložb med dvema zaporednima letoma so odraz transakcij v plačilni bilanci (salda tekočega in kapitalskega računa ter neto napak in izpustitev) in vrednostnih prilagoditev zaradi cenovnih, tečajnih ter drugih sprememb. Kjer se za transakcije in stanja ne uporabljajo isti viri, spremembe niso v celoti pojasnjene. Stanje mednarodnih naložb omogoča analizo tokov in stanj in s tem dinamičen vpogled v različne dejavnike makroekonomskega (zunanjega) neravnovesja.</w:t>
      </w:r>
      <w:r w:rsidR="009A1724" w:rsidRPr="00717C1B">
        <w:t xml:space="preserve"> Povezave med plačilno bilanco in stanjem mednarodnih naložb kaže slika 1.</w:t>
      </w:r>
    </w:p>
    <w:p w14:paraId="30A2E3BF" w14:textId="77777777" w:rsidR="009A1724" w:rsidRDefault="009A1724" w:rsidP="00DE3B0D">
      <w:pPr>
        <w:pStyle w:val="BodyText"/>
        <w:rPr>
          <w:rFonts w:ascii="Myriad Pro" w:hAnsi="Myriad Pro"/>
          <w:b/>
          <w:bCs/>
          <w:sz w:val="20"/>
          <w:lang w:val="sl-SI"/>
        </w:rPr>
      </w:pPr>
    </w:p>
    <w:p w14:paraId="6ED42611" w14:textId="735F789C" w:rsidR="00DE3B0D" w:rsidRPr="00EC4098" w:rsidRDefault="00DE3B0D" w:rsidP="00DE3B0D">
      <w:pPr>
        <w:pStyle w:val="BodyText"/>
        <w:rPr>
          <w:rFonts w:ascii="Myriad Pro" w:hAnsi="Myriad Pro"/>
          <w:b/>
          <w:bCs/>
          <w:sz w:val="20"/>
          <w:lang w:val="sl-SI"/>
        </w:rPr>
      </w:pPr>
      <w:r w:rsidRPr="00EC4098">
        <w:rPr>
          <w:rFonts w:ascii="Myriad Pro" w:hAnsi="Myriad Pro"/>
          <w:b/>
          <w:bCs/>
          <w:sz w:val="20"/>
          <w:lang w:val="sl-SI"/>
        </w:rPr>
        <w:t xml:space="preserve">Slika </w:t>
      </w:r>
      <w:r w:rsidR="00EC4098">
        <w:rPr>
          <w:rFonts w:ascii="Myriad Pro" w:hAnsi="Myriad Pro"/>
          <w:b/>
          <w:bCs/>
          <w:sz w:val="20"/>
          <w:lang w:val="sl-SI"/>
        </w:rPr>
        <w:t>1</w:t>
      </w:r>
      <w:r w:rsidRPr="00EC4098">
        <w:rPr>
          <w:rFonts w:ascii="Myriad Pro" w:hAnsi="Myriad Pro"/>
          <w:b/>
          <w:bCs/>
          <w:sz w:val="20"/>
          <w:lang w:val="sl-SI"/>
        </w:rPr>
        <w:t>: Povezave med plačilnobilančnimi tokovi in stanjem mednarodnih naložb</w:t>
      </w:r>
    </w:p>
    <w:p w14:paraId="5BC5562E" w14:textId="2BF7D69E" w:rsidR="00DE3B0D" w:rsidRPr="00D841BF" w:rsidRDefault="00001D3E" w:rsidP="00DE3B0D">
      <w:pPr>
        <w:pStyle w:val="BodyText"/>
        <w:rPr>
          <w:rFonts w:ascii="Myriad Pro" w:hAnsi="Myriad Pro"/>
          <w:sz w:val="20"/>
          <w:lang w:val="sl-SI"/>
        </w:rPr>
      </w:pPr>
      <w:r>
        <w:rPr>
          <w:noProof/>
        </w:rPr>
        <mc:AlternateContent>
          <mc:Choice Requires="wps">
            <w:drawing>
              <wp:anchor distT="0" distB="0" distL="114300" distR="114300" simplePos="0" relativeHeight="251676672" behindDoc="0" locked="0" layoutInCell="1" allowOverlap="1" wp14:anchorId="3C4A0DBC" wp14:editId="283657BA">
                <wp:simplePos x="0" y="0"/>
                <wp:positionH relativeFrom="column">
                  <wp:posOffset>1729105</wp:posOffset>
                </wp:positionH>
                <wp:positionV relativeFrom="paragraph">
                  <wp:posOffset>174625</wp:posOffset>
                </wp:positionV>
                <wp:extent cx="1224000" cy="720000"/>
                <wp:effectExtent l="0" t="0" r="14605" b="23495"/>
                <wp:wrapNone/>
                <wp:docPr id="24"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720000"/>
                        </a:xfrm>
                        <a:prstGeom prst="rect">
                          <a:avLst/>
                        </a:prstGeom>
                        <a:solidFill>
                          <a:srgbClr val="FFFFFF"/>
                        </a:solidFill>
                        <a:ln w="9525">
                          <a:solidFill>
                            <a:srgbClr val="000000"/>
                          </a:solidFill>
                          <a:miter lim="800000"/>
                          <a:headEnd/>
                          <a:tailEnd/>
                        </a:ln>
                      </wps:spPr>
                      <wps:txbx>
                        <w:txbxContent>
                          <w:p w14:paraId="31708E24" w14:textId="77777777" w:rsidR="00717C1B" w:rsidRDefault="00717C1B" w:rsidP="00CA7529">
                            <w:pPr>
                              <w:jc w:val="center"/>
                              <w:rPr>
                                <w:rFonts w:ascii="Myriad Pro" w:hAnsi="Myriad Pro"/>
                                <w:sz w:val="20"/>
                                <w:szCs w:val="20"/>
                              </w:rPr>
                            </w:pPr>
                            <w:r w:rsidRPr="00CA0210">
                              <w:rPr>
                                <w:rFonts w:ascii="Myriad Pro" w:hAnsi="Myriad Pro"/>
                                <w:sz w:val="20"/>
                                <w:szCs w:val="20"/>
                              </w:rPr>
                              <w:t>Tekoči račun plačilne bilance</w:t>
                            </w:r>
                          </w:p>
                          <w:p w14:paraId="4609C81B" w14:textId="1B52CBD4" w:rsidR="00717C1B" w:rsidRDefault="00717C1B" w:rsidP="00CA7529">
                            <w:pPr>
                              <w:jc w:val="center"/>
                              <w:rPr>
                                <w:rFonts w:ascii="Myriad Pro" w:hAnsi="Myriad Pro"/>
                                <w:sz w:val="20"/>
                                <w:szCs w:val="20"/>
                              </w:rPr>
                            </w:pPr>
                            <w:r w:rsidRPr="00CA0210">
                              <w:rPr>
                                <w:rFonts w:ascii="Myriad Pro" w:hAnsi="Myriad Pro"/>
                                <w:sz w:val="20"/>
                                <w:szCs w:val="20"/>
                              </w:rPr>
                              <w:t>v obdobju »t«</w:t>
                            </w:r>
                          </w:p>
                          <w:p w14:paraId="004E8329" w14:textId="77777777" w:rsidR="00717C1B" w:rsidRPr="00CA0210" w:rsidRDefault="00717C1B" w:rsidP="00DE3B0D">
                            <w:pPr>
                              <w:rPr>
                                <w:rFonts w:ascii="Myriad Pro" w:hAnsi="Myriad Pro"/>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A0DBC" id="Pravokotnik 5" o:spid="_x0000_s1027" style="position:absolute;margin-left:136.15pt;margin-top:13.75pt;width:96.4pt;height:5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">
                <v:textbox>
                  <w:txbxContent>
                    <w:p w14:paraId="31708E24" w14:textId="77777777" w:rsidR="00717C1B" w:rsidRDefault="00717C1B" w:rsidP="00CA7529">
                      <w:pPr>
                        <w:jc w:val="center"/>
                        <w:rPr>
                          <w:rFonts w:ascii="Myriad Pro" w:hAnsi="Myriad Pro"/>
                          <w:sz w:val="20"/>
                          <w:szCs w:val="20"/>
                        </w:rPr>
                      </w:pPr>
                      <w:r w:rsidRPr="00CA0210">
                        <w:rPr>
                          <w:rFonts w:ascii="Myriad Pro" w:hAnsi="Myriad Pro"/>
                          <w:sz w:val="20"/>
                          <w:szCs w:val="20"/>
                        </w:rPr>
                        <w:t>Tekoči račun plačilne bilance</w:t>
                      </w:r>
                    </w:p>
                    <w:p w14:paraId="4609C81B" w14:textId="1B52CBD4" w:rsidR="00717C1B" w:rsidRDefault="00717C1B" w:rsidP="00CA7529">
                      <w:pPr>
                        <w:jc w:val="center"/>
                        <w:rPr>
                          <w:rFonts w:ascii="Myriad Pro" w:hAnsi="Myriad Pro"/>
                          <w:sz w:val="20"/>
                          <w:szCs w:val="20"/>
                        </w:rPr>
                      </w:pPr>
                      <w:r w:rsidRPr="00CA0210">
                        <w:rPr>
                          <w:rFonts w:ascii="Myriad Pro" w:hAnsi="Myriad Pro"/>
                          <w:sz w:val="20"/>
                          <w:szCs w:val="20"/>
                        </w:rPr>
                        <w:t>v obdobju »t«</w:t>
                      </w:r>
                    </w:p>
                    <w:p w14:paraId="004E8329" w14:textId="77777777" w:rsidR="00717C1B" w:rsidRPr="00CA0210" w:rsidRDefault="00717C1B" w:rsidP="00DE3B0D">
                      <w:pPr>
                        <w:rPr>
                          <w:rFonts w:ascii="Myriad Pro" w:hAnsi="Myriad Pro"/>
                          <w:sz w:val="20"/>
                          <w:szCs w:val="20"/>
                        </w:rPr>
                      </w:pPr>
                    </w:p>
                  </w:txbxContent>
                </v:textbox>
              </v:rect>
            </w:pict>
          </mc:Fallback>
        </mc:AlternateContent>
      </w:r>
    </w:p>
    <w:p w14:paraId="3C88143A" w14:textId="77777777" w:rsidR="00DE3B0D" w:rsidRPr="00CA0210" w:rsidRDefault="00DE3B0D" w:rsidP="00DE3B0D">
      <w:pPr>
        <w:pStyle w:val="BodyText"/>
        <w:rPr>
          <w:rFonts w:ascii="Myriad Pro" w:hAnsi="Myriad Pro"/>
          <w:sz w:val="20"/>
          <w:lang w:val="sl-SI"/>
        </w:rPr>
      </w:pPr>
    </w:p>
    <w:p w14:paraId="4B7CD607" w14:textId="77777777" w:rsidR="00DE3B0D" w:rsidRPr="00CA0210" w:rsidRDefault="00DE3B0D" w:rsidP="00DE3B0D">
      <w:pPr>
        <w:pStyle w:val="BodyText"/>
        <w:rPr>
          <w:rFonts w:ascii="Myriad Pro" w:hAnsi="Myriad Pro"/>
          <w:sz w:val="20"/>
          <w:lang w:val="sl-SI"/>
        </w:rPr>
      </w:pPr>
    </w:p>
    <w:p w14:paraId="0F2BA609" w14:textId="77777777" w:rsidR="00DE3B0D" w:rsidRPr="00CA0210" w:rsidRDefault="00DE3B0D" w:rsidP="00DE3B0D">
      <w:pPr>
        <w:pStyle w:val="BodyText"/>
        <w:rPr>
          <w:rFonts w:ascii="Myriad Pro" w:hAnsi="Myriad Pro"/>
          <w:sz w:val="20"/>
          <w:lang w:val="sl-SI"/>
        </w:rPr>
      </w:pPr>
    </w:p>
    <w:p w14:paraId="188D526E" w14:textId="6F06F4A6" w:rsidR="00DE3B0D" w:rsidRPr="00DE3B0D" w:rsidRDefault="00717C1B" w:rsidP="00DE3B0D">
      <w:pPr>
        <w:pStyle w:val="BodyText"/>
        <w:rPr>
          <w:rFonts w:ascii="Myriad Pro" w:hAnsi="Myriad Pro"/>
          <w:sz w:val="20"/>
          <w:lang w:val="sl-SI"/>
        </w:rPr>
      </w:pPr>
      <w:r>
        <w:rPr>
          <w:noProof/>
        </w:rPr>
        <mc:AlternateContent>
          <mc:Choice Requires="wps">
            <w:drawing>
              <wp:anchor distT="0" distB="0" distL="114300" distR="114300" simplePos="0" relativeHeight="251677696" behindDoc="0" locked="0" layoutInCell="1" allowOverlap="1" wp14:anchorId="4F8C6D55" wp14:editId="2EF8086E">
                <wp:simplePos x="0" y="0"/>
                <wp:positionH relativeFrom="column">
                  <wp:posOffset>1747520</wp:posOffset>
                </wp:positionH>
                <wp:positionV relativeFrom="paragraph">
                  <wp:posOffset>215900</wp:posOffset>
                </wp:positionV>
                <wp:extent cx="1224000" cy="720000"/>
                <wp:effectExtent l="0" t="0" r="14605" b="23495"/>
                <wp:wrapNone/>
                <wp:docPr id="23"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24000" cy="720000"/>
                        </a:xfrm>
                        <a:prstGeom prst="rect">
                          <a:avLst/>
                        </a:prstGeom>
                        <a:solidFill>
                          <a:srgbClr val="FFFFFF"/>
                        </a:solidFill>
                        <a:ln w="9525">
                          <a:solidFill>
                            <a:srgbClr val="000000"/>
                          </a:solidFill>
                          <a:miter lim="800000"/>
                          <a:headEnd/>
                          <a:tailEnd/>
                        </a:ln>
                      </wps:spPr>
                      <wps:txbx>
                        <w:txbxContent>
                          <w:p w14:paraId="306D6985" w14:textId="77777777" w:rsidR="00717C1B" w:rsidRDefault="00717C1B" w:rsidP="00CA7529">
                            <w:pPr>
                              <w:jc w:val="center"/>
                              <w:rPr>
                                <w:rFonts w:ascii="Myriad Pro" w:hAnsi="Myriad Pro"/>
                                <w:sz w:val="20"/>
                                <w:szCs w:val="20"/>
                              </w:rPr>
                            </w:pPr>
                            <w:r w:rsidRPr="00CA0210">
                              <w:rPr>
                                <w:rFonts w:ascii="Myriad Pro" w:hAnsi="Myriad Pro"/>
                                <w:sz w:val="20"/>
                                <w:szCs w:val="20"/>
                              </w:rPr>
                              <w:t>Kapitalski račun plačilne bilance</w:t>
                            </w:r>
                          </w:p>
                          <w:p w14:paraId="7075E1D7" w14:textId="2E2F5660" w:rsidR="00717C1B" w:rsidRDefault="00717C1B" w:rsidP="00CA7529">
                            <w:pPr>
                              <w:jc w:val="center"/>
                              <w:rPr>
                                <w:rFonts w:ascii="Myriad Pro" w:hAnsi="Myriad Pro"/>
                                <w:sz w:val="20"/>
                                <w:szCs w:val="20"/>
                              </w:rPr>
                            </w:pPr>
                            <w:r w:rsidRPr="00CA0210">
                              <w:rPr>
                                <w:rFonts w:ascii="Myriad Pro" w:hAnsi="Myriad Pro"/>
                                <w:sz w:val="20"/>
                                <w:szCs w:val="20"/>
                              </w:rPr>
                              <w:t>v obdobju »t«</w:t>
                            </w:r>
                          </w:p>
                          <w:p w14:paraId="7565DCBA" w14:textId="77777777" w:rsidR="00717C1B" w:rsidRDefault="00717C1B" w:rsidP="00DE3B0D">
                            <w:pPr>
                              <w:rPr>
                                <w:rFonts w:ascii="Myriad Pro" w:hAnsi="Myriad Pro"/>
                                <w:sz w:val="20"/>
                                <w:szCs w:val="20"/>
                              </w:rPr>
                            </w:pPr>
                            <w:r>
                              <w:rPr>
                                <w:rFonts w:ascii="Myriad Pro" w:hAnsi="Myriad Pro"/>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C6D55" id="Pravokotnik 6" o:spid="_x0000_s1028" style="position:absolute;margin-left:137.6pt;margin-top:17pt;width:96.4pt;height:56.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">
                <v:textbox>
                  <w:txbxContent>
                    <w:p w14:paraId="306D6985" w14:textId="77777777" w:rsidR="00717C1B" w:rsidRDefault="00717C1B" w:rsidP="00CA7529">
                      <w:pPr>
                        <w:jc w:val="center"/>
                        <w:rPr>
                          <w:rFonts w:ascii="Myriad Pro" w:hAnsi="Myriad Pro"/>
                          <w:sz w:val="20"/>
                          <w:szCs w:val="20"/>
                        </w:rPr>
                      </w:pPr>
                      <w:r w:rsidRPr="00CA0210">
                        <w:rPr>
                          <w:rFonts w:ascii="Myriad Pro" w:hAnsi="Myriad Pro"/>
                          <w:sz w:val="20"/>
                          <w:szCs w:val="20"/>
                        </w:rPr>
                        <w:t>Kapitalski račun plačilne bilance</w:t>
                      </w:r>
                    </w:p>
                    <w:p w14:paraId="7075E1D7" w14:textId="2E2F5660" w:rsidR="00717C1B" w:rsidRDefault="00717C1B" w:rsidP="00CA7529">
                      <w:pPr>
                        <w:jc w:val="center"/>
                        <w:rPr>
                          <w:rFonts w:ascii="Myriad Pro" w:hAnsi="Myriad Pro"/>
                          <w:sz w:val="20"/>
                          <w:szCs w:val="20"/>
                        </w:rPr>
                      </w:pPr>
                      <w:r w:rsidRPr="00CA0210">
                        <w:rPr>
                          <w:rFonts w:ascii="Myriad Pro" w:hAnsi="Myriad Pro"/>
                          <w:sz w:val="20"/>
                          <w:szCs w:val="20"/>
                        </w:rPr>
                        <w:t>v obdobju »t«</w:t>
                      </w:r>
                    </w:p>
                    <w:p w14:paraId="7565DCBA" w14:textId="77777777" w:rsidR="00717C1B" w:rsidRDefault="00717C1B" w:rsidP="00DE3B0D">
                      <w:pPr>
                        <w:rPr>
                          <w:rFonts w:ascii="Myriad Pro" w:hAnsi="Myriad Pro"/>
                          <w:sz w:val="20"/>
                          <w:szCs w:val="20"/>
                        </w:rPr>
                      </w:pPr>
                      <w:r>
                        <w:rPr>
                          <w:rFonts w:ascii="Myriad Pro" w:hAnsi="Myriad Pro"/>
                          <w:sz w:val="20"/>
                          <w:szCs w:val="20"/>
                        </w:rPr>
                        <w:t xml:space="preserve">    </w:t>
                      </w:r>
                    </w:p>
                  </w:txbxContent>
                </v:textbox>
              </v:rect>
            </w:pict>
          </mc:Fallback>
        </mc:AlternateContent>
      </w:r>
      <w:r w:rsidR="00DE3B0D" w:rsidRPr="00CA0210">
        <w:rPr>
          <w:rFonts w:ascii="Myriad Pro" w:hAnsi="Myriad Pro"/>
          <w:sz w:val="20"/>
          <w:lang w:val="sl-SI"/>
        </w:rPr>
        <w:t xml:space="preserve">                                                      </w:t>
      </w:r>
      <w:r w:rsidR="00DE3B0D">
        <w:rPr>
          <w:rFonts w:ascii="Myriad Pro" w:hAnsi="Myriad Pro"/>
          <w:sz w:val="20"/>
          <w:lang w:val="sl-SI"/>
        </w:rPr>
        <w:t xml:space="preserve">                     </w:t>
      </w:r>
      <w:r>
        <w:rPr>
          <w:rFonts w:ascii="Myriad Pro" w:hAnsi="Myriad Pro"/>
          <w:sz w:val="20"/>
          <w:lang w:val="sl-SI"/>
        </w:rPr>
        <w:t xml:space="preserve">   </w:t>
      </w:r>
      <w:r w:rsidR="00DE3B0D">
        <w:rPr>
          <w:rFonts w:ascii="Myriad Pro" w:hAnsi="Myriad Pro"/>
          <w:sz w:val="20"/>
          <w:lang w:val="sl-SI"/>
        </w:rPr>
        <w:t xml:space="preserve">      </w:t>
      </w:r>
      <w:r w:rsidR="00DE3B0D" w:rsidRPr="00DE3B0D">
        <w:rPr>
          <w:rFonts w:ascii="Myriad Pro" w:hAnsi="Myriad Pro"/>
          <w:sz w:val="20"/>
          <w:lang w:val="sl-SI"/>
        </w:rPr>
        <w:t>+</w:t>
      </w:r>
    </w:p>
    <w:p w14:paraId="00A0116B" w14:textId="1E604A16" w:rsidR="00DE3B0D" w:rsidRPr="00DE3B0D" w:rsidRDefault="00DE3B0D" w:rsidP="00DE3B0D">
      <w:pPr>
        <w:pStyle w:val="BodyText"/>
        <w:rPr>
          <w:rFonts w:ascii="Myriad Pro" w:hAnsi="Myriad Pro"/>
          <w:sz w:val="20"/>
          <w:lang w:val="sl-SI"/>
        </w:rPr>
      </w:pPr>
    </w:p>
    <w:p w14:paraId="17C8E5FA" w14:textId="77777777" w:rsidR="00DE3B0D" w:rsidRPr="00DE3B0D" w:rsidRDefault="00DE3B0D" w:rsidP="00DE3B0D">
      <w:pPr>
        <w:pStyle w:val="BodyText"/>
        <w:rPr>
          <w:rFonts w:ascii="Myriad Pro" w:hAnsi="Myriad Pro"/>
          <w:sz w:val="20"/>
          <w:lang w:val="sl-SI"/>
        </w:rPr>
      </w:pPr>
    </w:p>
    <w:p w14:paraId="112B72D4" w14:textId="381AD07B" w:rsidR="00DE3B0D" w:rsidRPr="00DE3B0D" w:rsidRDefault="00DE3B0D" w:rsidP="00DE3B0D">
      <w:pPr>
        <w:pStyle w:val="BodyText"/>
        <w:rPr>
          <w:rFonts w:ascii="Myriad Pro" w:hAnsi="Myriad Pro"/>
          <w:sz w:val="20"/>
          <w:lang w:val="sl-SI"/>
        </w:rPr>
      </w:pPr>
      <w:r w:rsidRPr="00DE3B0D">
        <w:rPr>
          <w:rFonts w:ascii="Myriad Pro" w:hAnsi="Myriad Pro"/>
          <w:sz w:val="20"/>
          <w:lang w:val="sl-SI"/>
        </w:rPr>
        <w:t xml:space="preserve">                                                     </w:t>
      </w:r>
      <w:r w:rsidR="00717C1B">
        <w:rPr>
          <w:rFonts w:ascii="Myriad Pro" w:hAnsi="Myriad Pro"/>
          <w:sz w:val="20"/>
          <w:lang w:val="sl-SI"/>
        </w:rPr>
        <w:t xml:space="preserve"> </w:t>
      </w:r>
    </w:p>
    <w:p w14:paraId="3111755D" w14:textId="1D2E04CF" w:rsidR="00DE3B0D" w:rsidRPr="00D841BF" w:rsidRDefault="00717C1B" w:rsidP="00DE3B0D">
      <w:pPr>
        <w:pStyle w:val="BodyText"/>
        <w:rPr>
          <w:rFonts w:ascii="Myriad Pro" w:hAnsi="Myriad Pro"/>
          <w:sz w:val="20"/>
          <w:lang w:val="sl-SI"/>
        </w:rPr>
      </w:pPr>
      <w:r>
        <w:rPr>
          <w:noProof/>
        </w:rPr>
        <mc:AlternateContent>
          <mc:Choice Requires="wps">
            <w:drawing>
              <wp:anchor distT="0" distB="0" distL="114300" distR="114300" simplePos="0" relativeHeight="251680768" behindDoc="0" locked="0" layoutInCell="1" allowOverlap="1" wp14:anchorId="63A5F321" wp14:editId="138B07B1">
                <wp:simplePos x="0" y="0"/>
                <wp:positionH relativeFrom="column">
                  <wp:posOffset>1764665</wp:posOffset>
                </wp:positionH>
                <wp:positionV relativeFrom="paragraph">
                  <wp:posOffset>177800</wp:posOffset>
                </wp:positionV>
                <wp:extent cx="1224000" cy="720000"/>
                <wp:effectExtent l="0" t="0" r="14605" b="23495"/>
                <wp:wrapNone/>
                <wp:docPr id="22"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24000" cy="720000"/>
                        </a:xfrm>
                        <a:prstGeom prst="rect">
                          <a:avLst/>
                        </a:prstGeom>
                        <a:solidFill>
                          <a:srgbClr val="FFFFFF"/>
                        </a:solidFill>
                        <a:ln w="9525">
                          <a:solidFill>
                            <a:srgbClr val="000000"/>
                          </a:solidFill>
                          <a:miter lim="800000"/>
                          <a:headEnd/>
                          <a:tailEnd/>
                        </a:ln>
                      </wps:spPr>
                      <wps:txbx>
                        <w:txbxContent>
                          <w:p w14:paraId="0FB9AEB6" w14:textId="77777777" w:rsidR="00717C1B" w:rsidRPr="00CA7529" w:rsidRDefault="00717C1B" w:rsidP="00CA7529">
                            <w:pPr>
                              <w:jc w:val="center"/>
                              <w:rPr>
                                <w:rFonts w:ascii="Myriad Pro" w:hAnsi="Myriad Pro"/>
                                <w:sz w:val="20"/>
                                <w:szCs w:val="20"/>
                              </w:rPr>
                            </w:pPr>
                            <w:r w:rsidRPr="00CA7529">
                              <w:rPr>
                                <w:rFonts w:ascii="Myriad Pro" w:hAnsi="Myriad Pro"/>
                                <w:sz w:val="20"/>
                                <w:szCs w:val="20"/>
                              </w:rPr>
                              <w:t>Statistična napaka</w:t>
                            </w:r>
                          </w:p>
                          <w:p w14:paraId="2B232642" w14:textId="57B2BFFB" w:rsidR="00717C1B" w:rsidRPr="00717C1B" w:rsidRDefault="00717C1B" w:rsidP="00717C1B">
                            <w:pPr>
                              <w:jc w:val="center"/>
                              <w:rPr>
                                <w:rFonts w:ascii="Myriad Pro" w:hAnsi="Myriad Pro"/>
                                <w:sz w:val="20"/>
                                <w:szCs w:val="20"/>
                              </w:rPr>
                            </w:pPr>
                            <w:r w:rsidRPr="00CA0210">
                              <w:rPr>
                                <w:rFonts w:ascii="Myriad Pro" w:hAnsi="Myriad Pro"/>
                                <w:sz w:val="20"/>
                                <w:szCs w:val="20"/>
                              </w:rPr>
                              <w:t>v obdobju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5F321" id="Pravokotnik 7" o:spid="_x0000_s1029" style="position:absolute;margin-left:138.95pt;margin-top:14pt;width:96.4pt;height:56.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">
                <v:textbox>
                  <w:txbxContent>
                    <w:p w14:paraId="0FB9AEB6" w14:textId="77777777" w:rsidR="00717C1B" w:rsidRPr="00CA7529" w:rsidRDefault="00717C1B" w:rsidP="00CA7529">
                      <w:pPr>
                        <w:jc w:val="center"/>
                        <w:rPr>
                          <w:rFonts w:ascii="Myriad Pro" w:hAnsi="Myriad Pro"/>
                          <w:sz w:val="20"/>
                          <w:szCs w:val="20"/>
                        </w:rPr>
                      </w:pPr>
                      <w:r w:rsidRPr="00CA7529">
                        <w:rPr>
                          <w:rFonts w:ascii="Myriad Pro" w:hAnsi="Myriad Pro"/>
                          <w:sz w:val="20"/>
                          <w:szCs w:val="20"/>
                        </w:rPr>
                        <w:t>Statistična napaka</w:t>
                      </w:r>
                    </w:p>
                    <w:p w14:paraId="2B232642" w14:textId="57B2BFFB" w:rsidR="00717C1B" w:rsidRPr="00717C1B" w:rsidRDefault="00717C1B" w:rsidP="00717C1B">
                      <w:pPr>
                        <w:jc w:val="center"/>
                        <w:rPr>
                          <w:rFonts w:ascii="Myriad Pro" w:hAnsi="Myriad Pro"/>
                          <w:sz w:val="20"/>
                          <w:szCs w:val="20"/>
                        </w:rPr>
                      </w:pPr>
                      <w:r w:rsidRPr="00CA0210">
                        <w:rPr>
                          <w:rFonts w:ascii="Myriad Pro" w:hAnsi="Myriad Pro"/>
                          <w:sz w:val="20"/>
                          <w:szCs w:val="20"/>
                        </w:rPr>
                        <w:t>v obdobju »t«</w:t>
                      </w:r>
                    </w:p>
                  </w:txbxContent>
                </v:textbox>
              </v:rect>
            </w:pict>
          </mc:Fallback>
        </mc:AlternateContent>
      </w:r>
      <w:r w:rsidR="00DE3B0D" w:rsidRPr="00DE3B0D">
        <w:rPr>
          <w:rFonts w:ascii="Myriad Pro" w:hAnsi="Myriad Pro"/>
          <w:sz w:val="20"/>
          <w:lang w:val="sl-SI"/>
        </w:rPr>
        <w:t xml:space="preserve">                                                                                   </w:t>
      </w:r>
      <w:r>
        <w:rPr>
          <w:rFonts w:ascii="Myriad Pro" w:hAnsi="Myriad Pro"/>
          <w:sz w:val="20"/>
          <w:lang w:val="sl-SI"/>
        </w:rPr>
        <w:t xml:space="preserve">  </w:t>
      </w:r>
      <w:r w:rsidR="00DE3B0D" w:rsidRPr="00DE3B0D">
        <w:rPr>
          <w:rFonts w:ascii="Myriad Pro" w:hAnsi="Myriad Pro"/>
          <w:sz w:val="20"/>
          <w:lang w:val="sl-SI"/>
        </w:rPr>
        <w:t>+</w:t>
      </w:r>
    </w:p>
    <w:p w14:paraId="05D04203" w14:textId="77777777" w:rsidR="00DE3B0D" w:rsidRPr="00DE3B0D" w:rsidRDefault="00DE3B0D" w:rsidP="00DE3B0D">
      <w:pPr>
        <w:pStyle w:val="BodyText"/>
        <w:rPr>
          <w:rFonts w:ascii="Myriad Pro" w:hAnsi="Myriad Pro"/>
          <w:sz w:val="20"/>
          <w:lang w:val="sl-SI"/>
        </w:rPr>
      </w:pPr>
    </w:p>
    <w:p w14:paraId="21811CAC" w14:textId="77777777" w:rsidR="00DE3B0D" w:rsidRPr="00DE3B0D" w:rsidRDefault="00DE3B0D" w:rsidP="00DE3B0D">
      <w:pPr>
        <w:pStyle w:val="BodyText"/>
        <w:rPr>
          <w:rFonts w:ascii="Myriad Pro" w:hAnsi="Myriad Pro"/>
          <w:sz w:val="20"/>
          <w:lang w:val="sl-SI"/>
        </w:rPr>
      </w:pPr>
      <w:r w:rsidRPr="00DE3B0D">
        <w:rPr>
          <w:rFonts w:ascii="Myriad Pro" w:hAnsi="Myriad Pro"/>
          <w:sz w:val="20"/>
          <w:lang w:val="sl-SI"/>
        </w:rPr>
        <w:t xml:space="preserve"> </w:t>
      </w:r>
    </w:p>
    <w:p w14:paraId="7135B312" w14:textId="77777777" w:rsidR="00DE3B0D" w:rsidRPr="00DE3B0D" w:rsidRDefault="00DE3B0D" w:rsidP="00DE3B0D">
      <w:pPr>
        <w:pStyle w:val="BodyText"/>
        <w:rPr>
          <w:rFonts w:ascii="Myriad Pro" w:hAnsi="Myriad Pro"/>
          <w:sz w:val="20"/>
          <w:lang w:val="sl-SI"/>
        </w:rPr>
      </w:pPr>
    </w:p>
    <w:p w14:paraId="3423A968" w14:textId="6783A359" w:rsidR="00DE3B0D" w:rsidRPr="00DE3B0D" w:rsidRDefault="00F12988" w:rsidP="00DE3B0D">
      <w:pPr>
        <w:pStyle w:val="BodyText"/>
        <w:rPr>
          <w:rFonts w:ascii="Myriad Pro" w:hAnsi="Myriad Pro"/>
          <w:sz w:val="20"/>
          <w:lang w:val="sl-SI"/>
        </w:rPr>
      </w:pPr>
      <w:r>
        <w:rPr>
          <w:noProof/>
        </w:rPr>
        <mc:AlternateContent>
          <mc:Choice Requires="wps">
            <w:drawing>
              <wp:anchor distT="0" distB="0" distL="114300" distR="114300" simplePos="0" relativeHeight="251681792" behindDoc="0" locked="0" layoutInCell="1" allowOverlap="1" wp14:anchorId="1DE455B1" wp14:editId="393BBC62">
                <wp:simplePos x="0" y="0"/>
                <wp:positionH relativeFrom="column">
                  <wp:posOffset>1765848</wp:posOffset>
                </wp:positionH>
                <wp:positionV relativeFrom="paragraph">
                  <wp:posOffset>209550</wp:posOffset>
                </wp:positionV>
                <wp:extent cx="1223645" cy="719455"/>
                <wp:effectExtent l="0" t="0" r="14605" b="23495"/>
                <wp:wrapNone/>
                <wp:docPr id="18"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719455"/>
                        </a:xfrm>
                        <a:prstGeom prst="rect">
                          <a:avLst/>
                        </a:prstGeom>
                        <a:solidFill>
                          <a:srgbClr val="FFFFFF"/>
                        </a:solidFill>
                        <a:ln w="9525">
                          <a:solidFill>
                            <a:srgbClr val="000000"/>
                          </a:solidFill>
                          <a:miter lim="800000"/>
                          <a:headEnd/>
                          <a:tailEnd/>
                        </a:ln>
                      </wps:spPr>
                      <wps:txbx>
                        <w:txbxContent>
                          <w:p w14:paraId="05905A85" w14:textId="77777777" w:rsidR="00717C1B" w:rsidRPr="00CA0210" w:rsidRDefault="00717C1B" w:rsidP="00CA7529">
                            <w:pPr>
                              <w:jc w:val="center"/>
                              <w:rPr>
                                <w:rFonts w:ascii="Myriad Pro" w:hAnsi="Myriad Pro"/>
                                <w:sz w:val="20"/>
                                <w:szCs w:val="20"/>
                              </w:rPr>
                            </w:pPr>
                            <w:r w:rsidRPr="00CA0210">
                              <w:rPr>
                                <w:rFonts w:ascii="Myriad Pro" w:hAnsi="Myriad Pro"/>
                                <w:sz w:val="20"/>
                                <w:szCs w:val="20"/>
                              </w:rPr>
                              <w:t>Finančni račun plačilne bilance</w:t>
                            </w:r>
                          </w:p>
                          <w:p w14:paraId="0DED4808" w14:textId="36A0DFC6" w:rsidR="00717C1B" w:rsidRPr="00CA0210" w:rsidRDefault="00717C1B" w:rsidP="00CA7529">
                            <w:pPr>
                              <w:jc w:val="center"/>
                              <w:rPr>
                                <w:rFonts w:ascii="Myriad Pro" w:hAnsi="Myriad Pro"/>
                                <w:sz w:val="20"/>
                                <w:szCs w:val="20"/>
                              </w:rPr>
                            </w:pPr>
                            <w:r w:rsidRPr="00CA0210">
                              <w:rPr>
                                <w:rFonts w:ascii="Myriad Pro" w:hAnsi="Myriad Pro"/>
                                <w:sz w:val="20"/>
                                <w:szCs w:val="20"/>
                              </w:rPr>
                              <w:t>v obdobju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55B1" id="Pravokotnik 10" o:spid="_x0000_s1030" style="position:absolute;margin-left:139.05pt;margin-top:16.5pt;width:96.35pt;height:5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">
                <v:textbox>
                  <w:txbxContent>
                    <w:p w14:paraId="05905A85" w14:textId="77777777" w:rsidR="00717C1B" w:rsidRPr="00CA0210" w:rsidRDefault="00717C1B" w:rsidP="00CA7529">
                      <w:pPr>
                        <w:jc w:val="center"/>
                        <w:rPr>
                          <w:rFonts w:ascii="Myriad Pro" w:hAnsi="Myriad Pro"/>
                          <w:sz w:val="20"/>
                          <w:szCs w:val="20"/>
                        </w:rPr>
                      </w:pPr>
                      <w:r w:rsidRPr="00CA0210">
                        <w:rPr>
                          <w:rFonts w:ascii="Myriad Pro" w:hAnsi="Myriad Pro"/>
                          <w:sz w:val="20"/>
                          <w:szCs w:val="20"/>
                        </w:rPr>
                        <w:t>Finančni račun plačilne bilance</w:t>
                      </w:r>
                    </w:p>
                    <w:p w14:paraId="0DED4808" w14:textId="36A0DFC6" w:rsidR="00717C1B" w:rsidRPr="00CA0210" w:rsidRDefault="00717C1B" w:rsidP="00CA7529">
                      <w:pPr>
                        <w:jc w:val="center"/>
                        <w:rPr>
                          <w:rFonts w:ascii="Myriad Pro" w:hAnsi="Myriad Pro"/>
                          <w:sz w:val="20"/>
                          <w:szCs w:val="20"/>
                        </w:rPr>
                      </w:pPr>
                      <w:r w:rsidRPr="00CA0210">
                        <w:rPr>
                          <w:rFonts w:ascii="Myriad Pro" w:hAnsi="Myriad Pro"/>
                          <w:sz w:val="20"/>
                          <w:szCs w:val="20"/>
                        </w:rPr>
                        <w:t>v obdobju »t«</w:t>
                      </w:r>
                    </w:p>
                  </w:txbxContent>
                </v:textbox>
              </v:rect>
            </w:pict>
          </mc:Fallback>
        </mc:AlternateContent>
      </w:r>
      <w:r w:rsidR="00E72123">
        <w:rPr>
          <w:noProof/>
        </w:rPr>
        <mc:AlternateContent>
          <mc:Choice Requires="wps">
            <w:drawing>
              <wp:anchor distT="0" distB="0" distL="114300" distR="114300" simplePos="0" relativeHeight="251679744" behindDoc="0" locked="0" layoutInCell="1" allowOverlap="1" wp14:anchorId="1CB51895" wp14:editId="651D79E5">
                <wp:simplePos x="0" y="0"/>
                <wp:positionH relativeFrom="column">
                  <wp:posOffset>4900208</wp:posOffset>
                </wp:positionH>
                <wp:positionV relativeFrom="paragraph">
                  <wp:posOffset>204470</wp:posOffset>
                </wp:positionV>
                <wp:extent cx="1223645" cy="719455"/>
                <wp:effectExtent l="0" t="0" r="14605" b="23495"/>
                <wp:wrapNone/>
                <wp:docPr id="17"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719455"/>
                        </a:xfrm>
                        <a:prstGeom prst="rect">
                          <a:avLst/>
                        </a:prstGeom>
                        <a:solidFill>
                          <a:srgbClr val="FFFFFF"/>
                        </a:solidFill>
                        <a:ln w="9525">
                          <a:solidFill>
                            <a:srgbClr val="000000"/>
                          </a:solidFill>
                          <a:miter lim="800000"/>
                          <a:headEnd/>
                          <a:tailEnd/>
                        </a:ln>
                      </wps:spPr>
                      <wps:txbx>
                        <w:txbxContent>
                          <w:p w14:paraId="564E456D" w14:textId="43324615" w:rsidR="00717C1B" w:rsidRPr="00DE5F43" w:rsidRDefault="00717C1B" w:rsidP="00CA7529">
                            <w:pPr>
                              <w:jc w:val="center"/>
                              <w:rPr>
                                <w:rFonts w:ascii="Myriad Pro" w:hAnsi="Myriad Pro"/>
                                <w:sz w:val="20"/>
                                <w:szCs w:val="20"/>
                              </w:rPr>
                            </w:pPr>
                            <w:r w:rsidRPr="00DE5F43">
                              <w:rPr>
                                <w:rFonts w:ascii="Myriad Pro" w:hAnsi="Myriad Pro"/>
                                <w:sz w:val="20"/>
                                <w:szCs w:val="20"/>
                              </w:rPr>
                              <w:t xml:space="preserve">Stanje </w:t>
                            </w:r>
                            <w:r>
                              <w:rPr>
                                <w:rFonts w:ascii="Myriad Pro" w:hAnsi="Myriad Pro"/>
                                <w:sz w:val="20"/>
                                <w:szCs w:val="20"/>
                              </w:rPr>
                              <w:t>mednarodnih naložb</w:t>
                            </w:r>
                            <w:r w:rsidRPr="00DE5F43">
                              <w:rPr>
                                <w:rFonts w:ascii="Myriad Pro" w:hAnsi="Myriad Pro"/>
                                <w:sz w:val="20"/>
                                <w:szCs w:val="20"/>
                              </w:rPr>
                              <w:t xml:space="preserve"> konec obdobja »t«</w:t>
                            </w:r>
                          </w:p>
                          <w:p w14:paraId="13CA46BC" w14:textId="77777777" w:rsidR="00717C1B" w:rsidRDefault="00717C1B" w:rsidP="00DE3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1895" id="Pravokotnik 11" o:spid="_x0000_s1031" style="position:absolute;margin-left:385.85pt;margin-top:16.1pt;width:96.35pt;height:5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">
                <v:textbox>
                  <w:txbxContent>
                    <w:p w14:paraId="564E456D" w14:textId="43324615" w:rsidR="00717C1B" w:rsidRPr="00DE5F43" w:rsidRDefault="00717C1B" w:rsidP="00CA7529">
                      <w:pPr>
                        <w:jc w:val="center"/>
                        <w:rPr>
                          <w:rFonts w:ascii="Myriad Pro" w:hAnsi="Myriad Pro"/>
                          <w:sz w:val="20"/>
                          <w:szCs w:val="20"/>
                        </w:rPr>
                      </w:pPr>
                      <w:r w:rsidRPr="00DE5F43">
                        <w:rPr>
                          <w:rFonts w:ascii="Myriad Pro" w:hAnsi="Myriad Pro"/>
                          <w:sz w:val="20"/>
                          <w:szCs w:val="20"/>
                        </w:rPr>
                        <w:t xml:space="preserve">Stanje </w:t>
                      </w:r>
                      <w:r>
                        <w:rPr>
                          <w:rFonts w:ascii="Myriad Pro" w:hAnsi="Myriad Pro"/>
                          <w:sz w:val="20"/>
                          <w:szCs w:val="20"/>
                        </w:rPr>
                        <w:t>mednarodnih naložb</w:t>
                      </w:r>
                      <w:r w:rsidRPr="00DE5F43">
                        <w:rPr>
                          <w:rFonts w:ascii="Myriad Pro" w:hAnsi="Myriad Pro"/>
                          <w:sz w:val="20"/>
                          <w:szCs w:val="20"/>
                        </w:rPr>
                        <w:t xml:space="preserve"> konec obdobja »t«</w:t>
                      </w:r>
                    </w:p>
                    <w:p w14:paraId="13CA46BC" w14:textId="77777777" w:rsidR="00717C1B" w:rsidRDefault="00717C1B" w:rsidP="00DE3B0D"/>
                  </w:txbxContent>
                </v:textbox>
              </v:rect>
            </w:pict>
          </mc:Fallback>
        </mc:AlternateContent>
      </w:r>
      <w:r w:rsidR="00717C1B">
        <w:rPr>
          <w:noProof/>
        </w:rPr>
        <mc:AlternateContent>
          <mc:Choice Requires="wps">
            <w:drawing>
              <wp:anchor distT="0" distB="0" distL="114300" distR="114300" simplePos="0" relativeHeight="251675648" behindDoc="0" locked="0" layoutInCell="1" allowOverlap="1" wp14:anchorId="1D5E3F3A" wp14:editId="401E813F">
                <wp:simplePos x="0" y="0"/>
                <wp:positionH relativeFrom="column">
                  <wp:posOffset>159350</wp:posOffset>
                </wp:positionH>
                <wp:positionV relativeFrom="paragraph">
                  <wp:posOffset>209550</wp:posOffset>
                </wp:positionV>
                <wp:extent cx="1223645" cy="719455"/>
                <wp:effectExtent l="0" t="0" r="14605" b="23495"/>
                <wp:wrapNone/>
                <wp:docPr id="1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23645" cy="719455"/>
                        </a:xfrm>
                        <a:prstGeom prst="rect">
                          <a:avLst/>
                        </a:prstGeom>
                        <a:solidFill>
                          <a:srgbClr val="FFFFFF"/>
                        </a:solidFill>
                        <a:ln w="9525">
                          <a:solidFill>
                            <a:srgbClr val="000000"/>
                          </a:solidFill>
                          <a:miter lim="800000"/>
                          <a:headEnd/>
                          <a:tailEnd/>
                        </a:ln>
                      </wps:spPr>
                      <wps:txbx>
                        <w:txbxContent>
                          <w:p w14:paraId="5F384797" w14:textId="57608C13" w:rsidR="00717C1B" w:rsidRPr="00CA0210" w:rsidRDefault="00717C1B" w:rsidP="00CA7529">
                            <w:pPr>
                              <w:jc w:val="center"/>
                              <w:rPr>
                                <w:rFonts w:ascii="Myriad Pro" w:hAnsi="Myriad Pro"/>
                                <w:sz w:val="20"/>
                                <w:szCs w:val="20"/>
                              </w:rPr>
                            </w:pPr>
                            <w:r w:rsidRPr="00CA0210">
                              <w:rPr>
                                <w:rFonts w:ascii="Myriad Pro" w:hAnsi="Myriad Pro"/>
                                <w:sz w:val="20"/>
                                <w:szCs w:val="20"/>
                              </w:rPr>
                              <w:t xml:space="preserve">Stanje </w:t>
                            </w:r>
                            <w:r>
                              <w:rPr>
                                <w:rFonts w:ascii="Myriad Pro" w:hAnsi="Myriad Pro"/>
                                <w:sz w:val="20"/>
                                <w:szCs w:val="20"/>
                              </w:rPr>
                              <w:t>mednarodnih</w:t>
                            </w:r>
                            <w:r w:rsidRPr="00CA0210">
                              <w:rPr>
                                <w:rFonts w:ascii="Myriad Pro" w:hAnsi="Myriad Pro"/>
                                <w:sz w:val="20"/>
                                <w:szCs w:val="20"/>
                              </w:rPr>
                              <w:t xml:space="preserve"> </w:t>
                            </w:r>
                            <w:r>
                              <w:rPr>
                                <w:rFonts w:ascii="Myriad Pro" w:hAnsi="Myriad Pro"/>
                                <w:sz w:val="20"/>
                                <w:szCs w:val="20"/>
                              </w:rPr>
                              <w:t xml:space="preserve">naložb </w:t>
                            </w:r>
                            <w:r w:rsidRPr="00CA0210">
                              <w:rPr>
                                <w:rFonts w:ascii="Myriad Pro" w:hAnsi="Myriad Pro"/>
                                <w:sz w:val="20"/>
                                <w:szCs w:val="20"/>
                              </w:rPr>
                              <w:t>konec obdobja »t-1«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E3F3A" id="Pravokotnik 9" o:spid="_x0000_s1032" style="position:absolute;margin-left:12.55pt;margin-top:16.5pt;width:96.35pt;height:56.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">
                <v:textbox>
                  <w:txbxContent>
                    <w:p w14:paraId="5F384797" w14:textId="57608C13" w:rsidR="00717C1B" w:rsidRPr="00CA0210" w:rsidRDefault="00717C1B" w:rsidP="00CA7529">
                      <w:pPr>
                        <w:jc w:val="center"/>
                        <w:rPr>
                          <w:rFonts w:ascii="Myriad Pro" w:hAnsi="Myriad Pro"/>
                          <w:sz w:val="20"/>
                          <w:szCs w:val="20"/>
                        </w:rPr>
                      </w:pPr>
                      <w:r w:rsidRPr="00CA0210">
                        <w:rPr>
                          <w:rFonts w:ascii="Myriad Pro" w:hAnsi="Myriad Pro"/>
                          <w:sz w:val="20"/>
                          <w:szCs w:val="20"/>
                        </w:rPr>
                        <w:t xml:space="preserve">Stanje </w:t>
                      </w:r>
                      <w:r>
                        <w:rPr>
                          <w:rFonts w:ascii="Myriad Pro" w:hAnsi="Myriad Pro"/>
                          <w:sz w:val="20"/>
                          <w:szCs w:val="20"/>
                        </w:rPr>
                        <w:t>mednarodnih</w:t>
                      </w:r>
                      <w:r w:rsidRPr="00CA0210">
                        <w:rPr>
                          <w:rFonts w:ascii="Myriad Pro" w:hAnsi="Myriad Pro"/>
                          <w:sz w:val="20"/>
                          <w:szCs w:val="20"/>
                        </w:rPr>
                        <w:t xml:space="preserve"> </w:t>
                      </w:r>
                      <w:r>
                        <w:rPr>
                          <w:rFonts w:ascii="Myriad Pro" w:hAnsi="Myriad Pro"/>
                          <w:sz w:val="20"/>
                          <w:szCs w:val="20"/>
                        </w:rPr>
                        <w:t xml:space="preserve">naložb </w:t>
                      </w:r>
                      <w:r w:rsidRPr="00CA0210">
                        <w:rPr>
                          <w:rFonts w:ascii="Myriad Pro" w:hAnsi="Myriad Pro"/>
                          <w:sz w:val="20"/>
                          <w:szCs w:val="20"/>
                        </w:rPr>
                        <w:t>konec obdobja »t-1«</w:t>
                      </w:r>
                    </w:p>
                  </w:txbxContent>
                </v:textbox>
              </v:rect>
            </w:pict>
          </mc:Fallback>
        </mc:AlternateContent>
      </w:r>
      <w:r w:rsidR="00717C1B">
        <w:rPr>
          <w:noProof/>
        </w:rPr>
        <mc:AlternateContent>
          <mc:Choice Requires="wps">
            <w:drawing>
              <wp:anchor distT="0" distB="0" distL="114300" distR="114300" simplePos="0" relativeHeight="251678720" behindDoc="0" locked="0" layoutInCell="1" allowOverlap="1" wp14:anchorId="374ADD02" wp14:editId="76E7C824">
                <wp:simplePos x="0" y="0"/>
                <wp:positionH relativeFrom="column">
                  <wp:posOffset>3328035</wp:posOffset>
                </wp:positionH>
                <wp:positionV relativeFrom="paragraph">
                  <wp:posOffset>209550</wp:posOffset>
                </wp:positionV>
                <wp:extent cx="1223645" cy="719455"/>
                <wp:effectExtent l="0" t="0" r="14605" b="23495"/>
                <wp:wrapNone/>
                <wp:docPr id="20"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23645" cy="719455"/>
                        </a:xfrm>
                        <a:prstGeom prst="rect">
                          <a:avLst/>
                        </a:prstGeom>
                        <a:solidFill>
                          <a:srgbClr val="FFFFFF"/>
                        </a:solidFill>
                        <a:ln w="9525">
                          <a:solidFill>
                            <a:srgbClr val="000000"/>
                          </a:solidFill>
                          <a:miter lim="800000"/>
                          <a:headEnd/>
                          <a:tailEnd/>
                        </a:ln>
                      </wps:spPr>
                      <wps:txbx>
                        <w:txbxContent>
                          <w:p w14:paraId="7C941492" w14:textId="77777777" w:rsidR="00717C1B" w:rsidRPr="0040550A" w:rsidRDefault="00717C1B" w:rsidP="00CA7529">
                            <w:pPr>
                              <w:jc w:val="center"/>
                              <w:rPr>
                                <w:rFonts w:ascii="Myriad Pro" w:hAnsi="Myriad Pro"/>
                                <w:sz w:val="20"/>
                                <w:szCs w:val="20"/>
                              </w:rPr>
                            </w:pPr>
                            <w:r w:rsidRPr="0040550A">
                              <w:rPr>
                                <w:rFonts w:ascii="Myriad Pro" w:hAnsi="Myriad Pro"/>
                                <w:sz w:val="20"/>
                                <w:szCs w:val="20"/>
                              </w:rPr>
                              <w:t>Vrednostne spremembe</w:t>
                            </w:r>
                          </w:p>
                          <w:p w14:paraId="57E6223E" w14:textId="54B571FD" w:rsidR="00717C1B" w:rsidRPr="0040550A" w:rsidRDefault="00717C1B" w:rsidP="00CA7529">
                            <w:pPr>
                              <w:jc w:val="center"/>
                              <w:rPr>
                                <w:rFonts w:ascii="Myriad Pro" w:hAnsi="Myriad Pro"/>
                                <w:sz w:val="20"/>
                                <w:szCs w:val="20"/>
                              </w:rPr>
                            </w:pPr>
                            <w:r>
                              <w:rPr>
                                <w:rFonts w:ascii="Myriad Pro" w:hAnsi="Myriad Pro"/>
                                <w:sz w:val="20"/>
                                <w:szCs w:val="20"/>
                              </w:rPr>
                              <w:t xml:space="preserve"> </w:t>
                            </w:r>
                            <w:r w:rsidRPr="0040550A">
                              <w:rPr>
                                <w:rFonts w:ascii="Myriad Pro" w:hAnsi="Myriad Pro"/>
                                <w:sz w:val="20"/>
                                <w:szCs w:val="20"/>
                              </w:rPr>
                              <w:t>v obdobju »t«</w:t>
                            </w:r>
                          </w:p>
                          <w:p w14:paraId="32BC9272" w14:textId="77777777" w:rsidR="00717C1B" w:rsidRDefault="00717C1B" w:rsidP="00DE3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ADD02" id="Pravokotnik 8" o:spid="_x0000_s1033" style="position:absolute;margin-left:262.05pt;margin-top:16.5pt;width:96.35pt;height:56.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">
                <v:textbox>
                  <w:txbxContent>
                    <w:p w14:paraId="7C941492" w14:textId="77777777" w:rsidR="00717C1B" w:rsidRPr="0040550A" w:rsidRDefault="00717C1B" w:rsidP="00CA7529">
                      <w:pPr>
                        <w:jc w:val="center"/>
                        <w:rPr>
                          <w:rFonts w:ascii="Myriad Pro" w:hAnsi="Myriad Pro"/>
                          <w:sz w:val="20"/>
                          <w:szCs w:val="20"/>
                        </w:rPr>
                      </w:pPr>
                      <w:r w:rsidRPr="0040550A">
                        <w:rPr>
                          <w:rFonts w:ascii="Myriad Pro" w:hAnsi="Myriad Pro"/>
                          <w:sz w:val="20"/>
                          <w:szCs w:val="20"/>
                        </w:rPr>
                        <w:t>Vrednostne spremembe</w:t>
                      </w:r>
                    </w:p>
                    <w:p w14:paraId="57E6223E" w14:textId="54B571FD" w:rsidR="00717C1B" w:rsidRPr="0040550A" w:rsidRDefault="00717C1B" w:rsidP="00CA7529">
                      <w:pPr>
                        <w:jc w:val="center"/>
                        <w:rPr>
                          <w:rFonts w:ascii="Myriad Pro" w:hAnsi="Myriad Pro"/>
                          <w:sz w:val="20"/>
                          <w:szCs w:val="20"/>
                        </w:rPr>
                      </w:pPr>
                      <w:r>
                        <w:rPr>
                          <w:rFonts w:ascii="Myriad Pro" w:hAnsi="Myriad Pro"/>
                          <w:sz w:val="20"/>
                          <w:szCs w:val="20"/>
                        </w:rPr>
                        <w:t xml:space="preserve"> </w:t>
                      </w:r>
                      <w:r w:rsidRPr="0040550A">
                        <w:rPr>
                          <w:rFonts w:ascii="Myriad Pro" w:hAnsi="Myriad Pro"/>
                          <w:sz w:val="20"/>
                          <w:szCs w:val="20"/>
                        </w:rPr>
                        <w:t>v obdobju »t«</w:t>
                      </w:r>
                    </w:p>
                    <w:p w14:paraId="32BC9272" w14:textId="77777777" w:rsidR="00717C1B" w:rsidRDefault="00717C1B" w:rsidP="00DE3B0D"/>
                  </w:txbxContent>
                </v:textbox>
              </v:rect>
            </w:pict>
          </mc:Fallback>
        </mc:AlternateContent>
      </w:r>
      <w:r w:rsidR="00DE3B0D" w:rsidRPr="00DE3B0D">
        <w:rPr>
          <w:rFonts w:ascii="Myriad Pro" w:hAnsi="Myriad Pro"/>
          <w:sz w:val="20"/>
          <w:lang w:val="sl-SI"/>
        </w:rPr>
        <w:t xml:space="preserve">                                                                            </w:t>
      </w:r>
      <w:r w:rsidR="00717C1B">
        <w:rPr>
          <w:rFonts w:ascii="Myriad Pro" w:hAnsi="Myriad Pro"/>
          <w:sz w:val="20"/>
          <w:lang w:val="sl-SI"/>
        </w:rPr>
        <w:t xml:space="preserve">  </w:t>
      </w:r>
      <w:r w:rsidR="00DE3B0D" w:rsidRPr="00DE3B0D">
        <w:rPr>
          <w:rFonts w:ascii="Myriad Pro" w:hAnsi="Myriad Pro"/>
          <w:sz w:val="20"/>
          <w:lang w:val="sl-SI"/>
        </w:rPr>
        <w:t xml:space="preserve">      =          </w:t>
      </w:r>
    </w:p>
    <w:p w14:paraId="5726DBF6" w14:textId="5CEB6704" w:rsidR="00DE3B0D" w:rsidRPr="00DE3B0D" w:rsidRDefault="00DE3B0D" w:rsidP="00DE3B0D">
      <w:pPr>
        <w:pStyle w:val="BodyText"/>
        <w:rPr>
          <w:rFonts w:ascii="Myriad Pro" w:hAnsi="Myriad Pro"/>
          <w:sz w:val="20"/>
          <w:lang w:val="sl-SI"/>
        </w:rPr>
      </w:pPr>
      <w:r w:rsidRPr="00DE3B0D">
        <w:rPr>
          <w:rFonts w:ascii="Myriad Pro" w:hAnsi="Myriad Pro"/>
          <w:sz w:val="20"/>
          <w:lang w:val="sl-SI"/>
        </w:rPr>
        <w:t xml:space="preserve">                                 </w:t>
      </w:r>
    </w:p>
    <w:p w14:paraId="08D15CC3" w14:textId="55EDFB54" w:rsidR="00DE3B0D" w:rsidRPr="00DE3B0D" w:rsidRDefault="00DE3B0D" w:rsidP="00DE3B0D">
      <w:pPr>
        <w:pStyle w:val="BodyText"/>
        <w:rPr>
          <w:rFonts w:ascii="Myriad Pro" w:hAnsi="Myriad Pro"/>
          <w:i/>
          <w:sz w:val="20"/>
          <w:lang w:val="sl-SI"/>
        </w:rPr>
      </w:pPr>
      <w:r w:rsidRPr="00DE3B0D">
        <w:rPr>
          <w:rFonts w:ascii="Myriad Pro" w:hAnsi="Myriad Pro"/>
          <w:sz w:val="20"/>
          <w:lang w:val="sl-SI"/>
        </w:rPr>
        <w:t xml:space="preserve">                                  +              </w:t>
      </w:r>
      <w:r w:rsidR="00717C1B">
        <w:rPr>
          <w:rFonts w:ascii="Myriad Pro" w:hAnsi="Myriad Pro"/>
          <w:sz w:val="20"/>
          <w:lang w:val="sl-SI"/>
        </w:rPr>
        <w:t xml:space="preserve">    </w:t>
      </w:r>
      <w:r w:rsidR="00F12988">
        <w:rPr>
          <w:rFonts w:ascii="Myriad Pro" w:hAnsi="Myriad Pro"/>
          <w:sz w:val="20"/>
          <w:lang w:val="sl-SI"/>
        </w:rPr>
        <w:t xml:space="preserve"> </w:t>
      </w:r>
      <w:r w:rsidRPr="00DE3B0D">
        <w:rPr>
          <w:rFonts w:ascii="Myriad Pro" w:hAnsi="Myriad Pro"/>
          <w:sz w:val="20"/>
          <w:lang w:val="sl-SI"/>
        </w:rPr>
        <w:t xml:space="preserve"> +                            +                       </w:t>
      </w:r>
      <w:r w:rsidR="00717C1B">
        <w:rPr>
          <w:rFonts w:ascii="Myriad Pro" w:hAnsi="Myriad Pro"/>
          <w:sz w:val="20"/>
          <w:lang w:val="sl-SI"/>
        </w:rPr>
        <w:t xml:space="preserve">  </w:t>
      </w:r>
      <w:r w:rsidRPr="00DE3B0D">
        <w:rPr>
          <w:rFonts w:ascii="Myriad Pro" w:hAnsi="Myriad Pro"/>
          <w:sz w:val="20"/>
          <w:lang w:val="sl-SI"/>
        </w:rPr>
        <w:t xml:space="preserve">+                                                       =    </w:t>
      </w:r>
    </w:p>
    <w:p w14:paraId="62E069FF" w14:textId="77777777" w:rsidR="00DE3B0D" w:rsidRDefault="00DE3B0D" w:rsidP="00DE3B0D">
      <w:pPr>
        <w:pStyle w:val="BesediloUMAR"/>
        <w:rPr>
          <w:rStyle w:val="VodilnistavekUMAR"/>
          <w:szCs w:val="20"/>
        </w:rPr>
      </w:pPr>
    </w:p>
    <w:p w14:paraId="3B864FAB" w14:textId="77777777" w:rsidR="00DE3B0D" w:rsidRDefault="00DE3B0D" w:rsidP="00DE3B0D">
      <w:pPr>
        <w:pStyle w:val="BodyText"/>
        <w:rPr>
          <w:rFonts w:ascii="Myriad Pro" w:hAnsi="Myriad Pro"/>
          <w:sz w:val="20"/>
          <w:lang w:val="sl-SI"/>
        </w:rPr>
      </w:pPr>
    </w:p>
    <w:p w14:paraId="2AAB2D09" w14:textId="0E0BBB23" w:rsidR="00DE3B0D" w:rsidRPr="004E481C" w:rsidRDefault="00DE3B0D" w:rsidP="00DE3B0D">
      <w:pPr>
        <w:pStyle w:val="BodyText"/>
        <w:rPr>
          <w:rFonts w:ascii="Myriad Pro" w:hAnsi="Myriad Pro"/>
          <w:sz w:val="20"/>
          <w:lang w:val="sl-SI"/>
        </w:rPr>
      </w:pPr>
      <w:r w:rsidRPr="004E481C">
        <w:rPr>
          <w:rFonts w:ascii="Myriad Pro" w:hAnsi="Myriad Pro"/>
          <w:sz w:val="20"/>
          <w:lang w:val="sl-SI"/>
        </w:rPr>
        <w:t xml:space="preserve">Spremembo stanja </w:t>
      </w:r>
      <w:r w:rsidR="009A1724">
        <w:rPr>
          <w:rFonts w:ascii="Myriad Pro" w:hAnsi="Myriad Pro"/>
          <w:sz w:val="20"/>
          <w:lang w:val="sl-SI"/>
        </w:rPr>
        <w:t>mednarodnih naložb</w:t>
      </w:r>
      <w:r w:rsidRPr="004E481C">
        <w:rPr>
          <w:rFonts w:ascii="Myriad Pro" w:hAnsi="Myriad Pro"/>
          <w:sz w:val="20"/>
          <w:lang w:val="sl-SI"/>
        </w:rPr>
        <w:t xml:space="preserve"> zapišemo s sledečo enačbo :</w:t>
      </w:r>
    </w:p>
    <w:p w14:paraId="03EB8AEA" w14:textId="77777777" w:rsidR="00DE3B0D" w:rsidRPr="004E481C" w:rsidRDefault="00DE3B0D" w:rsidP="00DE3B0D">
      <w:pPr>
        <w:pStyle w:val="BodyText"/>
        <w:rPr>
          <w:rFonts w:ascii="Myriad Pro" w:hAnsi="Myriad Pro"/>
          <w:sz w:val="20"/>
          <w:lang w:val="sl-SI"/>
        </w:rPr>
      </w:pPr>
    </w:p>
    <w:p w14:paraId="7E3CE1E9" w14:textId="660E0365" w:rsidR="00DE3B0D" w:rsidRPr="009B3741" w:rsidRDefault="00C71EFC" w:rsidP="00E72123">
      <w:pPr>
        <w:pStyle w:val="BodyText"/>
        <w:tabs>
          <w:tab w:val="right" w:pos="9070"/>
        </w:tabs>
        <w:rPr>
          <w:rFonts w:ascii="Myriad Pro" w:hAnsi="Myriad Pro"/>
          <w:sz w:val="20"/>
          <w:lang w:val="sl-SI"/>
        </w:rPr>
      </w:pPr>
      <w:r w:rsidRPr="00D841BF">
        <w:rPr>
          <w:rFonts w:ascii="Myriad Pro" w:hAnsi="Myriad Pro"/>
          <w:position w:val="-12"/>
          <w:sz w:val="20"/>
        </w:rPr>
        <w:object w:dxaOrig="3780" w:dyaOrig="360" w14:anchorId="54D4F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7pt;height:14.4pt" o:ole="" fillcolor="window">
            <v:imagedata r:id="rId10" o:title=""/>
          </v:shape>
          <o:OLEObject Type="Embed" ProgID="Equation.3" ShapeID="_x0000_i1025" DrawAspect="Content" ObjectID="_1692777736" r:id="rId11"/>
        </w:object>
      </w:r>
      <w:r w:rsidR="00E72123">
        <w:rPr>
          <w:rFonts w:ascii="Myriad Pro" w:hAnsi="Myriad Pro"/>
          <w:sz w:val="20"/>
          <w:lang w:val="sl-SI"/>
        </w:rPr>
        <w:tab/>
      </w:r>
      <w:r w:rsidR="00DE3B0D" w:rsidRPr="009B3741">
        <w:rPr>
          <w:rFonts w:ascii="Myriad Pro" w:hAnsi="Myriad Pro"/>
          <w:sz w:val="20"/>
          <w:lang w:val="sl-SI"/>
        </w:rPr>
        <w:t xml:space="preserve"> (1)</w:t>
      </w:r>
    </w:p>
    <w:p w14:paraId="05E63E44" w14:textId="5A78F8DB" w:rsidR="00C71EFC" w:rsidRPr="004E481C" w:rsidRDefault="00C71EFC" w:rsidP="00C71EFC">
      <w:pPr>
        <w:pStyle w:val="BodyText"/>
        <w:rPr>
          <w:rFonts w:ascii="Myriad Pro" w:hAnsi="Myriad Pro"/>
          <w:sz w:val="20"/>
          <w:lang w:val="sl-SI"/>
        </w:rPr>
      </w:pPr>
      <w:r>
        <w:rPr>
          <w:rFonts w:ascii="Myriad Pro" w:hAnsi="Myriad Pro"/>
          <w:sz w:val="20"/>
          <w:lang w:val="sl-SI"/>
        </w:rPr>
        <w:t>ali</w:t>
      </w:r>
    </w:p>
    <w:p w14:paraId="0F98B16D" w14:textId="588933C6" w:rsidR="00C71EFC" w:rsidRPr="007760FC" w:rsidRDefault="00C71EFC" w:rsidP="00E72123">
      <w:pPr>
        <w:pStyle w:val="BodyText"/>
        <w:tabs>
          <w:tab w:val="right" w:pos="9070"/>
        </w:tabs>
        <w:rPr>
          <w:rFonts w:ascii="Myriad Pro" w:hAnsi="Myriad Pro"/>
          <w:sz w:val="20"/>
          <w:lang w:val="sl-SI"/>
        </w:rPr>
      </w:pPr>
      <w:r w:rsidRPr="00D841BF">
        <w:rPr>
          <w:rFonts w:ascii="Myriad Pro" w:hAnsi="Myriad Pro"/>
          <w:position w:val="-12"/>
          <w:sz w:val="20"/>
        </w:rPr>
        <w:object w:dxaOrig="2580" w:dyaOrig="360" w14:anchorId="08D24679">
          <v:shape id="_x0000_i1026" type="#_x0000_t75" style="width:136.5pt;height:14.4pt" o:ole="" fillcolor="window">
            <v:imagedata r:id="rId12" o:title=""/>
          </v:shape>
          <o:OLEObject Type="Embed" ProgID="Equation.3" ShapeID="_x0000_i1026" DrawAspect="Content" ObjectID="_1692777737" r:id="rId13"/>
        </w:object>
      </w:r>
      <w:r w:rsidRPr="007760FC">
        <w:rPr>
          <w:rFonts w:ascii="Myriad Pro" w:hAnsi="Myriad Pro"/>
          <w:sz w:val="20"/>
          <w:lang w:val="sl-SI"/>
        </w:rPr>
        <w:t>,</w:t>
      </w:r>
      <w:r w:rsidR="00E72123">
        <w:rPr>
          <w:rFonts w:ascii="Myriad Pro" w:hAnsi="Myriad Pro"/>
          <w:sz w:val="20"/>
          <w:lang w:val="sl-SI"/>
        </w:rPr>
        <w:tab/>
      </w:r>
      <w:r w:rsidR="00C93D87" w:rsidRPr="007760FC">
        <w:rPr>
          <w:rFonts w:ascii="Myriad Pro" w:hAnsi="Myriad Pro"/>
          <w:sz w:val="20"/>
          <w:lang w:val="sl-SI"/>
        </w:rPr>
        <w:t xml:space="preserve"> (2)</w:t>
      </w:r>
    </w:p>
    <w:p w14:paraId="7C8B7386" w14:textId="77777777" w:rsidR="00E72123" w:rsidRDefault="00E72123" w:rsidP="00DE3B0D">
      <w:pPr>
        <w:pStyle w:val="BodyText"/>
        <w:rPr>
          <w:rFonts w:ascii="Myriad Pro" w:hAnsi="Myriad Pro"/>
          <w:sz w:val="20"/>
          <w:lang w:val="sl-SI"/>
        </w:rPr>
      </w:pPr>
    </w:p>
    <w:p w14:paraId="00B39C9D" w14:textId="4220B9FA" w:rsidR="00DE3B0D" w:rsidRPr="007760FC" w:rsidRDefault="00DE3B0D" w:rsidP="00DE3B0D">
      <w:pPr>
        <w:pStyle w:val="BodyText"/>
        <w:rPr>
          <w:rFonts w:ascii="Myriad Pro" w:hAnsi="Myriad Pro"/>
          <w:sz w:val="20"/>
          <w:lang w:val="sl-SI"/>
        </w:rPr>
      </w:pPr>
      <w:r w:rsidRPr="007760FC">
        <w:rPr>
          <w:rFonts w:ascii="Myriad Pro" w:hAnsi="Myriad Pro"/>
          <w:sz w:val="20"/>
          <w:lang w:val="sl-SI"/>
        </w:rPr>
        <w:lastRenderedPageBreak/>
        <w:t>kjer posamezne oznake pomenijo:</w:t>
      </w:r>
    </w:p>
    <w:p w14:paraId="058BD4FB" w14:textId="326C3E0C" w:rsidR="00DE3B0D" w:rsidRPr="007760FC" w:rsidRDefault="00DE3B0D" w:rsidP="00DE3B0D">
      <w:pPr>
        <w:pStyle w:val="BodyText"/>
        <w:rPr>
          <w:rFonts w:ascii="Myriad Pro" w:hAnsi="Myriad Pro"/>
          <w:sz w:val="20"/>
          <w:lang w:val="sl-SI"/>
        </w:rPr>
      </w:pPr>
      <w:r w:rsidRPr="007760FC">
        <w:rPr>
          <w:rFonts w:ascii="Myriad Pro" w:hAnsi="Myriad Pro"/>
          <w:i/>
          <w:sz w:val="20"/>
          <w:lang w:val="sl-SI"/>
        </w:rPr>
        <w:t>NFA</w:t>
      </w:r>
      <w:r w:rsidRPr="007760FC">
        <w:rPr>
          <w:rFonts w:ascii="Myriad Pro" w:hAnsi="Myriad Pro"/>
          <w:sz w:val="20"/>
          <w:lang w:val="sl-SI"/>
        </w:rPr>
        <w:t xml:space="preserve"> – stanje </w:t>
      </w:r>
      <w:r w:rsidR="009A1724" w:rsidRPr="007760FC">
        <w:rPr>
          <w:rFonts w:ascii="Myriad Pro" w:hAnsi="Myriad Pro"/>
          <w:sz w:val="20"/>
          <w:lang w:val="sl-SI"/>
        </w:rPr>
        <w:t>mednarodnih naložb</w:t>
      </w:r>
      <w:r w:rsidRPr="007760FC">
        <w:rPr>
          <w:rFonts w:ascii="Myriad Pro" w:hAnsi="Myriad Pro"/>
          <w:sz w:val="20"/>
          <w:lang w:val="sl-SI"/>
        </w:rPr>
        <w:t xml:space="preserve">, </w:t>
      </w:r>
    </w:p>
    <w:p w14:paraId="60765F86" w14:textId="77777777" w:rsidR="00DE3B0D" w:rsidRPr="009B3741" w:rsidRDefault="00DE3B0D" w:rsidP="00DE3B0D">
      <w:pPr>
        <w:pStyle w:val="BodyText"/>
        <w:rPr>
          <w:rFonts w:ascii="Myriad Pro" w:hAnsi="Myriad Pro"/>
          <w:sz w:val="20"/>
          <w:lang w:val="sl-SI"/>
        </w:rPr>
      </w:pPr>
      <w:r w:rsidRPr="009B3741">
        <w:rPr>
          <w:rFonts w:ascii="Myriad Pro" w:hAnsi="Myriad Pro"/>
          <w:i/>
          <w:sz w:val="20"/>
          <w:lang w:val="sl-SI"/>
        </w:rPr>
        <w:t xml:space="preserve">CA </w:t>
      </w:r>
      <w:r w:rsidRPr="009B3741">
        <w:rPr>
          <w:rFonts w:ascii="Myriad Pro" w:hAnsi="Myriad Pro"/>
          <w:sz w:val="20"/>
          <w:lang w:val="sl-SI"/>
        </w:rPr>
        <w:t>– saldo tekočega računa plačilne bilance,</w:t>
      </w:r>
    </w:p>
    <w:p w14:paraId="383B81D0" w14:textId="77777777" w:rsidR="00DE3B0D" w:rsidRPr="00CA0210" w:rsidRDefault="00DE3B0D" w:rsidP="00DE3B0D">
      <w:pPr>
        <w:pStyle w:val="BodyText"/>
        <w:rPr>
          <w:rFonts w:ascii="Myriad Pro" w:hAnsi="Myriad Pro"/>
          <w:sz w:val="20"/>
          <w:lang w:val="it-IT"/>
        </w:rPr>
      </w:pPr>
      <w:r w:rsidRPr="00CA0210">
        <w:rPr>
          <w:rFonts w:ascii="Myriad Pro" w:hAnsi="Myriad Pro"/>
          <w:i/>
          <w:sz w:val="20"/>
          <w:lang w:val="it-IT"/>
        </w:rPr>
        <w:t>KA</w:t>
      </w:r>
      <w:r w:rsidRPr="00CA0210">
        <w:rPr>
          <w:rFonts w:ascii="Myriad Pro" w:hAnsi="Myriad Pro"/>
          <w:sz w:val="20"/>
          <w:lang w:val="it-IT"/>
        </w:rPr>
        <w:t xml:space="preserve"> – kapitalski račun plačilne bilance,</w:t>
      </w:r>
    </w:p>
    <w:p w14:paraId="5DEFD2E4" w14:textId="11317AAE" w:rsidR="00DE3B0D" w:rsidRDefault="00DE3B0D" w:rsidP="00DE3B0D">
      <w:pPr>
        <w:pStyle w:val="BodyText"/>
        <w:rPr>
          <w:rFonts w:ascii="Myriad Pro" w:hAnsi="Myriad Pro"/>
          <w:sz w:val="20"/>
          <w:lang w:val="it-IT"/>
        </w:rPr>
      </w:pPr>
      <w:r w:rsidRPr="00CA0210">
        <w:rPr>
          <w:rFonts w:ascii="Myriad Pro" w:hAnsi="Myriad Pro"/>
          <w:i/>
          <w:sz w:val="20"/>
          <w:lang w:val="it-IT"/>
        </w:rPr>
        <w:t>EO</w:t>
      </w:r>
      <w:r w:rsidRPr="00CA0210">
        <w:rPr>
          <w:rFonts w:ascii="Myriad Pro" w:hAnsi="Myriad Pro"/>
          <w:sz w:val="20"/>
          <w:lang w:val="it-IT"/>
        </w:rPr>
        <w:t xml:space="preserve"> – neto napake in izpustitve,</w:t>
      </w:r>
    </w:p>
    <w:p w14:paraId="323C1072" w14:textId="24AAA229" w:rsidR="00C71EFC" w:rsidRDefault="00C71EFC" w:rsidP="00DE3B0D">
      <w:pPr>
        <w:pStyle w:val="BodyText"/>
        <w:rPr>
          <w:rFonts w:ascii="Myriad Pro" w:hAnsi="Myriad Pro"/>
          <w:sz w:val="20"/>
          <w:lang w:val="it-IT"/>
        </w:rPr>
      </w:pPr>
      <w:r>
        <w:rPr>
          <w:rFonts w:ascii="Myriad Pro" w:hAnsi="Myriad Pro"/>
          <w:sz w:val="20"/>
          <w:lang w:val="it-IT"/>
        </w:rPr>
        <w:t xml:space="preserve">FA </w:t>
      </w:r>
      <w:r w:rsidRPr="00CA0210">
        <w:rPr>
          <w:rFonts w:ascii="Myriad Pro" w:hAnsi="Myriad Pro"/>
          <w:sz w:val="20"/>
          <w:lang w:val="it-IT"/>
        </w:rPr>
        <w:t>–</w:t>
      </w:r>
      <w:r>
        <w:rPr>
          <w:rFonts w:ascii="Myriad Pro" w:hAnsi="Myriad Pro"/>
          <w:sz w:val="20"/>
          <w:lang w:val="it-IT"/>
        </w:rPr>
        <w:t xml:space="preserve"> finančni raču</w:t>
      </w:r>
      <w:r w:rsidR="00C85824">
        <w:rPr>
          <w:rFonts w:ascii="Myriad Pro" w:hAnsi="Myriad Pro"/>
          <w:sz w:val="20"/>
          <w:lang w:val="it-IT"/>
        </w:rPr>
        <w:t>n</w:t>
      </w:r>
      <w:r>
        <w:rPr>
          <w:rFonts w:ascii="Myriad Pro" w:hAnsi="Myriad Pro"/>
          <w:sz w:val="20"/>
          <w:lang w:val="it-IT"/>
        </w:rPr>
        <w:t xml:space="preserve"> plačilne bilance,</w:t>
      </w:r>
    </w:p>
    <w:p w14:paraId="547A55DC" w14:textId="1355A6C3" w:rsidR="00DE3B0D" w:rsidRPr="00CA0210" w:rsidRDefault="00DE3B0D" w:rsidP="00DE3B0D">
      <w:pPr>
        <w:pStyle w:val="BodyText"/>
        <w:rPr>
          <w:rFonts w:ascii="Myriad Pro" w:hAnsi="Myriad Pro"/>
          <w:sz w:val="20"/>
          <w:lang w:val="it-IT"/>
        </w:rPr>
      </w:pPr>
      <w:r>
        <w:rPr>
          <w:rFonts w:ascii="Myriad Pro" w:hAnsi="Myriad Pro"/>
          <w:i/>
          <w:sz w:val="20"/>
          <w:lang w:val="it-IT"/>
        </w:rPr>
        <w:t>VA</w:t>
      </w:r>
      <w:r w:rsidRPr="00CA0210">
        <w:rPr>
          <w:rFonts w:ascii="Myriad Pro" w:hAnsi="Myriad Pro"/>
          <w:sz w:val="20"/>
          <w:lang w:val="it-IT"/>
        </w:rPr>
        <w:t xml:space="preserve"> – vrednostne prilagoditve (neto kapitalski dobički kot razlika med spremembo stanja </w:t>
      </w:r>
      <w:r w:rsidR="00CA7529">
        <w:rPr>
          <w:rFonts w:ascii="Myriad Pro" w:hAnsi="Myriad Pro"/>
          <w:sz w:val="20"/>
          <w:lang w:val="it-IT"/>
        </w:rPr>
        <w:t>mednarodnih naložb</w:t>
      </w:r>
      <w:r>
        <w:rPr>
          <w:rFonts w:ascii="Myriad Pro" w:hAnsi="Myriad Pro"/>
          <w:sz w:val="20"/>
          <w:lang w:val="it-IT"/>
        </w:rPr>
        <w:t xml:space="preserve"> in druge spremembe vrednotenja,</w:t>
      </w:r>
      <w:r w:rsidRPr="00CA0210">
        <w:rPr>
          <w:rFonts w:ascii="Myriad Pro" w:hAnsi="Myriad Pro"/>
          <w:sz w:val="20"/>
          <w:lang w:val="it-IT"/>
        </w:rPr>
        <w:t xml:space="preserve"> med letom </w:t>
      </w:r>
      <w:r w:rsidRPr="00CA0210">
        <w:rPr>
          <w:rFonts w:ascii="Myriad Pro" w:hAnsi="Myriad Pro"/>
          <w:i/>
          <w:sz w:val="20"/>
          <w:lang w:val="it-IT"/>
        </w:rPr>
        <w:t>t</w:t>
      </w:r>
      <w:r w:rsidRPr="00CA0210">
        <w:rPr>
          <w:rFonts w:ascii="Myriad Pro" w:hAnsi="Myriad Pro"/>
          <w:sz w:val="20"/>
          <w:lang w:val="it-IT"/>
        </w:rPr>
        <w:t xml:space="preserve"> in </w:t>
      </w:r>
      <w:r w:rsidRPr="00CA0210">
        <w:rPr>
          <w:rFonts w:ascii="Myriad Pro" w:hAnsi="Myriad Pro"/>
          <w:i/>
          <w:sz w:val="20"/>
          <w:lang w:val="it-IT"/>
        </w:rPr>
        <w:t>t-1</w:t>
      </w:r>
      <w:r w:rsidRPr="00CA0210">
        <w:rPr>
          <w:rFonts w:ascii="Myriad Pro" w:hAnsi="Myriad Pro"/>
          <w:sz w:val="20"/>
          <w:lang w:val="it-IT"/>
        </w:rPr>
        <w:t xml:space="preserve"> ter pripadajočim finančnim tokom v letu </w:t>
      </w:r>
      <w:r w:rsidRPr="00CA0210">
        <w:rPr>
          <w:rFonts w:ascii="Myriad Pro" w:hAnsi="Myriad Pro"/>
          <w:i/>
          <w:sz w:val="20"/>
          <w:lang w:val="it-IT"/>
        </w:rPr>
        <w:t>t</w:t>
      </w:r>
      <w:r w:rsidRPr="00CA0210">
        <w:rPr>
          <w:rFonts w:ascii="Myriad Pro" w:hAnsi="Myriad Pro"/>
          <w:sz w:val="20"/>
          <w:lang w:val="it-IT"/>
        </w:rPr>
        <w:t>).</w:t>
      </w:r>
    </w:p>
    <w:p w14:paraId="2195707C" w14:textId="0CDBD55E" w:rsidR="00DE3B0D" w:rsidRDefault="00DE3B0D" w:rsidP="00DE3B0D">
      <w:pPr>
        <w:pStyle w:val="BodyText"/>
        <w:rPr>
          <w:rFonts w:ascii="Myriad Pro" w:hAnsi="Myriad Pro"/>
          <w:sz w:val="20"/>
          <w:lang w:val="it-IT"/>
        </w:rPr>
      </w:pPr>
      <w:r w:rsidRPr="00CA0210">
        <w:rPr>
          <w:rFonts w:ascii="Myriad Pro" w:hAnsi="Myriad Pro"/>
          <w:sz w:val="20"/>
          <w:lang w:val="it-IT"/>
        </w:rPr>
        <w:t>Če obe strani enačbe (1) delimo z nominalnim BDP in ju preuredimo, spremembo stanja neto finančne pozicije do tujine zapišemo v obliki:</w:t>
      </w:r>
    </w:p>
    <w:p w14:paraId="68952A06" w14:textId="77777777" w:rsidR="00E72123" w:rsidRPr="00CA0210" w:rsidRDefault="00E72123" w:rsidP="00DE3B0D">
      <w:pPr>
        <w:pStyle w:val="BodyText"/>
        <w:rPr>
          <w:rFonts w:ascii="Myriad Pro" w:hAnsi="Myriad Pro"/>
          <w:sz w:val="20"/>
          <w:lang w:val="it-IT"/>
        </w:rPr>
      </w:pPr>
    </w:p>
    <w:p w14:paraId="5C35DE39" w14:textId="7554657F" w:rsidR="00DE3B0D" w:rsidRPr="00E72123" w:rsidRDefault="00E72123" w:rsidP="00E72123">
      <w:pPr>
        <w:pStyle w:val="BodyText"/>
        <w:tabs>
          <w:tab w:val="right" w:pos="9070"/>
        </w:tabs>
        <w:rPr>
          <w:rFonts w:ascii="Myriad Pro" w:hAnsi="Myriad Pro"/>
          <w:i/>
          <w:sz w:val="20"/>
          <w:lang w:val="it-IT"/>
        </w:rPr>
      </w:pPr>
      <w:r w:rsidRPr="00D841BF">
        <w:rPr>
          <w:rFonts w:ascii="Myriad Pro" w:hAnsi="Myriad Pro"/>
          <w:position w:val="-30"/>
          <w:sz w:val="20"/>
        </w:rPr>
        <w:object w:dxaOrig="6180" w:dyaOrig="720" w14:anchorId="09F4EF8C">
          <v:shape id="_x0000_i1027" type="#_x0000_t75" style="width:381.9pt;height:32.55pt" o:ole="" fillcolor="window">
            <v:imagedata r:id="rId14" o:title=""/>
          </v:shape>
          <o:OLEObject Type="Embed" ProgID="Equation.3" ShapeID="_x0000_i1027" DrawAspect="Content" ObjectID="_1692777738" r:id="rId15"/>
        </w:object>
      </w:r>
      <w:r>
        <w:rPr>
          <w:rFonts w:ascii="Myriad Pro" w:hAnsi="Myriad Pro"/>
          <w:sz w:val="20"/>
          <w:lang w:val="it-IT"/>
        </w:rPr>
        <w:tab/>
      </w:r>
      <w:r w:rsidR="00DE3B0D" w:rsidRPr="00CA0210">
        <w:rPr>
          <w:rFonts w:ascii="Myriad Pro" w:hAnsi="Myriad Pro"/>
          <w:sz w:val="20"/>
          <w:lang w:val="it-IT"/>
        </w:rPr>
        <w:t>(</w:t>
      </w:r>
      <w:r w:rsidR="009A1724">
        <w:rPr>
          <w:rFonts w:ascii="Myriad Pro" w:hAnsi="Myriad Pro"/>
          <w:sz w:val="20"/>
          <w:lang w:val="it-IT"/>
        </w:rPr>
        <w:t>3</w:t>
      </w:r>
      <w:r w:rsidR="00DE3B0D" w:rsidRPr="00CA0210">
        <w:rPr>
          <w:rFonts w:ascii="Myriad Pro" w:hAnsi="Myriad Pro"/>
          <w:sz w:val="20"/>
          <w:lang w:val="it-IT"/>
        </w:rPr>
        <w:t>)</w:t>
      </w:r>
    </w:p>
    <w:p w14:paraId="6B43F64A" w14:textId="3DDBB0FF" w:rsidR="00DE3B0D" w:rsidRPr="00CA0210" w:rsidRDefault="00DE3B0D" w:rsidP="00DE3B0D">
      <w:pPr>
        <w:pStyle w:val="BodyText"/>
        <w:rPr>
          <w:rFonts w:ascii="Myriad Pro" w:hAnsi="Myriad Pro"/>
          <w:sz w:val="20"/>
          <w:lang w:val="it-IT"/>
        </w:rPr>
      </w:pPr>
      <w:r w:rsidRPr="00CA0210">
        <w:rPr>
          <w:rFonts w:ascii="Myriad Pro" w:hAnsi="Myriad Pro"/>
          <w:sz w:val="20"/>
          <w:lang w:val="it-IT"/>
        </w:rPr>
        <w:t xml:space="preserve">ali </w:t>
      </w:r>
    </w:p>
    <w:p w14:paraId="71F3043E" w14:textId="7BA7DFA1" w:rsidR="00DE3B0D" w:rsidRPr="00E72123" w:rsidRDefault="00E72123" w:rsidP="00E72123">
      <w:pPr>
        <w:pStyle w:val="BodyText"/>
        <w:tabs>
          <w:tab w:val="right" w:pos="9070"/>
        </w:tabs>
        <w:rPr>
          <w:rFonts w:ascii="Myriad Pro" w:hAnsi="Myriad Pro"/>
          <w:i/>
          <w:sz w:val="20"/>
          <w:lang w:val="it-IT"/>
        </w:rPr>
      </w:pPr>
      <w:r w:rsidRPr="00D841BF">
        <w:rPr>
          <w:rFonts w:ascii="Myriad Pro" w:hAnsi="Myriad Pro"/>
          <w:position w:val="-30"/>
          <w:sz w:val="20"/>
        </w:rPr>
        <w:object w:dxaOrig="5280" w:dyaOrig="720" w14:anchorId="149671C1">
          <v:shape id="_x0000_i1028" type="#_x0000_t75" style="width:289.9pt;height:34.45pt" o:ole="" fillcolor="window">
            <v:imagedata r:id="rId16" o:title=""/>
          </v:shape>
          <o:OLEObject Type="Embed" ProgID="Equation.3" ShapeID="_x0000_i1028" DrawAspect="Content" ObjectID="_1692777739" r:id="rId17"/>
        </w:object>
      </w:r>
      <w:r w:rsidR="00DE3B0D" w:rsidRPr="00CA0210">
        <w:rPr>
          <w:rFonts w:ascii="Myriad Pro" w:hAnsi="Myriad Pro"/>
          <w:sz w:val="20"/>
          <w:lang w:val="it-IT"/>
        </w:rPr>
        <w:t>,</w:t>
      </w:r>
      <w:r>
        <w:rPr>
          <w:rFonts w:ascii="Myriad Pro" w:hAnsi="Myriad Pro"/>
          <w:sz w:val="20"/>
          <w:lang w:val="it-IT"/>
        </w:rPr>
        <w:tab/>
      </w:r>
      <w:r w:rsidR="00DE3B0D" w:rsidRPr="00CA0210">
        <w:rPr>
          <w:rFonts w:ascii="Myriad Pro" w:hAnsi="Myriad Pro"/>
          <w:sz w:val="20"/>
          <w:lang w:val="it-IT"/>
        </w:rPr>
        <w:t>(</w:t>
      </w:r>
      <w:r w:rsidR="007760FC">
        <w:rPr>
          <w:rFonts w:ascii="Myriad Pro" w:hAnsi="Myriad Pro"/>
          <w:sz w:val="20"/>
          <w:lang w:val="it-IT"/>
        </w:rPr>
        <w:t>4</w:t>
      </w:r>
      <w:r w:rsidR="00DE3B0D" w:rsidRPr="00CA0210">
        <w:rPr>
          <w:rFonts w:ascii="Myriad Pro" w:hAnsi="Myriad Pro"/>
          <w:sz w:val="20"/>
          <w:lang w:val="it-IT"/>
        </w:rPr>
        <w:t>)</w:t>
      </w:r>
    </w:p>
    <w:p w14:paraId="12F6A4BB" w14:textId="77777777" w:rsidR="00DE3B0D" w:rsidRPr="00CA0210" w:rsidRDefault="00DE3B0D" w:rsidP="00DE3B0D">
      <w:pPr>
        <w:pStyle w:val="BodyText"/>
        <w:rPr>
          <w:rFonts w:ascii="Myriad Pro" w:hAnsi="Myriad Pro"/>
          <w:sz w:val="16"/>
          <w:szCs w:val="16"/>
          <w:lang w:val="it-IT"/>
        </w:rPr>
      </w:pPr>
    </w:p>
    <w:p w14:paraId="1B1A441F" w14:textId="7A631D52" w:rsidR="00DE3B0D" w:rsidRPr="00CA0210" w:rsidRDefault="00DE3B0D" w:rsidP="00DE3B0D">
      <w:pPr>
        <w:pStyle w:val="BodyText"/>
        <w:spacing w:after="0" w:line="288" w:lineRule="auto"/>
        <w:jc w:val="both"/>
        <w:rPr>
          <w:rFonts w:ascii="Myriad Pro" w:hAnsi="Myriad Pro"/>
          <w:sz w:val="16"/>
          <w:szCs w:val="16"/>
          <w:lang w:val="it-IT"/>
        </w:rPr>
      </w:pPr>
      <w:r w:rsidRPr="00385DE5">
        <w:rPr>
          <w:rFonts w:ascii="Myriad Pro" w:hAnsi="Myriad Pro"/>
          <w:sz w:val="20"/>
          <w:szCs w:val="20"/>
          <w:lang w:val="it-IT"/>
        </w:rPr>
        <w:t>pri čemer zapis z malimi črkami pomeni deleže agregatov v BDP (</w:t>
      </w:r>
      <w:r w:rsidRPr="00385DE5">
        <w:rPr>
          <w:rFonts w:ascii="Myriad Pro" w:hAnsi="Myriad Pro"/>
          <w:i/>
          <w:sz w:val="20"/>
          <w:szCs w:val="20"/>
          <w:lang w:val="it-IT"/>
        </w:rPr>
        <w:t xml:space="preserve">nfa </w:t>
      </w:r>
      <w:r w:rsidRPr="00385DE5">
        <w:rPr>
          <w:rFonts w:ascii="Myriad Pro" w:hAnsi="Myriad Pro"/>
          <w:sz w:val="20"/>
          <w:szCs w:val="20"/>
          <w:lang w:val="it-IT"/>
        </w:rPr>
        <w:t xml:space="preserve">– stanje </w:t>
      </w:r>
      <w:r w:rsidR="007760FC">
        <w:rPr>
          <w:rFonts w:ascii="Myriad Pro" w:hAnsi="Myriad Pro"/>
          <w:sz w:val="20"/>
          <w:szCs w:val="20"/>
          <w:lang w:val="it-IT"/>
        </w:rPr>
        <w:t>mednarodnih naložb</w:t>
      </w:r>
      <w:r w:rsidRPr="00385DE5">
        <w:rPr>
          <w:rFonts w:ascii="Myriad Pro" w:hAnsi="Myriad Pro"/>
          <w:sz w:val="20"/>
          <w:szCs w:val="20"/>
          <w:lang w:val="it-IT"/>
        </w:rPr>
        <w:t xml:space="preserve">; </w:t>
      </w:r>
      <w:r w:rsidRPr="00385DE5">
        <w:rPr>
          <w:rFonts w:ascii="Myriad Pro" w:hAnsi="Myriad Pro"/>
          <w:i/>
          <w:sz w:val="20"/>
          <w:szCs w:val="20"/>
          <w:lang w:val="it-IT"/>
        </w:rPr>
        <w:t xml:space="preserve">bgst </w:t>
      </w:r>
      <w:r w:rsidRPr="00385DE5">
        <w:rPr>
          <w:rFonts w:ascii="Myriad Pro" w:hAnsi="Myriad Pro"/>
          <w:sz w:val="20"/>
          <w:szCs w:val="20"/>
          <w:lang w:val="it-IT"/>
        </w:rPr>
        <w:t>–</w:t>
      </w:r>
      <w:r w:rsidRPr="00385DE5">
        <w:rPr>
          <w:rFonts w:ascii="Myriad Pro" w:hAnsi="Myriad Pro"/>
          <w:i/>
          <w:sz w:val="20"/>
          <w:szCs w:val="20"/>
          <w:lang w:val="it-IT"/>
        </w:rPr>
        <w:t xml:space="preserve"> </w:t>
      </w:r>
      <w:r w:rsidRPr="00385DE5">
        <w:rPr>
          <w:rFonts w:ascii="Myriad Pro" w:hAnsi="Myriad Pro"/>
          <w:sz w:val="20"/>
          <w:szCs w:val="20"/>
          <w:lang w:val="it-IT"/>
        </w:rPr>
        <w:t xml:space="preserve">menjava s tujino, dohodki od dela in tekoči transferi; </w:t>
      </w:r>
      <w:r w:rsidRPr="00385DE5">
        <w:rPr>
          <w:rFonts w:ascii="Myriad Pro" w:hAnsi="Myriad Pro"/>
          <w:i/>
          <w:sz w:val="20"/>
          <w:szCs w:val="20"/>
        </w:rPr>
        <w:t>ε</w:t>
      </w:r>
      <w:r w:rsidRPr="00385DE5">
        <w:rPr>
          <w:rFonts w:ascii="Myriad Pro" w:hAnsi="Myriad Pro"/>
          <w:i/>
          <w:sz w:val="20"/>
          <w:szCs w:val="20"/>
          <w:lang w:val="it-IT"/>
        </w:rPr>
        <w:t xml:space="preserve"> </w:t>
      </w:r>
      <w:r w:rsidRPr="00385DE5">
        <w:rPr>
          <w:rFonts w:ascii="Myriad Pro" w:hAnsi="Myriad Pro"/>
          <w:sz w:val="20"/>
          <w:szCs w:val="20"/>
          <w:lang w:val="it-IT"/>
        </w:rPr>
        <w:t xml:space="preserve">– kapitalski transferi ter neto napake in izpustitve;  </w:t>
      </w:r>
      <w:r w:rsidRPr="00385DE5">
        <w:rPr>
          <w:rFonts w:ascii="Myriad Pro" w:hAnsi="Myriad Pro"/>
          <w:i/>
          <w:sz w:val="20"/>
          <w:szCs w:val="20"/>
          <w:lang w:val="it-IT"/>
        </w:rPr>
        <w:t>r</w:t>
      </w:r>
      <w:r w:rsidRPr="00385DE5">
        <w:rPr>
          <w:rFonts w:ascii="Myriad Pro" w:hAnsi="Myriad Pro"/>
          <w:i/>
          <w:sz w:val="20"/>
          <w:szCs w:val="20"/>
          <w:vertAlign w:val="superscript"/>
          <w:lang w:val="it-IT"/>
        </w:rPr>
        <w:t>A</w:t>
      </w:r>
      <w:r w:rsidRPr="00385DE5">
        <w:rPr>
          <w:rFonts w:ascii="Myriad Pro" w:hAnsi="Myriad Pro"/>
          <w:sz w:val="20"/>
          <w:szCs w:val="20"/>
          <w:lang w:val="it-IT"/>
        </w:rPr>
        <w:t xml:space="preserve"> in </w:t>
      </w:r>
      <w:r w:rsidRPr="00385DE5">
        <w:rPr>
          <w:rFonts w:ascii="Myriad Pro" w:hAnsi="Myriad Pro"/>
          <w:i/>
          <w:sz w:val="20"/>
          <w:szCs w:val="20"/>
          <w:lang w:val="it-IT"/>
        </w:rPr>
        <w:t>r</w:t>
      </w:r>
      <w:r w:rsidRPr="00385DE5">
        <w:rPr>
          <w:rFonts w:ascii="Myriad Pro" w:hAnsi="Myriad Pro"/>
          <w:i/>
          <w:sz w:val="20"/>
          <w:szCs w:val="20"/>
          <w:vertAlign w:val="superscript"/>
          <w:lang w:val="it-IT"/>
        </w:rPr>
        <w:t>L</w:t>
      </w:r>
      <w:r w:rsidRPr="00385DE5">
        <w:rPr>
          <w:rFonts w:ascii="Myriad Pro" w:hAnsi="Myriad Pro"/>
          <w:sz w:val="20"/>
          <w:szCs w:val="20"/>
          <w:lang w:val="it-IT"/>
        </w:rPr>
        <w:t xml:space="preserve"> sta stopnji celotnega donosa na terjatve in obveznosti do tujine (vključujoč dohodke od kapitala in kapitalske dobičke/izgube); </w:t>
      </w:r>
      <w:r w:rsidRPr="00385DE5">
        <w:rPr>
          <w:rFonts w:ascii="Myriad Pro" w:hAnsi="Myriad Pro"/>
          <w:i/>
          <w:sz w:val="20"/>
          <w:szCs w:val="20"/>
          <w:lang w:val="it-IT"/>
        </w:rPr>
        <w:t>g</w:t>
      </w:r>
      <w:r w:rsidRPr="00385DE5">
        <w:rPr>
          <w:rFonts w:ascii="Myriad Pro" w:hAnsi="Myriad Pro"/>
          <w:i/>
          <w:sz w:val="20"/>
          <w:szCs w:val="20"/>
          <w:vertAlign w:val="subscript"/>
          <w:lang w:val="it-IT"/>
        </w:rPr>
        <w:t>t</w:t>
      </w:r>
      <w:r w:rsidRPr="00385DE5">
        <w:rPr>
          <w:rFonts w:ascii="Myriad Pro" w:hAnsi="Myriad Pro"/>
          <w:sz w:val="20"/>
          <w:szCs w:val="20"/>
          <w:lang w:val="it-IT"/>
        </w:rPr>
        <w:t xml:space="preserve"> je rast nominalnega BDP. </w:t>
      </w:r>
    </w:p>
    <w:p w14:paraId="59AA6EAA" w14:textId="0830B9BA" w:rsidR="00DE3B0D" w:rsidRPr="00795ED9" w:rsidRDefault="00DE3B0D" w:rsidP="00DE3B0D">
      <w:pPr>
        <w:pStyle w:val="BodyText"/>
        <w:rPr>
          <w:rFonts w:ascii="Myriad Pro" w:hAnsi="Myriad Pro"/>
          <w:i/>
          <w:sz w:val="20"/>
          <w:lang w:val="it-IT"/>
        </w:rPr>
      </w:pPr>
    </w:p>
    <w:p w14:paraId="7A6452CF" w14:textId="77777777" w:rsidR="00DE3B0D" w:rsidRDefault="00DE3B0D" w:rsidP="007F5A6A">
      <w:pPr>
        <w:pStyle w:val="BodyText"/>
        <w:spacing w:after="0" w:line="288" w:lineRule="auto"/>
        <w:jc w:val="both"/>
        <w:rPr>
          <w:rFonts w:ascii="Myriad Pro" w:hAnsi="Myriad Pro"/>
          <w:sz w:val="20"/>
          <w:lang w:val="it-IT"/>
        </w:rPr>
      </w:pPr>
      <w:r w:rsidRPr="004E481C">
        <w:rPr>
          <w:rFonts w:ascii="Myriad Pro" w:hAnsi="Myriad Pro"/>
          <w:sz w:val="20"/>
          <w:lang w:val="it-IT"/>
        </w:rPr>
        <w:t xml:space="preserve">Če je država neto dolžnik do tujine in stopnja donosa na obveznosti višja od rasti nominalnega BDP, mora gospodarstvo v menjavi s tujino realizirati presežke, ki ustalijo neto zunanji dolg na določeni ravni. Ta raven je lahko tekoča raven zadolžitve ali pa raven, ki jo določajo mednarodni investitorji in mednarodne institucije. Ker so države vedno bolj integrirane tudi v mednarodne kapitalske tokove, razlike v stopnjah donosa postajajo pomemben dejavnik razvoja neto finančne pozicije. </w:t>
      </w:r>
    </w:p>
    <w:p w14:paraId="776FFB71" w14:textId="77777777" w:rsidR="007F5A6A" w:rsidRDefault="007F5A6A" w:rsidP="007F5A6A">
      <w:pPr>
        <w:autoSpaceDE w:val="0"/>
        <w:autoSpaceDN w:val="0"/>
        <w:adjustRightInd w:val="0"/>
        <w:spacing w:after="0" w:line="288" w:lineRule="auto"/>
        <w:jc w:val="both"/>
        <w:rPr>
          <w:rFonts w:ascii="Myriad Pro" w:eastAsia="Times New Roman" w:hAnsi="Myriad Pro" w:cs="ArialNarrow"/>
          <w:sz w:val="20"/>
          <w:szCs w:val="20"/>
          <w:lang w:eastAsia="sl-SI"/>
        </w:rPr>
      </w:pPr>
    </w:p>
    <w:p w14:paraId="352DD6ED" w14:textId="1EE2AA1E" w:rsidR="009354E5" w:rsidRPr="004C200D" w:rsidRDefault="00DE3B0D" w:rsidP="009354E5">
      <w:pPr>
        <w:pStyle w:val="Heading1"/>
      </w:pPr>
      <w:r>
        <w:lastRenderedPageBreak/>
        <w:t>Analiza</w:t>
      </w:r>
      <w:r w:rsidR="009354E5">
        <w:t xml:space="preserve"> sprememb mednarodnih naložb Slovenije</w:t>
      </w:r>
    </w:p>
    <w:p w14:paraId="513D2B59" w14:textId="7FDCA4CD" w:rsidR="00795ED9" w:rsidRPr="00E72123" w:rsidRDefault="00D165EF" w:rsidP="00E72123">
      <w:pPr>
        <w:pStyle w:val="TekstPOR"/>
        <w:spacing w:before="0" w:after="0" w:line="288" w:lineRule="auto"/>
        <w:jc w:val="both"/>
        <w:rPr>
          <w:rFonts w:ascii="Myriad Pro" w:hAnsi="Myriad Pro"/>
          <w:sz w:val="20"/>
          <w:szCs w:val="20"/>
        </w:rPr>
      </w:pPr>
      <w:r>
        <w:rPr>
          <w:rFonts w:ascii="Myriad Pro" w:hAnsi="Myriad Pro"/>
          <w:b/>
          <w:sz w:val="20"/>
        </w:rPr>
        <w:t xml:space="preserve">Stanje mednarodnih naložb </w:t>
      </w:r>
      <w:r w:rsidR="00795ED9" w:rsidRPr="00C23EA9">
        <w:rPr>
          <w:rStyle w:val="vstavekChar"/>
          <w:rFonts w:ascii="Myriad Pro" w:hAnsi="Myriad Pro" w:cs="Arial"/>
          <w:i w:val="0"/>
          <w:iCs/>
          <w:noProof w:val="0"/>
          <w:sz w:val="20"/>
          <w:szCs w:val="20"/>
        </w:rPr>
        <w:t>je po liberalizaciji kapitalskega in finančnega računa ter vstopu Slovenije v EU prešl</w:t>
      </w:r>
      <w:r w:rsidR="00A70AED">
        <w:rPr>
          <w:rStyle w:val="vstavekChar"/>
          <w:rFonts w:ascii="Myriad Pro" w:hAnsi="Myriad Pro" w:cs="Arial"/>
          <w:i w:val="0"/>
          <w:iCs/>
          <w:noProof w:val="0"/>
          <w:sz w:val="20"/>
          <w:szCs w:val="20"/>
        </w:rPr>
        <w:t>o</w:t>
      </w:r>
      <w:r w:rsidR="00795ED9" w:rsidRPr="00C23EA9">
        <w:rPr>
          <w:rStyle w:val="vstavekChar"/>
          <w:rFonts w:ascii="Myriad Pro" w:hAnsi="Myriad Pro" w:cs="Arial"/>
          <w:i w:val="0"/>
          <w:iCs/>
          <w:noProof w:val="0"/>
          <w:sz w:val="20"/>
          <w:szCs w:val="20"/>
        </w:rPr>
        <w:t xml:space="preserve"> iz presežka v primanjkljaj</w:t>
      </w:r>
      <w:r w:rsidR="00E96D74">
        <w:rPr>
          <w:rStyle w:val="vstavekChar"/>
          <w:rFonts w:ascii="Myriad Pro" w:hAnsi="Myriad Pro" w:cs="Arial"/>
          <w:i w:val="0"/>
          <w:iCs/>
          <w:noProof w:val="0"/>
          <w:sz w:val="20"/>
          <w:szCs w:val="20"/>
        </w:rPr>
        <w:t>.</w:t>
      </w:r>
      <w:r w:rsidR="00795ED9" w:rsidRPr="00C23EA9">
        <w:rPr>
          <w:rFonts w:ascii="Myriad Pro" w:hAnsi="Myriad Pro"/>
          <w:sz w:val="20"/>
        </w:rPr>
        <w:t xml:space="preserve"> V prvih letih krize (do leta 2012) se je kljub razdolževanju zasebnega sektorja močno poslabšal</w:t>
      </w:r>
      <w:r>
        <w:rPr>
          <w:rFonts w:ascii="Myriad Pro" w:hAnsi="Myriad Pro"/>
          <w:sz w:val="20"/>
        </w:rPr>
        <w:t>o</w:t>
      </w:r>
      <w:r w:rsidR="00795ED9" w:rsidRPr="00C23EA9">
        <w:rPr>
          <w:rFonts w:ascii="Myriad Pro" w:hAnsi="Myriad Pro"/>
          <w:sz w:val="20"/>
        </w:rPr>
        <w:t xml:space="preserve"> zaradi povečanega zadolževanja sektorja država. Od leta 2013 se postopoma izboljšuje, predvsem zaradi nadaljnjega razdolževanja poslovnih bank in večjih terjatev bančnega sektorja do tujine</w:t>
      </w:r>
      <w:r w:rsidR="00E96D74">
        <w:rPr>
          <w:rFonts w:ascii="Myriad Pro" w:hAnsi="Myriad Pro"/>
          <w:sz w:val="20"/>
        </w:rPr>
        <w:t xml:space="preserve"> (slika 2)</w:t>
      </w:r>
      <w:r w:rsidR="00795ED9" w:rsidRPr="00C23EA9">
        <w:rPr>
          <w:rFonts w:ascii="Myriad Pro" w:hAnsi="Myriad Pro"/>
          <w:sz w:val="20"/>
        </w:rPr>
        <w:t xml:space="preserve">.  </w:t>
      </w:r>
      <w:r w:rsidR="00795ED9">
        <w:rPr>
          <w:rFonts w:ascii="Myriad Pro" w:hAnsi="Myriad Pro"/>
          <w:sz w:val="20"/>
          <w:szCs w:val="20"/>
        </w:rPr>
        <w:t>K</w:t>
      </w:r>
      <w:r w:rsidR="00795ED9" w:rsidRPr="00E83849">
        <w:rPr>
          <w:rFonts w:ascii="Myriad Pro" w:hAnsi="Myriad Pro"/>
          <w:sz w:val="20"/>
          <w:szCs w:val="20"/>
        </w:rPr>
        <w:t xml:space="preserve">onec leta 2020 </w:t>
      </w:r>
      <w:r w:rsidR="00795ED9">
        <w:rPr>
          <w:rFonts w:ascii="Myriad Pro" w:hAnsi="Myriad Pro"/>
          <w:sz w:val="20"/>
          <w:szCs w:val="20"/>
        </w:rPr>
        <w:t>je c</w:t>
      </w:r>
      <w:r w:rsidR="00795ED9" w:rsidRPr="00E83849">
        <w:rPr>
          <w:rFonts w:ascii="Myriad Pro" w:hAnsi="Myriad Pro"/>
          <w:sz w:val="20"/>
          <w:szCs w:val="20"/>
        </w:rPr>
        <w:t xml:space="preserve">elotna neto </w:t>
      </w:r>
      <w:r>
        <w:rPr>
          <w:rFonts w:ascii="Myriad Pro" w:hAnsi="Myriad Pro"/>
          <w:sz w:val="20"/>
          <w:szCs w:val="20"/>
        </w:rPr>
        <w:t xml:space="preserve">zadolženost </w:t>
      </w:r>
      <w:r w:rsidR="00795ED9">
        <w:rPr>
          <w:rFonts w:ascii="Myriad Pro" w:hAnsi="Myriad Pro"/>
          <w:sz w:val="20"/>
          <w:szCs w:val="20"/>
        </w:rPr>
        <w:t xml:space="preserve">Slovenije do tujine znašala </w:t>
      </w:r>
      <w:r w:rsidR="00795ED9" w:rsidRPr="00E83849">
        <w:rPr>
          <w:rFonts w:ascii="Myriad Pro" w:hAnsi="Myriad Pro"/>
          <w:sz w:val="20"/>
          <w:szCs w:val="20"/>
        </w:rPr>
        <w:t>7,</w:t>
      </w:r>
      <w:r>
        <w:rPr>
          <w:rFonts w:ascii="Myriad Pro" w:hAnsi="Myriad Pro"/>
          <w:sz w:val="20"/>
          <w:szCs w:val="20"/>
        </w:rPr>
        <w:t>1</w:t>
      </w:r>
      <w:r w:rsidR="00795ED9" w:rsidRPr="00E83849">
        <w:rPr>
          <w:rFonts w:ascii="Myriad Pro" w:hAnsi="Myriad Pro"/>
          <w:sz w:val="20"/>
          <w:szCs w:val="20"/>
        </w:rPr>
        <w:t xml:space="preserve"> mrd EUR</w:t>
      </w:r>
      <w:r w:rsidR="00795ED9">
        <w:rPr>
          <w:rFonts w:ascii="Myriad Pro" w:hAnsi="Myriad Pro"/>
          <w:sz w:val="20"/>
          <w:szCs w:val="20"/>
        </w:rPr>
        <w:t xml:space="preserve"> (1</w:t>
      </w:r>
      <w:r>
        <w:rPr>
          <w:rFonts w:ascii="Myriad Pro" w:hAnsi="Myriad Pro"/>
          <w:sz w:val="20"/>
          <w:szCs w:val="20"/>
        </w:rPr>
        <w:t>5</w:t>
      </w:r>
      <w:r w:rsidR="00795ED9">
        <w:rPr>
          <w:rFonts w:ascii="Myriad Pro" w:hAnsi="Myriad Pro"/>
          <w:sz w:val="20"/>
          <w:szCs w:val="20"/>
        </w:rPr>
        <w:t>,</w:t>
      </w:r>
      <w:r>
        <w:rPr>
          <w:rFonts w:ascii="Myriad Pro" w:hAnsi="Myriad Pro"/>
          <w:sz w:val="20"/>
          <w:szCs w:val="20"/>
        </w:rPr>
        <w:t>2</w:t>
      </w:r>
      <w:r w:rsidR="00795ED9">
        <w:rPr>
          <w:rFonts w:ascii="Myriad Pro" w:hAnsi="Myriad Pro"/>
          <w:sz w:val="20"/>
          <w:szCs w:val="20"/>
        </w:rPr>
        <w:t xml:space="preserve"> % BDP), pri čemer so celotne terjatve znašale 62,</w:t>
      </w:r>
      <w:r>
        <w:rPr>
          <w:rFonts w:ascii="Myriad Pro" w:hAnsi="Myriad Pro"/>
          <w:sz w:val="20"/>
          <w:szCs w:val="20"/>
        </w:rPr>
        <w:t>5</w:t>
      </w:r>
      <w:r w:rsidR="00795ED9">
        <w:rPr>
          <w:rFonts w:ascii="Myriad Pro" w:hAnsi="Myriad Pro"/>
          <w:sz w:val="20"/>
          <w:szCs w:val="20"/>
        </w:rPr>
        <w:t xml:space="preserve"> mrd EUR (13</w:t>
      </w:r>
      <w:r>
        <w:rPr>
          <w:rFonts w:ascii="Myriad Pro" w:hAnsi="Myriad Pro"/>
          <w:sz w:val="20"/>
          <w:szCs w:val="20"/>
        </w:rPr>
        <w:t>3,1</w:t>
      </w:r>
      <w:r w:rsidR="00795ED9">
        <w:rPr>
          <w:rFonts w:ascii="Myriad Pro" w:hAnsi="Myriad Pro"/>
          <w:sz w:val="20"/>
          <w:szCs w:val="20"/>
        </w:rPr>
        <w:t xml:space="preserve"> % BDP), celotne obveznosti pa </w:t>
      </w:r>
      <w:r>
        <w:rPr>
          <w:rFonts w:ascii="Myriad Pro" w:hAnsi="Myriad Pro"/>
          <w:sz w:val="20"/>
          <w:szCs w:val="20"/>
        </w:rPr>
        <w:t>69,6</w:t>
      </w:r>
      <w:r w:rsidR="00795ED9">
        <w:rPr>
          <w:rFonts w:ascii="Myriad Pro" w:hAnsi="Myriad Pro"/>
          <w:sz w:val="20"/>
          <w:szCs w:val="20"/>
        </w:rPr>
        <w:t xml:space="preserve"> mrd EUR (1</w:t>
      </w:r>
      <w:r>
        <w:rPr>
          <w:rFonts w:ascii="Myriad Pro" w:hAnsi="Myriad Pro"/>
          <w:sz w:val="20"/>
          <w:szCs w:val="20"/>
        </w:rPr>
        <w:t>48,3</w:t>
      </w:r>
      <w:r w:rsidR="00795ED9">
        <w:rPr>
          <w:rFonts w:ascii="Myriad Pro" w:hAnsi="Myriad Pro"/>
          <w:sz w:val="20"/>
          <w:szCs w:val="20"/>
        </w:rPr>
        <w:t xml:space="preserve"> % BDP). </w:t>
      </w:r>
      <w:r w:rsidR="00795ED9" w:rsidRPr="00E83849">
        <w:rPr>
          <w:rFonts w:ascii="Myriad Pro" w:hAnsi="Myriad Pro"/>
          <w:sz w:val="20"/>
          <w:szCs w:val="20"/>
        </w:rPr>
        <w:t xml:space="preserve"> </w:t>
      </w:r>
      <w:r w:rsidR="00795ED9">
        <w:rPr>
          <w:rFonts w:ascii="Myriad Pro" w:hAnsi="Myriad Pro"/>
          <w:sz w:val="20"/>
          <w:szCs w:val="20"/>
        </w:rPr>
        <w:t>Finančna odprtost</w:t>
      </w:r>
      <w:r w:rsidR="00197C1E">
        <w:rPr>
          <w:rFonts w:ascii="Myriad Pro" w:hAnsi="Myriad Pro"/>
          <w:sz w:val="20"/>
          <w:szCs w:val="20"/>
        </w:rPr>
        <w:t xml:space="preserve"> Slovenije</w:t>
      </w:r>
      <w:r w:rsidR="00795ED9">
        <w:rPr>
          <w:rFonts w:ascii="Myriad Pro" w:hAnsi="Myriad Pro"/>
          <w:sz w:val="20"/>
          <w:szCs w:val="20"/>
        </w:rPr>
        <w:t xml:space="preserve">, merjena z deležem terjatev in obveznosti v BDP, je konec leta </w:t>
      </w:r>
      <w:r w:rsidR="00795ED9" w:rsidRPr="00E83849">
        <w:rPr>
          <w:rFonts w:ascii="Myriad Pro" w:hAnsi="Myriad Pro"/>
          <w:sz w:val="20"/>
          <w:szCs w:val="20"/>
        </w:rPr>
        <w:t>2020 dosegl</w:t>
      </w:r>
      <w:r w:rsidR="00795ED9">
        <w:rPr>
          <w:rFonts w:ascii="Myriad Pro" w:hAnsi="Myriad Pro"/>
          <w:sz w:val="20"/>
          <w:szCs w:val="20"/>
        </w:rPr>
        <w:t>a</w:t>
      </w:r>
      <w:r w:rsidR="00795ED9" w:rsidRPr="00E83849">
        <w:rPr>
          <w:rFonts w:ascii="Myriad Pro" w:hAnsi="Myriad Pro"/>
          <w:sz w:val="20"/>
          <w:szCs w:val="20"/>
        </w:rPr>
        <w:t xml:space="preserve"> </w:t>
      </w:r>
      <w:r w:rsidR="00795ED9">
        <w:rPr>
          <w:rFonts w:ascii="Myriad Pro" w:hAnsi="Myriad Pro"/>
          <w:sz w:val="20"/>
          <w:szCs w:val="20"/>
        </w:rPr>
        <w:t>28</w:t>
      </w:r>
      <w:r>
        <w:rPr>
          <w:rFonts w:ascii="Myriad Pro" w:hAnsi="Myriad Pro"/>
          <w:sz w:val="20"/>
          <w:szCs w:val="20"/>
        </w:rPr>
        <w:t>1,4</w:t>
      </w:r>
      <w:r w:rsidR="00795ED9">
        <w:rPr>
          <w:rFonts w:ascii="Myriad Pro" w:hAnsi="Myriad Pro"/>
          <w:sz w:val="20"/>
          <w:szCs w:val="20"/>
        </w:rPr>
        <w:t xml:space="preserve"> % BDP.</w:t>
      </w:r>
    </w:p>
    <w:p w14:paraId="4DE88275" w14:textId="3BA4D3B9" w:rsidR="00795ED9" w:rsidRDefault="00795ED9" w:rsidP="00E72123">
      <w:pPr>
        <w:pStyle w:val="Caption"/>
      </w:pPr>
      <w:r w:rsidRPr="00D17988">
        <w:t xml:space="preserve">Slika </w:t>
      </w:r>
      <w:r w:rsidR="00EC4098">
        <w:t>2</w:t>
      </w:r>
      <w:r w:rsidRPr="00D17988">
        <w:t xml:space="preserve">: </w:t>
      </w:r>
      <w:r w:rsidR="00190CDE">
        <w:t>T</w:t>
      </w:r>
      <w:r w:rsidR="009B433C">
        <w:t xml:space="preserve">erjatve, obveznosti in </w:t>
      </w:r>
      <w:r w:rsidR="003D17C5">
        <w:t xml:space="preserve">stanje mednarodnih naložb </w:t>
      </w:r>
      <w:r w:rsidRPr="00D17988">
        <w:t>Slovenije</w:t>
      </w:r>
    </w:p>
    <w:p w14:paraId="5E9AC8E9" w14:textId="4B98C5EF" w:rsidR="00C35550" w:rsidRDefault="00856B78" w:rsidP="00677AC1">
      <w:pPr>
        <w:pStyle w:val="FootnoteText"/>
      </w:pPr>
      <w:r>
        <w:rPr>
          <w:noProof/>
        </w:rPr>
        <w:drawing>
          <wp:inline distT="0" distB="0" distL="0" distR="0" wp14:anchorId="492D2485" wp14:editId="6D4BB8FC">
            <wp:extent cx="5734800" cy="3106800"/>
            <wp:effectExtent l="0" t="0" r="0" b="0"/>
            <wp:docPr id="34" name="Slika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800" cy="3106800"/>
                    </a:xfrm>
                    <a:prstGeom prst="rect">
                      <a:avLst/>
                    </a:prstGeom>
                    <a:noFill/>
                  </pic:spPr>
                </pic:pic>
              </a:graphicData>
            </a:graphic>
          </wp:inline>
        </w:drawing>
      </w:r>
    </w:p>
    <w:p w14:paraId="054DE9DC" w14:textId="131DE31B" w:rsidR="00795ED9" w:rsidRPr="003D17C5" w:rsidRDefault="00795ED9" w:rsidP="00E72123">
      <w:pPr>
        <w:pStyle w:val="VirUMAR"/>
        <w:rPr>
          <w:sz w:val="20"/>
          <w:szCs w:val="20"/>
        </w:rPr>
      </w:pPr>
      <w:r w:rsidRPr="00E83849">
        <w:t>Vir: BS, lastni preračuni.</w:t>
      </w:r>
    </w:p>
    <w:p w14:paraId="5BD8EF89" w14:textId="280C5D04" w:rsidR="00795ED9" w:rsidRDefault="00795ED9" w:rsidP="006A529D">
      <w:pPr>
        <w:spacing w:after="0" w:line="288" w:lineRule="auto"/>
        <w:jc w:val="both"/>
        <w:rPr>
          <w:rFonts w:ascii="Myriad Pro" w:hAnsi="Myriad Pro"/>
          <w:sz w:val="20"/>
          <w:szCs w:val="20"/>
        </w:rPr>
      </w:pPr>
    </w:p>
    <w:p w14:paraId="32A3BA2A" w14:textId="6C303142" w:rsidR="00895A61" w:rsidRDefault="00A7193C" w:rsidP="00E72123">
      <w:pPr>
        <w:pStyle w:val="BesediloUMAR"/>
      </w:pPr>
      <w:r w:rsidRPr="00A70AED">
        <w:t>Spremembe stanja mednarodnih naložb Slovenije</w:t>
      </w:r>
      <w:r w:rsidR="004410A9" w:rsidRPr="00A70AED">
        <w:t xml:space="preserve"> </w:t>
      </w:r>
      <w:r w:rsidRPr="00A70AED">
        <w:t xml:space="preserve">analiziramo </w:t>
      </w:r>
      <w:r w:rsidR="004410A9" w:rsidRPr="00A70AED">
        <w:t>v</w:t>
      </w:r>
      <w:r w:rsidR="004410A9" w:rsidRPr="006A529D">
        <w:t xml:space="preserve"> posameznih podobdobjih: </w:t>
      </w:r>
      <w:r w:rsidR="004410A9" w:rsidRPr="006A529D">
        <w:rPr>
          <w:rStyle w:val="vstavekChar"/>
          <w:rFonts w:ascii="Myriad Pro" w:hAnsi="Myriad Pro"/>
          <w:b w:val="0"/>
          <w:i w:val="0"/>
          <w:noProof w:val="0"/>
          <w:sz w:val="20"/>
          <w:szCs w:val="20"/>
        </w:rPr>
        <w:t xml:space="preserve">(i) obdobje od ravnotežne zunanje pozicije leta 2002, liberalizacije kapitalskih tokov, vstopa Slovenije v EU, </w:t>
      </w:r>
      <w:r w:rsidR="004410A9">
        <w:rPr>
          <w:rStyle w:val="vstavekChar"/>
          <w:rFonts w:ascii="Myriad Pro" w:hAnsi="Myriad Pro"/>
          <w:b w:val="0"/>
          <w:i w:val="0"/>
          <w:noProof w:val="0"/>
          <w:sz w:val="20"/>
          <w:szCs w:val="20"/>
        </w:rPr>
        <w:t xml:space="preserve">prevzema evra, pa </w:t>
      </w:r>
      <w:r w:rsidR="004410A9" w:rsidRPr="006A529D">
        <w:rPr>
          <w:rStyle w:val="vstavekChar"/>
          <w:rFonts w:ascii="Myriad Pro" w:hAnsi="Myriad Pro"/>
          <w:b w:val="0"/>
          <w:i w:val="0"/>
          <w:noProof w:val="0"/>
          <w:sz w:val="20"/>
          <w:szCs w:val="20"/>
        </w:rPr>
        <w:t xml:space="preserve">do predkriznega leta 2008,  (ii) prva leta finančne in gospodarske krize do vključno leta 2012 in (iii) obdobje 2013-2020, ki ga zaznamuje trajni presežek na tekočem računu plačilne bilance Slovenije. </w:t>
      </w:r>
      <w:r w:rsidR="004410A9">
        <w:rPr>
          <w:rStyle w:val="vstavekChar"/>
          <w:rFonts w:ascii="Myriad Pro" w:hAnsi="Myriad Pro"/>
          <w:b w:val="0"/>
          <w:i w:val="0"/>
          <w:noProof w:val="0"/>
          <w:sz w:val="20"/>
          <w:szCs w:val="20"/>
        </w:rPr>
        <w:t>Posebej poudarjamo predvsem analizo v obdobju med obema krizama.</w:t>
      </w:r>
      <w:r w:rsidR="004410A9" w:rsidRPr="006A529D">
        <w:rPr>
          <w:rStyle w:val="vstavekChar"/>
          <w:rFonts w:ascii="Myriad Pro" w:hAnsi="Myriad Pro"/>
          <w:b w:val="0"/>
          <w:i w:val="0"/>
          <w:noProof w:val="0"/>
          <w:sz w:val="20"/>
          <w:szCs w:val="20"/>
        </w:rPr>
        <w:t xml:space="preserve"> </w:t>
      </w:r>
      <w:r w:rsidR="004410A9" w:rsidRPr="004410A9">
        <w:t>Spremembe mednarodnih naložb obravnavamo z različnih vidikov,</w:t>
      </w:r>
      <w:r w:rsidR="004410A9">
        <w:t xml:space="preserve"> ki jih odražajo integrirani računi:  račun dohodka, račun instrumentov in sektorski račun.</w:t>
      </w:r>
    </w:p>
    <w:p w14:paraId="2F54036C" w14:textId="05BEF507" w:rsidR="00895A61" w:rsidRDefault="00895A61" w:rsidP="006A529D">
      <w:pPr>
        <w:spacing w:after="0" w:line="288" w:lineRule="auto"/>
        <w:jc w:val="both"/>
        <w:rPr>
          <w:rFonts w:ascii="Myriad Pro" w:hAnsi="Myriad Pro"/>
          <w:sz w:val="20"/>
          <w:szCs w:val="20"/>
        </w:rPr>
      </w:pPr>
    </w:p>
    <w:p w14:paraId="09CABBED" w14:textId="41983748" w:rsidR="003D17C5" w:rsidRDefault="003D17C5" w:rsidP="006A529D">
      <w:pPr>
        <w:spacing w:after="0" w:line="288" w:lineRule="auto"/>
        <w:jc w:val="both"/>
        <w:rPr>
          <w:rFonts w:ascii="Myriad Pro" w:hAnsi="Myriad Pro"/>
          <w:sz w:val="20"/>
          <w:szCs w:val="20"/>
        </w:rPr>
      </w:pPr>
    </w:p>
    <w:p w14:paraId="078DAA3D" w14:textId="60C89AE8" w:rsidR="003D17C5" w:rsidRDefault="003D17C5" w:rsidP="006A529D">
      <w:pPr>
        <w:spacing w:after="0" w:line="288" w:lineRule="auto"/>
        <w:jc w:val="both"/>
        <w:rPr>
          <w:rFonts w:ascii="Myriad Pro" w:hAnsi="Myriad Pro"/>
          <w:sz w:val="20"/>
          <w:szCs w:val="20"/>
        </w:rPr>
      </w:pPr>
    </w:p>
    <w:p w14:paraId="0AEBB1B1" w14:textId="0F0C8D00" w:rsidR="003D17C5" w:rsidRDefault="003D17C5" w:rsidP="006A529D">
      <w:pPr>
        <w:spacing w:after="0" w:line="288" w:lineRule="auto"/>
        <w:jc w:val="both"/>
        <w:rPr>
          <w:rFonts w:ascii="Myriad Pro" w:hAnsi="Myriad Pro"/>
          <w:sz w:val="20"/>
          <w:szCs w:val="20"/>
        </w:rPr>
      </w:pPr>
    </w:p>
    <w:p w14:paraId="6F89E73A" w14:textId="18789F0C" w:rsidR="003D17C5" w:rsidRDefault="003D17C5" w:rsidP="006A529D">
      <w:pPr>
        <w:spacing w:after="0" w:line="288" w:lineRule="auto"/>
        <w:jc w:val="both"/>
        <w:rPr>
          <w:rFonts w:ascii="Myriad Pro" w:hAnsi="Myriad Pro"/>
          <w:sz w:val="20"/>
          <w:szCs w:val="20"/>
        </w:rPr>
      </w:pPr>
    </w:p>
    <w:p w14:paraId="3679035A" w14:textId="2F12BC6C" w:rsidR="003D17C5" w:rsidRDefault="00EB364B" w:rsidP="005F0D5A">
      <w:pPr>
        <w:tabs>
          <w:tab w:val="left" w:pos="1587"/>
        </w:tabs>
        <w:spacing w:after="0" w:line="288" w:lineRule="auto"/>
        <w:jc w:val="both"/>
        <w:rPr>
          <w:rFonts w:ascii="Myriad Pro" w:hAnsi="Myriad Pro"/>
          <w:sz w:val="20"/>
          <w:szCs w:val="20"/>
        </w:rPr>
      </w:pPr>
      <w:r>
        <w:rPr>
          <w:rFonts w:ascii="Myriad Pro" w:hAnsi="Myriad Pro"/>
          <w:sz w:val="20"/>
          <w:szCs w:val="20"/>
        </w:rPr>
        <w:tab/>
      </w:r>
    </w:p>
    <w:p w14:paraId="367FE921" w14:textId="641F7A91" w:rsidR="003D17C5" w:rsidRDefault="003D17C5" w:rsidP="006A529D">
      <w:pPr>
        <w:spacing w:after="0" w:line="288" w:lineRule="auto"/>
        <w:jc w:val="both"/>
        <w:rPr>
          <w:rFonts w:ascii="Myriad Pro" w:hAnsi="Myriad Pro"/>
          <w:sz w:val="20"/>
          <w:szCs w:val="20"/>
        </w:rPr>
      </w:pPr>
    </w:p>
    <w:p w14:paraId="7DE8BC8C" w14:textId="5A2273CA" w:rsidR="00795ED9" w:rsidRPr="004C200D" w:rsidRDefault="00795ED9" w:rsidP="00795ED9">
      <w:pPr>
        <w:pStyle w:val="Heading1"/>
        <w:numPr>
          <w:ilvl w:val="0"/>
          <w:numId w:val="0"/>
        </w:numPr>
      </w:pPr>
      <w:r>
        <w:lastRenderedPageBreak/>
        <w:t>2.1</w:t>
      </w:r>
      <w:r w:rsidR="003672B4">
        <w:tab/>
      </w:r>
      <w:r>
        <w:t>Račun dohodka</w:t>
      </w:r>
    </w:p>
    <w:p w14:paraId="208B0957" w14:textId="42CDDEE7" w:rsidR="007A2B84" w:rsidRPr="00FE6508" w:rsidRDefault="00795ED9" w:rsidP="00FE6508">
      <w:pPr>
        <w:spacing w:after="0" w:line="288" w:lineRule="auto"/>
        <w:jc w:val="both"/>
        <w:rPr>
          <w:rFonts w:ascii="Myriad Pro" w:eastAsia="Calibri" w:hAnsi="Myriad Pro"/>
          <w:sz w:val="20"/>
          <w:szCs w:val="20"/>
        </w:rPr>
      </w:pPr>
      <w:r w:rsidRPr="00A4521B">
        <w:rPr>
          <w:rFonts w:ascii="Myriad Pro" w:hAnsi="Myriad Pro"/>
          <w:b/>
          <w:bCs/>
          <w:sz w:val="20"/>
          <w:szCs w:val="20"/>
        </w:rPr>
        <w:t>Račun dohodka</w:t>
      </w:r>
      <w:r>
        <w:rPr>
          <w:rFonts w:ascii="Myriad Pro" w:hAnsi="Myriad Pro"/>
          <w:sz w:val="20"/>
          <w:szCs w:val="20"/>
        </w:rPr>
        <w:t xml:space="preserve"> </w:t>
      </w:r>
      <w:r w:rsidR="0057035C">
        <w:rPr>
          <w:rFonts w:ascii="Myriad Pro" w:hAnsi="Myriad Pro"/>
          <w:sz w:val="20"/>
          <w:szCs w:val="20"/>
        </w:rPr>
        <w:t>prikazuje spremembe stanja mednarodnih naložb kot vsoto tekočega in kapitalskega računa</w:t>
      </w:r>
      <w:r w:rsidR="004C3776">
        <w:rPr>
          <w:rFonts w:ascii="Myriad Pro" w:hAnsi="Myriad Pro"/>
          <w:sz w:val="20"/>
          <w:szCs w:val="20"/>
        </w:rPr>
        <w:t>,</w:t>
      </w:r>
      <w:r w:rsidR="0057035C">
        <w:rPr>
          <w:rFonts w:ascii="Myriad Pro" w:hAnsi="Myriad Pro"/>
          <w:sz w:val="20"/>
          <w:szCs w:val="20"/>
        </w:rPr>
        <w:t xml:space="preserve">  statistične napake ter sprememb vrednotenja. </w:t>
      </w:r>
      <w:r w:rsidR="00FC6826">
        <w:rPr>
          <w:rFonts w:ascii="Myriad Pro" w:hAnsi="Myriad Pro"/>
          <w:sz w:val="20"/>
          <w:szCs w:val="20"/>
        </w:rPr>
        <w:t>K</w:t>
      </w:r>
      <w:r w:rsidR="004410A9">
        <w:rPr>
          <w:rStyle w:val="vstavekChar"/>
          <w:rFonts w:ascii="Myriad Pro" w:hAnsi="Myriad Pro"/>
          <w:b w:val="0"/>
          <w:i w:val="0"/>
          <w:noProof w:val="0"/>
          <w:sz w:val="20"/>
          <w:szCs w:val="20"/>
        </w:rPr>
        <w:t xml:space="preserve"> izboljšanju </w:t>
      </w:r>
      <w:r w:rsidR="004410A9" w:rsidRPr="00564BF8">
        <w:rPr>
          <w:rStyle w:val="vstavekChar"/>
          <w:rFonts w:ascii="Myriad Pro" w:hAnsi="Myriad Pro"/>
          <w:b w:val="0"/>
          <w:i w:val="0"/>
          <w:noProof w:val="0"/>
          <w:sz w:val="20"/>
          <w:szCs w:val="20"/>
        </w:rPr>
        <w:t xml:space="preserve">stanja mednarodnih naložb </w:t>
      </w:r>
      <w:r w:rsidR="004410A9">
        <w:rPr>
          <w:rStyle w:val="vstavekChar"/>
          <w:rFonts w:ascii="Myriad Pro" w:hAnsi="Myriad Pro"/>
          <w:b w:val="0"/>
          <w:i w:val="0"/>
          <w:noProof w:val="0"/>
          <w:sz w:val="20"/>
          <w:szCs w:val="20"/>
        </w:rPr>
        <w:t>med obema krizam</w:t>
      </w:r>
      <w:r w:rsidR="00F802DB">
        <w:rPr>
          <w:rStyle w:val="vstavekChar"/>
          <w:rFonts w:ascii="Myriad Pro" w:hAnsi="Myriad Pro"/>
          <w:b w:val="0"/>
          <w:i w:val="0"/>
          <w:noProof w:val="0"/>
          <w:sz w:val="20"/>
          <w:szCs w:val="20"/>
        </w:rPr>
        <w:t xml:space="preserve">a </w:t>
      </w:r>
      <w:r w:rsidR="00FC6826">
        <w:rPr>
          <w:rStyle w:val="vstavekChar"/>
          <w:rFonts w:ascii="Myriad Pro" w:hAnsi="Myriad Pro"/>
          <w:b w:val="0"/>
          <w:i w:val="0"/>
          <w:noProof w:val="0"/>
          <w:sz w:val="20"/>
          <w:szCs w:val="20"/>
        </w:rPr>
        <w:t xml:space="preserve">je </w:t>
      </w:r>
      <w:r w:rsidR="004410A9" w:rsidRPr="00564BF8">
        <w:rPr>
          <w:rStyle w:val="vstavekChar"/>
          <w:rFonts w:ascii="Myriad Pro" w:hAnsi="Myriad Pro"/>
          <w:b w:val="0"/>
          <w:i w:val="0"/>
          <w:noProof w:val="0"/>
          <w:sz w:val="20"/>
          <w:szCs w:val="20"/>
        </w:rPr>
        <w:t xml:space="preserve">prispeval naraščajoči </w:t>
      </w:r>
      <w:r w:rsidR="004410A9">
        <w:rPr>
          <w:rStyle w:val="vstavekChar"/>
          <w:rFonts w:ascii="Myriad Pro" w:hAnsi="Myriad Pro"/>
          <w:b w:val="0"/>
          <w:i w:val="0"/>
          <w:noProof w:val="0"/>
          <w:sz w:val="20"/>
          <w:szCs w:val="20"/>
        </w:rPr>
        <w:t xml:space="preserve">presežek </w:t>
      </w:r>
      <w:r w:rsidR="004410A9" w:rsidRPr="00564BF8">
        <w:rPr>
          <w:rStyle w:val="vstavekChar"/>
          <w:rFonts w:ascii="Myriad Pro" w:hAnsi="Myriad Pro"/>
          <w:b w:val="0"/>
          <w:i w:val="0"/>
          <w:noProof w:val="0"/>
          <w:sz w:val="20"/>
          <w:szCs w:val="20"/>
        </w:rPr>
        <w:t>tekočega računa plačilne bilance</w:t>
      </w:r>
      <w:r w:rsidR="00716F8F">
        <w:rPr>
          <w:rStyle w:val="vstavekChar"/>
          <w:rFonts w:ascii="Myriad Pro" w:hAnsi="Myriad Pro"/>
          <w:b w:val="0"/>
          <w:i w:val="0"/>
          <w:noProof w:val="0"/>
          <w:sz w:val="20"/>
          <w:szCs w:val="20"/>
        </w:rPr>
        <w:t xml:space="preserve">, </w:t>
      </w:r>
      <w:r w:rsidR="00FC6826">
        <w:rPr>
          <w:rStyle w:val="vstavekChar"/>
          <w:rFonts w:ascii="Myriad Pro" w:hAnsi="Myriad Pro"/>
          <w:b w:val="0"/>
          <w:i w:val="0"/>
          <w:noProof w:val="0"/>
          <w:sz w:val="20"/>
          <w:szCs w:val="20"/>
        </w:rPr>
        <w:t>ob</w:t>
      </w:r>
      <w:r w:rsidR="00716F8F">
        <w:rPr>
          <w:rStyle w:val="vstavekChar"/>
          <w:rFonts w:ascii="Myriad Pro" w:hAnsi="Myriad Pro"/>
          <w:b w:val="0"/>
          <w:i w:val="0"/>
          <w:noProof w:val="0"/>
          <w:sz w:val="20"/>
          <w:szCs w:val="20"/>
        </w:rPr>
        <w:t xml:space="preserve"> </w:t>
      </w:r>
      <w:r w:rsidR="00FC6826">
        <w:rPr>
          <w:rStyle w:val="vstavekChar"/>
          <w:rFonts w:ascii="Myriad Pro" w:hAnsi="Myriad Pro"/>
          <w:b w:val="0"/>
          <w:i w:val="0"/>
          <w:noProof w:val="0"/>
          <w:sz w:val="20"/>
          <w:szCs w:val="20"/>
        </w:rPr>
        <w:t xml:space="preserve">sicer </w:t>
      </w:r>
      <w:r w:rsidR="00716F8F">
        <w:rPr>
          <w:rStyle w:val="vstavekChar"/>
          <w:rFonts w:ascii="Myriad Pro" w:hAnsi="Myriad Pro"/>
          <w:b w:val="0"/>
          <w:i w:val="0"/>
          <w:noProof w:val="0"/>
          <w:sz w:val="20"/>
          <w:szCs w:val="20"/>
        </w:rPr>
        <w:t>negativni</w:t>
      </w:r>
      <w:r w:rsidR="00FC6826">
        <w:rPr>
          <w:rStyle w:val="vstavekChar"/>
          <w:rFonts w:ascii="Myriad Pro" w:hAnsi="Myriad Pro"/>
          <w:b w:val="0"/>
          <w:i w:val="0"/>
          <w:noProof w:val="0"/>
          <w:sz w:val="20"/>
          <w:szCs w:val="20"/>
        </w:rPr>
        <w:t>h</w:t>
      </w:r>
      <w:r w:rsidR="00716F8F">
        <w:rPr>
          <w:rStyle w:val="vstavekChar"/>
          <w:rFonts w:ascii="Myriad Pro" w:hAnsi="Myriad Pro"/>
          <w:b w:val="0"/>
          <w:i w:val="0"/>
          <w:noProof w:val="0"/>
          <w:sz w:val="20"/>
          <w:szCs w:val="20"/>
        </w:rPr>
        <w:t xml:space="preserve"> </w:t>
      </w:r>
      <w:r w:rsidR="00FC6826">
        <w:rPr>
          <w:rStyle w:val="vstavekChar"/>
          <w:rFonts w:ascii="Myriad Pro" w:hAnsi="Myriad Pro"/>
          <w:b w:val="0"/>
          <w:i w:val="0"/>
          <w:noProof w:val="0"/>
          <w:sz w:val="20"/>
          <w:szCs w:val="20"/>
        </w:rPr>
        <w:t>spremembah vrednotenja</w:t>
      </w:r>
      <w:r w:rsidR="0015080F">
        <w:rPr>
          <w:rStyle w:val="vstavekChar"/>
          <w:rFonts w:ascii="Myriad Pro" w:hAnsi="Myriad Pro"/>
          <w:b w:val="0"/>
          <w:i w:val="0"/>
          <w:noProof w:val="0"/>
          <w:sz w:val="20"/>
          <w:szCs w:val="20"/>
        </w:rPr>
        <w:t xml:space="preserve"> (tabela 1)</w:t>
      </w:r>
      <w:r w:rsidR="00FC6826">
        <w:rPr>
          <w:rStyle w:val="vstavekChar"/>
          <w:rFonts w:ascii="Myriad Pro" w:hAnsi="Myriad Pro"/>
          <w:b w:val="0"/>
          <w:i w:val="0"/>
          <w:noProof w:val="0"/>
          <w:sz w:val="20"/>
          <w:szCs w:val="20"/>
        </w:rPr>
        <w:t>.</w:t>
      </w:r>
      <w:r w:rsidR="00F802DB">
        <w:rPr>
          <w:rStyle w:val="vstavekChar"/>
          <w:rFonts w:ascii="Myriad Pro" w:hAnsi="Myriad Pro"/>
          <w:b w:val="0"/>
          <w:i w:val="0"/>
          <w:noProof w:val="0"/>
          <w:sz w:val="20"/>
          <w:szCs w:val="20"/>
        </w:rPr>
        <w:t xml:space="preserve"> </w:t>
      </w:r>
    </w:p>
    <w:p w14:paraId="6DEFC8CC" w14:textId="7F90334C" w:rsidR="000E1654" w:rsidRPr="0004147D" w:rsidRDefault="000E1654" w:rsidP="000E1654">
      <w:pPr>
        <w:pStyle w:val="Caption"/>
      </w:pPr>
      <w:r>
        <w:t>Tabela</w:t>
      </w:r>
      <w:r w:rsidR="00930265">
        <w:t xml:space="preserve"> 1</w:t>
      </w:r>
      <w:r>
        <w:t xml:space="preserve">: </w:t>
      </w:r>
      <w:r w:rsidRPr="00F802DB">
        <w:t>Struktura sprememb stanja mednarodnih naložb Slovenije, v % BDP</w:t>
      </w:r>
    </w:p>
    <w:tbl>
      <w:tblPr>
        <w:tblStyle w:val="TableGridLight"/>
        <w:tblW w:w="4998" w:type="pct"/>
        <w:tblLayout w:type="fixed"/>
        <w:tblLook w:val="04A0" w:firstRow="1" w:lastRow="0" w:firstColumn="1" w:lastColumn="0" w:noHBand="0" w:noVBand="1"/>
      </w:tblPr>
      <w:tblGrid>
        <w:gridCol w:w="906"/>
        <w:gridCol w:w="906"/>
        <w:gridCol w:w="906"/>
        <w:gridCol w:w="906"/>
        <w:gridCol w:w="907"/>
        <w:gridCol w:w="907"/>
        <w:gridCol w:w="907"/>
        <w:gridCol w:w="907"/>
        <w:gridCol w:w="907"/>
        <w:gridCol w:w="907"/>
      </w:tblGrid>
      <w:tr w:rsidR="00E72123" w14:paraId="1B822463" w14:textId="77777777" w:rsidTr="002A1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vAlign w:val="top"/>
          </w:tcPr>
          <w:p w14:paraId="22F7240F" w14:textId="77777777" w:rsidR="000E1654" w:rsidRDefault="000E1654" w:rsidP="002A1218">
            <w:pPr>
              <w:pStyle w:val="TabelalevoUMAR"/>
            </w:pPr>
            <w:r w:rsidRPr="004462CC">
              <w:rPr>
                <w:b/>
              </w:rPr>
              <w:t>Leto</w:t>
            </w:r>
          </w:p>
        </w:tc>
        <w:tc>
          <w:tcPr>
            <w:tcW w:w="500" w:type="pct"/>
            <w:vAlign w:val="top"/>
          </w:tcPr>
          <w:p w14:paraId="7E2F274A" w14:textId="77777777" w:rsidR="000E1654" w:rsidRDefault="000E1654" w:rsidP="002A1218">
            <w:pPr>
              <w:pStyle w:val="TabelaglavadesnoUMAR"/>
              <w:cnfStyle w:val="100000000000" w:firstRow="1" w:lastRow="0" w:firstColumn="0" w:lastColumn="0" w:oddVBand="0" w:evenVBand="0" w:oddHBand="0" w:evenHBand="0" w:firstRowFirstColumn="0" w:firstRowLastColumn="0" w:lastRowFirstColumn="0" w:lastRowLastColumn="0"/>
            </w:pPr>
            <w:r w:rsidRPr="004462CC">
              <w:t>NFA</w:t>
            </w:r>
          </w:p>
        </w:tc>
        <w:tc>
          <w:tcPr>
            <w:tcW w:w="500" w:type="pct"/>
            <w:vAlign w:val="top"/>
          </w:tcPr>
          <w:p w14:paraId="72034BE6" w14:textId="77777777" w:rsidR="000E1654" w:rsidRDefault="000E1654" w:rsidP="002A1218">
            <w:pPr>
              <w:pStyle w:val="TabelaglavadesnoUMAR"/>
              <w:cnfStyle w:val="100000000000" w:firstRow="1" w:lastRow="0" w:firstColumn="0" w:lastColumn="0" w:oddVBand="0" w:evenVBand="0" w:oddHBand="0" w:evenHBand="0" w:firstRowFirstColumn="0" w:firstRowLastColumn="0" w:lastRowFirstColumn="0" w:lastRowLastColumn="0"/>
            </w:pPr>
            <w:r w:rsidRPr="004462CC">
              <w:t>ΔNFA</w:t>
            </w:r>
          </w:p>
        </w:tc>
        <w:tc>
          <w:tcPr>
            <w:tcW w:w="500" w:type="pct"/>
            <w:vAlign w:val="top"/>
          </w:tcPr>
          <w:p w14:paraId="0383A6E0" w14:textId="77777777" w:rsidR="000E1654" w:rsidRDefault="000E1654" w:rsidP="002A1218">
            <w:pPr>
              <w:pStyle w:val="TabelaglavadesnoUMAR"/>
              <w:cnfStyle w:val="100000000000" w:firstRow="1" w:lastRow="0" w:firstColumn="0" w:lastColumn="0" w:oddVBand="0" w:evenVBand="0" w:oddHBand="0" w:evenHBand="0" w:firstRowFirstColumn="0" w:firstRowLastColumn="0" w:lastRowFirstColumn="0" w:lastRowLastColumn="0"/>
            </w:pPr>
            <w:r w:rsidRPr="004462CC">
              <w:t>Bgst</w:t>
            </w:r>
          </w:p>
        </w:tc>
        <w:tc>
          <w:tcPr>
            <w:tcW w:w="500" w:type="pct"/>
            <w:vAlign w:val="top"/>
          </w:tcPr>
          <w:p w14:paraId="6CA59DA3" w14:textId="77777777" w:rsidR="000E1654" w:rsidRDefault="000E1654" w:rsidP="002A1218">
            <w:pPr>
              <w:pStyle w:val="TabelaglavadesnoUMAR"/>
              <w:cnfStyle w:val="100000000000" w:firstRow="1" w:lastRow="0" w:firstColumn="0" w:lastColumn="0" w:oddVBand="0" w:evenVBand="0" w:oddHBand="0" w:evenHBand="0" w:firstRowFirstColumn="0" w:firstRowLastColumn="0" w:lastRowFirstColumn="0" w:lastRowLastColumn="0"/>
            </w:pPr>
            <w:r w:rsidRPr="004462CC">
              <w:t>Dohodki od kapitala</w:t>
            </w:r>
          </w:p>
        </w:tc>
        <w:tc>
          <w:tcPr>
            <w:tcW w:w="500" w:type="pct"/>
            <w:vAlign w:val="top"/>
          </w:tcPr>
          <w:p w14:paraId="289D743F" w14:textId="77777777" w:rsidR="000E1654" w:rsidRDefault="000E1654" w:rsidP="002A1218">
            <w:pPr>
              <w:pStyle w:val="TabelaglavadesnoUMAR"/>
              <w:cnfStyle w:val="100000000000" w:firstRow="1" w:lastRow="0" w:firstColumn="0" w:lastColumn="0" w:oddVBand="0" w:evenVBand="0" w:oddHBand="0" w:evenHBand="0" w:firstRowFirstColumn="0" w:firstRowLastColumn="0" w:lastRowFirstColumn="0" w:lastRowLastColumn="0"/>
            </w:pPr>
            <w:r w:rsidRPr="004462CC">
              <w:t>KA</w:t>
            </w:r>
          </w:p>
        </w:tc>
        <w:tc>
          <w:tcPr>
            <w:tcW w:w="500" w:type="pct"/>
            <w:vAlign w:val="top"/>
          </w:tcPr>
          <w:p w14:paraId="3B815C72" w14:textId="77777777" w:rsidR="000E1654" w:rsidRDefault="000E1654" w:rsidP="002A1218">
            <w:pPr>
              <w:pStyle w:val="TabelaglavadesnoUMAR"/>
              <w:cnfStyle w:val="100000000000" w:firstRow="1" w:lastRow="0" w:firstColumn="0" w:lastColumn="0" w:oddVBand="0" w:evenVBand="0" w:oddHBand="0" w:evenHBand="0" w:firstRowFirstColumn="0" w:firstRowLastColumn="0" w:lastRowFirstColumn="0" w:lastRowLastColumn="0"/>
            </w:pPr>
            <w:r w:rsidRPr="004462CC">
              <w:t>EO</w:t>
            </w:r>
          </w:p>
        </w:tc>
        <w:tc>
          <w:tcPr>
            <w:tcW w:w="500" w:type="pct"/>
            <w:vAlign w:val="top"/>
          </w:tcPr>
          <w:p w14:paraId="6CC446CC" w14:textId="51A2F044" w:rsidR="000E1654" w:rsidRDefault="00A512A4" w:rsidP="002A1218">
            <w:pPr>
              <w:pStyle w:val="TabelaglavadesnoUMAR"/>
              <w:cnfStyle w:val="100000000000" w:firstRow="1" w:lastRow="0" w:firstColumn="0" w:lastColumn="0" w:oddVBand="0" w:evenVBand="0" w:oddHBand="0" w:evenHBand="0" w:firstRowFirstColumn="0" w:firstRowLastColumn="0" w:lastRowFirstColumn="0" w:lastRowLastColumn="0"/>
            </w:pPr>
            <w:r>
              <w:t>VA</w:t>
            </w:r>
          </w:p>
        </w:tc>
        <w:tc>
          <w:tcPr>
            <w:tcW w:w="500" w:type="pct"/>
            <w:vAlign w:val="top"/>
          </w:tcPr>
          <w:p w14:paraId="40DCE197" w14:textId="77777777" w:rsidR="000E1654" w:rsidRDefault="000E1654" w:rsidP="002A1218">
            <w:pPr>
              <w:pStyle w:val="TabelaglavadesnoUMAR"/>
              <w:cnfStyle w:val="100000000000" w:firstRow="1" w:lastRow="0" w:firstColumn="0" w:lastColumn="0" w:oddVBand="0" w:evenVBand="0" w:oddHBand="0" w:evenHBand="0" w:firstRowFirstColumn="0" w:firstRowLastColumn="0" w:lastRowFirstColumn="0" w:lastRowLastColumn="0"/>
            </w:pPr>
            <w:r w:rsidRPr="004462CC">
              <w:t>Učinek realne rasti BDP</w:t>
            </w:r>
          </w:p>
        </w:tc>
        <w:tc>
          <w:tcPr>
            <w:tcW w:w="500" w:type="pct"/>
          </w:tcPr>
          <w:p w14:paraId="74C743D4" w14:textId="77777777" w:rsidR="000E1654" w:rsidRPr="004462CC" w:rsidRDefault="000E1654" w:rsidP="002A1218">
            <w:pPr>
              <w:pStyle w:val="TabelaglavadesnoUMAR"/>
              <w:cnfStyle w:val="100000000000" w:firstRow="1" w:lastRow="0" w:firstColumn="0" w:lastColumn="0" w:oddVBand="0" w:evenVBand="0" w:oddHBand="0" w:evenHBand="0" w:firstRowFirstColumn="0" w:firstRowLastColumn="0" w:lastRowFirstColumn="0" w:lastRowLastColumn="0"/>
            </w:pPr>
            <w:r>
              <w:t>Učinek ravni cen</w:t>
            </w:r>
          </w:p>
        </w:tc>
      </w:tr>
      <w:tr w:rsidR="00E72123" w:rsidRPr="00D05843" w14:paraId="0C9F1905" w14:textId="77777777" w:rsidTr="002A1218">
        <w:trPr>
          <w:trHeight w:val="285"/>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02E83936" w14:textId="77777777" w:rsidR="000E1654" w:rsidRPr="0057035C" w:rsidRDefault="000E1654" w:rsidP="002A1218">
            <w:pPr>
              <w:pStyle w:val="TabelalevoUMAR"/>
              <w:rPr>
                <w:lang w:eastAsia="sl-SI"/>
              </w:rPr>
            </w:pPr>
            <w:r w:rsidRPr="0057035C">
              <w:rPr>
                <w:lang w:eastAsia="sl-SI"/>
              </w:rPr>
              <w:t>2008</w:t>
            </w:r>
          </w:p>
        </w:tc>
        <w:tc>
          <w:tcPr>
            <w:tcW w:w="500" w:type="pct"/>
            <w:noWrap/>
            <w:vAlign w:val="top"/>
          </w:tcPr>
          <w:p w14:paraId="21E790E1" w14:textId="77777777" w:rsidR="000E1654" w:rsidRPr="00A70AED" w:rsidRDefault="000E1654"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70AED">
              <w:t>-39,4</w:t>
            </w:r>
          </w:p>
        </w:tc>
        <w:tc>
          <w:tcPr>
            <w:tcW w:w="500" w:type="pct"/>
            <w:noWrap/>
            <w:vAlign w:val="top"/>
          </w:tcPr>
          <w:p w14:paraId="4BADCD6C" w14:textId="7AE878B3" w:rsidR="000E1654" w:rsidRPr="0057035C" w:rsidRDefault="000E1654"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p>
        </w:tc>
        <w:tc>
          <w:tcPr>
            <w:tcW w:w="500" w:type="pct"/>
            <w:noWrap/>
            <w:vAlign w:val="top"/>
          </w:tcPr>
          <w:p w14:paraId="65AE963A" w14:textId="23CC97CE" w:rsidR="000E1654" w:rsidRPr="00D05843" w:rsidRDefault="000E1654"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p>
        </w:tc>
        <w:tc>
          <w:tcPr>
            <w:tcW w:w="500" w:type="pct"/>
            <w:noWrap/>
            <w:vAlign w:val="top"/>
          </w:tcPr>
          <w:p w14:paraId="75C621C8" w14:textId="7776CE13" w:rsidR="000E1654" w:rsidRPr="00D05843" w:rsidRDefault="000E1654"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p>
        </w:tc>
        <w:tc>
          <w:tcPr>
            <w:tcW w:w="500" w:type="pct"/>
            <w:noWrap/>
            <w:vAlign w:val="top"/>
          </w:tcPr>
          <w:p w14:paraId="4D0AF961" w14:textId="1AC44AD0" w:rsidR="000E1654" w:rsidRPr="00D05843" w:rsidRDefault="000E1654"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p>
        </w:tc>
        <w:tc>
          <w:tcPr>
            <w:tcW w:w="500" w:type="pct"/>
            <w:vAlign w:val="top"/>
          </w:tcPr>
          <w:p w14:paraId="390DE4AA" w14:textId="286A8D87" w:rsidR="000E1654" w:rsidRPr="00A66BC4" w:rsidRDefault="000E1654" w:rsidP="002A1218">
            <w:pPr>
              <w:pStyle w:val="TabeladesnoUMAR"/>
              <w:cnfStyle w:val="000000000000" w:firstRow="0" w:lastRow="0" w:firstColumn="0" w:lastColumn="0" w:oddVBand="0" w:evenVBand="0" w:oddHBand="0" w:evenHBand="0" w:firstRowFirstColumn="0" w:firstRowLastColumn="0" w:lastRowFirstColumn="0" w:lastRowLastColumn="0"/>
            </w:pPr>
          </w:p>
        </w:tc>
        <w:tc>
          <w:tcPr>
            <w:tcW w:w="500" w:type="pct"/>
            <w:vAlign w:val="top"/>
          </w:tcPr>
          <w:p w14:paraId="650A3335" w14:textId="039FE6EC" w:rsidR="000E1654" w:rsidRPr="00A66BC4" w:rsidRDefault="000E1654" w:rsidP="002A1218">
            <w:pPr>
              <w:pStyle w:val="TabeladesnoUMAR"/>
              <w:cnfStyle w:val="000000000000" w:firstRow="0" w:lastRow="0" w:firstColumn="0" w:lastColumn="0" w:oddVBand="0" w:evenVBand="0" w:oddHBand="0" w:evenHBand="0" w:firstRowFirstColumn="0" w:firstRowLastColumn="0" w:lastRowFirstColumn="0" w:lastRowLastColumn="0"/>
            </w:pPr>
          </w:p>
        </w:tc>
        <w:tc>
          <w:tcPr>
            <w:tcW w:w="500" w:type="pct"/>
            <w:vAlign w:val="top"/>
          </w:tcPr>
          <w:p w14:paraId="535B7635" w14:textId="0FCB4197" w:rsidR="000E1654" w:rsidRPr="00A66BC4" w:rsidRDefault="000E1654" w:rsidP="002A1218">
            <w:pPr>
              <w:pStyle w:val="TabeladesnoUMAR"/>
              <w:cnfStyle w:val="000000000000" w:firstRow="0" w:lastRow="0" w:firstColumn="0" w:lastColumn="0" w:oddVBand="0" w:evenVBand="0" w:oddHBand="0" w:evenHBand="0" w:firstRowFirstColumn="0" w:firstRowLastColumn="0" w:lastRowFirstColumn="0" w:lastRowLastColumn="0"/>
            </w:pPr>
          </w:p>
        </w:tc>
        <w:tc>
          <w:tcPr>
            <w:tcW w:w="500" w:type="pct"/>
            <w:vAlign w:val="top"/>
          </w:tcPr>
          <w:p w14:paraId="76D2B60D" w14:textId="16BDF0CA" w:rsidR="000E1654" w:rsidRPr="00A66BC4" w:rsidRDefault="000E1654" w:rsidP="002A1218">
            <w:pPr>
              <w:pStyle w:val="TabeladesnoUMAR"/>
              <w:cnfStyle w:val="000000000000" w:firstRow="0" w:lastRow="0" w:firstColumn="0" w:lastColumn="0" w:oddVBand="0" w:evenVBand="0" w:oddHBand="0" w:evenHBand="0" w:firstRowFirstColumn="0" w:firstRowLastColumn="0" w:lastRowFirstColumn="0" w:lastRowLastColumn="0"/>
            </w:pPr>
          </w:p>
        </w:tc>
      </w:tr>
      <w:tr w:rsidR="00E72123" w:rsidRPr="00D05843" w14:paraId="08CA0148" w14:textId="77777777" w:rsidTr="002A1218">
        <w:trPr>
          <w:trHeight w:val="285"/>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4E8F97E0" w14:textId="77777777" w:rsidR="00790255" w:rsidRPr="0057035C" w:rsidRDefault="00790255" w:rsidP="002A1218">
            <w:pPr>
              <w:pStyle w:val="TabelalevoUMAR"/>
              <w:rPr>
                <w:lang w:eastAsia="sl-SI"/>
              </w:rPr>
            </w:pPr>
            <w:r w:rsidRPr="0057035C">
              <w:rPr>
                <w:lang w:eastAsia="sl-SI"/>
              </w:rPr>
              <w:t>2009</w:t>
            </w:r>
          </w:p>
        </w:tc>
        <w:tc>
          <w:tcPr>
            <w:tcW w:w="500" w:type="pct"/>
            <w:noWrap/>
            <w:vAlign w:val="top"/>
          </w:tcPr>
          <w:p w14:paraId="75C25C04" w14:textId="7777777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57035C">
              <w:t>-40,6</w:t>
            </w:r>
          </w:p>
        </w:tc>
        <w:tc>
          <w:tcPr>
            <w:tcW w:w="500" w:type="pct"/>
            <w:noWrap/>
          </w:tcPr>
          <w:p w14:paraId="3C50F805" w14:textId="08C64262"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-1,2</w:t>
            </w:r>
          </w:p>
        </w:tc>
        <w:tc>
          <w:tcPr>
            <w:tcW w:w="500" w:type="pct"/>
            <w:noWrap/>
          </w:tcPr>
          <w:p w14:paraId="0947A752" w14:textId="38ED60D3"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rPr>
              <w:t>1,2</w:t>
            </w:r>
          </w:p>
        </w:tc>
        <w:tc>
          <w:tcPr>
            <w:tcW w:w="500" w:type="pct"/>
            <w:noWrap/>
          </w:tcPr>
          <w:p w14:paraId="1CEA9D8D" w14:textId="05A8537A"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rPr>
              <w:t>-2,2</w:t>
            </w:r>
          </w:p>
        </w:tc>
        <w:tc>
          <w:tcPr>
            <w:tcW w:w="500" w:type="pct"/>
            <w:noWrap/>
          </w:tcPr>
          <w:p w14:paraId="6FAAFCDE" w14:textId="2597141D"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rPr>
              <w:t>0,0</w:t>
            </w:r>
          </w:p>
        </w:tc>
        <w:tc>
          <w:tcPr>
            <w:tcW w:w="500" w:type="pct"/>
          </w:tcPr>
          <w:p w14:paraId="0DB3B7E7" w14:textId="2FEB5721"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rPr>
              <w:t>-1,5</w:t>
            </w:r>
          </w:p>
        </w:tc>
        <w:tc>
          <w:tcPr>
            <w:tcW w:w="500" w:type="pct"/>
          </w:tcPr>
          <w:p w14:paraId="42A2D815" w14:textId="727A6879"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rPr>
              <w:t>3,1</w:t>
            </w:r>
          </w:p>
        </w:tc>
        <w:tc>
          <w:tcPr>
            <w:tcW w:w="500" w:type="pct"/>
          </w:tcPr>
          <w:p w14:paraId="7C487C2F" w14:textId="5D06E1D7"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rPr>
              <w:t>-3,0</w:t>
            </w:r>
          </w:p>
        </w:tc>
        <w:tc>
          <w:tcPr>
            <w:tcW w:w="500" w:type="pct"/>
          </w:tcPr>
          <w:p w14:paraId="03D1201F" w14:textId="6C12E6EB"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rPr>
              <w:t>1,5</w:t>
            </w:r>
          </w:p>
        </w:tc>
      </w:tr>
      <w:tr w:rsidR="00E72123" w:rsidRPr="00D05843" w14:paraId="2CF11DBA" w14:textId="77777777" w:rsidTr="002A1218">
        <w:trPr>
          <w:trHeight w:val="285"/>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489FED97" w14:textId="77777777" w:rsidR="00790255" w:rsidRPr="0057035C" w:rsidRDefault="00790255" w:rsidP="002A1218">
            <w:pPr>
              <w:pStyle w:val="TabelalevoUMAR"/>
              <w:rPr>
                <w:lang w:eastAsia="sl-SI"/>
              </w:rPr>
            </w:pPr>
            <w:r w:rsidRPr="0057035C">
              <w:rPr>
                <w:lang w:eastAsia="sl-SI"/>
              </w:rPr>
              <w:t>2010</w:t>
            </w:r>
          </w:p>
        </w:tc>
        <w:tc>
          <w:tcPr>
            <w:tcW w:w="500" w:type="pct"/>
            <w:noWrap/>
            <w:vAlign w:val="top"/>
          </w:tcPr>
          <w:p w14:paraId="3A6A89CE" w14:textId="7777777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57035C">
              <w:t>-43,1</w:t>
            </w:r>
          </w:p>
        </w:tc>
        <w:tc>
          <w:tcPr>
            <w:tcW w:w="500" w:type="pct"/>
            <w:noWrap/>
          </w:tcPr>
          <w:p w14:paraId="24357669" w14:textId="2C31C234"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-2,5</w:t>
            </w:r>
          </w:p>
        </w:tc>
        <w:tc>
          <w:tcPr>
            <w:tcW w:w="500" w:type="pct"/>
            <w:noWrap/>
          </w:tcPr>
          <w:p w14:paraId="320C5411" w14:textId="0BF4100C"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1,3</w:t>
            </w:r>
          </w:p>
        </w:tc>
        <w:tc>
          <w:tcPr>
            <w:tcW w:w="500" w:type="pct"/>
            <w:noWrap/>
          </w:tcPr>
          <w:p w14:paraId="1E01D350" w14:textId="2D1856F4"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-2,0</w:t>
            </w:r>
          </w:p>
        </w:tc>
        <w:tc>
          <w:tcPr>
            <w:tcW w:w="500" w:type="pct"/>
            <w:noWrap/>
          </w:tcPr>
          <w:p w14:paraId="47147450" w14:textId="19CCAA21"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0,1</w:t>
            </w:r>
          </w:p>
        </w:tc>
        <w:tc>
          <w:tcPr>
            <w:tcW w:w="500" w:type="pct"/>
          </w:tcPr>
          <w:p w14:paraId="76BEE924" w14:textId="5BA78582"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-2,4</w:t>
            </w:r>
          </w:p>
        </w:tc>
        <w:tc>
          <w:tcPr>
            <w:tcW w:w="500" w:type="pct"/>
          </w:tcPr>
          <w:p w14:paraId="1503003E" w14:textId="44B9BE0B"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c>
          <w:tcPr>
            <w:tcW w:w="500" w:type="pct"/>
          </w:tcPr>
          <w:p w14:paraId="2F2D0F3C" w14:textId="24BC8277"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0,5</w:t>
            </w:r>
          </w:p>
        </w:tc>
        <w:tc>
          <w:tcPr>
            <w:tcW w:w="500" w:type="pct"/>
          </w:tcPr>
          <w:p w14:paraId="6EAE39ED" w14:textId="6EE5DA3B"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r>
      <w:tr w:rsidR="00E72123" w:rsidRPr="00D05843" w14:paraId="51E8C40F" w14:textId="77777777" w:rsidTr="002A1218">
        <w:trPr>
          <w:trHeight w:val="285"/>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390E4050" w14:textId="77777777" w:rsidR="00790255" w:rsidRPr="0057035C" w:rsidRDefault="00790255" w:rsidP="002A1218">
            <w:pPr>
              <w:pStyle w:val="TabelalevoUMAR"/>
              <w:rPr>
                <w:lang w:eastAsia="sl-SI"/>
              </w:rPr>
            </w:pPr>
            <w:r w:rsidRPr="0057035C">
              <w:rPr>
                <w:lang w:eastAsia="sl-SI"/>
              </w:rPr>
              <w:t>2011</w:t>
            </w:r>
          </w:p>
        </w:tc>
        <w:tc>
          <w:tcPr>
            <w:tcW w:w="500" w:type="pct"/>
            <w:noWrap/>
            <w:vAlign w:val="top"/>
          </w:tcPr>
          <w:p w14:paraId="72C60B6F" w14:textId="7777777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57035C">
              <w:t>-39,8</w:t>
            </w:r>
          </w:p>
        </w:tc>
        <w:tc>
          <w:tcPr>
            <w:tcW w:w="500" w:type="pct"/>
            <w:noWrap/>
          </w:tcPr>
          <w:p w14:paraId="32B1A161" w14:textId="02F202D2"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3,3</w:t>
            </w:r>
          </w:p>
        </w:tc>
        <w:tc>
          <w:tcPr>
            <w:tcW w:w="500" w:type="pct"/>
            <w:noWrap/>
          </w:tcPr>
          <w:p w14:paraId="6388CA0C" w14:textId="1962EFA8"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1,2</w:t>
            </w:r>
          </w:p>
        </w:tc>
        <w:tc>
          <w:tcPr>
            <w:tcW w:w="500" w:type="pct"/>
            <w:noWrap/>
          </w:tcPr>
          <w:p w14:paraId="11BC16F6" w14:textId="0390D0CF"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-2,0</w:t>
            </w:r>
          </w:p>
        </w:tc>
        <w:tc>
          <w:tcPr>
            <w:tcW w:w="500" w:type="pct"/>
            <w:noWrap/>
          </w:tcPr>
          <w:p w14:paraId="77C9A4B8" w14:textId="65A75855"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-0,2</w:t>
            </w:r>
          </w:p>
        </w:tc>
        <w:tc>
          <w:tcPr>
            <w:tcW w:w="500" w:type="pct"/>
          </w:tcPr>
          <w:p w14:paraId="0DC12061" w14:textId="5FF4AB7D"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c>
          <w:tcPr>
            <w:tcW w:w="500" w:type="pct"/>
          </w:tcPr>
          <w:p w14:paraId="4503F4B1" w14:textId="4863C8DB"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3,2</w:t>
            </w:r>
          </w:p>
        </w:tc>
        <w:tc>
          <w:tcPr>
            <w:tcW w:w="500" w:type="pct"/>
          </w:tcPr>
          <w:p w14:paraId="43CF00C5" w14:textId="371D495C"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c>
          <w:tcPr>
            <w:tcW w:w="500" w:type="pct"/>
          </w:tcPr>
          <w:p w14:paraId="775D5091" w14:textId="7994130E"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r>
      <w:tr w:rsidR="00E72123" w:rsidRPr="00D05843" w14:paraId="5174AFAF" w14:textId="77777777" w:rsidTr="002A1218">
        <w:trPr>
          <w:trHeight w:val="285"/>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69B6572D" w14:textId="77777777" w:rsidR="00790255" w:rsidRPr="0057035C" w:rsidRDefault="00790255" w:rsidP="002A1218">
            <w:pPr>
              <w:pStyle w:val="TabelalevoUMAR"/>
              <w:rPr>
                <w:lang w:eastAsia="sl-SI"/>
              </w:rPr>
            </w:pPr>
            <w:r w:rsidRPr="0057035C">
              <w:rPr>
                <w:lang w:eastAsia="sl-SI"/>
              </w:rPr>
              <w:t>2012</w:t>
            </w:r>
          </w:p>
        </w:tc>
        <w:tc>
          <w:tcPr>
            <w:tcW w:w="500" w:type="pct"/>
            <w:noWrap/>
            <w:vAlign w:val="top"/>
          </w:tcPr>
          <w:p w14:paraId="133B507D" w14:textId="7777777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57035C">
              <w:t>-44,0</w:t>
            </w:r>
          </w:p>
        </w:tc>
        <w:tc>
          <w:tcPr>
            <w:tcW w:w="500" w:type="pct"/>
            <w:noWrap/>
          </w:tcPr>
          <w:p w14:paraId="658B778A" w14:textId="40ABE89C"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-4,2</w:t>
            </w:r>
          </w:p>
        </w:tc>
        <w:tc>
          <w:tcPr>
            <w:tcW w:w="500" w:type="pct"/>
            <w:noWrap/>
          </w:tcPr>
          <w:p w14:paraId="3275E8D0" w14:textId="1E079180"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3,8</w:t>
            </w:r>
          </w:p>
        </w:tc>
        <w:tc>
          <w:tcPr>
            <w:tcW w:w="500" w:type="pct"/>
            <w:noWrap/>
          </w:tcPr>
          <w:p w14:paraId="70713AD1" w14:textId="23659366"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-2,5</w:t>
            </w:r>
          </w:p>
        </w:tc>
        <w:tc>
          <w:tcPr>
            <w:tcW w:w="500" w:type="pct"/>
            <w:noWrap/>
          </w:tcPr>
          <w:p w14:paraId="42EA5A2A" w14:textId="0AD476DE"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0,1</w:t>
            </w:r>
          </w:p>
        </w:tc>
        <w:tc>
          <w:tcPr>
            <w:tcW w:w="500" w:type="pct"/>
          </w:tcPr>
          <w:p w14:paraId="3391C903" w14:textId="13E0C8B7"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-1,4</w:t>
            </w:r>
          </w:p>
        </w:tc>
        <w:tc>
          <w:tcPr>
            <w:tcW w:w="500" w:type="pct"/>
          </w:tcPr>
          <w:p w14:paraId="7AD94410" w14:textId="3180D273"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-3,4</w:t>
            </w:r>
          </w:p>
        </w:tc>
        <w:tc>
          <w:tcPr>
            <w:tcW w:w="500" w:type="pct"/>
          </w:tcPr>
          <w:p w14:paraId="7C15210E" w14:textId="36164192"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-1,1</w:t>
            </w:r>
          </w:p>
        </w:tc>
        <w:tc>
          <w:tcPr>
            <w:tcW w:w="500" w:type="pct"/>
          </w:tcPr>
          <w:p w14:paraId="51A2110B" w14:textId="0EDE55EF"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0,2</w:t>
            </w:r>
          </w:p>
        </w:tc>
      </w:tr>
      <w:tr w:rsidR="00E72123" w:rsidRPr="00D05843" w14:paraId="732D3C2E" w14:textId="77777777" w:rsidTr="002A1218">
        <w:trPr>
          <w:trHeight w:val="285"/>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04849A81" w14:textId="77777777" w:rsidR="00790255" w:rsidRPr="0057035C" w:rsidRDefault="00790255" w:rsidP="002A1218">
            <w:pPr>
              <w:pStyle w:val="TabelalevoUMAR"/>
              <w:rPr>
                <w:lang w:eastAsia="sl-SI"/>
              </w:rPr>
            </w:pPr>
            <w:r w:rsidRPr="0057035C">
              <w:rPr>
                <w:lang w:eastAsia="sl-SI"/>
              </w:rPr>
              <w:t>2013</w:t>
            </w:r>
          </w:p>
        </w:tc>
        <w:tc>
          <w:tcPr>
            <w:tcW w:w="500" w:type="pct"/>
            <w:noWrap/>
            <w:vAlign w:val="top"/>
          </w:tcPr>
          <w:p w14:paraId="6E27F6BD" w14:textId="7777777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57035C">
              <w:t>-39,3</w:t>
            </w:r>
          </w:p>
        </w:tc>
        <w:tc>
          <w:tcPr>
            <w:tcW w:w="500" w:type="pct"/>
            <w:noWrap/>
          </w:tcPr>
          <w:p w14:paraId="0E31B37D" w14:textId="029367C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4,7</w:t>
            </w:r>
          </w:p>
        </w:tc>
        <w:tc>
          <w:tcPr>
            <w:tcW w:w="500" w:type="pct"/>
            <w:noWrap/>
          </w:tcPr>
          <w:p w14:paraId="23BF7B95" w14:textId="6C00E860"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5,7</w:t>
            </w:r>
          </w:p>
        </w:tc>
        <w:tc>
          <w:tcPr>
            <w:tcW w:w="500" w:type="pct"/>
            <w:noWrap/>
          </w:tcPr>
          <w:p w14:paraId="03F4CD50" w14:textId="79DF95B9"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-2,4</w:t>
            </w:r>
          </w:p>
        </w:tc>
        <w:tc>
          <w:tcPr>
            <w:tcW w:w="500" w:type="pct"/>
            <w:noWrap/>
          </w:tcPr>
          <w:p w14:paraId="617522CB" w14:textId="117FCBE0"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0,4</w:t>
            </w:r>
          </w:p>
        </w:tc>
        <w:tc>
          <w:tcPr>
            <w:tcW w:w="500" w:type="pct"/>
          </w:tcPr>
          <w:p w14:paraId="65C4B071" w14:textId="6EBD18FA"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0,7</w:t>
            </w:r>
          </w:p>
        </w:tc>
        <w:tc>
          <w:tcPr>
            <w:tcW w:w="500" w:type="pct"/>
          </w:tcPr>
          <w:p w14:paraId="45B1D211" w14:textId="67742F65"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0,0</w:t>
            </w:r>
          </w:p>
        </w:tc>
        <w:tc>
          <w:tcPr>
            <w:tcW w:w="500" w:type="pct"/>
          </w:tcPr>
          <w:p w14:paraId="51D4A90C" w14:textId="6F4B2A34"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-0,5</w:t>
            </w:r>
          </w:p>
        </w:tc>
        <w:tc>
          <w:tcPr>
            <w:tcW w:w="500" w:type="pct"/>
          </w:tcPr>
          <w:p w14:paraId="66660726" w14:textId="319EF80A"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0,7</w:t>
            </w:r>
          </w:p>
        </w:tc>
      </w:tr>
      <w:tr w:rsidR="00E72123" w:rsidRPr="00D05843" w14:paraId="209B524A" w14:textId="77777777" w:rsidTr="002A1218">
        <w:trPr>
          <w:trHeight w:val="300"/>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296AA8D3" w14:textId="77777777" w:rsidR="00790255" w:rsidRPr="0057035C" w:rsidRDefault="00790255" w:rsidP="002A1218">
            <w:pPr>
              <w:pStyle w:val="TabelalevoUMAR"/>
              <w:rPr>
                <w:lang w:eastAsia="sl-SI"/>
              </w:rPr>
            </w:pPr>
            <w:r w:rsidRPr="0057035C">
              <w:rPr>
                <w:lang w:eastAsia="sl-SI"/>
              </w:rPr>
              <w:t>2014</w:t>
            </w:r>
          </w:p>
        </w:tc>
        <w:tc>
          <w:tcPr>
            <w:tcW w:w="500" w:type="pct"/>
            <w:noWrap/>
            <w:vAlign w:val="top"/>
          </w:tcPr>
          <w:p w14:paraId="7BDB60B8" w14:textId="7777777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57035C">
              <w:t>-38,4</w:t>
            </w:r>
          </w:p>
        </w:tc>
        <w:tc>
          <w:tcPr>
            <w:tcW w:w="500" w:type="pct"/>
            <w:noWrap/>
          </w:tcPr>
          <w:p w14:paraId="2A1A6A48" w14:textId="3A9E67E2"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0,9</w:t>
            </w:r>
          </w:p>
        </w:tc>
        <w:tc>
          <w:tcPr>
            <w:tcW w:w="500" w:type="pct"/>
            <w:noWrap/>
          </w:tcPr>
          <w:p w14:paraId="526C1450" w14:textId="6A04112E"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6,9</w:t>
            </w:r>
          </w:p>
        </w:tc>
        <w:tc>
          <w:tcPr>
            <w:tcW w:w="500" w:type="pct"/>
            <w:noWrap/>
          </w:tcPr>
          <w:p w14:paraId="175417D5" w14:textId="391407E0"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-1,8</w:t>
            </w:r>
          </w:p>
        </w:tc>
        <w:tc>
          <w:tcPr>
            <w:tcW w:w="500" w:type="pct"/>
            <w:noWrap/>
          </w:tcPr>
          <w:p w14:paraId="102306E5" w14:textId="507EE102"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0,2</w:t>
            </w:r>
          </w:p>
        </w:tc>
        <w:tc>
          <w:tcPr>
            <w:tcW w:w="500" w:type="pct"/>
          </w:tcPr>
          <w:p w14:paraId="2ACC41BB" w14:textId="2E8AF241"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0,7</w:t>
            </w:r>
          </w:p>
        </w:tc>
        <w:tc>
          <w:tcPr>
            <w:tcW w:w="500" w:type="pct"/>
          </w:tcPr>
          <w:p w14:paraId="790261CC" w14:textId="237C6A00"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-6,3</w:t>
            </w:r>
          </w:p>
        </w:tc>
        <w:tc>
          <w:tcPr>
            <w:tcW w:w="500" w:type="pct"/>
          </w:tcPr>
          <w:p w14:paraId="6B6EB828" w14:textId="76FB594A"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1,1</w:t>
            </w:r>
          </w:p>
        </w:tc>
        <w:tc>
          <w:tcPr>
            <w:tcW w:w="500" w:type="pct"/>
          </w:tcPr>
          <w:p w14:paraId="119BC9D9" w14:textId="239D5D2D"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0,2</w:t>
            </w:r>
          </w:p>
        </w:tc>
      </w:tr>
      <w:tr w:rsidR="00E72123" w:rsidRPr="00D05843" w14:paraId="0A67512A" w14:textId="77777777" w:rsidTr="002A1218">
        <w:trPr>
          <w:trHeight w:val="315"/>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01B0AD2A" w14:textId="77777777" w:rsidR="00790255" w:rsidRPr="0057035C" w:rsidRDefault="00790255" w:rsidP="002A1218">
            <w:pPr>
              <w:pStyle w:val="TabelalevoUMAR"/>
              <w:rPr>
                <w:lang w:eastAsia="sl-SI"/>
              </w:rPr>
            </w:pPr>
            <w:r w:rsidRPr="0057035C">
              <w:rPr>
                <w:lang w:eastAsia="sl-SI"/>
              </w:rPr>
              <w:t>2015</w:t>
            </w:r>
          </w:p>
        </w:tc>
        <w:tc>
          <w:tcPr>
            <w:tcW w:w="500" w:type="pct"/>
            <w:noWrap/>
            <w:vAlign w:val="top"/>
          </w:tcPr>
          <w:p w14:paraId="71EFD449" w14:textId="7777777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57035C">
              <w:t>-31,2</w:t>
            </w:r>
          </w:p>
        </w:tc>
        <w:tc>
          <w:tcPr>
            <w:tcW w:w="500" w:type="pct"/>
            <w:noWrap/>
          </w:tcPr>
          <w:p w14:paraId="18AFDEEC" w14:textId="670C5366"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7,2</w:t>
            </w:r>
          </w:p>
        </w:tc>
        <w:tc>
          <w:tcPr>
            <w:tcW w:w="500" w:type="pct"/>
            <w:noWrap/>
          </w:tcPr>
          <w:p w14:paraId="2E07CB98" w14:textId="5EE857E7"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7,8</w:t>
            </w:r>
          </w:p>
        </w:tc>
        <w:tc>
          <w:tcPr>
            <w:tcW w:w="500" w:type="pct"/>
            <w:noWrap/>
          </w:tcPr>
          <w:p w14:paraId="7C1A411C" w14:textId="12812FAF"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-4,0</w:t>
            </w:r>
          </w:p>
        </w:tc>
        <w:tc>
          <w:tcPr>
            <w:tcW w:w="500" w:type="pct"/>
            <w:noWrap/>
          </w:tcPr>
          <w:p w14:paraId="1640C689" w14:textId="010EFC3C"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1,1</w:t>
            </w:r>
          </w:p>
        </w:tc>
        <w:tc>
          <w:tcPr>
            <w:tcW w:w="500" w:type="pct"/>
          </w:tcPr>
          <w:p w14:paraId="4E0D36E2" w14:textId="36EF2AFE"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-0,3</w:t>
            </w:r>
          </w:p>
        </w:tc>
        <w:tc>
          <w:tcPr>
            <w:tcW w:w="500" w:type="pct"/>
          </w:tcPr>
          <w:p w14:paraId="6BFF5005" w14:textId="105117A9"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1,4</w:t>
            </w:r>
          </w:p>
        </w:tc>
        <w:tc>
          <w:tcPr>
            <w:tcW w:w="500" w:type="pct"/>
          </w:tcPr>
          <w:p w14:paraId="3CADBA71" w14:textId="120574FB"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0,8</w:t>
            </w:r>
          </w:p>
        </w:tc>
        <w:tc>
          <w:tcPr>
            <w:tcW w:w="500" w:type="pct"/>
          </w:tcPr>
          <w:p w14:paraId="6FD646CE" w14:textId="766578B4"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r>
      <w:tr w:rsidR="00E72123" w:rsidRPr="00D05843" w14:paraId="0547DE22" w14:textId="77777777" w:rsidTr="002A1218">
        <w:trPr>
          <w:trHeight w:val="300"/>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38A16358" w14:textId="77777777" w:rsidR="00790255" w:rsidRPr="0057035C" w:rsidRDefault="00790255" w:rsidP="002A1218">
            <w:pPr>
              <w:pStyle w:val="TabelalevoUMAR"/>
              <w:rPr>
                <w:lang w:eastAsia="sl-SI"/>
              </w:rPr>
            </w:pPr>
            <w:r w:rsidRPr="0057035C">
              <w:rPr>
                <w:lang w:eastAsia="sl-SI"/>
              </w:rPr>
              <w:t>2016</w:t>
            </w:r>
          </w:p>
        </w:tc>
        <w:tc>
          <w:tcPr>
            <w:tcW w:w="500" w:type="pct"/>
            <w:noWrap/>
            <w:vAlign w:val="top"/>
          </w:tcPr>
          <w:p w14:paraId="226CEB75" w14:textId="7777777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57035C">
              <w:t>-28,8</w:t>
            </w:r>
          </w:p>
        </w:tc>
        <w:tc>
          <w:tcPr>
            <w:tcW w:w="500" w:type="pct"/>
            <w:noWrap/>
          </w:tcPr>
          <w:p w14:paraId="47919BBB" w14:textId="2DD48216"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2,4</w:t>
            </w:r>
          </w:p>
        </w:tc>
        <w:tc>
          <w:tcPr>
            <w:tcW w:w="500" w:type="pct"/>
            <w:noWrap/>
          </w:tcPr>
          <w:p w14:paraId="38101F90" w14:textId="4C8F40A9"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8,3</w:t>
            </w:r>
          </w:p>
        </w:tc>
        <w:tc>
          <w:tcPr>
            <w:tcW w:w="500" w:type="pct"/>
            <w:noWrap/>
          </w:tcPr>
          <w:p w14:paraId="5D97ADDA" w14:textId="2EB075DA"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-3,6</w:t>
            </w:r>
          </w:p>
        </w:tc>
        <w:tc>
          <w:tcPr>
            <w:tcW w:w="500" w:type="pct"/>
            <w:noWrap/>
          </w:tcPr>
          <w:p w14:paraId="1EF57C88" w14:textId="42A5F999" w:rsidR="00790255" w:rsidRPr="00D05843"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-0,8</w:t>
            </w:r>
          </w:p>
        </w:tc>
        <w:tc>
          <w:tcPr>
            <w:tcW w:w="500" w:type="pct"/>
          </w:tcPr>
          <w:p w14:paraId="4AB73C4E" w14:textId="74652E68"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-1,1</w:t>
            </w:r>
          </w:p>
        </w:tc>
        <w:tc>
          <w:tcPr>
            <w:tcW w:w="500" w:type="pct"/>
          </w:tcPr>
          <w:p w14:paraId="72916070" w14:textId="68B24517"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-1,8</w:t>
            </w:r>
          </w:p>
        </w:tc>
        <w:tc>
          <w:tcPr>
            <w:tcW w:w="500" w:type="pct"/>
          </w:tcPr>
          <w:p w14:paraId="4E2D9C4D" w14:textId="1A116032"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1,0</w:t>
            </w:r>
          </w:p>
        </w:tc>
        <w:tc>
          <w:tcPr>
            <w:tcW w:w="500" w:type="pct"/>
          </w:tcPr>
          <w:p w14:paraId="46D21A4D" w14:textId="27A413AA" w:rsidR="00790255" w:rsidRPr="00A66BC4"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0,3</w:t>
            </w:r>
          </w:p>
        </w:tc>
      </w:tr>
      <w:tr w:rsidR="00E72123" w:rsidRPr="00D05843" w14:paraId="2F377994" w14:textId="77777777" w:rsidTr="002A1218">
        <w:trPr>
          <w:trHeight w:val="300"/>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31216FE1" w14:textId="77777777" w:rsidR="00790255" w:rsidRPr="0057035C" w:rsidRDefault="00790255" w:rsidP="002A1218">
            <w:pPr>
              <w:pStyle w:val="TabelalevoUMAR"/>
              <w:rPr>
                <w:lang w:eastAsia="sl-SI"/>
              </w:rPr>
            </w:pPr>
            <w:r w:rsidRPr="0057035C">
              <w:rPr>
                <w:lang w:eastAsia="sl-SI"/>
              </w:rPr>
              <w:t>2017</w:t>
            </w:r>
          </w:p>
        </w:tc>
        <w:tc>
          <w:tcPr>
            <w:tcW w:w="500" w:type="pct"/>
            <w:noWrap/>
            <w:vAlign w:val="top"/>
          </w:tcPr>
          <w:p w14:paraId="6ACDE70C" w14:textId="77777777"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57035C">
              <w:t>-24,2</w:t>
            </w:r>
          </w:p>
        </w:tc>
        <w:tc>
          <w:tcPr>
            <w:tcW w:w="500" w:type="pct"/>
            <w:noWrap/>
          </w:tcPr>
          <w:p w14:paraId="7825AF2B" w14:textId="5C932EC2" w:rsidR="00790255" w:rsidRPr="0057035C"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4,6</w:t>
            </w:r>
          </w:p>
        </w:tc>
        <w:tc>
          <w:tcPr>
            <w:tcW w:w="500" w:type="pct"/>
            <w:noWrap/>
          </w:tcPr>
          <w:p w14:paraId="58BDEF8B" w14:textId="1575A5B1" w:rsidR="00790255" w:rsidRPr="00AD01A0"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9,1</w:t>
            </w:r>
          </w:p>
        </w:tc>
        <w:tc>
          <w:tcPr>
            <w:tcW w:w="500" w:type="pct"/>
            <w:noWrap/>
          </w:tcPr>
          <w:p w14:paraId="099B8922" w14:textId="5D622947" w:rsidR="00790255" w:rsidRPr="00AD01A0"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-2,8</w:t>
            </w:r>
          </w:p>
        </w:tc>
        <w:tc>
          <w:tcPr>
            <w:tcW w:w="500" w:type="pct"/>
            <w:noWrap/>
          </w:tcPr>
          <w:p w14:paraId="2EE88477" w14:textId="19D6688E" w:rsidR="00790255" w:rsidRPr="00AD01A0"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rFonts w:cs="Arial"/>
                <w:color w:val="000000"/>
              </w:rPr>
              <w:t>-0,8</w:t>
            </w:r>
          </w:p>
        </w:tc>
        <w:tc>
          <w:tcPr>
            <w:tcW w:w="500" w:type="pct"/>
          </w:tcPr>
          <w:p w14:paraId="292E9C07" w14:textId="5175C84E" w:rsidR="00790255" w:rsidRPr="00AD01A0"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-0,6</w:t>
            </w:r>
          </w:p>
        </w:tc>
        <w:tc>
          <w:tcPr>
            <w:tcW w:w="500" w:type="pct"/>
          </w:tcPr>
          <w:p w14:paraId="7C24875D" w14:textId="2E92456F" w:rsidR="00790255" w:rsidRPr="00AD01A0"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-2,1</w:t>
            </w:r>
          </w:p>
        </w:tc>
        <w:tc>
          <w:tcPr>
            <w:tcW w:w="500" w:type="pct"/>
          </w:tcPr>
          <w:p w14:paraId="2069FE49" w14:textId="3C7E78C9" w:rsidR="00790255" w:rsidRPr="00AD01A0"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1,3</w:t>
            </w:r>
          </w:p>
        </w:tc>
        <w:tc>
          <w:tcPr>
            <w:tcW w:w="500" w:type="pct"/>
          </w:tcPr>
          <w:p w14:paraId="1D4D07F8" w14:textId="5AEC791B" w:rsidR="00790255" w:rsidRPr="00AD01A0" w:rsidRDefault="00790255" w:rsidP="002A1218">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r>
      <w:tr w:rsidR="00E72123" w:rsidRPr="00D05843" w14:paraId="42E30AF4" w14:textId="77777777" w:rsidTr="002A1218">
        <w:trPr>
          <w:trHeight w:val="315"/>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7E3FFD5A" w14:textId="77777777" w:rsidR="00790255" w:rsidRPr="000410C0" w:rsidRDefault="00790255" w:rsidP="002A1218">
            <w:pPr>
              <w:pStyle w:val="TabelalevoUMAR"/>
              <w:rPr>
                <w:lang w:eastAsia="sl-SI"/>
              </w:rPr>
            </w:pPr>
            <w:r w:rsidRPr="000410C0">
              <w:rPr>
                <w:lang w:eastAsia="sl-SI"/>
              </w:rPr>
              <w:t>2018</w:t>
            </w:r>
          </w:p>
        </w:tc>
        <w:tc>
          <w:tcPr>
            <w:tcW w:w="500" w:type="pct"/>
            <w:noWrap/>
            <w:vAlign w:val="bottom"/>
          </w:tcPr>
          <w:p w14:paraId="77E756AF" w14:textId="54B58598"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-18,9</w:t>
            </w:r>
          </w:p>
        </w:tc>
        <w:tc>
          <w:tcPr>
            <w:tcW w:w="500" w:type="pct"/>
            <w:noWrap/>
          </w:tcPr>
          <w:p w14:paraId="00F5747C" w14:textId="3CEEE297"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5,3</w:t>
            </w:r>
          </w:p>
        </w:tc>
        <w:tc>
          <w:tcPr>
            <w:tcW w:w="500" w:type="pct"/>
            <w:noWrap/>
          </w:tcPr>
          <w:p w14:paraId="638264BA" w14:textId="33779645"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8,6</w:t>
            </w:r>
          </w:p>
        </w:tc>
        <w:tc>
          <w:tcPr>
            <w:tcW w:w="500" w:type="pct"/>
            <w:noWrap/>
          </w:tcPr>
          <w:p w14:paraId="1C5F2FCE" w14:textId="0DCC9FA0"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-2,7</w:t>
            </w:r>
          </w:p>
        </w:tc>
        <w:tc>
          <w:tcPr>
            <w:tcW w:w="500" w:type="pct"/>
            <w:noWrap/>
          </w:tcPr>
          <w:p w14:paraId="0AB9B6EC" w14:textId="7E146655"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-0,4</w:t>
            </w:r>
          </w:p>
        </w:tc>
        <w:tc>
          <w:tcPr>
            <w:tcW w:w="500" w:type="pct"/>
          </w:tcPr>
          <w:p w14:paraId="11AB4159" w14:textId="6FA6C755"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0,0</w:t>
            </w:r>
          </w:p>
        </w:tc>
        <w:tc>
          <w:tcPr>
            <w:tcW w:w="500" w:type="pct"/>
          </w:tcPr>
          <w:p w14:paraId="71F69CFD" w14:textId="6C39FCD7"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-1,8</w:t>
            </w:r>
          </w:p>
        </w:tc>
        <w:tc>
          <w:tcPr>
            <w:tcW w:w="500" w:type="pct"/>
          </w:tcPr>
          <w:p w14:paraId="1CF195D1" w14:textId="07A5B2C7"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1,0</w:t>
            </w:r>
          </w:p>
        </w:tc>
        <w:tc>
          <w:tcPr>
            <w:tcW w:w="500" w:type="pct"/>
          </w:tcPr>
          <w:p w14:paraId="7B0D28CC" w14:textId="7AC83AB4"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0,5</w:t>
            </w:r>
          </w:p>
        </w:tc>
      </w:tr>
      <w:tr w:rsidR="00E72123" w:rsidRPr="00D05843" w14:paraId="7035E4E2" w14:textId="77777777" w:rsidTr="002A1218">
        <w:trPr>
          <w:trHeight w:val="285"/>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1B27FB66" w14:textId="77777777" w:rsidR="00790255" w:rsidRPr="000410C0" w:rsidRDefault="00790255" w:rsidP="002A1218">
            <w:pPr>
              <w:pStyle w:val="TabelalevoUMAR"/>
              <w:rPr>
                <w:lang w:eastAsia="sl-SI"/>
              </w:rPr>
            </w:pPr>
            <w:r w:rsidRPr="000410C0">
              <w:rPr>
                <w:lang w:eastAsia="sl-SI"/>
              </w:rPr>
              <w:t>2019</w:t>
            </w:r>
          </w:p>
        </w:tc>
        <w:tc>
          <w:tcPr>
            <w:tcW w:w="500" w:type="pct"/>
            <w:noWrap/>
            <w:vAlign w:val="bottom"/>
          </w:tcPr>
          <w:p w14:paraId="67E439D7" w14:textId="52D2F13C"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-15,9</w:t>
            </w:r>
          </w:p>
        </w:tc>
        <w:tc>
          <w:tcPr>
            <w:tcW w:w="500" w:type="pct"/>
            <w:noWrap/>
          </w:tcPr>
          <w:p w14:paraId="398BD961" w14:textId="6E81175B"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3,0</w:t>
            </w:r>
          </w:p>
        </w:tc>
        <w:tc>
          <w:tcPr>
            <w:tcW w:w="500" w:type="pct"/>
            <w:noWrap/>
          </w:tcPr>
          <w:p w14:paraId="451F23C6" w14:textId="6969E396"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8,7</w:t>
            </w:r>
          </w:p>
        </w:tc>
        <w:tc>
          <w:tcPr>
            <w:tcW w:w="500" w:type="pct"/>
            <w:noWrap/>
          </w:tcPr>
          <w:p w14:paraId="56AC2BFC" w14:textId="1E4CD021"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-2,7</w:t>
            </w:r>
          </w:p>
        </w:tc>
        <w:tc>
          <w:tcPr>
            <w:tcW w:w="500" w:type="pct"/>
            <w:noWrap/>
          </w:tcPr>
          <w:p w14:paraId="26204036" w14:textId="03D94547"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-0,4</w:t>
            </w:r>
          </w:p>
        </w:tc>
        <w:tc>
          <w:tcPr>
            <w:tcW w:w="500" w:type="pct"/>
          </w:tcPr>
          <w:p w14:paraId="3E4C0D0B" w14:textId="41436C9D"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-1,3</w:t>
            </w:r>
          </w:p>
        </w:tc>
        <w:tc>
          <w:tcPr>
            <w:tcW w:w="500" w:type="pct"/>
          </w:tcPr>
          <w:p w14:paraId="069D2608" w14:textId="52AAA93D"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-2,3</w:t>
            </w:r>
          </w:p>
        </w:tc>
        <w:tc>
          <w:tcPr>
            <w:tcW w:w="500" w:type="pct"/>
          </w:tcPr>
          <w:p w14:paraId="55C8BBE0" w14:textId="782B59B4"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0,6</w:t>
            </w:r>
          </w:p>
        </w:tc>
        <w:tc>
          <w:tcPr>
            <w:tcW w:w="500" w:type="pct"/>
          </w:tcPr>
          <w:p w14:paraId="10DC5858" w14:textId="321D58B6"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0,4</w:t>
            </w:r>
          </w:p>
        </w:tc>
      </w:tr>
      <w:tr w:rsidR="00E72123" w:rsidRPr="00D05843" w14:paraId="02D33628" w14:textId="77777777" w:rsidTr="002A1218">
        <w:trPr>
          <w:trHeight w:val="300"/>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5E9AA5CA" w14:textId="77777777" w:rsidR="00790255" w:rsidRPr="000410C0" w:rsidRDefault="00790255" w:rsidP="002A1218">
            <w:pPr>
              <w:pStyle w:val="TabelalevoUMAR"/>
              <w:rPr>
                <w:lang w:eastAsia="sl-SI"/>
              </w:rPr>
            </w:pPr>
            <w:r w:rsidRPr="000410C0">
              <w:rPr>
                <w:lang w:eastAsia="sl-SI"/>
              </w:rPr>
              <w:t>2020</w:t>
            </w:r>
          </w:p>
        </w:tc>
        <w:tc>
          <w:tcPr>
            <w:tcW w:w="500" w:type="pct"/>
            <w:noWrap/>
            <w:vAlign w:val="bottom"/>
          </w:tcPr>
          <w:p w14:paraId="6DD7219A" w14:textId="017D5C8C"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rPr>
              <w:t>-15,2</w:t>
            </w:r>
          </w:p>
        </w:tc>
        <w:tc>
          <w:tcPr>
            <w:tcW w:w="500" w:type="pct"/>
            <w:noWrap/>
          </w:tcPr>
          <w:p w14:paraId="71310E5F" w14:textId="2AE0FD95"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0,7</w:t>
            </w:r>
          </w:p>
        </w:tc>
        <w:tc>
          <w:tcPr>
            <w:tcW w:w="500" w:type="pct"/>
            <w:noWrap/>
          </w:tcPr>
          <w:p w14:paraId="0201556A" w14:textId="146D1134"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9,5</w:t>
            </w:r>
          </w:p>
        </w:tc>
        <w:tc>
          <w:tcPr>
            <w:tcW w:w="500" w:type="pct"/>
            <w:noWrap/>
          </w:tcPr>
          <w:p w14:paraId="08368393" w14:textId="3739A3B9"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-2,1</w:t>
            </w:r>
          </w:p>
        </w:tc>
        <w:tc>
          <w:tcPr>
            <w:tcW w:w="500" w:type="pct"/>
            <w:noWrap/>
          </w:tcPr>
          <w:p w14:paraId="2E625D7F" w14:textId="394AD403"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lang w:eastAsia="sl-SI"/>
              </w:rPr>
            </w:pPr>
            <w:r>
              <w:rPr>
                <w:rFonts w:cs="Arial"/>
                <w:color w:val="000000"/>
              </w:rPr>
              <w:t>-0,5</w:t>
            </w:r>
          </w:p>
        </w:tc>
        <w:tc>
          <w:tcPr>
            <w:tcW w:w="500" w:type="pct"/>
          </w:tcPr>
          <w:p w14:paraId="0EA9995D" w14:textId="06B44ED6"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-0,4</w:t>
            </w:r>
          </w:p>
        </w:tc>
        <w:tc>
          <w:tcPr>
            <w:tcW w:w="500" w:type="pct"/>
          </w:tcPr>
          <w:p w14:paraId="1B6D2CE9" w14:textId="4E410FC1"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-5,2</w:t>
            </w:r>
          </w:p>
        </w:tc>
        <w:tc>
          <w:tcPr>
            <w:tcW w:w="500" w:type="pct"/>
          </w:tcPr>
          <w:p w14:paraId="4660B79B" w14:textId="310638CE"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-0,6</w:t>
            </w:r>
          </w:p>
        </w:tc>
        <w:tc>
          <w:tcPr>
            <w:tcW w:w="500" w:type="pct"/>
          </w:tcPr>
          <w:p w14:paraId="0770860C" w14:textId="56BDFA92"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highlight w:val="yellow"/>
              </w:rPr>
            </w:pPr>
            <w:r>
              <w:rPr>
                <w:rFonts w:cs="Arial"/>
                <w:color w:val="000000"/>
              </w:rPr>
              <w:t>0.3</w:t>
            </w:r>
          </w:p>
        </w:tc>
      </w:tr>
      <w:tr w:rsidR="00E72123" w:rsidRPr="00D05843" w14:paraId="4ED91E06" w14:textId="77777777" w:rsidTr="002A1218">
        <w:trPr>
          <w:trHeight w:val="300"/>
        </w:trPr>
        <w:tc>
          <w:tcPr>
            <w:cnfStyle w:val="001000000000" w:firstRow="0" w:lastRow="0" w:firstColumn="1" w:lastColumn="0" w:oddVBand="0" w:evenVBand="0" w:oddHBand="0" w:evenHBand="0" w:firstRowFirstColumn="0" w:firstRowLastColumn="0" w:lastRowFirstColumn="0" w:lastRowLastColumn="0"/>
            <w:tcW w:w="500" w:type="pct"/>
            <w:noWrap/>
            <w:vAlign w:val="top"/>
          </w:tcPr>
          <w:p w14:paraId="7BD14E0E" w14:textId="5CD8DD06" w:rsidR="00790255" w:rsidRPr="000410C0" w:rsidRDefault="00790255" w:rsidP="002A1218">
            <w:pPr>
              <w:pStyle w:val="TabelalevoUMAR"/>
              <w:rPr>
                <w:b/>
                <w:bCs w:val="0"/>
                <w:sz w:val="16"/>
                <w:szCs w:val="16"/>
                <w:lang w:eastAsia="sl-SI"/>
              </w:rPr>
            </w:pPr>
            <w:r w:rsidRPr="000410C0">
              <w:rPr>
                <w:b/>
                <w:bCs w:val="0"/>
                <w:sz w:val="16"/>
                <w:szCs w:val="16"/>
                <w:lang w:eastAsia="sl-SI"/>
              </w:rPr>
              <w:t>2009-2020</w:t>
            </w:r>
          </w:p>
        </w:tc>
        <w:tc>
          <w:tcPr>
            <w:tcW w:w="500" w:type="pct"/>
            <w:noWrap/>
            <w:vAlign w:val="top"/>
          </w:tcPr>
          <w:p w14:paraId="27AC71C4" w14:textId="675DF1EB" w:rsidR="00790255" w:rsidRPr="00A84C7D"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b/>
                <w:bCs w:val="0"/>
                <w:highlight w:val="yellow"/>
                <w:lang w:eastAsia="sl-SI"/>
              </w:rPr>
            </w:pPr>
          </w:p>
        </w:tc>
        <w:tc>
          <w:tcPr>
            <w:tcW w:w="500" w:type="pct"/>
            <w:noWrap/>
            <w:vAlign w:val="bottom"/>
          </w:tcPr>
          <w:p w14:paraId="1D952E5E" w14:textId="514294AB" w:rsidR="00790255" w:rsidRPr="00790255"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b/>
                <w:bCs w:val="0"/>
                <w:highlight w:val="yellow"/>
                <w:lang w:eastAsia="sl-SI"/>
              </w:rPr>
            </w:pPr>
            <w:r w:rsidRPr="00790255">
              <w:rPr>
                <w:rFonts w:cs="Arial"/>
                <w:b/>
                <w:bCs w:val="0"/>
                <w:color w:val="000000"/>
              </w:rPr>
              <w:t>24,2</w:t>
            </w:r>
          </w:p>
        </w:tc>
        <w:tc>
          <w:tcPr>
            <w:tcW w:w="500" w:type="pct"/>
            <w:noWrap/>
            <w:vAlign w:val="bottom"/>
          </w:tcPr>
          <w:p w14:paraId="7F208E88" w14:textId="024E57F7" w:rsidR="00790255" w:rsidRPr="00790255"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b/>
                <w:bCs w:val="0"/>
                <w:highlight w:val="yellow"/>
                <w:lang w:eastAsia="sl-SI"/>
              </w:rPr>
            </w:pPr>
            <w:r w:rsidRPr="00790255">
              <w:rPr>
                <w:rFonts w:cs="Arial"/>
                <w:b/>
                <w:bCs w:val="0"/>
                <w:color w:val="000000"/>
              </w:rPr>
              <w:t>72,1</w:t>
            </w:r>
          </w:p>
        </w:tc>
        <w:tc>
          <w:tcPr>
            <w:tcW w:w="500" w:type="pct"/>
            <w:noWrap/>
            <w:vAlign w:val="bottom"/>
          </w:tcPr>
          <w:p w14:paraId="1F08F510" w14:textId="12914B2B" w:rsidR="00790255" w:rsidRPr="00790255"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b/>
                <w:bCs w:val="0"/>
                <w:highlight w:val="yellow"/>
                <w:lang w:eastAsia="sl-SI"/>
              </w:rPr>
            </w:pPr>
            <w:r w:rsidRPr="00790255">
              <w:rPr>
                <w:rFonts w:cs="Arial"/>
                <w:b/>
                <w:bCs w:val="0"/>
                <w:color w:val="000000"/>
              </w:rPr>
              <w:t>-30,8</w:t>
            </w:r>
          </w:p>
        </w:tc>
        <w:tc>
          <w:tcPr>
            <w:tcW w:w="500" w:type="pct"/>
            <w:noWrap/>
            <w:vAlign w:val="bottom"/>
          </w:tcPr>
          <w:p w14:paraId="35AE31D1" w14:textId="6AFD5915" w:rsidR="00790255" w:rsidRPr="00790255"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b/>
                <w:bCs w:val="0"/>
                <w:highlight w:val="yellow"/>
                <w:lang w:eastAsia="sl-SI"/>
              </w:rPr>
            </w:pPr>
            <w:r w:rsidRPr="00790255">
              <w:rPr>
                <w:rFonts w:cs="Arial"/>
                <w:b/>
                <w:bCs w:val="0"/>
                <w:color w:val="000000"/>
              </w:rPr>
              <w:t>-1,2</w:t>
            </w:r>
          </w:p>
        </w:tc>
        <w:tc>
          <w:tcPr>
            <w:tcW w:w="500" w:type="pct"/>
            <w:vAlign w:val="bottom"/>
          </w:tcPr>
          <w:p w14:paraId="76B9F1F1" w14:textId="144F6EC5" w:rsidR="00790255" w:rsidRPr="00790255"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b/>
                <w:bCs w:val="0"/>
                <w:highlight w:val="yellow"/>
              </w:rPr>
            </w:pPr>
            <w:r w:rsidRPr="00790255">
              <w:rPr>
                <w:rFonts w:cs="Arial"/>
                <w:b/>
                <w:bCs w:val="0"/>
                <w:color w:val="000000"/>
              </w:rPr>
              <w:t>-7,2</w:t>
            </w:r>
          </w:p>
        </w:tc>
        <w:tc>
          <w:tcPr>
            <w:tcW w:w="500" w:type="pct"/>
            <w:vAlign w:val="bottom"/>
          </w:tcPr>
          <w:p w14:paraId="5683B4A4" w14:textId="46594406" w:rsidR="00790255" w:rsidRPr="00790255"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b/>
                <w:bCs w:val="0"/>
                <w:highlight w:val="yellow"/>
              </w:rPr>
            </w:pPr>
            <w:r w:rsidRPr="00790255">
              <w:rPr>
                <w:rFonts w:cs="Arial"/>
                <w:b/>
                <w:bCs w:val="0"/>
                <w:color w:val="000000"/>
              </w:rPr>
              <w:t>-14,8</w:t>
            </w:r>
          </w:p>
        </w:tc>
        <w:tc>
          <w:tcPr>
            <w:tcW w:w="500" w:type="pct"/>
            <w:vAlign w:val="bottom"/>
          </w:tcPr>
          <w:p w14:paraId="15B5EECB" w14:textId="69936674" w:rsidR="00790255" w:rsidRPr="00790255"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b/>
                <w:bCs w:val="0"/>
                <w:highlight w:val="yellow"/>
              </w:rPr>
            </w:pPr>
            <w:r w:rsidRPr="00790255">
              <w:rPr>
                <w:rFonts w:cs="Arial"/>
                <w:b/>
                <w:bCs w:val="0"/>
                <w:color w:val="000000"/>
              </w:rPr>
              <w:t>1,5</w:t>
            </w:r>
          </w:p>
        </w:tc>
        <w:tc>
          <w:tcPr>
            <w:tcW w:w="500" w:type="pct"/>
            <w:vAlign w:val="bottom"/>
          </w:tcPr>
          <w:p w14:paraId="7F9694D8" w14:textId="56CE6CE5" w:rsidR="00790255" w:rsidRPr="00790255" w:rsidRDefault="00790255" w:rsidP="002A1218">
            <w:pPr>
              <w:pStyle w:val="TabeladesnoUMAR"/>
              <w:cnfStyle w:val="000000000000" w:firstRow="0" w:lastRow="0" w:firstColumn="0" w:lastColumn="0" w:oddVBand="0" w:evenVBand="0" w:oddHBand="0" w:evenHBand="0" w:firstRowFirstColumn="0" w:firstRowLastColumn="0" w:lastRowFirstColumn="0" w:lastRowLastColumn="0"/>
              <w:rPr>
                <w:b/>
                <w:bCs w:val="0"/>
                <w:highlight w:val="yellow"/>
              </w:rPr>
            </w:pPr>
            <w:r w:rsidRPr="00790255">
              <w:rPr>
                <w:rFonts w:cs="Arial"/>
                <w:b/>
                <w:bCs w:val="0"/>
                <w:color w:val="000000"/>
              </w:rPr>
              <w:t>4,6</w:t>
            </w:r>
          </w:p>
        </w:tc>
      </w:tr>
    </w:tbl>
    <w:p w14:paraId="1232FC93" w14:textId="77777777" w:rsidR="000E1654" w:rsidRPr="00F94399" w:rsidRDefault="000E1654" w:rsidP="00E72123">
      <w:pPr>
        <w:pStyle w:val="VirUMAR"/>
      </w:pPr>
      <w:r w:rsidRPr="00F94399">
        <w:t>Vir: BS, SURS, lastni izračuni.</w:t>
      </w:r>
    </w:p>
    <w:p w14:paraId="49104647" w14:textId="77777777" w:rsidR="000E1654" w:rsidRPr="00F35792" w:rsidRDefault="000E1654" w:rsidP="00E72123">
      <w:pPr>
        <w:pStyle w:val="VirUMAR"/>
      </w:pPr>
      <w:r w:rsidRPr="00F35792">
        <w:t>Legenda</w:t>
      </w:r>
      <w:r w:rsidRPr="00F35792">
        <w:rPr>
          <w:b/>
        </w:rPr>
        <w:t>:</w:t>
      </w:r>
      <w:r w:rsidRPr="00F35792">
        <w:t xml:space="preserve">  NFA – stanje mednarodnih naložb, ΔNFA – sprememba stanja mednarodnih naložb;</w:t>
      </w:r>
    </w:p>
    <w:p w14:paraId="1064F873" w14:textId="77777777" w:rsidR="000E1654" w:rsidRPr="00F35792" w:rsidRDefault="000E1654" w:rsidP="00E72123">
      <w:pPr>
        <w:pStyle w:val="VirUMAR"/>
      </w:pPr>
      <w:r w:rsidRPr="00F35792">
        <w:t>Bgst – vsota salda blagovno-storitvene menjave, salda tekočih transferjev in salda dohodkov od dela;</w:t>
      </w:r>
    </w:p>
    <w:p w14:paraId="0C9C016A" w14:textId="6E6C8215" w:rsidR="000E1654" w:rsidRPr="00F35792" w:rsidRDefault="000E1654" w:rsidP="00E72123">
      <w:pPr>
        <w:pStyle w:val="VirUMAR"/>
      </w:pPr>
      <w:r w:rsidRPr="00F35792">
        <w:t xml:space="preserve">KA – Kapitalski račun; EO – Neto napake in izpustitve; </w:t>
      </w:r>
      <w:r w:rsidR="00A512A4">
        <w:t>VA</w:t>
      </w:r>
      <w:r w:rsidRPr="00F35792">
        <w:t xml:space="preserve"> – </w:t>
      </w:r>
      <w:r>
        <w:t>Vrednostne spremembe.</w:t>
      </w:r>
    </w:p>
    <w:p w14:paraId="57EEE45F" w14:textId="77777777" w:rsidR="000E1654" w:rsidRPr="00F35792" w:rsidRDefault="000E1654" w:rsidP="00E72123">
      <w:pPr>
        <w:pStyle w:val="VirUMAR"/>
      </w:pPr>
      <w:r w:rsidRPr="00F35792">
        <w:t>Znak (minus) plus pomeni, da posamezni dejavnik (poslabša) izboljša stanje mednarodnih naložb.</w:t>
      </w:r>
    </w:p>
    <w:p w14:paraId="02BBF871" w14:textId="77777777" w:rsidR="000E1654" w:rsidRDefault="000E1654" w:rsidP="00F94399">
      <w:pPr>
        <w:pStyle w:val="Napispodslikotabelo"/>
      </w:pPr>
    </w:p>
    <w:p w14:paraId="50DAD63D" w14:textId="2C8BA88F" w:rsidR="00A93EB1" w:rsidRPr="00FE6508" w:rsidRDefault="007F4BE5" w:rsidP="00891A1C">
      <w:pPr>
        <w:spacing w:after="0" w:line="288" w:lineRule="auto"/>
        <w:jc w:val="both"/>
        <w:rPr>
          <w:rFonts w:ascii="Myriad Pro" w:eastAsia="Calibri" w:hAnsi="Myriad Pro"/>
          <w:sz w:val="20"/>
          <w:szCs w:val="20"/>
        </w:rPr>
      </w:pPr>
      <w:r w:rsidRPr="00564BF8">
        <w:rPr>
          <w:rStyle w:val="vstavekChar"/>
          <w:rFonts w:ascii="Myriad Pro" w:hAnsi="Myriad Pro"/>
          <w:i w:val="0"/>
          <w:noProof w:val="0"/>
          <w:sz w:val="20"/>
          <w:szCs w:val="20"/>
        </w:rPr>
        <w:t>V obdobju 2003-2008</w:t>
      </w:r>
      <w:r w:rsidRPr="00564BF8">
        <w:rPr>
          <w:rStyle w:val="vstavekChar"/>
          <w:rFonts w:ascii="Myriad Pro" w:hAnsi="Myriad Pro"/>
          <w:b w:val="0"/>
          <w:i w:val="0"/>
          <w:noProof w:val="0"/>
          <w:sz w:val="20"/>
          <w:szCs w:val="20"/>
        </w:rPr>
        <w:t xml:space="preserve"> </w:t>
      </w:r>
      <w:r w:rsidRPr="00564BF8">
        <w:rPr>
          <w:rStyle w:val="vstavekChar"/>
          <w:rFonts w:ascii="Myriad Pro" w:hAnsi="Myriad Pro"/>
          <w:i w:val="0"/>
          <w:noProof w:val="0"/>
          <w:sz w:val="20"/>
          <w:szCs w:val="20"/>
        </w:rPr>
        <w:t xml:space="preserve">se je </w:t>
      </w:r>
      <w:r w:rsidR="00A70AED">
        <w:rPr>
          <w:rStyle w:val="vstavekChar"/>
          <w:rFonts w:ascii="Myriad Pro" w:hAnsi="Myriad Pro"/>
          <w:i w:val="0"/>
          <w:noProof w:val="0"/>
          <w:sz w:val="20"/>
          <w:szCs w:val="20"/>
        </w:rPr>
        <w:t>stanje mednarodnih naložb</w:t>
      </w:r>
      <w:r w:rsidRPr="00564BF8">
        <w:rPr>
          <w:rStyle w:val="vstavekChar"/>
          <w:rFonts w:ascii="Myriad Pro" w:hAnsi="Myriad Pro"/>
          <w:i w:val="0"/>
          <w:noProof w:val="0"/>
          <w:sz w:val="20"/>
          <w:szCs w:val="20"/>
        </w:rPr>
        <w:t xml:space="preserve"> najbolj poslabšal</w:t>
      </w:r>
      <w:r w:rsidR="00A70AED">
        <w:rPr>
          <w:rStyle w:val="vstavekChar"/>
          <w:rFonts w:ascii="Myriad Pro" w:hAnsi="Myriad Pro"/>
          <w:i w:val="0"/>
          <w:noProof w:val="0"/>
          <w:sz w:val="20"/>
          <w:szCs w:val="20"/>
        </w:rPr>
        <w:t>o</w:t>
      </w:r>
      <w:r w:rsidRPr="00564BF8">
        <w:rPr>
          <w:rStyle w:val="vstavekChar"/>
          <w:rFonts w:ascii="Myriad Pro" w:hAnsi="Myriad Pro"/>
          <w:b w:val="0"/>
          <w:i w:val="0"/>
          <w:noProof w:val="0"/>
          <w:sz w:val="20"/>
          <w:szCs w:val="20"/>
        </w:rPr>
        <w:t xml:space="preserve">, </w:t>
      </w:r>
      <w:r w:rsidRPr="007F4BE5">
        <w:rPr>
          <w:rStyle w:val="vstavekChar"/>
          <w:rFonts w:ascii="Myriad Pro" w:hAnsi="Myriad Pro"/>
          <w:bCs/>
          <w:i w:val="0"/>
          <w:noProof w:val="0"/>
          <w:sz w:val="20"/>
          <w:szCs w:val="20"/>
        </w:rPr>
        <w:t>saj so konec leta 2008 skupne obveznosti presegale skupne terjatve za 15 mrd EUR (39,4 % BDP)</w:t>
      </w:r>
      <w:r w:rsidRPr="00564BF8">
        <w:rPr>
          <w:rStyle w:val="vstavekChar"/>
          <w:rFonts w:ascii="Myriad Pro" w:hAnsi="Myriad Pro"/>
          <w:b w:val="0"/>
          <w:i w:val="0"/>
          <w:noProof w:val="0"/>
          <w:sz w:val="20"/>
          <w:szCs w:val="20"/>
        </w:rPr>
        <w:t>. K sprememembi stanja mednarodnih naložb je prispeval naraščajoč primanjkljaj tekočega računa plačilne bilance in s tem povezani kapitalski prilivi,</w:t>
      </w:r>
      <w:r>
        <w:rPr>
          <w:rStyle w:val="vstavekChar"/>
          <w:rFonts w:ascii="Myriad Pro" w:hAnsi="Myriad Pro"/>
          <w:b w:val="0"/>
          <w:i w:val="0"/>
          <w:noProof w:val="0"/>
          <w:sz w:val="20"/>
          <w:szCs w:val="20"/>
        </w:rPr>
        <w:t xml:space="preserve"> visoke so bile tudi negativne vrednostne spremembe</w:t>
      </w:r>
      <w:r w:rsidR="007169F6">
        <w:rPr>
          <w:rStyle w:val="vstavekChar"/>
          <w:rFonts w:ascii="Myriad Pro" w:hAnsi="Myriad Pro"/>
          <w:b w:val="0"/>
          <w:i w:val="0"/>
          <w:noProof w:val="0"/>
          <w:sz w:val="20"/>
          <w:szCs w:val="20"/>
        </w:rPr>
        <w:t xml:space="preserve"> (slika 3)</w:t>
      </w:r>
      <w:r>
        <w:rPr>
          <w:rStyle w:val="vstavekChar"/>
          <w:rFonts w:ascii="Myriad Pro" w:hAnsi="Myriad Pro"/>
          <w:b w:val="0"/>
          <w:i w:val="0"/>
          <w:noProof w:val="0"/>
          <w:sz w:val="20"/>
          <w:szCs w:val="20"/>
        </w:rPr>
        <w:t xml:space="preserve">. </w:t>
      </w:r>
      <w:r w:rsidRPr="00CA0210">
        <w:rPr>
          <w:rStyle w:val="vstavekChar"/>
          <w:rFonts w:ascii="Myriad Pro" w:hAnsi="Myriad Pro"/>
          <w:b w:val="0"/>
          <w:i w:val="0"/>
          <w:sz w:val="20"/>
          <w:szCs w:val="20"/>
        </w:rPr>
        <w:t>Popolna</w:t>
      </w:r>
      <w:r w:rsidRPr="00CA0210">
        <w:rPr>
          <w:rStyle w:val="vstavekChar"/>
          <w:rFonts w:ascii="Myriad Pro" w:hAnsi="Myriad Pro"/>
          <w:sz w:val="20"/>
          <w:szCs w:val="20"/>
        </w:rPr>
        <w:t xml:space="preserve"> </w:t>
      </w:r>
      <w:r w:rsidRPr="00CA0210">
        <w:rPr>
          <w:rFonts w:ascii="Myriad Pro" w:hAnsi="Myriad Pro"/>
          <w:sz w:val="20"/>
          <w:szCs w:val="20"/>
        </w:rPr>
        <w:t>liberalizacija kapitalskega in finančnega računa z letom 2003 je omogočila zadolževanje na tujem, ki se je z vstopom Slovenije v EU in po prevzemu evra zelo okrepilo. Rast primanjkljaja tekočega računa plačilne bilance je bila namreč v omenjenem obdobju večinoma posledica visoke rasti podjetniških investicij</w:t>
      </w:r>
      <w:r w:rsidR="007169F6">
        <w:rPr>
          <w:rFonts w:ascii="Myriad Pro" w:hAnsi="Myriad Pro"/>
          <w:sz w:val="20"/>
          <w:szCs w:val="20"/>
        </w:rPr>
        <w:t>.</w:t>
      </w:r>
      <w:r w:rsidRPr="00CA0210">
        <w:rPr>
          <w:rFonts w:ascii="Myriad Pro" w:hAnsi="Myriad Pro"/>
          <w:sz w:val="20"/>
          <w:szCs w:val="20"/>
        </w:rPr>
        <w:t xml:space="preserve"> </w:t>
      </w:r>
    </w:p>
    <w:p w14:paraId="1954CE88" w14:textId="4FC96A66" w:rsidR="00D12B05" w:rsidRPr="00083383" w:rsidRDefault="00D12B05" w:rsidP="00083383">
      <w:pPr>
        <w:pStyle w:val="Caption"/>
        <w:rPr>
          <w:rStyle w:val="vstavekChar"/>
          <w:rFonts w:ascii="Myriad Pro" w:eastAsiaTheme="minorHAnsi" w:hAnsi="Myriad Pro"/>
          <w:b/>
          <w:i w:val="0"/>
          <w:sz w:val="20"/>
          <w:szCs w:val="20"/>
        </w:rPr>
      </w:pPr>
      <w:r>
        <w:lastRenderedPageBreak/>
        <w:t>Slika</w:t>
      </w:r>
      <w:r w:rsidR="00A70AED">
        <w:t xml:space="preserve"> 3</w:t>
      </w:r>
      <w:r>
        <w:t xml:space="preserve"> : </w:t>
      </w:r>
      <w:r w:rsidR="00083383">
        <w:t>Račun dohodka</w:t>
      </w:r>
      <w:r w:rsidR="0096329A">
        <w:t xml:space="preserve"> -</w:t>
      </w:r>
      <w:r w:rsidR="00083383">
        <w:t xml:space="preserve"> </w:t>
      </w:r>
      <w:r w:rsidR="006D6AE3">
        <w:t xml:space="preserve">prispevki k spremembam </w:t>
      </w:r>
      <w:r w:rsidR="0096329A">
        <w:t>stanja mednarodnih naložb</w:t>
      </w:r>
    </w:p>
    <w:p w14:paraId="0FF39BFE" w14:textId="1DB9BAB4" w:rsidR="00D12B05" w:rsidRDefault="00DB29D8" w:rsidP="00A93EB1">
      <w:pPr>
        <w:pStyle w:val="TekstPOR"/>
        <w:spacing w:before="0" w:after="0" w:line="288" w:lineRule="auto"/>
        <w:jc w:val="both"/>
        <w:rPr>
          <w:rStyle w:val="vstavekChar"/>
          <w:rFonts w:ascii="Myriad Pro" w:hAnsi="Myriad Pro" w:cs="Arial"/>
          <w:b w:val="0"/>
          <w:bCs/>
          <w:i w:val="0"/>
          <w:noProof w:val="0"/>
          <w:sz w:val="20"/>
          <w:szCs w:val="20"/>
        </w:rPr>
      </w:pPr>
      <w:r>
        <w:rPr>
          <w:rStyle w:val="vstavekChar"/>
          <w:rFonts w:ascii="Myriad Pro" w:hAnsi="Myriad Pro" w:cs="Arial"/>
          <w:b w:val="0"/>
          <w:bCs/>
          <w:i w:val="0"/>
          <w:sz w:val="20"/>
          <w:szCs w:val="20"/>
        </w:rPr>
        <w:drawing>
          <wp:inline distT="0" distB="0" distL="0" distR="0" wp14:anchorId="63A2FF6D" wp14:editId="464E7D99">
            <wp:extent cx="5778000" cy="2401200"/>
            <wp:effectExtent l="0" t="0" r="0" b="0"/>
            <wp:docPr id="40" name="Slika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8000" cy="2401200"/>
                    </a:xfrm>
                    <a:prstGeom prst="rect">
                      <a:avLst/>
                    </a:prstGeom>
                    <a:noFill/>
                  </pic:spPr>
                </pic:pic>
              </a:graphicData>
            </a:graphic>
          </wp:inline>
        </w:drawing>
      </w:r>
    </w:p>
    <w:p w14:paraId="0CFAA200" w14:textId="4144F7C7" w:rsidR="00D12B05" w:rsidRDefault="00A4029A" w:rsidP="003672B4">
      <w:pPr>
        <w:pStyle w:val="Napispodslikotabelo"/>
      </w:pPr>
      <w:r w:rsidRPr="006F412C">
        <w:t>Vir: BS, SURS, lastni izračun</w:t>
      </w:r>
      <w:r w:rsidR="009467D5">
        <w:t>i</w:t>
      </w:r>
      <w:r>
        <w:t>.</w:t>
      </w:r>
    </w:p>
    <w:p w14:paraId="0DE25EF8" w14:textId="77777777" w:rsidR="003672B4" w:rsidRPr="003672B4" w:rsidRDefault="003672B4" w:rsidP="003672B4"/>
    <w:p w14:paraId="71FAA524" w14:textId="1D6EBB6F" w:rsidR="00FE6508" w:rsidRDefault="00FE6508" w:rsidP="00FE6508">
      <w:pPr>
        <w:pStyle w:val="TekstPOR"/>
        <w:spacing w:before="0" w:after="0" w:line="288" w:lineRule="auto"/>
        <w:jc w:val="both"/>
        <w:rPr>
          <w:rFonts w:ascii="Myriad Pro" w:hAnsi="Myriad Pro"/>
          <w:sz w:val="20"/>
          <w:szCs w:val="20"/>
        </w:rPr>
      </w:pPr>
      <w:r w:rsidRPr="00A93EB1">
        <w:rPr>
          <w:rStyle w:val="vstavekChar"/>
          <w:rFonts w:ascii="Myriad Pro" w:hAnsi="Myriad Pro"/>
          <w:bCs/>
          <w:i w:val="0"/>
          <w:noProof w:val="0"/>
          <w:sz w:val="20"/>
          <w:szCs w:val="20"/>
        </w:rPr>
        <w:t>V obdobju med gospodarsko krizo in korona krizo se je celotna neto zadolženost Slovenije precej znižala</w:t>
      </w:r>
      <w:r w:rsidR="002C450B">
        <w:rPr>
          <w:rStyle w:val="vstavekChar"/>
          <w:rFonts w:ascii="Myriad Pro" w:hAnsi="Myriad Pro"/>
          <w:bCs/>
          <w:i w:val="0"/>
          <w:noProof w:val="0"/>
          <w:sz w:val="20"/>
          <w:szCs w:val="20"/>
        </w:rPr>
        <w:t xml:space="preserve"> in sicer za 7,</w:t>
      </w:r>
      <w:r w:rsidR="00A70AED">
        <w:rPr>
          <w:rStyle w:val="vstavekChar"/>
          <w:rFonts w:ascii="Myriad Pro" w:hAnsi="Myriad Pro"/>
          <w:bCs/>
          <w:i w:val="0"/>
          <w:noProof w:val="0"/>
          <w:sz w:val="20"/>
          <w:szCs w:val="20"/>
        </w:rPr>
        <w:t>8</w:t>
      </w:r>
      <w:r w:rsidR="002C450B">
        <w:rPr>
          <w:rStyle w:val="vstavekChar"/>
          <w:rFonts w:ascii="Myriad Pro" w:hAnsi="Myriad Pro"/>
          <w:bCs/>
          <w:i w:val="0"/>
          <w:noProof w:val="0"/>
          <w:sz w:val="20"/>
          <w:szCs w:val="20"/>
        </w:rPr>
        <w:t xml:space="preserve"> mrd EUR.</w:t>
      </w:r>
      <w:r w:rsidRPr="0078597E">
        <w:rPr>
          <w:rStyle w:val="vstavekChar"/>
          <w:rFonts w:ascii="Myriad Pro" w:hAnsi="Myriad Pro"/>
          <w:b w:val="0"/>
          <w:i w:val="0"/>
          <w:noProof w:val="0"/>
          <w:sz w:val="20"/>
          <w:szCs w:val="20"/>
        </w:rPr>
        <w:t xml:space="preserve"> K temu je največ prispeval saldo </w:t>
      </w:r>
      <w:r w:rsidRPr="0078597E">
        <w:rPr>
          <w:rFonts w:ascii="Myriad Pro" w:hAnsi="Myriad Pro"/>
          <w:sz w:val="20"/>
          <w:szCs w:val="20"/>
        </w:rPr>
        <w:t>tekočega računa plačilne bilance, ki se je kumulativno povečal za 17,</w:t>
      </w:r>
      <w:r w:rsidR="00A70AED">
        <w:rPr>
          <w:rFonts w:ascii="Myriad Pro" w:hAnsi="Myriad Pro"/>
          <w:sz w:val="20"/>
          <w:szCs w:val="20"/>
        </w:rPr>
        <w:t>8</w:t>
      </w:r>
      <w:r w:rsidRPr="0078597E">
        <w:rPr>
          <w:rFonts w:ascii="Myriad Pro" w:hAnsi="Myriad Pro"/>
          <w:sz w:val="20"/>
          <w:szCs w:val="20"/>
        </w:rPr>
        <w:t xml:space="preserve"> mrd EUR</w:t>
      </w:r>
      <w:r w:rsidRPr="0078597E">
        <w:rPr>
          <w:rStyle w:val="vstavekChar"/>
          <w:rFonts w:ascii="Myriad Pro" w:hAnsi="Myriad Pro"/>
          <w:b w:val="0"/>
          <w:i w:val="0"/>
          <w:noProof w:val="0"/>
          <w:sz w:val="20"/>
          <w:szCs w:val="20"/>
        </w:rPr>
        <w:t xml:space="preserve"> </w:t>
      </w:r>
      <w:r w:rsidRPr="0078597E">
        <w:rPr>
          <w:rFonts w:ascii="Myriad Pro" w:hAnsi="Myriad Pro"/>
          <w:sz w:val="20"/>
          <w:szCs w:val="20"/>
        </w:rPr>
        <w:t>(</w:t>
      </w:r>
      <w:r w:rsidR="0015080F">
        <w:rPr>
          <w:rFonts w:ascii="Myriad Pro" w:hAnsi="Myriad Pro"/>
          <w:sz w:val="20"/>
          <w:szCs w:val="20"/>
        </w:rPr>
        <w:t>41,1</w:t>
      </w:r>
      <w:r w:rsidRPr="0078597E">
        <w:rPr>
          <w:rFonts w:ascii="Myriad Pro" w:hAnsi="Myriad Pro"/>
          <w:sz w:val="20"/>
          <w:szCs w:val="20"/>
        </w:rPr>
        <w:t xml:space="preserve"> o.</w:t>
      </w:r>
      <w:r w:rsidR="003C4984">
        <w:rPr>
          <w:rFonts w:ascii="Myriad Pro" w:hAnsi="Myriad Pro"/>
          <w:sz w:val="20"/>
          <w:szCs w:val="20"/>
        </w:rPr>
        <w:t xml:space="preserve"> </w:t>
      </w:r>
      <w:r w:rsidRPr="0078597E">
        <w:rPr>
          <w:rFonts w:ascii="Myriad Pro" w:hAnsi="Myriad Pro"/>
          <w:sz w:val="20"/>
          <w:szCs w:val="20"/>
        </w:rPr>
        <w:t>t. BDP),  kar je bilo večinoma posledica gibanja tokov primarnega salda tekočega računa.</w:t>
      </w:r>
      <w:r w:rsidRPr="0078597E">
        <w:rPr>
          <w:rStyle w:val="FootnoteReference"/>
          <w:sz w:val="20"/>
          <w:szCs w:val="20"/>
        </w:rPr>
        <w:footnoteReference w:id="2"/>
      </w:r>
      <w:r w:rsidRPr="0078597E">
        <w:rPr>
          <w:rFonts w:ascii="Myriad Pro" w:hAnsi="Myriad Pro"/>
          <w:sz w:val="20"/>
          <w:szCs w:val="20"/>
        </w:rPr>
        <w:t xml:space="preserve">  </w:t>
      </w:r>
    </w:p>
    <w:p w14:paraId="65638ABA" w14:textId="36CDFE1A" w:rsidR="00BE68E7" w:rsidRDefault="00BE68E7" w:rsidP="00FE6508">
      <w:pPr>
        <w:pStyle w:val="TekstPOR"/>
        <w:spacing w:before="0" w:after="0" w:line="288" w:lineRule="auto"/>
        <w:jc w:val="both"/>
        <w:rPr>
          <w:rFonts w:ascii="Myriad Pro" w:hAnsi="Myriad Pro"/>
          <w:sz w:val="20"/>
          <w:szCs w:val="20"/>
        </w:rPr>
      </w:pPr>
    </w:p>
    <w:p w14:paraId="1E76FB6B" w14:textId="2E0EFC95" w:rsidR="00BE68E7" w:rsidRDefault="00BE68E7" w:rsidP="00BE68E7">
      <w:pPr>
        <w:pStyle w:val="Caption"/>
        <w:spacing w:before="0" w:after="0"/>
      </w:pPr>
      <w:r>
        <w:t xml:space="preserve">Slika </w:t>
      </w:r>
      <w:r w:rsidR="0015080F">
        <w:t>4</w:t>
      </w:r>
      <w:r>
        <w:t>: Tekoči račun plačilne bilance Slovenije</w:t>
      </w:r>
    </w:p>
    <w:p w14:paraId="7884E3AD" w14:textId="20021CE8" w:rsidR="009F2D3D" w:rsidRDefault="00DB29D8" w:rsidP="009F2D3D">
      <w:pPr>
        <w:pStyle w:val="BesediloUMAR"/>
      </w:pPr>
      <w:r>
        <w:rPr>
          <w:noProof/>
        </w:rPr>
        <w:drawing>
          <wp:inline distT="0" distB="0" distL="0" distR="0" wp14:anchorId="28E18C81" wp14:editId="3730C732">
            <wp:extent cx="5777865" cy="2619951"/>
            <wp:effectExtent l="0" t="0" r="0" b="9525"/>
            <wp:docPr id="41" name="Slika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1280" cy="2630568"/>
                    </a:xfrm>
                    <a:prstGeom prst="rect">
                      <a:avLst/>
                    </a:prstGeom>
                    <a:noFill/>
                  </pic:spPr>
                </pic:pic>
              </a:graphicData>
            </a:graphic>
          </wp:inline>
        </w:drawing>
      </w:r>
    </w:p>
    <w:p w14:paraId="7AAE3A6D" w14:textId="77777777" w:rsidR="00BE68E7" w:rsidRDefault="00BE68E7" w:rsidP="00BE68E7">
      <w:pPr>
        <w:pStyle w:val="TekstPOR"/>
        <w:spacing w:before="0" w:after="0" w:line="288" w:lineRule="auto"/>
        <w:jc w:val="both"/>
        <w:rPr>
          <w:rFonts w:ascii="Myriad Pro" w:hAnsi="Myriad Pro"/>
          <w:sz w:val="20"/>
          <w:szCs w:val="20"/>
        </w:rPr>
      </w:pPr>
      <w:r w:rsidRPr="009467D5">
        <w:rPr>
          <w:rFonts w:ascii="Myriad Pro" w:hAnsi="Myriad Pro"/>
          <w:sz w:val="16"/>
          <w:szCs w:val="16"/>
        </w:rPr>
        <w:t xml:space="preserve">Vir: BS, SURS, lastni </w:t>
      </w:r>
      <w:r>
        <w:rPr>
          <w:rFonts w:ascii="Myriad Pro" w:hAnsi="Myriad Pro"/>
          <w:sz w:val="16"/>
          <w:szCs w:val="16"/>
        </w:rPr>
        <w:t>preračuni.</w:t>
      </w:r>
    </w:p>
    <w:p w14:paraId="1840D6FE" w14:textId="0A849250" w:rsidR="003A2C11" w:rsidRDefault="003A2C11" w:rsidP="009F2D3D">
      <w:pPr>
        <w:pStyle w:val="BesediloUMAR"/>
      </w:pPr>
    </w:p>
    <w:p w14:paraId="046F74DC" w14:textId="65569A89" w:rsidR="008A7ED6" w:rsidRPr="008A7ED6" w:rsidRDefault="00BE68E7" w:rsidP="003672B4">
      <w:pPr>
        <w:pStyle w:val="TekstPOR"/>
        <w:spacing w:before="0" w:after="0" w:line="288" w:lineRule="auto"/>
        <w:jc w:val="both"/>
      </w:pPr>
      <w:r w:rsidRPr="0078597E">
        <w:rPr>
          <w:rFonts w:ascii="Myriad Pro" w:hAnsi="Myriad Pro"/>
          <w:sz w:val="20"/>
          <w:szCs w:val="20"/>
        </w:rPr>
        <w:lastRenderedPageBreak/>
        <w:t>Z začetkom gospodarske krize se je primanjkljaj tekočega računa v letu 2009 močno skrčil</w:t>
      </w:r>
      <w:r w:rsidR="00B6709B">
        <w:rPr>
          <w:rFonts w:ascii="Myriad Pro" w:hAnsi="Myriad Pro"/>
          <w:sz w:val="20"/>
          <w:szCs w:val="20"/>
        </w:rPr>
        <w:t xml:space="preserve"> (slika 4)</w:t>
      </w:r>
      <w:r w:rsidRPr="0078597E">
        <w:rPr>
          <w:rFonts w:ascii="Myriad Pro" w:hAnsi="Myriad Pro"/>
          <w:sz w:val="20"/>
          <w:szCs w:val="20"/>
        </w:rPr>
        <w:t>. Tekoči račun se je nato do vključno leta 2011 ohranjal blizu ravnovesja, v letu 2012 pa se je prevesil v presežek</w:t>
      </w:r>
      <w:r>
        <w:rPr>
          <w:rFonts w:ascii="Myriad Pro" w:hAnsi="Myriad Pro"/>
          <w:sz w:val="20"/>
          <w:szCs w:val="20"/>
        </w:rPr>
        <w:t xml:space="preserve">, ki ga </w:t>
      </w:r>
      <w:r w:rsidR="003C4984">
        <w:rPr>
          <w:rFonts w:ascii="Myriad Pro" w:hAnsi="Myriad Pro"/>
          <w:sz w:val="20"/>
          <w:szCs w:val="20"/>
        </w:rPr>
        <w:t xml:space="preserve">je </w:t>
      </w:r>
      <w:r>
        <w:rPr>
          <w:rFonts w:ascii="Myriad Pro" w:hAnsi="Myriad Pro"/>
          <w:sz w:val="20"/>
          <w:szCs w:val="20"/>
        </w:rPr>
        <w:t>Slovenija nenehno izkaz</w:t>
      </w:r>
      <w:r w:rsidR="003C4984">
        <w:rPr>
          <w:rFonts w:ascii="Myriad Pro" w:hAnsi="Myriad Pro"/>
          <w:sz w:val="20"/>
          <w:szCs w:val="20"/>
        </w:rPr>
        <w:t>ovala</w:t>
      </w:r>
      <w:r>
        <w:rPr>
          <w:rFonts w:ascii="Myriad Pro" w:hAnsi="Myriad Pro"/>
          <w:sz w:val="20"/>
          <w:szCs w:val="20"/>
        </w:rPr>
        <w:t xml:space="preserve"> do leta 2020.</w:t>
      </w:r>
      <w:r w:rsidRPr="00564E06">
        <w:rPr>
          <w:rStyle w:val="vstavekChar"/>
          <w:rFonts w:ascii="Myriad Pro" w:hAnsi="Myriad Pro"/>
          <w:i w:val="0"/>
          <w:noProof w:val="0"/>
          <w:sz w:val="20"/>
          <w:szCs w:val="20"/>
        </w:rPr>
        <w:t xml:space="preserve"> </w:t>
      </w:r>
      <w:r w:rsidRPr="00671AA1">
        <w:rPr>
          <w:rStyle w:val="vstavekChar"/>
          <w:rFonts w:ascii="Myriad Pro" w:hAnsi="Myriad Pro"/>
          <w:b w:val="0"/>
          <w:bCs/>
          <w:i w:val="0"/>
          <w:noProof w:val="0"/>
          <w:sz w:val="20"/>
          <w:szCs w:val="20"/>
        </w:rPr>
        <w:t>Izboljšanje salda tekočega</w:t>
      </w:r>
      <w:r>
        <w:rPr>
          <w:rStyle w:val="vstavekChar"/>
          <w:rFonts w:ascii="Myriad Pro" w:hAnsi="Myriad Pro"/>
          <w:b w:val="0"/>
          <w:bCs/>
          <w:i w:val="0"/>
          <w:noProof w:val="0"/>
          <w:sz w:val="20"/>
          <w:szCs w:val="20"/>
        </w:rPr>
        <w:t xml:space="preserve"> računa med obema krizama je bilo </w:t>
      </w:r>
      <w:r w:rsidRPr="00564E06">
        <w:rPr>
          <w:rFonts w:ascii="Myriad Pro" w:hAnsi="Myriad Pro"/>
          <w:sz w:val="20"/>
        </w:rPr>
        <w:t>povezan</w:t>
      </w:r>
      <w:r>
        <w:rPr>
          <w:rFonts w:ascii="Myriad Pro" w:hAnsi="Myriad Pro"/>
          <w:sz w:val="20"/>
        </w:rPr>
        <w:t>o</w:t>
      </w:r>
      <w:r w:rsidRPr="00564E06">
        <w:rPr>
          <w:rFonts w:ascii="Myriad Pro" w:hAnsi="Myriad Pro"/>
          <w:sz w:val="20"/>
        </w:rPr>
        <w:t xml:space="preserve"> z obsežnim razdolževanjem bank in podjetij v tujini, ugodnimi razmerami v mednarodnem okolju in povečanjem konkurenčnosti izvoznikov ob zmerni rasti uvoza zaradi razmeroma nizke domače porabe. </w:t>
      </w:r>
      <w:r>
        <w:rPr>
          <w:rFonts w:ascii="Myriad Pro" w:hAnsi="Myriad Pro"/>
          <w:sz w:val="20"/>
        </w:rPr>
        <w:t xml:space="preserve">K oblikovanju presežka so prispevali tudi </w:t>
      </w:r>
      <w:r w:rsidRPr="00564E06">
        <w:rPr>
          <w:rFonts w:ascii="Myriad Pro" w:hAnsi="Myriad Pro"/>
          <w:sz w:val="20"/>
        </w:rPr>
        <w:t xml:space="preserve">pozitivni pogoji menjave. K višjemu presežku tekočih transakcij je </w:t>
      </w:r>
      <w:r>
        <w:rPr>
          <w:rFonts w:ascii="Myriad Pro" w:hAnsi="Myriad Pro"/>
          <w:sz w:val="20"/>
        </w:rPr>
        <w:t xml:space="preserve">v celotnem obdobju 2009-2020 </w:t>
      </w:r>
      <w:r w:rsidRPr="00564E06">
        <w:rPr>
          <w:rFonts w:ascii="Myriad Pro" w:hAnsi="Myriad Pro"/>
          <w:sz w:val="20"/>
        </w:rPr>
        <w:t xml:space="preserve">največ prispeval višji </w:t>
      </w:r>
      <w:r>
        <w:rPr>
          <w:rFonts w:ascii="Myriad Pro" w:hAnsi="Myriad Pro"/>
          <w:sz w:val="20"/>
        </w:rPr>
        <w:t>presežek v menjavi blaga in storitev s tujino.</w:t>
      </w:r>
      <w:r>
        <w:rPr>
          <w:rStyle w:val="FootnoteReference"/>
        </w:rPr>
        <w:footnoteReference w:id="3"/>
      </w:r>
      <w:r>
        <w:rPr>
          <w:rFonts w:ascii="Myriad Pro" w:hAnsi="Myriad Pro"/>
          <w:sz w:val="20"/>
        </w:rPr>
        <w:t xml:space="preserve"> </w:t>
      </w:r>
      <w:r>
        <w:rPr>
          <w:rFonts w:ascii="Myriad Pro" w:hAnsi="Myriad Pro"/>
          <w:sz w:val="20"/>
          <w:szCs w:val="20"/>
        </w:rPr>
        <w:t xml:space="preserve">K izboljšanju </w:t>
      </w:r>
      <w:r w:rsidR="0015080F">
        <w:rPr>
          <w:rFonts w:ascii="Myriad Pro" w:hAnsi="Myriad Pro"/>
          <w:sz w:val="20"/>
          <w:szCs w:val="20"/>
        </w:rPr>
        <w:t>stanja mednarodnih naložb</w:t>
      </w:r>
      <w:r>
        <w:rPr>
          <w:rFonts w:ascii="Myriad Pro" w:hAnsi="Myriad Pro"/>
          <w:sz w:val="20"/>
          <w:szCs w:val="20"/>
        </w:rPr>
        <w:t xml:space="preserve"> je prispevala tudi rast nominalnega BDP</w:t>
      </w:r>
      <w:r w:rsidR="0015080F">
        <w:rPr>
          <w:rFonts w:ascii="Myriad Pro" w:hAnsi="Myriad Pro"/>
          <w:sz w:val="20"/>
          <w:szCs w:val="20"/>
        </w:rPr>
        <w:t xml:space="preserve">. </w:t>
      </w:r>
      <w:r>
        <w:rPr>
          <w:rFonts w:ascii="Myriad Pro" w:hAnsi="Myriad Pro"/>
          <w:sz w:val="20"/>
          <w:szCs w:val="20"/>
        </w:rPr>
        <w:t xml:space="preserve"> </w:t>
      </w:r>
    </w:p>
    <w:p w14:paraId="5876824D" w14:textId="77777777" w:rsidR="0071650C" w:rsidRPr="0004147D" w:rsidRDefault="0071650C" w:rsidP="0071650C">
      <w:pPr>
        <w:pStyle w:val="Caption"/>
      </w:pPr>
      <w:r>
        <w:t xml:space="preserve">Tabela 2: </w:t>
      </w:r>
      <w:r w:rsidRPr="00F802DB">
        <w:t>S</w:t>
      </w:r>
      <w:r>
        <w:t>topnja donosa po različnih kategorijah terjatev in obveznosti do tujine, v %</w:t>
      </w:r>
    </w:p>
    <w:tbl>
      <w:tblPr>
        <w:tblStyle w:val="TableGridLight"/>
        <w:tblW w:w="4990" w:type="pct"/>
        <w:tblLayout w:type="fixed"/>
        <w:tblLook w:val="04A0" w:firstRow="1" w:lastRow="0" w:firstColumn="1" w:lastColumn="0" w:noHBand="0" w:noVBand="1"/>
      </w:tblPr>
      <w:tblGrid>
        <w:gridCol w:w="1844"/>
        <w:gridCol w:w="548"/>
        <w:gridCol w:w="552"/>
        <w:gridCol w:w="549"/>
        <w:gridCol w:w="552"/>
        <w:gridCol w:w="549"/>
        <w:gridCol w:w="550"/>
        <w:gridCol w:w="549"/>
        <w:gridCol w:w="550"/>
        <w:gridCol w:w="549"/>
        <w:gridCol w:w="614"/>
        <w:gridCol w:w="549"/>
        <w:gridCol w:w="550"/>
        <w:gridCol w:w="547"/>
      </w:tblGrid>
      <w:tr w:rsidR="0071650C" w14:paraId="31DBFBFF" w14:textId="77777777" w:rsidTr="00355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vAlign w:val="top"/>
          </w:tcPr>
          <w:p w14:paraId="5571AAB3" w14:textId="77777777" w:rsidR="0071650C" w:rsidRDefault="0071650C" w:rsidP="00355F20">
            <w:pPr>
              <w:pStyle w:val="TabelalevoUMAR"/>
              <w:jc w:val="center"/>
            </w:pPr>
          </w:p>
        </w:tc>
        <w:tc>
          <w:tcPr>
            <w:tcW w:w="303" w:type="pct"/>
          </w:tcPr>
          <w:p w14:paraId="04AE6FFF"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2008</w:t>
            </w:r>
          </w:p>
        </w:tc>
        <w:tc>
          <w:tcPr>
            <w:tcW w:w="305" w:type="pct"/>
          </w:tcPr>
          <w:p w14:paraId="330B2A62"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2009</w:t>
            </w:r>
          </w:p>
        </w:tc>
        <w:tc>
          <w:tcPr>
            <w:tcW w:w="303" w:type="pct"/>
          </w:tcPr>
          <w:p w14:paraId="4E65B38A"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2010</w:t>
            </w:r>
          </w:p>
        </w:tc>
        <w:tc>
          <w:tcPr>
            <w:tcW w:w="305" w:type="pct"/>
          </w:tcPr>
          <w:p w14:paraId="2EA588FB"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2011</w:t>
            </w:r>
          </w:p>
        </w:tc>
        <w:tc>
          <w:tcPr>
            <w:tcW w:w="303" w:type="pct"/>
          </w:tcPr>
          <w:p w14:paraId="1F84C27A"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2012</w:t>
            </w:r>
          </w:p>
        </w:tc>
        <w:tc>
          <w:tcPr>
            <w:tcW w:w="304" w:type="pct"/>
          </w:tcPr>
          <w:p w14:paraId="43258C20"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2013</w:t>
            </w:r>
          </w:p>
        </w:tc>
        <w:tc>
          <w:tcPr>
            <w:tcW w:w="303" w:type="pct"/>
          </w:tcPr>
          <w:p w14:paraId="127D7E3F"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2014</w:t>
            </w:r>
          </w:p>
        </w:tc>
        <w:tc>
          <w:tcPr>
            <w:tcW w:w="304" w:type="pct"/>
          </w:tcPr>
          <w:p w14:paraId="7360E976"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2015</w:t>
            </w:r>
          </w:p>
        </w:tc>
        <w:tc>
          <w:tcPr>
            <w:tcW w:w="303" w:type="pct"/>
          </w:tcPr>
          <w:p w14:paraId="67E94502" w14:textId="77777777" w:rsidR="0071650C" w:rsidRPr="004462C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2016</w:t>
            </w:r>
          </w:p>
        </w:tc>
        <w:tc>
          <w:tcPr>
            <w:tcW w:w="339" w:type="pct"/>
          </w:tcPr>
          <w:p w14:paraId="7B09425A"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2017</w:t>
            </w:r>
          </w:p>
        </w:tc>
        <w:tc>
          <w:tcPr>
            <w:tcW w:w="303" w:type="pct"/>
          </w:tcPr>
          <w:p w14:paraId="2D4374BA"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2018</w:t>
            </w:r>
          </w:p>
        </w:tc>
        <w:tc>
          <w:tcPr>
            <w:tcW w:w="304" w:type="pct"/>
          </w:tcPr>
          <w:p w14:paraId="0FE1CB21"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2019</w:t>
            </w:r>
          </w:p>
        </w:tc>
        <w:tc>
          <w:tcPr>
            <w:tcW w:w="302" w:type="pct"/>
          </w:tcPr>
          <w:p w14:paraId="643A765F" w14:textId="77777777" w:rsidR="0071650C" w:rsidRDefault="0071650C"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r>
              <w:t>2020</w:t>
            </w:r>
          </w:p>
        </w:tc>
      </w:tr>
      <w:tr w:rsidR="0071650C" w:rsidRPr="00D05843" w14:paraId="7F40E8AF" w14:textId="77777777" w:rsidTr="00355F20">
        <w:trPr>
          <w:trHeight w:val="285"/>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5F5F252D" w14:textId="77777777" w:rsidR="0071650C" w:rsidRPr="00F5067D" w:rsidRDefault="0071650C" w:rsidP="00355F20">
            <w:pPr>
              <w:pStyle w:val="TabelalevoUMAR"/>
              <w:rPr>
                <w:b/>
                <w:bCs w:val="0"/>
                <w:lang w:eastAsia="sl-SI"/>
              </w:rPr>
            </w:pPr>
            <w:r w:rsidRPr="00F5067D">
              <w:rPr>
                <w:b/>
                <w:bCs w:val="0"/>
                <w:lang w:eastAsia="sl-SI"/>
              </w:rPr>
              <w:t>Donosi na terjatve</w:t>
            </w:r>
          </w:p>
        </w:tc>
        <w:tc>
          <w:tcPr>
            <w:tcW w:w="303" w:type="pct"/>
            <w:noWrap/>
            <w:vAlign w:val="bottom"/>
          </w:tcPr>
          <w:p w14:paraId="60220A62"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2C3668">
              <w:rPr>
                <w:b/>
                <w:bCs w:val="0"/>
              </w:rPr>
              <w:t>2,9</w:t>
            </w:r>
          </w:p>
        </w:tc>
        <w:tc>
          <w:tcPr>
            <w:tcW w:w="305" w:type="pct"/>
            <w:noWrap/>
            <w:vAlign w:val="bottom"/>
          </w:tcPr>
          <w:p w14:paraId="14F5460B"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2C3668">
              <w:rPr>
                <w:b/>
                <w:bCs w:val="0"/>
              </w:rPr>
              <w:t>1,2</w:t>
            </w:r>
          </w:p>
        </w:tc>
        <w:tc>
          <w:tcPr>
            <w:tcW w:w="303" w:type="pct"/>
            <w:noWrap/>
            <w:vAlign w:val="bottom"/>
          </w:tcPr>
          <w:p w14:paraId="208CD1D0"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2C3668">
              <w:rPr>
                <w:b/>
                <w:bCs w:val="0"/>
              </w:rPr>
              <w:t>0,8</w:t>
            </w:r>
          </w:p>
        </w:tc>
        <w:tc>
          <w:tcPr>
            <w:tcW w:w="305" w:type="pct"/>
            <w:noWrap/>
            <w:vAlign w:val="bottom"/>
          </w:tcPr>
          <w:p w14:paraId="5559ECC8"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2C3668">
              <w:rPr>
                <w:b/>
                <w:bCs w:val="0"/>
              </w:rPr>
              <w:t>1,7</w:t>
            </w:r>
          </w:p>
        </w:tc>
        <w:tc>
          <w:tcPr>
            <w:tcW w:w="303" w:type="pct"/>
            <w:noWrap/>
            <w:vAlign w:val="bottom"/>
          </w:tcPr>
          <w:p w14:paraId="75DD94C9"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2C3668">
              <w:rPr>
                <w:b/>
                <w:bCs w:val="0"/>
              </w:rPr>
              <w:t>0,6</w:t>
            </w:r>
          </w:p>
        </w:tc>
        <w:tc>
          <w:tcPr>
            <w:tcW w:w="304" w:type="pct"/>
            <w:vAlign w:val="bottom"/>
          </w:tcPr>
          <w:p w14:paraId="50A1E4F2"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2C3668">
              <w:rPr>
                <w:b/>
                <w:bCs w:val="0"/>
              </w:rPr>
              <w:t>0,2</w:t>
            </w:r>
          </w:p>
        </w:tc>
        <w:tc>
          <w:tcPr>
            <w:tcW w:w="303" w:type="pct"/>
            <w:vAlign w:val="bottom"/>
          </w:tcPr>
          <w:p w14:paraId="6DD8F08D"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2C3668">
              <w:rPr>
                <w:b/>
                <w:bCs w:val="0"/>
              </w:rPr>
              <w:t>1,0</w:t>
            </w:r>
          </w:p>
        </w:tc>
        <w:tc>
          <w:tcPr>
            <w:tcW w:w="304" w:type="pct"/>
            <w:vAlign w:val="bottom"/>
          </w:tcPr>
          <w:p w14:paraId="36914CDB"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2C3668">
              <w:rPr>
                <w:b/>
                <w:bCs w:val="0"/>
              </w:rPr>
              <w:t>1,2</w:t>
            </w:r>
          </w:p>
        </w:tc>
        <w:tc>
          <w:tcPr>
            <w:tcW w:w="303" w:type="pct"/>
            <w:vAlign w:val="bottom"/>
          </w:tcPr>
          <w:p w14:paraId="7F3E3C4E"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2C3668">
              <w:rPr>
                <w:b/>
                <w:bCs w:val="0"/>
              </w:rPr>
              <w:t>1,4</w:t>
            </w:r>
          </w:p>
        </w:tc>
        <w:tc>
          <w:tcPr>
            <w:tcW w:w="339" w:type="pct"/>
            <w:vAlign w:val="bottom"/>
          </w:tcPr>
          <w:p w14:paraId="119C78DF"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2C3668">
              <w:rPr>
                <w:b/>
                <w:bCs w:val="0"/>
              </w:rPr>
              <w:t>1,5</w:t>
            </w:r>
          </w:p>
        </w:tc>
        <w:tc>
          <w:tcPr>
            <w:tcW w:w="303" w:type="pct"/>
            <w:vAlign w:val="bottom"/>
          </w:tcPr>
          <w:p w14:paraId="3AD5B24B"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Pr>
                <w:rFonts w:cs="Arial"/>
                <w:b/>
                <w:bCs w:val="0"/>
                <w:color w:val="000000"/>
              </w:rPr>
              <w:t>1,7</w:t>
            </w:r>
          </w:p>
        </w:tc>
        <w:tc>
          <w:tcPr>
            <w:tcW w:w="304" w:type="pct"/>
            <w:vAlign w:val="bottom"/>
          </w:tcPr>
          <w:p w14:paraId="3325B253"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Pr>
                <w:rFonts w:cs="Arial"/>
                <w:b/>
                <w:bCs w:val="0"/>
                <w:color w:val="000000"/>
              </w:rPr>
              <w:t>1,7</w:t>
            </w:r>
          </w:p>
        </w:tc>
        <w:tc>
          <w:tcPr>
            <w:tcW w:w="302" w:type="pct"/>
            <w:vAlign w:val="bottom"/>
          </w:tcPr>
          <w:p w14:paraId="4836F424" w14:textId="77777777" w:rsidR="0071650C" w:rsidRPr="002C3668"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Pr>
                <w:rFonts w:cs="Arial"/>
                <w:b/>
                <w:bCs w:val="0"/>
                <w:color w:val="000000"/>
              </w:rPr>
              <w:t>1,3</w:t>
            </w:r>
          </w:p>
        </w:tc>
      </w:tr>
      <w:tr w:rsidR="0071650C" w:rsidRPr="00D05843" w14:paraId="034D567C" w14:textId="77777777" w:rsidTr="00355F20">
        <w:trPr>
          <w:trHeight w:val="285"/>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782B7915" w14:textId="77777777" w:rsidR="0071650C" w:rsidRPr="0057035C" w:rsidRDefault="0071650C" w:rsidP="00355F20">
            <w:pPr>
              <w:pStyle w:val="TabelalevoUMAR"/>
              <w:rPr>
                <w:lang w:eastAsia="sl-SI"/>
              </w:rPr>
            </w:pPr>
            <w:r>
              <w:rPr>
                <w:lang w:eastAsia="sl-SI"/>
              </w:rPr>
              <w:t>Neposredne naložbe</w:t>
            </w:r>
          </w:p>
        </w:tc>
        <w:tc>
          <w:tcPr>
            <w:tcW w:w="303" w:type="pct"/>
            <w:noWrap/>
            <w:vAlign w:val="bottom"/>
          </w:tcPr>
          <w:p w14:paraId="36D1100B" w14:textId="77777777" w:rsidR="0071650C" w:rsidRPr="004410A9"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090932">
              <w:t>2,0</w:t>
            </w:r>
          </w:p>
        </w:tc>
        <w:tc>
          <w:tcPr>
            <w:tcW w:w="305" w:type="pct"/>
            <w:noWrap/>
            <w:vAlign w:val="bottom"/>
          </w:tcPr>
          <w:p w14:paraId="0D6141C1"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090932">
              <w:t>-1,2</w:t>
            </w:r>
          </w:p>
        </w:tc>
        <w:tc>
          <w:tcPr>
            <w:tcW w:w="303" w:type="pct"/>
            <w:noWrap/>
            <w:vAlign w:val="bottom"/>
          </w:tcPr>
          <w:p w14:paraId="67242EBA"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090932">
              <w:t>-2,8</w:t>
            </w:r>
          </w:p>
        </w:tc>
        <w:tc>
          <w:tcPr>
            <w:tcW w:w="305" w:type="pct"/>
            <w:noWrap/>
            <w:vAlign w:val="bottom"/>
          </w:tcPr>
          <w:p w14:paraId="72217673"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090932">
              <w:t>-0,2</w:t>
            </w:r>
          </w:p>
        </w:tc>
        <w:tc>
          <w:tcPr>
            <w:tcW w:w="303" w:type="pct"/>
            <w:noWrap/>
            <w:vAlign w:val="bottom"/>
          </w:tcPr>
          <w:p w14:paraId="08CA14AA"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090932">
              <w:t>-3,7</w:t>
            </w:r>
          </w:p>
        </w:tc>
        <w:tc>
          <w:tcPr>
            <w:tcW w:w="304" w:type="pct"/>
            <w:vAlign w:val="bottom"/>
          </w:tcPr>
          <w:p w14:paraId="4B876D0A"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-5,6</w:t>
            </w:r>
          </w:p>
        </w:tc>
        <w:tc>
          <w:tcPr>
            <w:tcW w:w="303" w:type="pct"/>
            <w:vAlign w:val="bottom"/>
          </w:tcPr>
          <w:p w14:paraId="256EE3B7"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-0,7</w:t>
            </w:r>
          </w:p>
        </w:tc>
        <w:tc>
          <w:tcPr>
            <w:tcW w:w="304" w:type="pct"/>
            <w:vAlign w:val="bottom"/>
          </w:tcPr>
          <w:p w14:paraId="2A22971C"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0,9</w:t>
            </w:r>
          </w:p>
        </w:tc>
        <w:tc>
          <w:tcPr>
            <w:tcW w:w="303" w:type="pct"/>
            <w:vAlign w:val="bottom"/>
          </w:tcPr>
          <w:p w14:paraId="0C0BC66C"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2,5</w:t>
            </w:r>
          </w:p>
        </w:tc>
        <w:tc>
          <w:tcPr>
            <w:tcW w:w="339" w:type="pct"/>
            <w:vAlign w:val="bottom"/>
          </w:tcPr>
          <w:p w14:paraId="3AC7C805"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2,7</w:t>
            </w:r>
          </w:p>
        </w:tc>
        <w:tc>
          <w:tcPr>
            <w:tcW w:w="303" w:type="pct"/>
            <w:vAlign w:val="bottom"/>
          </w:tcPr>
          <w:p w14:paraId="1D5136CB"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3,8</w:t>
            </w:r>
          </w:p>
        </w:tc>
        <w:tc>
          <w:tcPr>
            <w:tcW w:w="304" w:type="pct"/>
            <w:vAlign w:val="bottom"/>
          </w:tcPr>
          <w:p w14:paraId="4FAFCE74"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3,9</w:t>
            </w:r>
          </w:p>
        </w:tc>
        <w:tc>
          <w:tcPr>
            <w:tcW w:w="302" w:type="pct"/>
            <w:vAlign w:val="bottom"/>
          </w:tcPr>
          <w:p w14:paraId="269027A3"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2,5</w:t>
            </w:r>
          </w:p>
        </w:tc>
      </w:tr>
      <w:tr w:rsidR="0071650C" w:rsidRPr="00D05843" w14:paraId="0131C07E" w14:textId="77777777" w:rsidTr="00355F20">
        <w:trPr>
          <w:trHeight w:val="285"/>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48FB8459" w14:textId="77777777" w:rsidR="0071650C" w:rsidRPr="0057035C" w:rsidRDefault="0071650C" w:rsidP="00355F20">
            <w:pPr>
              <w:pStyle w:val="TabelalevoUMAR"/>
              <w:rPr>
                <w:lang w:eastAsia="sl-SI"/>
              </w:rPr>
            </w:pPr>
            <w:r>
              <w:rPr>
                <w:lang w:eastAsia="sl-SI"/>
              </w:rPr>
              <w:t>Vrednostni papirji</w:t>
            </w:r>
          </w:p>
        </w:tc>
        <w:tc>
          <w:tcPr>
            <w:tcW w:w="303" w:type="pct"/>
            <w:noWrap/>
            <w:vAlign w:val="bottom"/>
          </w:tcPr>
          <w:p w14:paraId="7411381A"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090932">
              <w:t>3,2</w:t>
            </w:r>
          </w:p>
        </w:tc>
        <w:tc>
          <w:tcPr>
            <w:tcW w:w="305" w:type="pct"/>
            <w:noWrap/>
            <w:vAlign w:val="bottom"/>
          </w:tcPr>
          <w:p w14:paraId="53A23242"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090932">
              <w:t>2,9</w:t>
            </w:r>
          </w:p>
        </w:tc>
        <w:tc>
          <w:tcPr>
            <w:tcW w:w="303" w:type="pct"/>
            <w:noWrap/>
            <w:vAlign w:val="bottom"/>
          </w:tcPr>
          <w:p w14:paraId="106EEEB6"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090932">
              <w:t>3,0</w:t>
            </w:r>
          </w:p>
        </w:tc>
        <w:tc>
          <w:tcPr>
            <w:tcW w:w="305" w:type="pct"/>
            <w:noWrap/>
            <w:vAlign w:val="bottom"/>
          </w:tcPr>
          <w:p w14:paraId="0AC882B4"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090932">
              <w:t>3,4</w:t>
            </w:r>
          </w:p>
        </w:tc>
        <w:tc>
          <w:tcPr>
            <w:tcW w:w="303" w:type="pct"/>
            <w:noWrap/>
            <w:vAlign w:val="bottom"/>
          </w:tcPr>
          <w:p w14:paraId="494AEAEA"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090932">
              <w:t>2,9</w:t>
            </w:r>
          </w:p>
        </w:tc>
        <w:tc>
          <w:tcPr>
            <w:tcW w:w="304" w:type="pct"/>
            <w:vAlign w:val="bottom"/>
          </w:tcPr>
          <w:p w14:paraId="5A22DD56"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2,7</w:t>
            </w:r>
          </w:p>
        </w:tc>
        <w:tc>
          <w:tcPr>
            <w:tcW w:w="303" w:type="pct"/>
            <w:vAlign w:val="bottom"/>
          </w:tcPr>
          <w:p w14:paraId="06920D47"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2,6</w:t>
            </w:r>
          </w:p>
        </w:tc>
        <w:tc>
          <w:tcPr>
            <w:tcW w:w="304" w:type="pct"/>
            <w:vAlign w:val="bottom"/>
          </w:tcPr>
          <w:p w14:paraId="2C1418E3"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2,8</w:t>
            </w:r>
          </w:p>
        </w:tc>
        <w:tc>
          <w:tcPr>
            <w:tcW w:w="303" w:type="pct"/>
            <w:vAlign w:val="bottom"/>
          </w:tcPr>
          <w:p w14:paraId="1A0B89DE"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2,4</w:t>
            </w:r>
          </w:p>
        </w:tc>
        <w:tc>
          <w:tcPr>
            <w:tcW w:w="339" w:type="pct"/>
            <w:vAlign w:val="bottom"/>
          </w:tcPr>
          <w:p w14:paraId="47B4D57A"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090932">
              <w:t>2,4</w:t>
            </w:r>
          </w:p>
        </w:tc>
        <w:tc>
          <w:tcPr>
            <w:tcW w:w="303" w:type="pct"/>
            <w:vAlign w:val="bottom"/>
          </w:tcPr>
          <w:p w14:paraId="7F6E7C43"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2,0</w:t>
            </w:r>
          </w:p>
        </w:tc>
        <w:tc>
          <w:tcPr>
            <w:tcW w:w="304" w:type="pct"/>
            <w:vAlign w:val="bottom"/>
          </w:tcPr>
          <w:p w14:paraId="4CA21977"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2,0</w:t>
            </w:r>
          </w:p>
        </w:tc>
        <w:tc>
          <w:tcPr>
            <w:tcW w:w="302" w:type="pct"/>
            <w:vAlign w:val="bottom"/>
          </w:tcPr>
          <w:p w14:paraId="01B7BF47"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1,7</w:t>
            </w:r>
          </w:p>
        </w:tc>
      </w:tr>
      <w:tr w:rsidR="0071650C" w:rsidRPr="00D05843" w14:paraId="654432D6" w14:textId="77777777" w:rsidTr="00355F20">
        <w:trPr>
          <w:trHeight w:val="285"/>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6CB25001" w14:textId="77777777" w:rsidR="0071650C" w:rsidRPr="0057035C" w:rsidRDefault="0071650C" w:rsidP="00355F20">
            <w:pPr>
              <w:pStyle w:val="TabelalevoUMAR"/>
              <w:rPr>
                <w:lang w:eastAsia="sl-SI"/>
              </w:rPr>
            </w:pPr>
            <w:r>
              <w:rPr>
                <w:lang w:eastAsia="sl-SI"/>
              </w:rPr>
              <w:t xml:space="preserve">Ostale naložbe ost. s. </w:t>
            </w:r>
          </w:p>
        </w:tc>
        <w:tc>
          <w:tcPr>
            <w:tcW w:w="303" w:type="pct"/>
            <w:noWrap/>
            <w:vAlign w:val="bottom"/>
          </w:tcPr>
          <w:p w14:paraId="0FB429FA"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3,2</w:t>
            </w:r>
          </w:p>
        </w:tc>
        <w:tc>
          <w:tcPr>
            <w:tcW w:w="305" w:type="pct"/>
            <w:noWrap/>
            <w:vAlign w:val="bottom"/>
          </w:tcPr>
          <w:p w14:paraId="0DBB069C"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1,1</w:t>
            </w:r>
          </w:p>
        </w:tc>
        <w:tc>
          <w:tcPr>
            <w:tcW w:w="303" w:type="pct"/>
            <w:noWrap/>
            <w:vAlign w:val="bottom"/>
          </w:tcPr>
          <w:p w14:paraId="5AF93748"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1,0</w:t>
            </w:r>
          </w:p>
        </w:tc>
        <w:tc>
          <w:tcPr>
            <w:tcW w:w="305" w:type="pct"/>
            <w:noWrap/>
            <w:vAlign w:val="bottom"/>
          </w:tcPr>
          <w:p w14:paraId="25CAB03B"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1,2</w:t>
            </w:r>
          </w:p>
        </w:tc>
        <w:tc>
          <w:tcPr>
            <w:tcW w:w="303" w:type="pct"/>
            <w:noWrap/>
            <w:vAlign w:val="bottom"/>
          </w:tcPr>
          <w:p w14:paraId="6BD79090"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1,0</w:t>
            </w:r>
          </w:p>
        </w:tc>
        <w:tc>
          <w:tcPr>
            <w:tcW w:w="304" w:type="pct"/>
            <w:vAlign w:val="bottom"/>
          </w:tcPr>
          <w:p w14:paraId="47D1C8F1"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0,9</w:t>
            </w:r>
          </w:p>
        </w:tc>
        <w:tc>
          <w:tcPr>
            <w:tcW w:w="303" w:type="pct"/>
            <w:vAlign w:val="bottom"/>
          </w:tcPr>
          <w:p w14:paraId="56169D4A"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0,7</w:t>
            </w:r>
          </w:p>
        </w:tc>
        <w:tc>
          <w:tcPr>
            <w:tcW w:w="304" w:type="pct"/>
            <w:vAlign w:val="bottom"/>
          </w:tcPr>
          <w:p w14:paraId="3C9D149F"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0,5</w:t>
            </w:r>
          </w:p>
        </w:tc>
        <w:tc>
          <w:tcPr>
            <w:tcW w:w="303" w:type="pct"/>
            <w:vAlign w:val="bottom"/>
          </w:tcPr>
          <w:p w14:paraId="712CF173"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0,4</w:t>
            </w:r>
          </w:p>
        </w:tc>
        <w:tc>
          <w:tcPr>
            <w:tcW w:w="339" w:type="pct"/>
            <w:vAlign w:val="bottom"/>
          </w:tcPr>
          <w:p w14:paraId="6437B2E0"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0,4</w:t>
            </w:r>
          </w:p>
        </w:tc>
        <w:tc>
          <w:tcPr>
            <w:tcW w:w="303" w:type="pct"/>
            <w:vAlign w:val="bottom"/>
          </w:tcPr>
          <w:p w14:paraId="47D61D02"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c>
          <w:tcPr>
            <w:tcW w:w="304" w:type="pct"/>
            <w:vAlign w:val="bottom"/>
          </w:tcPr>
          <w:p w14:paraId="7C23A333"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c>
          <w:tcPr>
            <w:tcW w:w="302" w:type="pct"/>
            <w:vAlign w:val="bottom"/>
          </w:tcPr>
          <w:p w14:paraId="7E38D4AF"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0,4</w:t>
            </w:r>
          </w:p>
        </w:tc>
      </w:tr>
      <w:tr w:rsidR="0071650C" w:rsidRPr="00D05843" w14:paraId="0607BB95" w14:textId="77777777" w:rsidTr="00355F20">
        <w:trPr>
          <w:trHeight w:val="285"/>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045F1FED" w14:textId="77777777" w:rsidR="0071650C" w:rsidRDefault="0071650C" w:rsidP="00355F20">
            <w:pPr>
              <w:pStyle w:val="TabelalevoUMAR"/>
              <w:rPr>
                <w:lang w:eastAsia="sl-SI"/>
              </w:rPr>
            </w:pPr>
            <w:r>
              <w:rPr>
                <w:lang w:eastAsia="sl-SI"/>
              </w:rPr>
              <w:t>Ostale naložbe BS</w:t>
            </w:r>
          </w:p>
        </w:tc>
        <w:tc>
          <w:tcPr>
            <w:tcW w:w="303" w:type="pct"/>
            <w:noWrap/>
            <w:vAlign w:val="bottom"/>
          </w:tcPr>
          <w:p w14:paraId="505874F4"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2,1</w:t>
            </w:r>
          </w:p>
        </w:tc>
        <w:tc>
          <w:tcPr>
            <w:tcW w:w="305" w:type="pct"/>
            <w:noWrap/>
            <w:vAlign w:val="bottom"/>
          </w:tcPr>
          <w:p w14:paraId="6C8B94C5"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0,7</w:t>
            </w:r>
          </w:p>
        </w:tc>
        <w:tc>
          <w:tcPr>
            <w:tcW w:w="303" w:type="pct"/>
            <w:noWrap/>
            <w:vAlign w:val="bottom"/>
          </w:tcPr>
          <w:p w14:paraId="41D74B7E"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0,6</w:t>
            </w:r>
          </w:p>
        </w:tc>
        <w:tc>
          <w:tcPr>
            <w:tcW w:w="305" w:type="pct"/>
            <w:noWrap/>
            <w:vAlign w:val="bottom"/>
          </w:tcPr>
          <w:p w14:paraId="7B77F969"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1,0</w:t>
            </w:r>
          </w:p>
        </w:tc>
        <w:tc>
          <w:tcPr>
            <w:tcW w:w="303" w:type="pct"/>
            <w:noWrap/>
            <w:vAlign w:val="bottom"/>
          </w:tcPr>
          <w:p w14:paraId="44A82CC7"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0,8</w:t>
            </w:r>
          </w:p>
        </w:tc>
        <w:tc>
          <w:tcPr>
            <w:tcW w:w="304" w:type="pct"/>
            <w:vAlign w:val="bottom"/>
          </w:tcPr>
          <w:p w14:paraId="02CA9D0C"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0,5</w:t>
            </w:r>
          </w:p>
        </w:tc>
        <w:tc>
          <w:tcPr>
            <w:tcW w:w="303" w:type="pct"/>
            <w:vAlign w:val="bottom"/>
          </w:tcPr>
          <w:p w14:paraId="31F7852A"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0,3</w:t>
            </w:r>
          </w:p>
        </w:tc>
        <w:tc>
          <w:tcPr>
            <w:tcW w:w="304" w:type="pct"/>
            <w:vAlign w:val="bottom"/>
          </w:tcPr>
          <w:p w14:paraId="7FBC71C0"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0,0</w:t>
            </w:r>
          </w:p>
        </w:tc>
        <w:tc>
          <w:tcPr>
            <w:tcW w:w="303" w:type="pct"/>
            <w:vAlign w:val="bottom"/>
          </w:tcPr>
          <w:p w14:paraId="7B64CD41"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0,0</w:t>
            </w:r>
          </w:p>
        </w:tc>
        <w:tc>
          <w:tcPr>
            <w:tcW w:w="339" w:type="pct"/>
            <w:vAlign w:val="bottom"/>
          </w:tcPr>
          <w:p w14:paraId="65233637"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0,0</w:t>
            </w:r>
          </w:p>
        </w:tc>
        <w:tc>
          <w:tcPr>
            <w:tcW w:w="303" w:type="pct"/>
            <w:vAlign w:val="bottom"/>
          </w:tcPr>
          <w:p w14:paraId="12E3C2B6"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0,1</w:t>
            </w:r>
          </w:p>
        </w:tc>
        <w:tc>
          <w:tcPr>
            <w:tcW w:w="304" w:type="pct"/>
            <w:vAlign w:val="bottom"/>
          </w:tcPr>
          <w:p w14:paraId="46B174B7"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0,0</w:t>
            </w:r>
          </w:p>
        </w:tc>
        <w:tc>
          <w:tcPr>
            <w:tcW w:w="302" w:type="pct"/>
            <w:vAlign w:val="bottom"/>
          </w:tcPr>
          <w:p w14:paraId="20D77DF4"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0,0</w:t>
            </w:r>
          </w:p>
        </w:tc>
      </w:tr>
      <w:tr w:rsidR="0071650C" w:rsidRPr="00D05843" w14:paraId="19D8F682" w14:textId="77777777" w:rsidTr="003672B4">
        <w:trPr>
          <w:trHeight w:val="285"/>
        </w:trPr>
        <w:tc>
          <w:tcPr>
            <w:cnfStyle w:val="001000000000" w:firstRow="0" w:lastRow="0" w:firstColumn="1" w:lastColumn="0" w:oddVBand="0" w:evenVBand="0" w:oddHBand="0" w:evenHBand="0" w:firstRowFirstColumn="0" w:firstRowLastColumn="0" w:lastRowFirstColumn="0" w:lastRowLastColumn="0"/>
            <w:tcW w:w="1019" w:type="pct"/>
            <w:tcBorders>
              <w:bottom w:val="single" w:sz="4" w:space="0" w:color="auto"/>
            </w:tcBorders>
            <w:noWrap/>
            <w:vAlign w:val="bottom"/>
          </w:tcPr>
          <w:p w14:paraId="71B3F09C" w14:textId="77777777" w:rsidR="0071650C" w:rsidRPr="0057035C" w:rsidRDefault="0071650C" w:rsidP="00355F20">
            <w:pPr>
              <w:pStyle w:val="TabelalevoUMAR"/>
              <w:rPr>
                <w:lang w:eastAsia="sl-SI"/>
              </w:rPr>
            </w:pPr>
            <w:r>
              <w:rPr>
                <w:lang w:eastAsia="sl-SI"/>
              </w:rPr>
              <w:t>Rezevna imetja</w:t>
            </w:r>
          </w:p>
        </w:tc>
        <w:tc>
          <w:tcPr>
            <w:tcW w:w="303" w:type="pct"/>
            <w:tcBorders>
              <w:bottom w:val="single" w:sz="4" w:space="0" w:color="auto"/>
            </w:tcBorders>
            <w:noWrap/>
            <w:vAlign w:val="bottom"/>
          </w:tcPr>
          <w:p w14:paraId="1F227454"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3,9</w:t>
            </w:r>
          </w:p>
        </w:tc>
        <w:tc>
          <w:tcPr>
            <w:tcW w:w="305" w:type="pct"/>
            <w:tcBorders>
              <w:bottom w:val="single" w:sz="4" w:space="0" w:color="auto"/>
            </w:tcBorders>
            <w:noWrap/>
            <w:vAlign w:val="bottom"/>
          </w:tcPr>
          <w:p w14:paraId="07D58479"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2,3</w:t>
            </w:r>
          </w:p>
        </w:tc>
        <w:tc>
          <w:tcPr>
            <w:tcW w:w="303" w:type="pct"/>
            <w:tcBorders>
              <w:bottom w:val="single" w:sz="4" w:space="0" w:color="auto"/>
            </w:tcBorders>
            <w:noWrap/>
            <w:vAlign w:val="bottom"/>
          </w:tcPr>
          <w:p w14:paraId="2547D426"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1,6</w:t>
            </w:r>
          </w:p>
        </w:tc>
        <w:tc>
          <w:tcPr>
            <w:tcW w:w="305" w:type="pct"/>
            <w:tcBorders>
              <w:bottom w:val="single" w:sz="4" w:space="0" w:color="auto"/>
            </w:tcBorders>
            <w:noWrap/>
            <w:vAlign w:val="bottom"/>
          </w:tcPr>
          <w:p w14:paraId="4FA28680"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0,9</w:t>
            </w:r>
          </w:p>
        </w:tc>
        <w:tc>
          <w:tcPr>
            <w:tcW w:w="303" w:type="pct"/>
            <w:tcBorders>
              <w:bottom w:val="single" w:sz="4" w:space="0" w:color="auto"/>
            </w:tcBorders>
            <w:noWrap/>
            <w:vAlign w:val="bottom"/>
          </w:tcPr>
          <w:p w14:paraId="290ECE65"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A05540">
              <w:t>0,5</w:t>
            </w:r>
          </w:p>
        </w:tc>
        <w:tc>
          <w:tcPr>
            <w:tcW w:w="304" w:type="pct"/>
            <w:tcBorders>
              <w:bottom w:val="single" w:sz="4" w:space="0" w:color="auto"/>
            </w:tcBorders>
            <w:vAlign w:val="bottom"/>
          </w:tcPr>
          <w:p w14:paraId="3810AFC4"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0,3</w:t>
            </w:r>
          </w:p>
        </w:tc>
        <w:tc>
          <w:tcPr>
            <w:tcW w:w="303" w:type="pct"/>
            <w:tcBorders>
              <w:bottom w:val="single" w:sz="4" w:space="0" w:color="auto"/>
            </w:tcBorders>
            <w:vAlign w:val="bottom"/>
          </w:tcPr>
          <w:p w14:paraId="7333B915"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1,0</w:t>
            </w:r>
          </w:p>
        </w:tc>
        <w:tc>
          <w:tcPr>
            <w:tcW w:w="304" w:type="pct"/>
            <w:tcBorders>
              <w:bottom w:val="single" w:sz="4" w:space="0" w:color="auto"/>
            </w:tcBorders>
            <w:vAlign w:val="bottom"/>
          </w:tcPr>
          <w:p w14:paraId="22505464"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0,9</w:t>
            </w:r>
          </w:p>
        </w:tc>
        <w:tc>
          <w:tcPr>
            <w:tcW w:w="303" w:type="pct"/>
            <w:tcBorders>
              <w:bottom w:val="single" w:sz="4" w:space="0" w:color="auto"/>
            </w:tcBorders>
            <w:vAlign w:val="bottom"/>
          </w:tcPr>
          <w:p w14:paraId="7EC23A3F"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0,7</w:t>
            </w:r>
          </w:p>
        </w:tc>
        <w:tc>
          <w:tcPr>
            <w:tcW w:w="339" w:type="pct"/>
            <w:tcBorders>
              <w:bottom w:val="single" w:sz="4" w:space="0" w:color="auto"/>
            </w:tcBorders>
            <w:vAlign w:val="bottom"/>
          </w:tcPr>
          <w:p w14:paraId="7C416C62"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A05540">
              <w:t>0,9</w:t>
            </w:r>
          </w:p>
        </w:tc>
        <w:tc>
          <w:tcPr>
            <w:tcW w:w="303" w:type="pct"/>
            <w:tcBorders>
              <w:bottom w:val="single" w:sz="4" w:space="0" w:color="auto"/>
            </w:tcBorders>
            <w:vAlign w:val="bottom"/>
          </w:tcPr>
          <w:p w14:paraId="74E7E236"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1,0</w:t>
            </w:r>
          </w:p>
        </w:tc>
        <w:tc>
          <w:tcPr>
            <w:tcW w:w="304" w:type="pct"/>
            <w:tcBorders>
              <w:bottom w:val="single" w:sz="4" w:space="0" w:color="auto"/>
            </w:tcBorders>
            <w:vAlign w:val="bottom"/>
          </w:tcPr>
          <w:p w14:paraId="7EDE2022"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1,2</w:t>
            </w:r>
          </w:p>
        </w:tc>
        <w:tc>
          <w:tcPr>
            <w:tcW w:w="302" w:type="pct"/>
            <w:tcBorders>
              <w:bottom w:val="single" w:sz="4" w:space="0" w:color="auto"/>
            </w:tcBorders>
            <w:vAlign w:val="bottom"/>
          </w:tcPr>
          <w:p w14:paraId="2A83B58F"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1,0</w:t>
            </w:r>
          </w:p>
        </w:tc>
      </w:tr>
      <w:tr w:rsidR="0071650C" w:rsidRPr="00D05843" w14:paraId="7636BFEA" w14:textId="77777777" w:rsidTr="003672B4">
        <w:trPr>
          <w:trHeight w:val="285"/>
        </w:trPr>
        <w:tc>
          <w:tcPr>
            <w:cnfStyle w:val="001000000000" w:firstRow="0" w:lastRow="0" w:firstColumn="1" w:lastColumn="0" w:oddVBand="0" w:evenVBand="0" w:oddHBand="0" w:evenHBand="0" w:firstRowFirstColumn="0" w:firstRowLastColumn="0" w:lastRowFirstColumn="0" w:lastRowLastColumn="0"/>
            <w:tcW w:w="1019" w:type="pct"/>
            <w:tcBorders>
              <w:right w:val="nil"/>
            </w:tcBorders>
            <w:noWrap/>
            <w:vAlign w:val="bottom"/>
          </w:tcPr>
          <w:p w14:paraId="33759E9C" w14:textId="77777777" w:rsidR="0071650C" w:rsidRPr="00F5067D" w:rsidRDefault="0071650C" w:rsidP="00355F20">
            <w:pPr>
              <w:pStyle w:val="TabelalevoUMAR"/>
              <w:rPr>
                <w:lang w:eastAsia="sl-SI"/>
              </w:rPr>
            </w:pPr>
          </w:p>
        </w:tc>
        <w:tc>
          <w:tcPr>
            <w:tcW w:w="303" w:type="pct"/>
            <w:tcBorders>
              <w:left w:val="nil"/>
              <w:right w:val="nil"/>
            </w:tcBorders>
            <w:noWrap/>
            <w:vAlign w:val="top"/>
          </w:tcPr>
          <w:p w14:paraId="4252A827"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p>
        </w:tc>
        <w:tc>
          <w:tcPr>
            <w:tcW w:w="305" w:type="pct"/>
            <w:tcBorders>
              <w:left w:val="nil"/>
              <w:right w:val="nil"/>
            </w:tcBorders>
            <w:noWrap/>
            <w:vAlign w:val="top"/>
          </w:tcPr>
          <w:p w14:paraId="7809C611"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p>
        </w:tc>
        <w:tc>
          <w:tcPr>
            <w:tcW w:w="303" w:type="pct"/>
            <w:tcBorders>
              <w:left w:val="nil"/>
              <w:right w:val="nil"/>
            </w:tcBorders>
            <w:noWrap/>
            <w:vAlign w:val="top"/>
          </w:tcPr>
          <w:p w14:paraId="2A007B94"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p>
        </w:tc>
        <w:tc>
          <w:tcPr>
            <w:tcW w:w="305" w:type="pct"/>
            <w:tcBorders>
              <w:left w:val="nil"/>
              <w:right w:val="nil"/>
            </w:tcBorders>
            <w:noWrap/>
            <w:vAlign w:val="top"/>
          </w:tcPr>
          <w:p w14:paraId="6F91AAEA"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p>
        </w:tc>
        <w:tc>
          <w:tcPr>
            <w:tcW w:w="303" w:type="pct"/>
            <w:tcBorders>
              <w:left w:val="nil"/>
              <w:right w:val="nil"/>
            </w:tcBorders>
            <w:noWrap/>
            <w:vAlign w:val="top"/>
          </w:tcPr>
          <w:p w14:paraId="4256BE28"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p>
        </w:tc>
        <w:tc>
          <w:tcPr>
            <w:tcW w:w="304" w:type="pct"/>
            <w:tcBorders>
              <w:left w:val="nil"/>
              <w:right w:val="nil"/>
            </w:tcBorders>
            <w:vAlign w:val="top"/>
          </w:tcPr>
          <w:p w14:paraId="14C9D4C8"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p>
        </w:tc>
        <w:tc>
          <w:tcPr>
            <w:tcW w:w="303" w:type="pct"/>
            <w:tcBorders>
              <w:left w:val="nil"/>
              <w:right w:val="nil"/>
            </w:tcBorders>
            <w:vAlign w:val="top"/>
          </w:tcPr>
          <w:p w14:paraId="1DF4C4BD"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p>
        </w:tc>
        <w:tc>
          <w:tcPr>
            <w:tcW w:w="304" w:type="pct"/>
            <w:tcBorders>
              <w:left w:val="nil"/>
              <w:right w:val="nil"/>
            </w:tcBorders>
            <w:vAlign w:val="top"/>
          </w:tcPr>
          <w:p w14:paraId="522C5675"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p>
        </w:tc>
        <w:tc>
          <w:tcPr>
            <w:tcW w:w="303" w:type="pct"/>
            <w:tcBorders>
              <w:left w:val="nil"/>
              <w:right w:val="nil"/>
            </w:tcBorders>
            <w:vAlign w:val="top"/>
          </w:tcPr>
          <w:p w14:paraId="09FDB181"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p>
        </w:tc>
        <w:tc>
          <w:tcPr>
            <w:tcW w:w="339" w:type="pct"/>
            <w:tcBorders>
              <w:left w:val="nil"/>
              <w:right w:val="nil"/>
            </w:tcBorders>
          </w:tcPr>
          <w:p w14:paraId="648F6406"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p>
        </w:tc>
        <w:tc>
          <w:tcPr>
            <w:tcW w:w="303" w:type="pct"/>
            <w:tcBorders>
              <w:left w:val="nil"/>
              <w:right w:val="nil"/>
            </w:tcBorders>
          </w:tcPr>
          <w:p w14:paraId="6BFD22ED"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p>
        </w:tc>
        <w:tc>
          <w:tcPr>
            <w:tcW w:w="304" w:type="pct"/>
            <w:tcBorders>
              <w:left w:val="nil"/>
              <w:right w:val="nil"/>
            </w:tcBorders>
          </w:tcPr>
          <w:p w14:paraId="6931DBC0"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p>
        </w:tc>
        <w:tc>
          <w:tcPr>
            <w:tcW w:w="302" w:type="pct"/>
            <w:tcBorders>
              <w:left w:val="nil"/>
            </w:tcBorders>
          </w:tcPr>
          <w:p w14:paraId="38C8461E"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p>
        </w:tc>
      </w:tr>
      <w:tr w:rsidR="0071650C" w:rsidRPr="00D05843" w14:paraId="778D59F7" w14:textId="77777777" w:rsidTr="003672B4">
        <w:trPr>
          <w:trHeight w:val="227"/>
        </w:trPr>
        <w:tc>
          <w:tcPr>
            <w:cnfStyle w:val="001000000000" w:firstRow="0" w:lastRow="0" w:firstColumn="1" w:lastColumn="0" w:oddVBand="0" w:evenVBand="0" w:oddHBand="0" w:evenHBand="0" w:firstRowFirstColumn="0" w:firstRowLastColumn="0" w:lastRowFirstColumn="0" w:lastRowLastColumn="0"/>
            <w:tcW w:w="1019" w:type="pct"/>
            <w:shd w:val="clear" w:color="auto" w:fill="DBDBDB" w:themeFill="background2"/>
            <w:noWrap/>
            <w:vAlign w:val="bottom"/>
          </w:tcPr>
          <w:p w14:paraId="2D6D7E1A" w14:textId="77777777" w:rsidR="0071650C" w:rsidRPr="0057035C" w:rsidRDefault="0071650C" w:rsidP="00355F20">
            <w:pPr>
              <w:pStyle w:val="TabelalevoUMAR"/>
              <w:rPr>
                <w:lang w:eastAsia="sl-SI"/>
              </w:rPr>
            </w:pPr>
          </w:p>
        </w:tc>
        <w:tc>
          <w:tcPr>
            <w:tcW w:w="303" w:type="pct"/>
            <w:shd w:val="clear" w:color="auto" w:fill="DBDBDB" w:themeFill="background2"/>
            <w:noWrap/>
            <w:vAlign w:val="bottom"/>
          </w:tcPr>
          <w:p w14:paraId="5C8B7C4B"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lang w:eastAsia="sl-SI"/>
              </w:rPr>
            </w:pPr>
            <w:r w:rsidRPr="00F5067D">
              <w:rPr>
                <w:b/>
                <w:bCs w:val="0"/>
              </w:rPr>
              <w:t>2008</w:t>
            </w:r>
          </w:p>
        </w:tc>
        <w:tc>
          <w:tcPr>
            <w:tcW w:w="305" w:type="pct"/>
            <w:shd w:val="clear" w:color="auto" w:fill="DBDBDB" w:themeFill="background2"/>
            <w:noWrap/>
            <w:vAlign w:val="bottom"/>
          </w:tcPr>
          <w:p w14:paraId="6E2C22B5"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lang w:eastAsia="sl-SI"/>
              </w:rPr>
            </w:pPr>
            <w:r w:rsidRPr="00F5067D">
              <w:rPr>
                <w:b/>
                <w:bCs w:val="0"/>
              </w:rPr>
              <w:t>2009</w:t>
            </w:r>
          </w:p>
        </w:tc>
        <w:tc>
          <w:tcPr>
            <w:tcW w:w="303" w:type="pct"/>
            <w:shd w:val="clear" w:color="auto" w:fill="DBDBDB" w:themeFill="background2"/>
            <w:noWrap/>
            <w:vAlign w:val="bottom"/>
          </w:tcPr>
          <w:p w14:paraId="2E3C7550"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lang w:eastAsia="sl-SI"/>
              </w:rPr>
            </w:pPr>
            <w:r w:rsidRPr="00F5067D">
              <w:rPr>
                <w:b/>
                <w:bCs w:val="0"/>
              </w:rPr>
              <w:t>2010</w:t>
            </w:r>
          </w:p>
        </w:tc>
        <w:tc>
          <w:tcPr>
            <w:tcW w:w="305" w:type="pct"/>
            <w:shd w:val="clear" w:color="auto" w:fill="DBDBDB" w:themeFill="background2"/>
            <w:noWrap/>
            <w:vAlign w:val="bottom"/>
          </w:tcPr>
          <w:p w14:paraId="606D45C4"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lang w:eastAsia="sl-SI"/>
              </w:rPr>
            </w:pPr>
            <w:r w:rsidRPr="00F5067D">
              <w:rPr>
                <w:b/>
                <w:bCs w:val="0"/>
              </w:rPr>
              <w:t>2011</w:t>
            </w:r>
          </w:p>
        </w:tc>
        <w:tc>
          <w:tcPr>
            <w:tcW w:w="303" w:type="pct"/>
            <w:shd w:val="clear" w:color="auto" w:fill="DBDBDB" w:themeFill="background2"/>
            <w:noWrap/>
            <w:vAlign w:val="bottom"/>
          </w:tcPr>
          <w:p w14:paraId="5B1A69E3"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lang w:eastAsia="sl-SI"/>
              </w:rPr>
            </w:pPr>
            <w:r w:rsidRPr="00F5067D">
              <w:rPr>
                <w:b/>
                <w:bCs w:val="0"/>
              </w:rPr>
              <w:t>2012</w:t>
            </w:r>
          </w:p>
        </w:tc>
        <w:tc>
          <w:tcPr>
            <w:tcW w:w="304" w:type="pct"/>
            <w:shd w:val="clear" w:color="auto" w:fill="DBDBDB" w:themeFill="background2"/>
            <w:vAlign w:val="bottom"/>
          </w:tcPr>
          <w:p w14:paraId="1F5D02B5"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F5067D">
              <w:rPr>
                <w:b/>
                <w:bCs w:val="0"/>
              </w:rPr>
              <w:t>2013</w:t>
            </w:r>
          </w:p>
        </w:tc>
        <w:tc>
          <w:tcPr>
            <w:tcW w:w="303" w:type="pct"/>
            <w:shd w:val="clear" w:color="auto" w:fill="DBDBDB" w:themeFill="background2"/>
            <w:vAlign w:val="bottom"/>
          </w:tcPr>
          <w:p w14:paraId="4E3D9A0B"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F5067D">
              <w:rPr>
                <w:b/>
                <w:bCs w:val="0"/>
              </w:rPr>
              <w:t>2014</w:t>
            </w:r>
          </w:p>
        </w:tc>
        <w:tc>
          <w:tcPr>
            <w:tcW w:w="304" w:type="pct"/>
            <w:shd w:val="clear" w:color="auto" w:fill="DBDBDB" w:themeFill="background2"/>
            <w:vAlign w:val="bottom"/>
          </w:tcPr>
          <w:p w14:paraId="2C4B6BFE"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F5067D">
              <w:rPr>
                <w:b/>
                <w:bCs w:val="0"/>
              </w:rPr>
              <w:t>2015</w:t>
            </w:r>
          </w:p>
        </w:tc>
        <w:tc>
          <w:tcPr>
            <w:tcW w:w="303" w:type="pct"/>
            <w:shd w:val="clear" w:color="auto" w:fill="DBDBDB" w:themeFill="background2"/>
            <w:vAlign w:val="bottom"/>
          </w:tcPr>
          <w:p w14:paraId="647ABA80"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F5067D">
              <w:rPr>
                <w:b/>
                <w:bCs w:val="0"/>
              </w:rPr>
              <w:t>2016</w:t>
            </w:r>
          </w:p>
        </w:tc>
        <w:tc>
          <w:tcPr>
            <w:tcW w:w="339" w:type="pct"/>
            <w:shd w:val="clear" w:color="auto" w:fill="DBDBDB" w:themeFill="background2"/>
            <w:vAlign w:val="bottom"/>
          </w:tcPr>
          <w:p w14:paraId="5351A86D"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F5067D">
              <w:rPr>
                <w:b/>
                <w:bCs w:val="0"/>
              </w:rPr>
              <w:t>2017</w:t>
            </w:r>
          </w:p>
        </w:tc>
        <w:tc>
          <w:tcPr>
            <w:tcW w:w="303" w:type="pct"/>
            <w:shd w:val="clear" w:color="auto" w:fill="DBDBDB" w:themeFill="background2"/>
            <w:vAlign w:val="bottom"/>
          </w:tcPr>
          <w:p w14:paraId="7EB734F6"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F5067D">
              <w:rPr>
                <w:b/>
                <w:bCs w:val="0"/>
              </w:rPr>
              <w:t>2018</w:t>
            </w:r>
          </w:p>
        </w:tc>
        <w:tc>
          <w:tcPr>
            <w:tcW w:w="304" w:type="pct"/>
            <w:shd w:val="clear" w:color="auto" w:fill="DBDBDB" w:themeFill="background2"/>
            <w:vAlign w:val="bottom"/>
          </w:tcPr>
          <w:p w14:paraId="5577B9A0"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F5067D">
              <w:rPr>
                <w:b/>
                <w:bCs w:val="0"/>
              </w:rPr>
              <w:t>2019</w:t>
            </w:r>
          </w:p>
        </w:tc>
        <w:tc>
          <w:tcPr>
            <w:tcW w:w="302" w:type="pct"/>
            <w:shd w:val="clear" w:color="auto" w:fill="DBDBDB" w:themeFill="background2"/>
            <w:vAlign w:val="bottom"/>
          </w:tcPr>
          <w:p w14:paraId="6D191D7E" w14:textId="77777777" w:rsidR="0071650C" w:rsidRPr="00F5067D" w:rsidRDefault="0071650C" w:rsidP="00355F20">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F5067D">
              <w:rPr>
                <w:b/>
                <w:bCs w:val="0"/>
              </w:rPr>
              <w:t>2020</w:t>
            </w:r>
          </w:p>
        </w:tc>
      </w:tr>
      <w:tr w:rsidR="0071650C" w:rsidRPr="00D05843" w14:paraId="7E88D72B" w14:textId="77777777" w:rsidTr="00355F20">
        <w:trPr>
          <w:trHeight w:val="315"/>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04C147DA" w14:textId="77777777" w:rsidR="0071650C" w:rsidRPr="00F5067D" w:rsidRDefault="0071650C" w:rsidP="00355F20">
            <w:pPr>
              <w:pStyle w:val="TabelalevoUMAR"/>
              <w:rPr>
                <w:b/>
                <w:bCs w:val="0"/>
                <w:lang w:eastAsia="sl-SI"/>
              </w:rPr>
            </w:pPr>
            <w:r w:rsidRPr="00F5067D">
              <w:rPr>
                <w:b/>
                <w:bCs w:val="0"/>
                <w:lang w:eastAsia="sl-SI"/>
              </w:rPr>
              <w:t>Donosi na obveznosti</w:t>
            </w:r>
          </w:p>
        </w:tc>
        <w:tc>
          <w:tcPr>
            <w:tcW w:w="303" w:type="pct"/>
            <w:noWrap/>
            <w:vAlign w:val="bottom"/>
          </w:tcPr>
          <w:p w14:paraId="05EE3810"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3F0F27">
              <w:rPr>
                <w:b/>
                <w:bCs w:val="0"/>
              </w:rPr>
              <w:t>4,7</w:t>
            </w:r>
          </w:p>
        </w:tc>
        <w:tc>
          <w:tcPr>
            <w:tcW w:w="305" w:type="pct"/>
            <w:noWrap/>
            <w:vAlign w:val="bottom"/>
          </w:tcPr>
          <w:p w14:paraId="1EE96454"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3F0F27">
              <w:rPr>
                <w:b/>
                <w:bCs w:val="0"/>
              </w:rPr>
              <w:t>2,5</w:t>
            </w:r>
          </w:p>
        </w:tc>
        <w:tc>
          <w:tcPr>
            <w:tcW w:w="303" w:type="pct"/>
            <w:noWrap/>
            <w:vAlign w:val="bottom"/>
          </w:tcPr>
          <w:p w14:paraId="7ABAABED"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3F0F27">
              <w:rPr>
                <w:b/>
                <w:bCs w:val="0"/>
              </w:rPr>
              <w:t>2,1</w:t>
            </w:r>
          </w:p>
        </w:tc>
        <w:tc>
          <w:tcPr>
            <w:tcW w:w="305" w:type="pct"/>
            <w:noWrap/>
            <w:vAlign w:val="bottom"/>
          </w:tcPr>
          <w:p w14:paraId="666292E3"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3F0F27">
              <w:rPr>
                <w:b/>
                <w:bCs w:val="0"/>
              </w:rPr>
              <w:t>2,6</w:t>
            </w:r>
          </w:p>
        </w:tc>
        <w:tc>
          <w:tcPr>
            <w:tcW w:w="303" w:type="pct"/>
            <w:noWrap/>
            <w:vAlign w:val="bottom"/>
          </w:tcPr>
          <w:p w14:paraId="6EAA0EF7"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lang w:eastAsia="sl-SI"/>
              </w:rPr>
            </w:pPr>
            <w:r w:rsidRPr="003F0F27">
              <w:rPr>
                <w:b/>
                <w:bCs w:val="0"/>
              </w:rPr>
              <w:t>2,2</w:t>
            </w:r>
          </w:p>
        </w:tc>
        <w:tc>
          <w:tcPr>
            <w:tcW w:w="304" w:type="pct"/>
            <w:vAlign w:val="bottom"/>
          </w:tcPr>
          <w:p w14:paraId="0D0D0747"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3F0F27">
              <w:rPr>
                <w:b/>
                <w:bCs w:val="0"/>
              </w:rPr>
              <w:t>1,8</w:t>
            </w:r>
          </w:p>
        </w:tc>
        <w:tc>
          <w:tcPr>
            <w:tcW w:w="303" w:type="pct"/>
            <w:vAlign w:val="bottom"/>
          </w:tcPr>
          <w:p w14:paraId="47DCF7D9"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3F0F27">
              <w:rPr>
                <w:b/>
                <w:bCs w:val="0"/>
              </w:rPr>
              <w:t>2,1</w:t>
            </w:r>
          </w:p>
        </w:tc>
        <w:tc>
          <w:tcPr>
            <w:tcW w:w="304" w:type="pct"/>
            <w:vAlign w:val="bottom"/>
          </w:tcPr>
          <w:p w14:paraId="031D1D7F"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3F0F27">
              <w:rPr>
                <w:b/>
                <w:bCs w:val="0"/>
              </w:rPr>
              <w:t>3,7</w:t>
            </w:r>
          </w:p>
        </w:tc>
        <w:tc>
          <w:tcPr>
            <w:tcW w:w="303" w:type="pct"/>
            <w:vAlign w:val="bottom"/>
          </w:tcPr>
          <w:p w14:paraId="0F014690"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3F0F27">
              <w:rPr>
                <w:b/>
                <w:bCs w:val="0"/>
              </w:rPr>
              <w:t>3,6</w:t>
            </w:r>
          </w:p>
        </w:tc>
        <w:tc>
          <w:tcPr>
            <w:tcW w:w="339" w:type="pct"/>
            <w:vAlign w:val="bottom"/>
          </w:tcPr>
          <w:p w14:paraId="3EFCC959"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sidRPr="003F0F27">
              <w:rPr>
                <w:b/>
                <w:bCs w:val="0"/>
              </w:rPr>
              <w:t>3,4</w:t>
            </w:r>
          </w:p>
        </w:tc>
        <w:tc>
          <w:tcPr>
            <w:tcW w:w="303" w:type="pct"/>
            <w:vAlign w:val="bottom"/>
          </w:tcPr>
          <w:p w14:paraId="02C52D4F"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Pr>
                <w:rFonts w:cs="Arial"/>
                <w:b/>
                <w:bCs w:val="0"/>
                <w:color w:val="000000"/>
              </w:rPr>
              <w:t>3,5</w:t>
            </w:r>
          </w:p>
        </w:tc>
        <w:tc>
          <w:tcPr>
            <w:tcW w:w="304" w:type="pct"/>
            <w:vAlign w:val="bottom"/>
          </w:tcPr>
          <w:p w14:paraId="6167D83C"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Pr>
                <w:rFonts w:cs="Arial"/>
                <w:b/>
                <w:bCs w:val="0"/>
                <w:color w:val="000000"/>
              </w:rPr>
              <w:t>3,7</w:t>
            </w:r>
          </w:p>
        </w:tc>
        <w:tc>
          <w:tcPr>
            <w:tcW w:w="302" w:type="pct"/>
            <w:vAlign w:val="bottom"/>
          </w:tcPr>
          <w:p w14:paraId="67DF59E7" w14:textId="77777777" w:rsidR="0071650C" w:rsidRPr="003F0F27"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b/>
                <w:bCs w:val="0"/>
              </w:rPr>
            </w:pPr>
            <w:r>
              <w:rPr>
                <w:rFonts w:cs="Arial"/>
                <w:b/>
                <w:bCs w:val="0"/>
                <w:color w:val="000000"/>
              </w:rPr>
              <w:t>2,7</w:t>
            </w:r>
          </w:p>
        </w:tc>
      </w:tr>
      <w:tr w:rsidR="0071650C" w:rsidRPr="00D05843" w14:paraId="7D81AB9C" w14:textId="77777777" w:rsidTr="00355F20">
        <w:trPr>
          <w:trHeight w:val="315"/>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62B38E2C" w14:textId="77777777" w:rsidR="0071650C" w:rsidRPr="0057035C" w:rsidRDefault="0071650C" w:rsidP="00355F20">
            <w:pPr>
              <w:pStyle w:val="TabelalevoUMAR"/>
              <w:rPr>
                <w:lang w:eastAsia="sl-SI"/>
              </w:rPr>
            </w:pPr>
            <w:r>
              <w:rPr>
                <w:lang w:eastAsia="sl-SI"/>
              </w:rPr>
              <w:t>Neposredne naložbe</w:t>
            </w:r>
          </w:p>
        </w:tc>
        <w:tc>
          <w:tcPr>
            <w:tcW w:w="303" w:type="pct"/>
            <w:noWrap/>
            <w:vAlign w:val="bottom"/>
          </w:tcPr>
          <w:p w14:paraId="1D620A13"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6,0</w:t>
            </w:r>
          </w:p>
        </w:tc>
        <w:tc>
          <w:tcPr>
            <w:tcW w:w="305" w:type="pct"/>
            <w:noWrap/>
            <w:vAlign w:val="bottom"/>
          </w:tcPr>
          <w:p w14:paraId="55293772"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4,5</w:t>
            </w:r>
          </w:p>
        </w:tc>
        <w:tc>
          <w:tcPr>
            <w:tcW w:w="303" w:type="pct"/>
            <w:noWrap/>
            <w:vAlign w:val="bottom"/>
          </w:tcPr>
          <w:p w14:paraId="2940E143"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2,6</w:t>
            </w:r>
          </w:p>
        </w:tc>
        <w:tc>
          <w:tcPr>
            <w:tcW w:w="305" w:type="pct"/>
            <w:noWrap/>
            <w:vAlign w:val="bottom"/>
          </w:tcPr>
          <w:p w14:paraId="390EA0CE"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3,3</w:t>
            </w:r>
          </w:p>
        </w:tc>
        <w:tc>
          <w:tcPr>
            <w:tcW w:w="303" w:type="pct"/>
            <w:noWrap/>
            <w:vAlign w:val="bottom"/>
          </w:tcPr>
          <w:p w14:paraId="013BD409"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2,1</w:t>
            </w:r>
          </w:p>
        </w:tc>
        <w:tc>
          <w:tcPr>
            <w:tcW w:w="304" w:type="pct"/>
            <w:vAlign w:val="bottom"/>
          </w:tcPr>
          <w:p w14:paraId="6F41FE89"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0,1</w:t>
            </w:r>
          </w:p>
        </w:tc>
        <w:tc>
          <w:tcPr>
            <w:tcW w:w="303" w:type="pct"/>
            <w:vAlign w:val="bottom"/>
          </w:tcPr>
          <w:p w14:paraId="51CEC07C"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-0,2</w:t>
            </w:r>
          </w:p>
        </w:tc>
        <w:tc>
          <w:tcPr>
            <w:tcW w:w="304" w:type="pct"/>
            <w:vAlign w:val="bottom"/>
          </w:tcPr>
          <w:p w14:paraId="03BB3E07"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8,3</w:t>
            </w:r>
          </w:p>
        </w:tc>
        <w:tc>
          <w:tcPr>
            <w:tcW w:w="303" w:type="pct"/>
            <w:vAlign w:val="bottom"/>
          </w:tcPr>
          <w:p w14:paraId="41473203"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8,6</w:t>
            </w:r>
          </w:p>
        </w:tc>
        <w:tc>
          <w:tcPr>
            <w:tcW w:w="339" w:type="pct"/>
            <w:vAlign w:val="bottom"/>
          </w:tcPr>
          <w:p w14:paraId="63568204"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7,5</w:t>
            </w:r>
          </w:p>
        </w:tc>
        <w:tc>
          <w:tcPr>
            <w:tcW w:w="303" w:type="pct"/>
            <w:vAlign w:val="bottom"/>
          </w:tcPr>
          <w:p w14:paraId="08C6C6FF"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8,2</w:t>
            </w:r>
          </w:p>
        </w:tc>
        <w:tc>
          <w:tcPr>
            <w:tcW w:w="304" w:type="pct"/>
            <w:vAlign w:val="bottom"/>
          </w:tcPr>
          <w:p w14:paraId="4CCCDB8F"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8,1</w:t>
            </w:r>
          </w:p>
        </w:tc>
        <w:tc>
          <w:tcPr>
            <w:tcW w:w="302" w:type="pct"/>
            <w:vAlign w:val="bottom"/>
          </w:tcPr>
          <w:p w14:paraId="6A0FDC41"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5,3</w:t>
            </w:r>
          </w:p>
        </w:tc>
      </w:tr>
      <w:tr w:rsidR="0071650C" w:rsidRPr="00D05843" w14:paraId="1F6F47C0" w14:textId="77777777" w:rsidTr="00355F20">
        <w:trPr>
          <w:trHeight w:val="300"/>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72A1857E" w14:textId="77777777" w:rsidR="0071650C" w:rsidRPr="0057035C" w:rsidRDefault="0071650C" w:rsidP="00355F20">
            <w:pPr>
              <w:pStyle w:val="TabelalevoUMAR"/>
              <w:rPr>
                <w:lang w:eastAsia="sl-SI"/>
              </w:rPr>
            </w:pPr>
            <w:r>
              <w:rPr>
                <w:lang w:eastAsia="sl-SI"/>
              </w:rPr>
              <w:t>Vrednostni papirji</w:t>
            </w:r>
          </w:p>
        </w:tc>
        <w:tc>
          <w:tcPr>
            <w:tcW w:w="303" w:type="pct"/>
            <w:noWrap/>
            <w:vAlign w:val="bottom"/>
          </w:tcPr>
          <w:p w14:paraId="398B1C7F"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3,7</w:t>
            </w:r>
          </w:p>
        </w:tc>
        <w:tc>
          <w:tcPr>
            <w:tcW w:w="305" w:type="pct"/>
            <w:noWrap/>
            <w:vAlign w:val="bottom"/>
          </w:tcPr>
          <w:p w14:paraId="28D1195E"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5,6</w:t>
            </w:r>
          </w:p>
        </w:tc>
        <w:tc>
          <w:tcPr>
            <w:tcW w:w="303" w:type="pct"/>
            <w:noWrap/>
            <w:vAlign w:val="bottom"/>
          </w:tcPr>
          <w:p w14:paraId="78C6EDD5"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4,6</w:t>
            </w:r>
          </w:p>
        </w:tc>
        <w:tc>
          <w:tcPr>
            <w:tcW w:w="305" w:type="pct"/>
            <w:noWrap/>
            <w:vAlign w:val="bottom"/>
          </w:tcPr>
          <w:p w14:paraId="029EF78C"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4,6</w:t>
            </w:r>
          </w:p>
        </w:tc>
        <w:tc>
          <w:tcPr>
            <w:tcW w:w="303" w:type="pct"/>
            <w:noWrap/>
            <w:vAlign w:val="bottom"/>
          </w:tcPr>
          <w:p w14:paraId="278B7061"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484CDC">
              <w:t>4,2</w:t>
            </w:r>
          </w:p>
        </w:tc>
        <w:tc>
          <w:tcPr>
            <w:tcW w:w="304" w:type="pct"/>
            <w:vAlign w:val="bottom"/>
          </w:tcPr>
          <w:p w14:paraId="2B630DC3"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5,1</w:t>
            </w:r>
          </w:p>
        </w:tc>
        <w:tc>
          <w:tcPr>
            <w:tcW w:w="303" w:type="pct"/>
            <w:vAlign w:val="bottom"/>
          </w:tcPr>
          <w:p w14:paraId="1213B820"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5,5</w:t>
            </w:r>
          </w:p>
        </w:tc>
        <w:tc>
          <w:tcPr>
            <w:tcW w:w="304" w:type="pct"/>
            <w:vAlign w:val="bottom"/>
          </w:tcPr>
          <w:p w14:paraId="198B65A4"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3,9</w:t>
            </w:r>
          </w:p>
        </w:tc>
        <w:tc>
          <w:tcPr>
            <w:tcW w:w="303" w:type="pct"/>
            <w:vAlign w:val="bottom"/>
          </w:tcPr>
          <w:p w14:paraId="13C6F908"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3,4</w:t>
            </w:r>
          </w:p>
        </w:tc>
        <w:tc>
          <w:tcPr>
            <w:tcW w:w="339" w:type="pct"/>
            <w:vAlign w:val="bottom"/>
          </w:tcPr>
          <w:p w14:paraId="534C6113"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484CDC">
              <w:t>3,3</w:t>
            </w:r>
          </w:p>
        </w:tc>
        <w:tc>
          <w:tcPr>
            <w:tcW w:w="303" w:type="pct"/>
            <w:vAlign w:val="bottom"/>
          </w:tcPr>
          <w:p w14:paraId="34350672"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2,8</w:t>
            </w:r>
          </w:p>
        </w:tc>
        <w:tc>
          <w:tcPr>
            <w:tcW w:w="304" w:type="pct"/>
            <w:vAlign w:val="bottom"/>
          </w:tcPr>
          <w:p w14:paraId="71451682"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2,8</w:t>
            </w:r>
          </w:p>
        </w:tc>
        <w:tc>
          <w:tcPr>
            <w:tcW w:w="302" w:type="pct"/>
            <w:vAlign w:val="bottom"/>
          </w:tcPr>
          <w:p w14:paraId="027D63EE"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2,5</w:t>
            </w:r>
          </w:p>
        </w:tc>
      </w:tr>
      <w:tr w:rsidR="0071650C" w:rsidRPr="00D05843" w14:paraId="42737289" w14:textId="77777777" w:rsidTr="00355F20">
        <w:trPr>
          <w:trHeight w:val="300"/>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0B2063A0" w14:textId="77777777" w:rsidR="0071650C" w:rsidRPr="0057035C" w:rsidRDefault="0071650C" w:rsidP="00355F20">
            <w:pPr>
              <w:pStyle w:val="TabelalevoUMAR"/>
              <w:rPr>
                <w:lang w:eastAsia="sl-SI"/>
              </w:rPr>
            </w:pPr>
            <w:r>
              <w:rPr>
                <w:lang w:eastAsia="sl-SI"/>
              </w:rPr>
              <w:t>Ostale naložbe ost. s.</w:t>
            </w:r>
          </w:p>
        </w:tc>
        <w:tc>
          <w:tcPr>
            <w:tcW w:w="303" w:type="pct"/>
            <w:noWrap/>
            <w:vAlign w:val="bottom"/>
          </w:tcPr>
          <w:p w14:paraId="749AB78E"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4,7</w:t>
            </w:r>
          </w:p>
        </w:tc>
        <w:tc>
          <w:tcPr>
            <w:tcW w:w="305" w:type="pct"/>
            <w:noWrap/>
            <w:vAlign w:val="bottom"/>
          </w:tcPr>
          <w:p w14:paraId="6E80B8E5"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1,7</w:t>
            </w:r>
          </w:p>
        </w:tc>
        <w:tc>
          <w:tcPr>
            <w:tcW w:w="303" w:type="pct"/>
            <w:noWrap/>
            <w:vAlign w:val="bottom"/>
          </w:tcPr>
          <w:p w14:paraId="5B422233"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1,2</w:t>
            </w:r>
          </w:p>
        </w:tc>
        <w:tc>
          <w:tcPr>
            <w:tcW w:w="305" w:type="pct"/>
            <w:noWrap/>
            <w:vAlign w:val="bottom"/>
          </w:tcPr>
          <w:p w14:paraId="1326E5DB"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1,7</w:t>
            </w:r>
          </w:p>
        </w:tc>
        <w:tc>
          <w:tcPr>
            <w:tcW w:w="303" w:type="pct"/>
            <w:noWrap/>
            <w:vAlign w:val="bottom"/>
          </w:tcPr>
          <w:p w14:paraId="564CC88A"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1,4</w:t>
            </w:r>
          </w:p>
        </w:tc>
        <w:tc>
          <w:tcPr>
            <w:tcW w:w="304" w:type="pct"/>
            <w:vAlign w:val="bottom"/>
          </w:tcPr>
          <w:p w14:paraId="5AB648FF"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1,2</w:t>
            </w:r>
          </w:p>
        </w:tc>
        <w:tc>
          <w:tcPr>
            <w:tcW w:w="303" w:type="pct"/>
            <w:vAlign w:val="bottom"/>
          </w:tcPr>
          <w:p w14:paraId="1E1B49F0"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0,9</w:t>
            </w:r>
          </w:p>
        </w:tc>
        <w:tc>
          <w:tcPr>
            <w:tcW w:w="304" w:type="pct"/>
            <w:vAlign w:val="bottom"/>
          </w:tcPr>
          <w:p w14:paraId="17F033DD"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0,7</w:t>
            </w:r>
          </w:p>
        </w:tc>
        <w:tc>
          <w:tcPr>
            <w:tcW w:w="303" w:type="pct"/>
            <w:vAlign w:val="bottom"/>
          </w:tcPr>
          <w:p w14:paraId="7502572F"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0,6</w:t>
            </w:r>
          </w:p>
        </w:tc>
        <w:tc>
          <w:tcPr>
            <w:tcW w:w="339" w:type="pct"/>
            <w:vAlign w:val="bottom"/>
          </w:tcPr>
          <w:p w14:paraId="75D7A539"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0,5</w:t>
            </w:r>
          </w:p>
        </w:tc>
        <w:tc>
          <w:tcPr>
            <w:tcW w:w="303" w:type="pct"/>
            <w:vAlign w:val="bottom"/>
          </w:tcPr>
          <w:p w14:paraId="6CEA8559"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0,5</w:t>
            </w:r>
          </w:p>
        </w:tc>
        <w:tc>
          <w:tcPr>
            <w:tcW w:w="304" w:type="pct"/>
            <w:vAlign w:val="bottom"/>
          </w:tcPr>
          <w:p w14:paraId="7C0A9B18"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0,7</w:t>
            </w:r>
          </w:p>
        </w:tc>
        <w:tc>
          <w:tcPr>
            <w:tcW w:w="302" w:type="pct"/>
            <w:vAlign w:val="bottom"/>
          </w:tcPr>
          <w:p w14:paraId="3DECD9FC"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0,7</w:t>
            </w:r>
          </w:p>
        </w:tc>
      </w:tr>
      <w:tr w:rsidR="0071650C" w:rsidRPr="00D05843" w14:paraId="1306AC56" w14:textId="77777777" w:rsidTr="00355F20">
        <w:trPr>
          <w:trHeight w:val="315"/>
        </w:trPr>
        <w:tc>
          <w:tcPr>
            <w:cnfStyle w:val="001000000000" w:firstRow="0" w:lastRow="0" w:firstColumn="1" w:lastColumn="0" w:oddVBand="0" w:evenVBand="0" w:oddHBand="0" w:evenHBand="0" w:firstRowFirstColumn="0" w:firstRowLastColumn="0" w:lastRowFirstColumn="0" w:lastRowLastColumn="0"/>
            <w:tcW w:w="1019" w:type="pct"/>
            <w:noWrap/>
            <w:vAlign w:val="bottom"/>
          </w:tcPr>
          <w:p w14:paraId="61FDD160" w14:textId="77777777" w:rsidR="0071650C" w:rsidRPr="0057035C" w:rsidRDefault="0071650C" w:rsidP="00355F20">
            <w:pPr>
              <w:pStyle w:val="TabelalevoUMAR"/>
              <w:rPr>
                <w:lang w:eastAsia="sl-SI"/>
              </w:rPr>
            </w:pPr>
            <w:r>
              <w:rPr>
                <w:lang w:eastAsia="sl-SI"/>
              </w:rPr>
              <w:t>Ostale naložbe BS</w:t>
            </w:r>
          </w:p>
        </w:tc>
        <w:tc>
          <w:tcPr>
            <w:tcW w:w="303" w:type="pct"/>
            <w:noWrap/>
            <w:vAlign w:val="bottom"/>
          </w:tcPr>
          <w:p w14:paraId="61564762"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3,4</w:t>
            </w:r>
          </w:p>
        </w:tc>
        <w:tc>
          <w:tcPr>
            <w:tcW w:w="305" w:type="pct"/>
            <w:noWrap/>
            <w:vAlign w:val="bottom"/>
          </w:tcPr>
          <w:p w14:paraId="45FD6FF0" w14:textId="77777777" w:rsidR="0071650C" w:rsidRPr="0057035C"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0,9</w:t>
            </w:r>
          </w:p>
        </w:tc>
        <w:tc>
          <w:tcPr>
            <w:tcW w:w="303" w:type="pct"/>
            <w:noWrap/>
            <w:vAlign w:val="bottom"/>
          </w:tcPr>
          <w:p w14:paraId="26BC3543"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0,7</w:t>
            </w:r>
          </w:p>
        </w:tc>
        <w:tc>
          <w:tcPr>
            <w:tcW w:w="305" w:type="pct"/>
            <w:noWrap/>
            <w:vAlign w:val="bottom"/>
          </w:tcPr>
          <w:p w14:paraId="1D541479"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0,9</w:t>
            </w:r>
          </w:p>
        </w:tc>
        <w:tc>
          <w:tcPr>
            <w:tcW w:w="303" w:type="pct"/>
            <w:noWrap/>
            <w:vAlign w:val="bottom"/>
          </w:tcPr>
          <w:p w14:paraId="3DA22439" w14:textId="77777777" w:rsidR="0071650C" w:rsidRPr="00D05843" w:rsidRDefault="0071650C" w:rsidP="00355F20">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2D374D">
              <w:t>1,2</w:t>
            </w:r>
          </w:p>
        </w:tc>
        <w:tc>
          <w:tcPr>
            <w:tcW w:w="304" w:type="pct"/>
            <w:vAlign w:val="bottom"/>
          </w:tcPr>
          <w:p w14:paraId="10547660"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0,4</w:t>
            </w:r>
          </w:p>
        </w:tc>
        <w:tc>
          <w:tcPr>
            <w:tcW w:w="303" w:type="pct"/>
            <w:vAlign w:val="bottom"/>
          </w:tcPr>
          <w:p w14:paraId="134E0849"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0,1</w:t>
            </w:r>
          </w:p>
        </w:tc>
        <w:tc>
          <w:tcPr>
            <w:tcW w:w="304" w:type="pct"/>
            <w:vAlign w:val="bottom"/>
          </w:tcPr>
          <w:p w14:paraId="33A08FF8"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0,1</w:t>
            </w:r>
          </w:p>
        </w:tc>
        <w:tc>
          <w:tcPr>
            <w:tcW w:w="303" w:type="pct"/>
            <w:vAlign w:val="bottom"/>
          </w:tcPr>
          <w:p w14:paraId="31BFE075" w14:textId="77777777" w:rsidR="0071650C" w:rsidRPr="00A66BC4"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0,1</w:t>
            </w:r>
          </w:p>
        </w:tc>
        <w:tc>
          <w:tcPr>
            <w:tcW w:w="339" w:type="pct"/>
            <w:vAlign w:val="bottom"/>
          </w:tcPr>
          <w:p w14:paraId="2912A74C"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sidRPr="002D374D">
              <w:t>0,1</w:t>
            </w:r>
          </w:p>
        </w:tc>
        <w:tc>
          <w:tcPr>
            <w:tcW w:w="303" w:type="pct"/>
            <w:vAlign w:val="bottom"/>
          </w:tcPr>
          <w:p w14:paraId="4BA8CA54"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0,1</w:t>
            </w:r>
          </w:p>
        </w:tc>
        <w:tc>
          <w:tcPr>
            <w:tcW w:w="304" w:type="pct"/>
            <w:vAlign w:val="bottom"/>
          </w:tcPr>
          <w:p w14:paraId="2566C971"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0,1</w:t>
            </w:r>
          </w:p>
        </w:tc>
        <w:tc>
          <w:tcPr>
            <w:tcW w:w="302" w:type="pct"/>
            <w:vAlign w:val="bottom"/>
          </w:tcPr>
          <w:p w14:paraId="734AAE1E" w14:textId="77777777" w:rsidR="0071650C" w:rsidRPr="00BB6249" w:rsidRDefault="0071650C" w:rsidP="00355F20">
            <w:pPr>
              <w:pStyle w:val="TabeladesnoUMAR"/>
              <w:cnfStyle w:val="000000000000" w:firstRow="0" w:lastRow="0" w:firstColumn="0" w:lastColumn="0" w:oddVBand="0" w:evenVBand="0" w:oddHBand="0" w:evenHBand="0" w:firstRowFirstColumn="0" w:firstRowLastColumn="0" w:lastRowFirstColumn="0" w:lastRowLastColumn="0"/>
            </w:pPr>
            <w:r>
              <w:rPr>
                <w:rFonts w:cs="Arial"/>
                <w:color w:val="000000"/>
              </w:rPr>
              <w:t>0,0</w:t>
            </w:r>
          </w:p>
        </w:tc>
      </w:tr>
    </w:tbl>
    <w:p w14:paraId="020E2767" w14:textId="77777777" w:rsidR="0071650C" w:rsidRDefault="0071650C" w:rsidP="003672B4">
      <w:pPr>
        <w:pStyle w:val="VirUMAR"/>
        <w:rPr>
          <w:szCs w:val="16"/>
        </w:rPr>
      </w:pPr>
      <w:r w:rsidRPr="003672B4">
        <w:rPr>
          <w:rStyle w:val="VirUMARChar"/>
        </w:rPr>
        <w:t>Vir: BS, lastni izrač</w:t>
      </w:r>
      <w:r>
        <w:rPr>
          <w:szCs w:val="16"/>
        </w:rPr>
        <w:t>uni.</w:t>
      </w:r>
    </w:p>
    <w:p w14:paraId="6604D970" w14:textId="77777777" w:rsidR="003672B4" w:rsidRDefault="003672B4" w:rsidP="009F2D3D">
      <w:pPr>
        <w:pStyle w:val="TekstPOR"/>
        <w:spacing w:before="0" w:after="0" w:line="288" w:lineRule="auto"/>
        <w:jc w:val="both"/>
        <w:rPr>
          <w:rFonts w:ascii="Myriad Pro" w:hAnsi="Myriad Pro"/>
          <w:sz w:val="20"/>
          <w:szCs w:val="20"/>
        </w:rPr>
      </w:pPr>
    </w:p>
    <w:p w14:paraId="4A49BFC8" w14:textId="268F643A" w:rsidR="00D771AA" w:rsidRDefault="00D92C0C" w:rsidP="003672B4">
      <w:pPr>
        <w:pStyle w:val="BesediloUMAR"/>
      </w:pPr>
      <w:r>
        <w:t>Nakopičene celotne neto obveznosti do tujine so bile povezane tudi z odlivi tujim rezidentom v obliki izplačil obresti ali dividend</w:t>
      </w:r>
      <w:r w:rsidR="002D1AD7">
        <w:t>.</w:t>
      </w:r>
      <w:r w:rsidR="002D1AD7">
        <w:rPr>
          <w:rStyle w:val="FootnoteReference"/>
          <w:szCs w:val="20"/>
        </w:rPr>
        <w:footnoteReference w:id="4"/>
      </w:r>
      <w:r w:rsidR="002D1AD7">
        <w:t xml:space="preserve"> </w:t>
      </w:r>
      <w:r w:rsidR="00BE68E7">
        <w:t>Neto odlivi dohodkov od kapitala so se v obdobju med obema krizama povečali za 12,</w:t>
      </w:r>
      <w:r w:rsidR="00E14C31">
        <w:t>5</w:t>
      </w:r>
      <w:r w:rsidR="00BE68E7">
        <w:t xml:space="preserve"> mrd EUR. </w:t>
      </w:r>
      <w:r w:rsidR="00930265">
        <w:t>Ocenjujemo, da je bila implicitna nominalna stopnja donosa na celotne terjatve Slovenije do tujine (1,</w:t>
      </w:r>
      <w:r w:rsidR="00E14C31">
        <w:t>2</w:t>
      </w:r>
      <w:r w:rsidR="00930265">
        <w:t xml:space="preserve"> %) v povprečju nižja od implicitne stopnje donosa na celotne</w:t>
      </w:r>
      <w:r w:rsidR="00D41F08" w:rsidRPr="00F802DB">
        <w:t xml:space="preserve"> obveznosti </w:t>
      </w:r>
      <w:r w:rsidR="00930265">
        <w:t>do tujine (</w:t>
      </w:r>
      <w:r w:rsidR="00E14C31">
        <w:t>2,8</w:t>
      </w:r>
      <w:r w:rsidR="00930265">
        <w:t xml:space="preserve"> %)</w:t>
      </w:r>
      <w:r w:rsidR="00D41F08" w:rsidRPr="00F802DB">
        <w:t>,</w:t>
      </w:r>
      <w:r w:rsidR="00FB4023" w:rsidRPr="00F35792">
        <w:rPr>
          <w:rStyle w:val="FootnoteReference"/>
          <w:sz w:val="20"/>
        </w:rPr>
        <w:footnoteReference w:id="5"/>
      </w:r>
      <w:r w:rsidR="00FB4023" w:rsidRPr="00FB4023">
        <w:t xml:space="preserve"> </w:t>
      </w:r>
      <w:r w:rsidR="00930265">
        <w:t>kar je vplivalo na rast neto odhodkov od kapitala</w:t>
      </w:r>
      <w:r w:rsidR="00BE68E7">
        <w:t xml:space="preserve"> na tekočem računu plačilne bilance</w:t>
      </w:r>
      <w:r w:rsidR="00794018">
        <w:t xml:space="preserve"> (tabela 2). </w:t>
      </w:r>
      <w:r w:rsidR="00BE68E7">
        <w:t>N</w:t>
      </w:r>
      <w:r w:rsidR="00D41F08" w:rsidRPr="00F802DB">
        <w:t xml:space="preserve">eto </w:t>
      </w:r>
      <w:r w:rsidR="00930890">
        <w:t>odlivi</w:t>
      </w:r>
      <w:r w:rsidR="00E421A8">
        <w:t xml:space="preserve"> dividend</w:t>
      </w:r>
      <w:r w:rsidR="00930890">
        <w:t xml:space="preserve"> </w:t>
      </w:r>
      <w:r w:rsidR="00AF30BC">
        <w:t>in reinvestiranih dobičkov</w:t>
      </w:r>
      <w:r w:rsidR="00D41F08" w:rsidRPr="00F802DB">
        <w:t xml:space="preserve"> </w:t>
      </w:r>
      <w:r w:rsidR="00930890">
        <w:t xml:space="preserve">ter </w:t>
      </w:r>
      <w:r w:rsidR="00AF30BC">
        <w:t>neto plačila obresti</w:t>
      </w:r>
      <w:r w:rsidR="00D41F08" w:rsidRPr="00F802DB">
        <w:t xml:space="preserve"> </w:t>
      </w:r>
      <w:r w:rsidR="00930890">
        <w:t>na zunanji dolg</w:t>
      </w:r>
      <w:r w:rsidR="00D41F08" w:rsidRPr="00F802DB">
        <w:t xml:space="preserve"> </w:t>
      </w:r>
      <w:r w:rsidR="00BE68E7">
        <w:t xml:space="preserve">so kumulativno </w:t>
      </w:r>
      <w:r w:rsidR="00D41F08" w:rsidRPr="00F802DB">
        <w:t>precej poslabšal</w:t>
      </w:r>
      <w:r w:rsidR="00930890">
        <w:t>i</w:t>
      </w:r>
      <w:r w:rsidR="00D41F08" w:rsidRPr="00F802DB">
        <w:t xml:space="preserve"> podbilanco dohodkov od kapitala</w:t>
      </w:r>
      <w:r w:rsidR="005A0E8F">
        <w:t xml:space="preserve">, čeprav se </w:t>
      </w:r>
      <w:r w:rsidR="00E14C31">
        <w:t>od leta</w:t>
      </w:r>
      <w:r w:rsidR="005A0E8F">
        <w:t xml:space="preserve"> 201</w:t>
      </w:r>
      <w:r w:rsidR="00E14C31">
        <w:t>6</w:t>
      </w:r>
      <w:r w:rsidR="005A0E8F">
        <w:t xml:space="preserve"> neto odlivi dohodkov od kapitala postopoma znižujejo</w:t>
      </w:r>
      <w:r w:rsidR="00794018">
        <w:t>.</w:t>
      </w:r>
      <w:r w:rsidR="0071650C">
        <w:t xml:space="preserve"> </w:t>
      </w:r>
    </w:p>
    <w:p w14:paraId="198254CE" w14:textId="77777777" w:rsidR="00D771AA" w:rsidRDefault="00D771AA" w:rsidP="009F2D3D">
      <w:pPr>
        <w:pStyle w:val="TekstPOR"/>
        <w:spacing w:before="0" w:after="0" w:line="288" w:lineRule="auto"/>
        <w:jc w:val="both"/>
        <w:rPr>
          <w:rFonts w:ascii="Myriad Pro" w:hAnsi="Myriad Pro"/>
          <w:sz w:val="20"/>
          <w:szCs w:val="20"/>
        </w:rPr>
      </w:pPr>
    </w:p>
    <w:p w14:paraId="05854033" w14:textId="0A4F2670" w:rsidR="007E6C1A" w:rsidRPr="0071650C" w:rsidRDefault="00814309" w:rsidP="009F2D3D">
      <w:pPr>
        <w:pStyle w:val="TekstPOR"/>
        <w:spacing w:before="0" w:after="0" w:line="288" w:lineRule="auto"/>
        <w:jc w:val="both"/>
        <w:rPr>
          <w:rFonts w:ascii="Myriad Pro" w:hAnsi="Myriad Pro"/>
          <w:sz w:val="20"/>
          <w:szCs w:val="20"/>
        </w:rPr>
      </w:pPr>
      <w:r>
        <w:rPr>
          <w:rFonts w:ascii="Myriad Pro" w:hAnsi="Myriad Pro"/>
          <w:sz w:val="20"/>
          <w:szCs w:val="20"/>
        </w:rPr>
        <w:t>Potem ko so pred finančno-gospodarsko krizo spremembe v saldu dohodkov od kapitala posledica sprememb obsega</w:t>
      </w:r>
      <w:r w:rsidR="00E14C31">
        <w:rPr>
          <w:rFonts w:ascii="Myriad Pro" w:hAnsi="Myriad Pro"/>
          <w:sz w:val="20"/>
          <w:szCs w:val="20"/>
        </w:rPr>
        <w:t>,</w:t>
      </w:r>
      <w:r>
        <w:rPr>
          <w:rFonts w:ascii="Myriad Pro" w:hAnsi="Myriad Pro"/>
          <w:sz w:val="20"/>
          <w:szCs w:val="20"/>
        </w:rPr>
        <w:t xml:space="preserve"> zaradi občutnega povečanja neto tujih obveznosti</w:t>
      </w:r>
      <w:r w:rsidR="00E14C31">
        <w:rPr>
          <w:rFonts w:ascii="Myriad Pro" w:hAnsi="Myriad Pro"/>
          <w:sz w:val="20"/>
          <w:szCs w:val="20"/>
        </w:rPr>
        <w:t>,</w:t>
      </w:r>
      <w:r>
        <w:rPr>
          <w:rFonts w:ascii="Myriad Pro" w:hAnsi="Myriad Pro"/>
          <w:sz w:val="20"/>
          <w:szCs w:val="20"/>
        </w:rPr>
        <w:t xml:space="preserve"> so bile v obdobju med krizama bolj zmerne. Učinek donosa je sald</w:t>
      </w:r>
      <w:r w:rsidR="00D9216E">
        <w:rPr>
          <w:rFonts w:ascii="Myriad Pro" w:hAnsi="Myriad Pro"/>
          <w:sz w:val="20"/>
          <w:szCs w:val="20"/>
        </w:rPr>
        <w:t>o</w:t>
      </w:r>
      <w:r>
        <w:rPr>
          <w:rFonts w:ascii="Myriad Pro" w:hAnsi="Myriad Pro"/>
          <w:sz w:val="20"/>
          <w:szCs w:val="20"/>
        </w:rPr>
        <w:t xml:space="preserve"> dohodkov od kapitala izrazito poslabšal v letu 2015</w:t>
      </w:r>
      <w:r w:rsidR="00D9216E">
        <w:rPr>
          <w:rFonts w:ascii="Myriad Pro" w:hAnsi="Myriad Pro"/>
          <w:sz w:val="20"/>
          <w:szCs w:val="20"/>
        </w:rPr>
        <w:t>, ko se je močno povečal donos na tuje neposredne  naložbe</w:t>
      </w:r>
      <w:r w:rsidR="00E14C31">
        <w:rPr>
          <w:rFonts w:ascii="Myriad Pro" w:hAnsi="Myriad Pro"/>
          <w:sz w:val="20"/>
          <w:szCs w:val="20"/>
        </w:rPr>
        <w:t xml:space="preserve"> (slika 5).</w:t>
      </w:r>
    </w:p>
    <w:p w14:paraId="6D5764E9" w14:textId="44B72850" w:rsidR="007E6C1A" w:rsidRPr="00A80EF0" w:rsidRDefault="00A80EF0" w:rsidP="00A80EF0">
      <w:pPr>
        <w:pStyle w:val="Caption"/>
        <w:spacing w:before="0" w:after="0"/>
      </w:pPr>
      <w:r>
        <w:lastRenderedPageBreak/>
        <w:t>Slika 5: Prispevki k spremembam salda dohodkov od kapitala</w:t>
      </w:r>
    </w:p>
    <w:p w14:paraId="26D65E21" w14:textId="4D188D02" w:rsidR="00A80EF0" w:rsidRDefault="00A80EF0" w:rsidP="009F2D3D">
      <w:pPr>
        <w:pStyle w:val="TekstPOR"/>
        <w:spacing w:before="0" w:after="0" w:line="288" w:lineRule="auto"/>
        <w:jc w:val="both"/>
        <w:rPr>
          <w:rFonts w:ascii="Myriad Pro" w:hAnsi="Myriad Pro"/>
          <w:sz w:val="20"/>
          <w:szCs w:val="20"/>
          <w:highlight w:val="yellow"/>
        </w:rPr>
      </w:pPr>
      <w:r>
        <w:rPr>
          <w:noProof/>
        </w:rPr>
        <w:drawing>
          <wp:inline distT="0" distB="0" distL="0" distR="0" wp14:anchorId="41E66290" wp14:editId="72FC64CB">
            <wp:extent cx="5760000" cy="2628000"/>
            <wp:effectExtent l="0" t="0" r="0" b="1270"/>
            <wp:docPr id="16" name="Slika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00" cy="2628000"/>
                    </a:xfrm>
                    <a:prstGeom prst="rect">
                      <a:avLst/>
                    </a:prstGeom>
                    <a:noFill/>
                  </pic:spPr>
                </pic:pic>
              </a:graphicData>
            </a:graphic>
          </wp:inline>
        </w:drawing>
      </w:r>
    </w:p>
    <w:p w14:paraId="3AFADB2D" w14:textId="77777777" w:rsidR="00A80EF0" w:rsidRDefault="00A80EF0" w:rsidP="003672B4">
      <w:pPr>
        <w:pStyle w:val="VirUMAR"/>
        <w:rPr>
          <w:sz w:val="20"/>
          <w:szCs w:val="20"/>
        </w:rPr>
      </w:pPr>
      <w:r w:rsidRPr="009467D5">
        <w:t xml:space="preserve">Vir: BS, lastni </w:t>
      </w:r>
      <w:r>
        <w:t>preračuni.</w:t>
      </w:r>
    </w:p>
    <w:p w14:paraId="73707DC1" w14:textId="3D95376B" w:rsidR="00A80EF0" w:rsidRDefault="00A80EF0" w:rsidP="009F2D3D">
      <w:pPr>
        <w:pStyle w:val="TekstPOR"/>
        <w:spacing w:before="0" w:after="0" w:line="288" w:lineRule="auto"/>
        <w:jc w:val="both"/>
        <w:rPr>
          <w:rFonts w:ascii="Myriad Pro" w:hAnsi="Myriad Pro"/>
          <w:sz w:val="20"/>
          <w:szCs w:val="20"/>
          <w:highlight w:val="yellow"/>
        </w:rPr>
      </w:pPr>
    </w:p>
    <w:p w14:paraId="59F78554" w14:textId="558F2242" w:rsidR="009F2D3D" w:rsidRDefault="00D41F08" w:rsidP="003672B4">
      <w:pPr>
        <w:pStyle w:val="BesediloUMAR"/>
      </w:pPr>
      <w:r w:rsidRPr="00BE68E7">
        <w:t>K povečanju</w:t>
      </w:r>
      <w:r w:rsidRPr="00F802DB">
        <w:t xml:space="preserve"> </w:t>
      </w:r>
      <w:r w:rsidR="002B550C">
        <w:t xml:space="preserve">celotne neto zadoženosti do tujine </w:t>
      </w:r>
      <w:r w:rsidR="00E52CA4">
        <w:t>je</w:t>
      </w:r>
      <w:r w:rsidRPr="00F802DB">
        <w:t xml:space="preserve"> </w:t>
      </w:r>
      <w:r w:rsidR="00D9216E">
        <w:t xml:space="preserve">v obdobju med obema krizama </w:t>
      </w:r>
      <w:r w:rsidRPr="00F802DB">
        <w:t xml:space="preserve">nekoliko prispeval tudi </w:t>
      </w:r>
      <w:r w:rsidR="00BE3E61">
        <w:t xml:space="preserve">primanjkljaj </w:t>
      </w:r>
      <w:r w:rsidRPr="00F802DB">
        <w:t>kapitalsk</w:t>
      </w:r>
      <w:r w:rsidR="00BE3E61">
        <w:t>ega</w:t>
      </w:r>
      <w:r w:rsidRPr="00F802DB">
        <w:t xml:space="preserve"> račun</w:t>
      </w:r>
      <w:r w:rsidR="00BE3E61">
        <w:t xml:space="preserve">a, ki </w:t>
      </w:r>
      <w:r w:rsidR="00E52CA4">
        <w:t xml:space="preserve">je bil posledica </w:t>
      </w:r>
      <w:r w:rsidR="00DF368E">
        <w:t xml:space="preserve">naknadnih popustov </w:t>
      </w:r>
      <w:r w:rsidRPr="00F802DB">
        <w:t xml:space="preserve">ostalih sektorjev </w:t>
      </w:r>
      <w:r w:rsidR="00987422">
        <w:t>na segmentu menjave</w:t>
      </w:r>
      <w:r w:rsidR="00BE68E7">
        <w:t xml:space="preserve"> blaga in storitev</w:t>
      </w:r>
      <w:r w:rsidR="00987422">
        <w:t xml:space="preserve"> s tujino </w:t>
      </w:r>
      <w:r w:rsidR="00BE3E61">
        <w:t xml:space="preserve">ter neto </w:t>
      </w:r>
      <w:r w:rsidR="00987422">
        <w:t>nakupov licenc</w:t>
      </w:r>
      <w:r w:rsidR="00002AB8">
        <w:t>.</w:t>
      </w:r>
      <w:r w:rsidRPr="00F802DB">
        <w:t xml:space="preserve"> </w:t>
      </w:r>
      <w:r w:rsidR="00BE3E61">
        <w:t>V</w:t>
      </w:r>
      <w:r w:rsidR="00002AB8">
        <w:t xml:space="preserve"> statistični </w:t>
      </w:r>
      <w:r w:rsidRPr="00F802DB">
        <w:t>napak</w:t>
      </w:r>
      <w:r w:rsidR="00002AB8">
        <w:t xml:space="preserve">i </w:t>
      </w:r>
      <w:r w:rsidR="00BE3E61">
        <w:t xml:space="preserve">pa so </w:t>
      </w:r>
      <w:r w:rsidR="00BE4FF6">
        <w:t xml:space="preserve">se </w:t>
      </w:r>
      <w:r w:rsidR="00E52CA4">
        <w:t xml:space="preserve">večinoma </w:t>
      </w:r>
      <w:r w:rsidR="00BE3E61">
        <w:t xml:space="preserve">odražali </w:t>
      </w:r>
      <w:r w:rsidRPr="00F802DB">
        <w:t>neevidentiran</w:t>
      </w:r>
      <w:r w:rsidR="00002AB8">
        <w:t>i</w:t>
      </w:r>
      <w:r w:rsidRPr="00F802DB">
        <w:t xml:space="preserve"> neto kapitalsk</w:t>
      </w:r>
      <w:r w:rsidR="00002AB8">
        <w:t xml:space="preserve">i </w:t>
      </w:r>
      <w:r w:rsidRPr="00F802DB">
        <w:t>tokov</w:t>
      </w:r>
      <w:r w:rsidR="00002AB8">
        <w:t>i</w:t>
      </w:r>
      <w:r w:rsidR="00BE68E7">
        <w:t>.</w:t>
      </w:r>
    </w:p>
    <w:p w14:paraId="3D3FCF36" w14:textId="77777777" w:rsidR="0071650C" w:rsidRDefault="0071650C" w:rsidP="00FE6508">
      <w:pPr>
        <w:spacing w:after="0" w:line="288" w:lineRule="auto"/>
        <w:jc w:val="both"/>
        <w:rPr>
          <w:rFonts w:ascii="Myriad Pro" w:hAnsi="Myriad Pro"/>
          <w:sz w:val="20"/>
        </w:rPr>
      </w:pPr>
      <w:bookmarkStart w:id="5" w:name="_Hlk70068282"/>
    </w:p>
    <w:p w14:paraId="00E59CB8" w14:textId="4DE482ED" w:rsidR="00BC4138" w:rsidRDefault="00A81548" w:rsidP="003672B4">
      <w:pPr>
        <w:pStyle w:val="BesediloUMAR"/>
      </w:pPr>
      <w:r w:rsidRPr="00BE68E7">
        <w:t xml:space="preserve">Vrednostne spremembe </w:t>
      </w:r>
      <w:r>
        <w:t xml:space="preserve">so od začetka </w:t>
      </w:r>
      <w:r w:rsidR="0068623B">
        <w:t>finančne k</w:t>
      </w:r>
      <w:r>
        <w:t>rize leta 200</w:t>
      </w:r>
      <w:r w:rsidR="0068623B">
        <w:t>8</w:t>
      </w:r>
      <w:r>
        <w:t xml:space="preserve"> pa do vključno korona krize leta 2020  prispevale k povečaju </w:t>
      </w:r>
      <w:r w:rsidR="0071650C">
        <w:t xml:space="preserve">celotne </w:t>
      </w:r>
      <w:r>
        <w:t>neto zadolženosti</w:t>
      </w:r>
      <w:r w:rsidR="00D9216E">
        <w:t xml:space="preserve"> do tujine</w:t>
      </w:r>
      <w:r w:rsidR="0068623B">
        <w:t xml:space="preserve">. </w:t>
      </w:r>
      <w:r w:rsidR="003E48E7">
        <w:t>V času na</w:t>
      </w:r>
      <w:r w:rsidR="0068623B" w:rsidRPr="00CA0210">
        <w:rPr>
          <w:szCs w:val="20"/>
        </w:rPr>
        <w:t>stanka svetovne finančne krize, ki se je najprej odrazila na finančnem računu konec leta 2008, so slovenska podjetja in gospodinjstva izgubila precejšen del imetij v obliki lastniških portfeljskih naložb, izgube tujih vlagateljev v slovenske vrednostne papirje pa so bile manjše.</w:t>
      </w:r>
      <w:r w:rsidR="0068623B">
        <w:rPr>
          <w:szCs w:val="20"/>
        </w:rPr>
        <w:t xml:space="preserve"> </w:t>
      </w:r>
      <w:r w:rsidR="008A326A">
        <w:t xml:space="preserve">V obdobju približno uravnoteženega tekočega računa in </w:t>
      </w:r>
      <w:r w:rsidR="008A326A" w:rsidRPr="008A326A">
        <w:rPr>
          <w:rStyle w:val="vstavekChar"/>
          <w:rFonts w:ascii="Myriad Pro" w:hAnsi="Myriad Pro"/>
          <w:b w:val="0"/>
          <w:bCs/>
          <w:i w:val="0"/>
          <w:noProof w:val="0"/>
          <w:sz w:val="20"/>
          <w:szCs w:val="20"/>
        </w:rPr>
        <w:t xml:space="preserve">relativno stabilnega stanja mednarodnih naložb </w:t>
      </w:r>
      <w:r w:rsidR="008A326A">
        <w:t xml:space="preserve">(2009-2012), je bil prispevek </w:t>
      </w:r>
      <w:r w:rsidR="002D64EA">
        <w:t xml:space="preserve">vrednostnih sprememb </w:t>
      </w:r>
      <w:r w:rsidR="008A326A">
        <w:t>sicer pozitiven. Medn</w:t>
      </w:r>
      <w:r w:rsidR="009D1290">
        <w:t>a</w:t>
      </w:r>
      <w:r w:rsidR="008A326A">
        <w:t xml:space="preserve">rodni finančni trgi so se proti koncu omenjenega obdobja stabilizirali in Slovenija </w:t>
      </w:r>
      <w:r w:rsidR="009D1290">
        <w:t>je</w:t>
      </w:r>
      <w:r w:rsidR="008A326A">
        <w:t xml:space="preserve"> izkazovala kapitalski dobiček v višini 1,2 mrd EUR, predvsem zaradi padca cen dolgoročnih vrednostnih papirjev</w:t>
      </w:r>
      <w:r w:rsidR="009D1290">
        <w:t xml:space="preserve"> tujih portfeljskih vlagateljev.</w:t>
      </w:r>
      <w:r w:rsidR="00145323">
        <w:t xml:space="preserve"> </w:t>
      </w:r>
    </w:p>
    <w:p w14:paraId="10865A79" w14:textId="77777777" w:rsidR="00BC4138" w:rsidRDefault="00BC4138" w:rsidP="00BC4138">
      <w:pPr>
        <w:spacing w:after="0" w:line="288" w:lineRule="auto"/>
        <w:jc w:val="both"/>
        <w:rPr>
          <w:rFonts w:ascii="Myriad Pro" w:hAnsi="Myriad Pro"/>
          <w:sz w:val="20"/>
        </w:rPr>
      </w:pPr>
    </w:p>
    <w:p w14:paraId="50D14B6D" w14:textId="0571652C" w:rsidR="003B30E3" w:rsidRPr="003B30E3" w:rsidRDefault="00145323" w:rsidP="003672B4">
      <w:pPr>
        <w:pStyle w:val="BesediloUMAR"/>
      </w:pPr>
      <w:r>
        <w:t xml:space="preserve">V obdobju 2013-2020 pa so bile vrednostne spremembe negativne, </w:t>
      </w:r>
      <w:r w:rsidR="00B82307">
        <w:t>v višini 7,</w:t>
      </w:r>
      <w:r w:rsidR="00382733">
        <w:t>8</w:t>
      </w:r>
      <w:r w:rsidR="00B82307">
        <w:t xml:space="preserve"> mrd EUR, </w:t>
      </w:r>
      <w:r>
        <w:t xml:space="preserve">na kar </w:t>
      </w:r>
      <w:r w:rsidR="00BC4138">
        <w:t>so</w:t>
      </w:r>
      <w:r>
        <w:t xml:space="preserve"> vplival</w:t>
      </w:r>
      <w:r w:rsidR="00BC4138">
        <w:t>e</w:t>
      </w:r>
      <w:r>
        <w:t xml:space="preserve"> predvsem</w:t>
      </w:r>
      <w:r w:rsidR="00382733">
        <w:t xml:space="preserve"> </w:t>
      </w:r>
      <w:r w:rsidR="00BC4138">
        <w:t xml:space="preserve">višje </w:t>
      </w:r>
      <w:r w:rsidR="00382733">
        <w:t xml:space="preserve">vrednostne spremembe pri obveznostih </w:t>
      </w:r>
      <w:r w:rsidR="00BC4138">
        <w:t>državnega sektorja do tujih portfeljskih vlagateljev in fin</w:t>
      </w:r>
      <w:r w:rsidR="008B7DBE">
        <w:t>ančnih derivativo</w:t>
      </w:r>
      <w:r w:rsidR="00674599">
        <w:t xml:space="preserve">v </w:t>
      </w:r>
      <w:r>
        <w:t>državne</w:t>
      </w:r>
      <w:r w:rsidR="008B7DBE">
        <w:t xml:space="preserve">ga </w:t>
      </w:r>
      <w:r>
        <w:t>sektorj</w:t>
      </w:r>
      <w:r w:rsidR="008B7DBE">
        <w:t>a</w:t>
      </w:r>
      <w:r>
        <w:t>. V letu 2014 so cene tujih vrednostnih papirjev zopet zanihale navzgor</w:t>
      </w:r>
      <w:r w:rsidR="00674599">
        <w:t>, v letih 2018 in 2019 pa je Slovenij</w:t>
      </w:r>
      <w:r w:rsidR="00B82307">
        <w:t>a</w:t>
      </w:r>
      <w:r w:rsidR="00674599">
        <w:t xml:space="preserve"> sklenila več izvedenih finančnih instrumentov</w:t>
      </w:r>
      <w:r w:rsidR="00DE30A1">
        <w:t>,</w:t>
      </w:r>
      <w:r w:rsidR="00BC4138" w:rsidRPr="00BC4138">
        <w:t xml:space="preserve"> </w:t>
      </w:r>
      <w:r w:rsidR="00BC4138">
        <w:t>na osnovi katerih so se obveznosti do tujine povečale.</w:t>
      </w:r>
      <w:r w:rsidR="00DF0D30">
        <w:rPr>
          <w:rStyle w:val="FootnoteReference"/>
        </w:rPr>
        <w:footnoteReference w:id="6"/>
      </w:r>
      <w:r w:rsidR="00DE30A1">
        <w:t xml:space="preserve"> </w:t>
      </w:r>
      <w:bookmarkEnd w:id="5"/>
    </w:p>
    <w:p w14:paraId="5240F8ED" w14:textId="7E1A96D0" w:rsidR="007F4BE5" w:rsidRPr="004C200D" w:rsidRDefault="007F4BE5" w:rsidP="007F4BE5">
      <w:pPr>
        <w:pStyle w:val="Heading1"/>
        <w:numPr>
          <w:ilvl w:val="0"/>
          <w:numId w:val="0"/>
        </w:numPr>
      </w:pPr>
      <w:r>
        <w:lastRenderedPageBreak/>
        <w:t>2.2</w:t>
      </w:r>
      <w:r w:rsidR="003672B4">
        <w:tab/>
      </w:r>
      <w:r>
        <w:t>Račun instrumentov</w:t>
      </w:r>
    </w:p>
    <w:p w14:paraId="2942EDAC" w14:textId="44173409" w:rsidR="000C0BBD" w:rsidRPr="003672B4" w:rsidRDefault="004655B9" w:rsidP="00953A23">
      <w:pPr>
        <w:spacing w:after="0" w:line="288" w:lineRule="auto"/>
        <w:jc w:val="both"/>
        <w:rPr>
          <w:rFonts w:ascii="Myriad Pro" w:eastAsia="Calibri" w:hAnsi="Myriad Pro"/>
          <w:bCs/>
          <w:sz w:val="20"/>
          <w:szCs w:val="20"/>
        </w:rPr>
      </w:pPr>
      <w:r w:rsidRPr="004655B9">
        <w:rPr>
          <w:rStyle w:val="vstavekChar"/>
          <w:rFonts w:ascii="Myriad Pro" w:hAnsi="Myriad Pro"/>
          <w:i w:val="0"/>
          <w:noProof w:val="0"/>
          <w:sz w:val="20"/>
          <w:szCs w:val="20"/>
        </w:rPr>
        <w:t xml:space="preserve">Račun instrumentov </w:t>
      </w:r>
      <w:r>
        <w:rPr>
          <w:rStyle w:val="vstavekChar"/>
          <w:rFonts w:ascii="Myriad Pro" w:hAnsi="Myriad Pro"/>
          <w:b w:val="0"/>
          <w:bCs/>
          <w:i w:val="0"/>
          <w:noProof w:val="0"/>
          <w:sz w:val="20"/>
          <w:szCs w:val="20"/>
        </w:rPr>
        <w:t xml:space="preserve">prikazuje analizo finančnih instrumentov, razdeljenih na </w:t>
      </w:r>
      <w:r w:rsidR="009E4C45">
        <w:rPr>
          <w:rStyle w:val="vstavekChar"/>
          <w:rFonts w:ascii="Myriad Pro" w:hAnsi="Myriad Pro"/>
          <w:b w:val="0"/>
          <w:bCs/>
          <w:i w:val="0"/>
          <w:noProof w:val="0"/>
          <w:sz w:val="20"/>
          <w:szCs w:val="20"/>
        </w:rPr>
        <w:t xml:space="preserve">sledeče </w:t>
      </w:r>
      <w:r>
        <w:rPr>
          <w:rStyle w:val="vstavekChar"/>
          <w:rFonts w:ascii="Myriad Pro" w:hAnsi="Myriad Pro"/>
          <w:b w:val="0"/>
          <w:bCs/>
          <w:i w:val="0"/>
          <w:noProof w:val="0"/>
          <w:sz w:val="20"/>
          <w:szCs w:val="20"/>
        </w:rPr>
        <w:t>funkcijske kategorije: neposredne naložb</w:t>
      </w:r>
      <w:r w:rsidR="00A9337D">
        <w:rPr>
          <w:rStyle w:val="vstavekChar"/>
          <w:rFonts w:ascii="Myriad Pro" w:hAnsi="Myriad Pro"/>
          <w:b w:val="0"/>
          <w:bCs/>
          <w:i w:val="0"/>
          <w:noProof w:val="0"/>
          <w:sz w:val="20"/>
          <w:szCs w:val="20"/>
        </w:rPr>
        <w:t>e</w:t>
      </w:r>
      <w:r>
        <w:rPr>
          <w:rStyle w:val="vstavekChar"/>
          <w:rFonts w:ascii="Myriad Pro" w:hAnsi="Myriad Pro"/>
          <w:b w:val="0"/>
          <w:bCs/>
          <w:i w:val="0"/>
          <w:noProof w:val="0"/>
          <w:sz w:val="20"/>
          <w:szCs w:val="20"/>
        </w:rPr>
        <w:t>, naložbe v vrednostne papir</w:t>
      </w:r>
      <w:r w:rsidR="0067192A">
        <w:rPr>
          <w:rStyle w:val="vstavekChar"/>
          <w:rFonts w:ascii="Myriad Pro" w:hAnsi="Myriad Pro"/>
          <w:b w:val="0"/>
          <w:bCs/>
          <w:i w:val="0"/>
          <w:noProof w:val="0"/>
          <w:sz w:val="20"/>
          <w:szCs w:val="20"/>
        </w:rPr>
        <w:t>j</w:t>
      </w:r>
      <w:r>
        <w:rPr>
          <w:rStyle w:val="vstavekChar"/>
          <w:rFonts w:ascii="Myriad Pro" w:hAnsi="Myriad Pro"/>
          <w:b w:val="0"/>
          <w:bCs/>
          <w:i w:val="0"/>
          <w:noProof w:val="0"/>
          <w:sz w:val="20"/>
          <w:szCs w:val="20"/>
        </w:rPr>
        <w:t>e, finančn</w:t>
      </w:r>
      <w:r w:rsidR="00A9337D">
        <w:rPr>
          <w:rStyle w:val="vstavekChar"/>
          <w:rFonts w:ascii="Myriad Pro" w:hAnsi="Myriad Pro"/>
          <w:b w:val="0"/>
          <w:bCs/>
          <w:i w:val="0"/>
          <w:noProof w:val="0"/>
          <w:sz w:val="20"/>
          <w:szCs w:val="20"/>
        </w:rPr>
        <w:t>i</w:t>
      </w:r>
      <w:r>
        <w:rPr>
          <w:rStyle w:val="vstavekChar"/>
          <w:rFonts w:ascii="Myriad Pro" w:hAnsi="Myriad Pro"/>
          <w:b w:val="0"/>
          <w:bCs/>
          <w:i w:val="0"/>
          <w:noProof w:val="0"/>
          <w:sz w:val="20"/>
          <w:szCs w:val="20"/>
        </w:rPr>
        <w:t xml:space="preserve"> derivativ</w:t>
      </w:r>
      <w:r w:rsidR="00A9337D">
        <w:rPr>
          <w:rStyle w:val="vstavekChar"/>
          <w:rFonts w:ascii="Myriad Pro" w:hAnsi="Myriad Pro"/>
          <w:b w:val="0"/>
          <w:bCs/>
          <w:i w:val="0"/>
          <w:noProof w:val="0"/>
          <w:sz w:val="20"/>
          <w:szCs w:val="20"/>
        </w:rPr>
        <w:t>i</w:t>
      </w:r>
      <w:r>
        <w:rPr>
          <w:rStyle w:val="vstavekChar"/>
          <w:rFonts w:ascii="Myriad Pro" w:hAnsi="Myriad Pro"/>
          <w:b w:val="0"/>
          <w:bCs/>
          <w:i w:val="0"/>
          <w:noProof w:val="0"/>
          <w:sz w:val="20"/>
          <w:szCs w:val="20"/>
        </w:rPr>
        <w:t>, ostale naložbe in rezervna imetja</w:t>
      </w:r>
      <w:r w:rsidR="00A9337D">
        <w:rPr>
          <w:rStyle w:val="vstavekChar"/>
          <w:rFonts w:ascii="Myriad Pro" w:hAnsi="Myriad Pro"/>
          <w:b w:val="0"/>
          <w:bCs/>
          <w:i w:val="0"/>
          <w:noProof w:val="0"/>
          <w:sz w:val="20"/>
          <w:szCs w:val="20"/>
        </w:rPr>
        <w:t xml:space="preserve"> (slika 6).</w:t>
      </w:r>
      <w:r w:rsidR="0035382D">
        <w:rPr>
          <w:rStyle w:val="vstavekChar"/>
          <w:rFonts w:ascii="Myriad Pro" w:hAnsi="Myriad Pro"/>
          <w:b w:val="0"/>
          <w:bCs/>
          <w:i w:val="0"/>
          <w:noProof w:val="0"/>
          <w:sz w:val="20"/>
          <w:szCs w:val="20"/>
        </w:rPr>
        <w:t xml:space="preserve"> </w:t>
      </w:r>
      <w:r w:rsidR="00AC7416">
        <w:rPr>
          <w:rStyle w:val="vstavekChar"/>
          <w:rFonts w:ascii="Myriad Pro" w:hAnsi="Myriad Pro"/>
          <w:b w:val="0"/>
          <w:bCs/>
          <w:i w:val="0"/>
          <w:noProof w:val="0"/>
          <w:sz w:val="20"/>
          <w:szCs w:val="20"/>
        </w:rPr>
        <w:t xml:space="preserve">Vsaka kategorija instrumentov odraža različne </w:t>
      </w:r>
      <w:r w:rsidR="00FD686F">
        <w:rPr>
          <w:rStyle w:val="vstavekChar"/>
          <w:rFonts w:ascii="Myriad Pro" w:hAnsi="Myriad Pro"/>
          <w:b w:val="0"/>
          <w:bCs/>
          <w:i w:val="0"/>
          <w:noProof w:val="0"/>
          <w:sz w:val="20"/>
          <w:szCs w:val="20"/>
        </w:rPr>
        <w:t xml:space="preserve">naložbene </w:t>
      </w:r>
      <w:r w:rsidR="00AC7416">
        <w:rPr>
          <w:rStyle w:val="vstavekChar"/>
          <w:rFonts w:ascii="Myriad Pro" w:hAnsi="Myriad Pro"/>
          <w:b w:val="0"/>
          <w:bCs/>
          <w:i w:val="0"/>
          <w:noProof w:val="0"/>
          <w:sz w:val="20"/>
          <w:szCs w:val="20"/>
        </w:rPr>
        <w:t>cilje, plačilne obveznosti</w:t>
      </w:r>
      <w:r w:rsidR="00FD686F">
        <w:rPr>
          <w:rStyle w:val="vstavekChar"/>
          <w:rFonts w:ascii="Myriad Pro" w:hAnsi="Myriad Pro"/>
          <w:b w:val="0"/>
          <w:bCs/>
          <w:i w:val="0"/>
          <w:noProof w:val="0"/>
          <w:sz w:val="20"/>
          <w:szCs w:val="20"/>
        </w:rPr>
        <w:t xml:space="preserve">, </w:t>
      </w:r>
      <w:r w:rsidR="00AC7416">
        <w:rPr>
          <w:rStyle w:val="vstavekChar"/>
          <w:rFonts w:ascii="Myriad Pro" w:hAnsi="Myriad Pro"/>
          <w:b w:val="0"/>
          <w:bCs/>
          <w:i w:val="0"/>
          <w:noProof w:val="0"/>
          <w:sz w:val="20"/>
          <w:szCs w:val="20"/>
        </w:rPr>
        <w:t>potencialne donose</w:t>
      </w:r>
      <w:r w:rsidR="00FD686F">
        <w:rPr>
          <w:rStyle w:val="vstavekChar"/>
          <w:rFonts w:ascii="Myriad Pro" w:hAnsi="Myriad Pro"/>
          <w:b w:val="0"/>
          <w:bCs/>
          <w:i w:val="0"/>
          <w:noProof w:val="0"/>
          <w:sz w:val="20"/>
          <w:szCs w:val="20"/>
        </w:rPr>
        <w:t xml:space="preserve"> in tveganja.</w:t>
      </w:r>
      <w:r w:rsidR="00AC7416">
        <w:rPr>
          <w:rStyle w:val="vstavekChar"/>
          <w:rFonts w:ascii="Myriad Pro" w:hAnsi="Myriad Pro"/>
          <w:b w:val="0"/>
          <w:bCs/>
          <w:i w:val="0"/>
          <w:noProof w:val="0"/>
          <w:sz w:val="20"/>
          <w:szCs w:val="20"/>
        </w:rPr>
        <w:t xml:space="preserve"> </w:t>
      </w:r>
    </w:p>
    <w:p w14:paraId="571FD4AC" w14:textId="54850193" w:rsidR="00A9337D" w:rsidRPr="00721A70" w:rsidRDefault="00A9337D" w:rsidP="003672B4">
      <w:pPr>
        <w:pStyle w:val="Caption"/>
        <w:rPr>
          <w:rStyle w:val="vstavekChar"/>
          <w:rFonts w:ascii="Myriad Pro" w:eastAsiaTheme="minorHAnsi" w:hAnsi="Myriad Pro"/>
          <w:b/>
          <w:i w:val="0"/>
          <w:noProof w:val="0"/>
          <w:sz w:val="20"/>
          <w:szCs w:val="20"/>
        </w:rPr>
      </w:pPr>
      <w:r w:rsidRPr="00D17988">
        <w:t>Slika</w:t>
      </w:r>
      <w:r>
        <w:t xml:space="preserve"> 6</w:t>
      </w:r>
      <w:r w:rsidRPr="00D17988">
        <w:t xml:space="preserve">: </w:t>
      </w:r>
      <w:r>
        <w:t>Stanje mednarodnih naložb Slovenije po instrumentih</w:t>
      </w:r>
      <w:r w:rsidR="00082B96">
        <w:t xml:space="preserve"> v obdobju 2002-2020</w:t>
      </w:r>
    </w:p>
    <w:p w14:paraId="673A7CED" w14:textId="21D26ABC" w:rsidR="00A9337D" w:rsidRDefault="00A9337D" w:rsidP="00953A23">
      <w:pPr>
        <w:spacing w:after="0" w:line="288" w:lineRule="auto"/>
        <w:jc w:val="both"/>
        <w:rPr>
          <w:rStyle w:val="vstavekChar"/>
          <w:rFonts w:ascii="Myriad Pro" w:hAnsi="Myriad Pro"/>
          <w:bCs/>
          <w:i w:val="0"/>
          <w:noProof w:val="0"/>
          <w:sz w:val="20"/>
          <w:szCs w:val="20"/>
        </w:rPr>
      </w:pPr>
      <w:r>
        <w:rPr>
          <w:rStyle w:val="vstavekChar"/>
          <w:rFonts w:ascii="Myriad Pro" w:hAnsi="Myriad Pro"/>
          <w:b w:val="0"/>
          <w:i w:val="0"/>
          <w:sz w:val="20"/>
          <w:szCs w:val="20"/>
        </w:rPr>
        <w:drawing>
          <wp:inline distT="0" distB="0" distL="0" distR="0" wp14:anchorId="20557675" wp14:editId="7F7055F5">
            <wp:extent cx="5763490" cy="2716549"/>
            <wp:effectExtent l="0" t="0" r="8890" b="7620"/>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1212" cy="2720189"/>
                    </a:xfrm>
                    <a:prstGeom prst="rect">
                      <a:avLst/>
                    </a:prstGeom>
                    <a:noFill/>
                  </pic:spPr>
                </pic:pic>
              </a:graphicData>
            </a:graphic>
          </wp:inline>
        </w:drawing>
      </w:r>
    </w:p>
    <w:p w14:paraId="2756CB4E" w14:textId="77777777" w:rsidR="00A9337D" w:rsidRPr="007F4BE5" w:rsidRDefault="00A9337D" w:rsidP="003672B4">
      <w:pPr>
        <w:pStyle w:val="VirUMAR"/>
        <w:rPr>
          <w:rStyle w:val="vstavekChar"/>
          <w:rFonts w:ascii="Myriad Pro" w:eastAsiaTheme="minorHAnsi" w:hAnsi="Myriad Pro"/>
          <w:b w:val="0"/>
          <w:i w:val="0"/>
          <w:sz w:val="16"/>
          <w:szCs w:val="16"/>
        </w:rPr>
      </w:pPr>
      <w:r w:rsidRPr="006F412C">
        <w:t>Vir: BS, SURS, lastni izračun</w:t>
      </w:r>
      <w:r>
        <w:t>i.</w:t>
      </w:r>
    </w:p>
    <w:p w14:paraId="35CD30CB" w14:textId="77777777" w:rsidR="00A9337D" w:rsidRDefault="00A9337D" w:rsidP="00953A23">
      <w:pPr>
        <w:spacing w:after="0" w:line="288" w:lineRule="auto"/>
        <w:jc w:val="both"/>
        <w:rPr>
          <w:rStyle w:val="vstavekChar"/>
          <w:rFonts w:ascii="Myriad Pro" w:hAnsi="Myriad Pro"/>
          <w:bCs/>
          <w:i w:val="0"/>
          <w:noProof w:val="0"/>
          <w:sz w:val="20"/>
          <w:szCs w:val="20"/>
        </w:rPr>
      </w:pPr>
    </w:p>
    <w:p w14:paraId="28C75E72" w14:textId="050F6214" w:rsidR="00F94399" w:rsidRDefault="000C0BBD" w:rsidP="00953A23">
      <w:pPr>
        <w:spacing w:after="0" w:line="288" w:lineRule="auto"/>
        <w:jc w:val="both"/>
        <w:rPr>
          <w:rStyle w:val="vstavekChar"/>
          <w:rFonts w:ascii="Myriad Pro" w:hAnsi="Myriad Pro"/>
          <w:b w:val="0"/>
          <w:i w:val="0"/>
          <w:noProof w:val="0"/>
          <w:sz w:val="20"/>
          <w:szCs w:val="20"/>
        </w:rPr>
      </w:pPr>
      <w:r w:rsidRPr="000C0BBD">
        <w:rPr>
          <w:rStyle w:val="vstavekChar"/>
          <w:rFonts w:ascii="Myriad Pro" w:hAnsi="Myriad Pro"/>
          <w:bCs/>
          <w:i w:val="0"/>
          <w:noProof w:val="0"/>
          <w:sz w:val="20"/>
          <w:szCs w:val="20"/>
        </w:rPr>
        <w:t>V celotnem obdobju med gospodarsko krizo in korona krizo</w:t>
      </w:r>
      <w:r w:rsidRPr="000C0BBD">
        <w:rPr>
          <w:rStyle w:val="vstavekChar"/>
          <w:rFonts w:ascii="Myriad Pro" w:hAnsi="Myriad Pro"/>
          <w:b w:val="0"/>
          <w:i w:val="0"/>
          <w:noProof w:val="0"/>
          <w:sz w:val="20"/>
          <w:szCs w:val="20"/>
        </w:rPr>
        <w:t xml:space="preserve"> </w:t>
      </w:r>
      <w:r w:rsidR="006D6AE3" w:rsidRPr="00A248F0">
        <w:rPr>
          <w:rStyle w:val="vstavekChar"/>
          <w:rFonts w:ascii="Myriad Pro" w:hAnsi="Myriad Pro"/>
          <w:bCs/>
          <w:i w:val="0"/>
          <w:noProof w:val="0"/>
          <w:sz w:val="20"/>
          <w:szCs w:val="20"/>
        </w:rPr>
        <w:t>(2009-2020)</w:t>
      </w:r>
      <w:r w:rsidR="00B33D2F">
        <w:rPr>
          <w:rStyle w:val="FootnoteReference"/>
          <w:rFonts w:eastAsia="Calibri"/>
          <w:b/>
          <w:bCs/>
          <w:szCs w:val="20"/>
        </w:rPr>
        <w:footnoteReference w:id="7"/>
      </w:r>
      <w:r w:rsidR="006D6AE3" w:rsidRPr="00A248F0">
        <w:rPr>
          <w:rStyle w:val="vstavekChar"/>
          <w:rFonts w:ascii="Myriad Pro" w:hAnsi="Myriad Pro"/>
          <w:bCs/>
          <w:i w:val="0"/>
          <w:noProof w:val="0"/>
          <w:sz w:val="20"/>
          <w:szCs w:val="20"/>
        </w:rPr>
        <w:t xml:space="preserve"> se je stanje celotne neto zadolženosti Slovenije do tujine znižalo za 7,</w:t>
      </w:r>
      <w:r w:rsidR="00382733">
        <w:rPr>
          <w:rStyle w:val="vstavekChar"/>
          <w:rFonts w:ascii="Myriad Pro" w:hAnsi="Myriad Pro"/>
          <w:bCs/>
          <w:i w:val="0"/>
          <w:noProof w:val="0"/>
          <w:sz w:val="20"/>
          <w:szCs w:val="20"/>
        </w:rPr>
        <w:t>8</w:t>
      </w:r>
      <w:r w:rsidR="006D6AE3" w:rsidRPr="00A248F0">
        <w:rPr>
          <w:rStyle w:val="vstavekChar"/>
          <w:rFonts w:ascii="Myriad Pro" w:hAnsi="Myriad Pro"/>
          <w:bCs/>
          <w:i w:val="0"/>
          <w:noProof w:val="0"/>
          <w:sz w:val="20"/>
          <w:szCs w:val="20"/>
        </w:rPr>
        <w:t xml:space="preserve"> mrd EUR. </w:t>
      </w:r>
      <w:r w:rsidR="00046034">
        <w:rPr>
          <w:rStyle w:val="vstavekChar"/>
          <w:rFonts w:ascii="Myriad Pro" w:hAnsi="Myriad Pro"/>
          <w:b w:val="0"/>
          <w:i w:val="0"/>
          <w:noProof w:val="0"/>
          <w:sz w:val="20"/>
          <w:szCs w:val="20"/>
        </w:rPr>
        <w:t>Z</w:t>
      </w:r>
      <w:r w:rsidR="006D6AE3">
        <w:rPr>
          <w:rStyle w:val="vstavekChar"/>
          <w:rFonts w:ascii="Myriad Pro" w:hAnsi="Myriad Pro"/>
          <w:b w:val="0"/>
          <w:i w:val="0"/>
          <w:noProof w:val="0"/>
          <w:sz w:val="20"/>
          <w:szCs w:val="20"/>
        </w:rPr>
        <w:t xml:space="preserve"> vidika instrumentov </w:t>
      </w:r>
      <w:r w:rsidR="007A2B84">
        <w:rPr>
          <w:rStyle w:val="vstavekChar"/>
          <w:rFonts w:ascii="Myriad Pro" w:hAnsi="Myriad Pro"/>
          <w:b w:val="0"/>
          <w:i w:val="0"/>
          <w:noProof w:val="0"/>
          <w:sz w:val="20"/>
          <w:szCs w:val="20"/>
        </w:rPr>
        <w:t xml:space="preserve">je </w:t>
      </w:r>
      <w:r>
        <w:rPr>
          <w:rStyle w:val="vstavekChar"/>
          <w:rFonts w:ascii="Myriad Pro" w:hAnsi="Myriad Pro"/>
          <w:b w:val="0"/>
          <w:i w:val="0"/>
          <w:noProof w:val="0"/>
          <w:sz w:val="20"/>
          <w:szCs w:val="20"/>
        </w:rPr>
        <w:t xml:space="preserve">k znižanju največ prispeval </w:t>
      </w:r>
      <w:r w:rsidR="007A2B84">
        <w:rPr>
          <w:rStyle w:val="vstavekChar"/>
          <w:rFonts w:ascii="Myriad Pro" w:hAnsi="Myriad Pro"/>
          <w:b w:val="0"/>
          <w:i w:val="0"/>
          <w:noProof w:val="0"/>
          <w:sz w:val="20"/>
          <w:szCs w:val="20"/>
        </w:rPr>
        <w:t xml:space="preserve">neto odliv </w:t>
      </w:r>
      <w:r>
        <w:rPr>
          <w:rStyle w:val="vstavekChar"/>
          <w:rFonts w:ascii="Myriad Pro" w:hAnsi="Myriad Pro"/>
          <w:b w:val="0"/>
          <w:i w:val="0"/>
          <w:noProof w:val="0"/>
          <w:sz w:val="20"/>
          <w:szCs w:val="20"/>
        </w:rPr>
        <w:t>ostal</w:t>
      </w:r>
      <w:r w:rsidR="007A2B84">
        <w:rPr>
          <w:rStyle w:val="vstavekChar"/>
          <w:rFonts w:ascii="Myriad Pro" w:hAnsi="Myriad Pro"/>
          <w:b w:val="0"/>
          <w:i w:val="0"/>
          <w:noProof w:val="0"/>
          <w:sz w:val="20"/>
          <w:szCs w:val="20"/>
        </w:rPr>
        <w:t>ih</w:t>
      </w:r>
      <w:r>
        <w:rPr>
          <w:rStyle w:val="vstavekChar"/>
          <w:rFonts w:ascii="Myriad Pro" w:hAnsi="Myriad Pro"/>
          <w:b w:val="0"/>
          <w:i w:val="0"/>
          <w:noProof w:val="0"/>
          <w:sz w:val="20"/>
          <w:szCs w:val="20"/>
        </w:rPr>
        <w:t xml:space="preserve"> naložb</w:t>
      </w:r>
      <w:r w:rsidR="00083383">
        <w:rPr>
          <w:rStyle w:val="vstavekChar"/>
          <w:rFonts w:ascii="Myriad Pro" w:hAnsi="Myriad Pro"/>
          <w:b w:val="0"/>
          <w:i w:val="0"/>
          <w:noProof w:val="0"/>
          <w:sz w:val="20"/>
          <w:szCs w:val="20"/>
        </w:rPr>
        <w:t xml:space="preserve"> </w:t>
      </w:r>
      <w:r w:rsidR="006D6AE3">
        <w:rPr>
          <w:rStyle w:val="vstavekChar"/>
          <w:rFonts w:ascii="Myriad Pro" w:hAnsi="Myriad Pro"/>
          <w:b w:val="0"/>
          <w:i w:val="0"/>
          <w:noProof w:val="0"/>
          <w:sz w:val="20"/>
          <w:szCs w:val="20"/>
        </w:rPr>
        <w:t>(2</w:t>
      </w:r>
      <w:r w:rsidR="00EF1B35">
        <w:rPr>
          <w:rStyle w:val="vstavekChar"/>
          <w:rFonts w:ascii="Myriad Pro" w:hAnsi="Myriad Pro"/>
          <w:b w:val="0"/>
          <w:i w:val="0"/>
          <w:noProof w:val="0"/>
          <w:sz w:val="20"/>
          <w:szCs w:val="20"/>
        </w:rPr>
        <w:t>5,2</w:t>
      </w:r>
      <w:r w:rsidR="006D6AE3">
        <w:rPr>
          <w:rStyle w:val="vstavekChar"/>
          <w:rFonts w:ascii="Myriad Pro" w:hAnsi="Myriad Pro"/>
          <w:b w:val="0"/>
          <w:i w:val="0"/>
          <w:noProof w:val="0"/>
          <w:sz w:val="20"/>
          <w:szCs w:val="20"/>
        </w:rPr>
        <w:t xml:space="preserve"> mrd EUR). Po drugi strani so neposredne naložbe (-7,1 mrd EUR), naložbe v vrednostne</w:t>
      </w:r>
      <w:r w:rsidR="00053405">
        <w:rPr>
          <w:rStyle w:val="vstavekChar"/>
          <w:rFonts w:ascii="Myriad Pro" w:hAnsi="Myriad Pro"/>
          <w:b w:val="0"/>
          <w:i w:val="0"/>
          <w:noProof w:val="0"/>
          <w:sz w:val="20"/>
          <w:szCs w:val="20"/>
        </w:rPr>
        <w:t xml:space="preserve"> papirje (-7,</w:t>
      </w:r>
      <w:r w:rsidR="00EF1B35">
        <w:rPr>
          <w:rStyle w:val="vstavekChar"/>
          <w:rFonts w:ascii="Myriad Pro" w:hAnsi="Myriad Pro"/>
          <w:b w:val="0"/>
          <w:i w:val="0"/>
          <w:noProof w:val="0"/>
          <w:sz w:val="20"/>
          <w:szCs w:val="20"/>
        </w:rPr>
        <w:t>3</w:t>
      </w:r>
      <w:r w:rsidR="00053405">
        <w:rPr>
          <w:rStyle w:val="vstavekChar"/>
          <w:rFonts w:ascii="Myriad Pro" w:hAnsi="Myriad Pro"/>
          <w:b w:val="0"/>
          <w:i w:val="0"/>
          <w:noProof w:val="0"/>
          <w:sz w:val="20"/>
          <w:szCs w:val="20"/>
        </w:rPr>
        <w:t xml:space="preserve"> mrd EUR) ter finančni derivativi </w:t>
      </w:r>
      <w:r w:rsidR="00046034">
        <w:rPr>
          <w:rStyle w:val="vstavekChar"/>
          <w:rFonts w:ascii="Myriad Pro" w:hAnsi="Myriad Pro"/>
          <w:b w:val="0"/>
          <w:i w:val="0"/>
          <w:noProof w:val="0"/>
          <w:sz w:val="20"/>
          <w:szCs w:val="20"/>
        </w:rPr>
        <w:t>(-3,4 mrd EUR) neto dolžniško pozicijo poslabševali</w:t>
      </w:r>
      <w:r w:rsidR="00A9337D">
        <w:rPr>
          <w:rStyle w:val="vstavekChar"/>
          <w:rFonts w:ascii="Myriad Pro" w:hAnsi="Myriad Pro"/>
          <w:b w:val="0"/>
          <w:i w:val="0"/>
          <w:noProof w:val="0"/>
          <w:sz w:val="20"/>
          <w:szCs w:val="20"/>
        </w:rPr>
        <w:t xml:space="preserve"> (slika 7).</w:t>
      </w:r>
    </w:p>
    <w:p w14:paraId="1090EDEA" w14:textId="45E16D58" w:rsidR="00083383" w:rsidRDefault="00083383" w:rsidP="00083383">
      <w:pPr>
        <w:pStyle w:val="Caption"/>
      </w:pPr>
      <w:r>
        <w:lastRenderedPageBreak/>
        <w:t xml:space="preserve">Slika </w:t>
      </w:r>
      <w:r w:rsidR="00D771AA">
        <w:t>7</w:t>
      </w:r>
      <w:r>
        <w:t>: Račun instrumentov</w:t>
      </w:r>
      <w:r w:rsidR="0096329A">
        <w:t xml:space="preserve"> -</w:t>
      </w:r>
      <w:r>
        <w:t xml:space="preserve"> </w:t>
      </w:r>
      <w:r w:rsidR="006D6AE3">
        <w:t xml:space="preserve">prispevki k spremembam </w:t>
      </w:r>
      <w:r w:rsidR="0096329A">
        <w:t>stanja mednarodnih naložb</w:t>
      </w:r>
    </w:p>
    <w:p w14:paraId="3C81DA3E" w14:textId="49341A55" w:rsidR="00F94399" w:rsidRDefault="00F94EB1" w:rsidP="00F94EB1">
      <w:pPr>
        <w:pStyle w:val="BesediloUMAR"/>
      </w:pPr>
      <w:r>
        <w:rPr>
          <w:noProof/>
        </w:rPr>
        <w:drawing>
          <wp:inline distT="0" distB="0" distL="0" distR="0" wp14:anchorId="5F75E2B9" wp14:editId="64107A37">
            <wp:extent cx="5749747" cy="2479509"/>
            <wp:effectExtent l="0" t="0" r="3810" b="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3832" cy="2485583"/>
                    </a:xfrm>
                    <a:prstGeom prst="rect">
                      <a:avLst/>
                    </a:prstGeom>
                    <a:noFill/>
                  </pic:spPr>
                </pic:pic>
              </a:graphicData>
            </a:graphic>
          </wp:inline>
        </w:drawing>
      </w:r>
    </w:p>
    <w:p w14:paraId="201B87D0" w14:textId="64B6929A" w:rsidR="00083383" w:rsidRPr="007F4BE5" w:rsidRDefault="00083383" w:rsidP="003672B4">
      <w:pPr>
        <w:pStyle w:val="VirUMAR"/>
        <w:rPr>
          <w:rStyle w:val="vstavekChar"/>
          <w:rFonts w:ascii="Myriad Pro" w:eastAsiaTheme="minorHAnsi" w:hAnsi="Myriad Pro"/>
          <w:b w:val="0"/>
          <w:i w:val="0"/>
          <w:sz w:val="16"/>
          <w:szCs w:val="16"/>
        </w:rPr>
      </w:pPr>
      <w:r w:rsidRPr="006F412C">
        <w:t>Vir: BS, SURS, lastni izračun</w:t>
      </w:r>
      <w:r w:rsidR="00D771AA">
        <w:t>i</w:t>
      </w:r>
      <w:r>
        <w:t>.</w:t>
      </w:r>
    </w:p>
    <w:p w14:paraId="04FE565A" w14:textId="77777777" w:rsidR="004C689A" w:rsidRDefault="004C689A" w:rsidP="00F97FF3">
      <w:pPr>
        <w:spacing w:after="0" w:line="288" w:lineRule="auto"/>
        <w:jc w:val="both"/>
      </w:pPr>
    </w:p>
    <w:p w14:paraId="141D5696" w14:textId="199F07E3" w:rsidR="00515BA5" w:rsidRDefault="00F167FD" w:rsidP="00F97FF3">
      <w:pPr>
        <w:spacing w:after="0" w:line="288" w:lineRule="auto"/>
        <w:jc w:val="both"/>
        <w:rPr>
          <w:rStyle w:val="vstavekChar"/>
          <w:rFonts w:ascii="Myriad Pro" w:hAnsi="Myriad Pro"/>
          <w:b w:val="0"/>
          <w:i w:val="0"/>
          <w:noProof w:val="0"/>
          <w:sz w:val="20"/>
          <w:szCs w:val="20"/>
        </w:rPr>
      </w:pPr>
      <w:r w:rsidRPr="00A9337D">
        <w:rPr>
          <w:rStyle w:val="vstavekChar"/>
          <w:rFonts w:ascii="Myriad Pro" w:hAnsi="Myriad Pro"/>
          <w:i w:val="0"/>
          <w:noProof w:val="0"/>
          <w:sz w:val="20"/>
          <w:szCs w:val="20"/>
        </w:rPr>
        <w:t>V obdobju 2009-2012</w:t>
      </w:r>
      <w:r w:rsidR="002D64EA" w:rsidRPr="00A9337D">
        <w:rPr>
          <w:rStyle w:val="vstavekChar"/>
          <w:rFonts w:ascii="Myriad Pro" w:hAnsi="Myriad Pro"/>
          <w:i w:val="0"/>
          <w:noProof w:val="0"/>
          <w:sz w:val="20"/>
          <w:szCs w:val="20"/>
        </w:rPr>
        <w:t xml:space="preserve">, ko </w:t>
      </w:r>
      <w:r w:rsidRPr="00A9337D">
        <w:rPr>
          <w:rStyle w:val="vstavekChar"/>
          <w:rFonts w:ascii="Myriad Pro" w:hAnsi="Myriad Pro"/>
          <w:i w:val="0"/>
          <w:noProof w:val="0"/>
          <w:sz w:val="20"/>
          <w:szCs w:val="20"/>
        </w:rPr>
        <w:t>je bilo stanje mednarodnih naložb relativno stabilno</w:t>
      </w:r>
      <w:r w:rsidR="00474258" w:rsidRPr="00A9337D">
        <w:rPr>
          <w:rStyle w:val="vstavekChar"/>
          <w:rFonts w:ascii="Myriad Pro" w:hAnsi="Myriad Pro"/>
          <w:i w:val="0"/>
          <w:noProof w:val="0"/>
          <w:sz w:val="20"/>
          <w:szCs w:val="20"/>
        </w:rPr>
        <w:t xml:space="preserve">, </w:t>
      </w:r>
      <w:r w:rsidR="002D64EA" w:rsidRPr="00A9337D">
        <w:rPr>
          <w:rStyle w:val="vstavekChar"/>
          <w:rFonts w:ascii="Myriad Pro" w:hAnsi="Myriad Pro"/>
          <w:i w:val="0"/>
          <w:noProof w:val="0"/>
          <w:sz w:val="20"/>
          <w:szCs w:val="20"/>
        </w:rPr>
        <w:t xml:space="preserve">se je </w:t>
      </w:r>
      <w:r w:rsidR="00474258" w:rsidRPr="00A9337D">
        <w:rPr>
          <w:rStyle w:val="vstavekChar"/>
          <w:rFonts w:ascii="Myriad Pro" w:hAnsi="Myriad Pro"/>
          <w:i w:val="0"/>
          <w:noProof w:val="0"/>
          <w:sz w:val="20"/>
          <w:szCs w:val="20"/>
        </w:rPr>
        <w:t>spremenila struktura naložb</w:t>
      </w:r>
      <w:r w:rsidRPr="00A9337D">
        <w:rPr>
          <w:rStyle w:val="vstavekChar"/>
          <w:rFonts w:ascii="Myriad Pro" w:hAnsi="Myriad Pro"/>
          <w:i w:val="0"/>
          <w:noProof w:val="0"/>
          <w:sz w:val="20"/>
          <w:szCs w:val="20"/>
        </w:rPr>
        <w:t>.</w:t>
      </w:r>
      <w:r w:rsidRPr="00CA0210">
        <w:rPr>
          <w:rStyle w:val="vstavekChar"/>
          <w:rFonts w:ascii="Myriad Pro" w:hAnsi="Myriad Pro"/>
          <w:b w:val="0"/>
          <w:i w:val="0"/>
          <w:noProof w:val="0"/>
          <w:sz w:val="20"/>
          <w:szCs w:val="20"/>
        </w:rPr>
        <w:t xml:space="preserve"> </w:t>
      </w:r>
      <w:r w:rsidR="00474258" w:rsidRPr="00CA0210">
        <w:rPr>
          <w:rFonts w:ascii="Myriad Pro" w:hAnsi="Myriad Pro"/>
          <w:sz w:val="20"/>
          <w:szCs w:val="20"/>
        </w:rPr>
        <w:t xml:space="preserve">Stanje celotnih terjatev je konec leta 2012 ostalo na ravni predkriznega leta, povečale so se le celotne obveznosti do tujine. </w:t>
      </w:r>
      <w:r w:rsidRPr="00CA0210">
        <w:rPr>
          <w:rStyle w:val="vstavekChar"/>
          <w:rFonts w:ascii="Myriad Pro" w:hAnsi="Myriad Pro"/>
          <w:b w:val="0"/>
          <w:i w:val="0"/>
          <w:noProof w:val="0"/>
          <w:sz w:val="20"/>
          <w:szCs w:val="20"/>
        </w:rPr>
        <w:t xml:space="preserve">Zaradi oteženega dostopa do </w:t>
      </w:r>
      <w:r w:rsidR="00761994" w:rsidRPr="00CA0210">
        <w:rPr>
          <w:rStyle w:val="vstavekChar"/>
          <w:rFonts w:ascii="Myriad Pro" w:hAnsi="Myriad Pro"/>
          <w:b w:val="0"/>
          <w:i w:val="0"/>
          <w:noProof w:val="0"/>
          <w:sz w:val="20"/>
          <w:szCs w:val="20"/>
        </w:rPr>
        <w:t>mednarodnih finančnih trgov</w:t>
      </w:r>
      <w:r w:rsidR="00AB55DE">
        <w:rPr>
          <w:rStyle w:val="vstavekChar"/>
          <w:rFonts w:ascii="Myriad Pro" w:hAnsi="Myriad Pro"/>
          <w:b w:val="0"/>
          <w:i w:val="0"/>
          <w:noProof w:val="0"/>
          <w:sz w:val="20"/>
          <w:szCs w:val="20"/>
        </w:rPr>
        <w:t>,</w:t>
      </w:r>
      <w:r w:rsidRPr="00CA0210">
        <w:rPr>
          <w:rStyle w:val="vstavekChar"/>
          <w:rFonts w:ascii="Myriad Pro" w:hAnsi="Myriad Pro"/>
          <w:b w:val="0"/>
          <w:i w:val="0"/>
          <w:noProof w:val="0"/>
          <w:sz w:val="20"/>
          <w:szCs w:val="20"/>
        </w:rPr>
        <w:t xml:space="preserve"> </w:t>
      </w:r>
      <w:r w:rsidR="00E54C8A">
        <w:rPr>
          <w:rStyle w:val="vstavekChar"/>
          <w:rFonts w:ascii="Myriad Pro" w:hAnsi="Myriad Pro"/>
          <w:b w:val="0"/>
          <w:i w:val="0"/>
          <w:noProof w:val="0"/>
          <w:sz w:val="20"/>
          <w:szCs w:val="20"/>
        </w:rPr>
        <w:t xml:space="preserve">so se okrepile naložbe tujih porteljskih vlagateljev v domače dolžniške vrednostne papirje in obveznosti na segmentu ostalih naložb v okviru </w:t>
      </w:r>
      <w:r w:rsidR="00AB55DE">
        <w:rPr>
          <w:rStyle w:val="vstavekChar"/>
          <w:rFonts w:ascii="Myriad Pro" w:hAnsi="Myriad Pro"/>
          <w:b w:val="0"/>
          <w:i w:val="0"/>
          <w:noProof w:val="0"/>
          <w:sz w:val="20"/>
          <w:szCs w:val="20"/>
        </w:rPr>
        <w:t xml:space="preserve">plačilnega </w:t>
      </w:r>
      <w:r w:rsidR="00E54C8A">
        <w:rPr>
          <w:rStyle w:val="vstavekChar"/>
          <w:rFonts w:ascii="Myriad Pro" w:hAnsi="Myriad Pro"/>
          <w:b w:val="0"/>
          <w:i w:val="0"/>
          <w:noProof w:val="0"/>
          <w:sz w:val="20"/>
          <w:szCs w:val="20"/>
        </w:rPr>
        <w:t>sistema TARGET</w:t>
      </w:r>
      <w:r w:rsidR="005E0B82">
        <w:rPr>
          <w:rStyle w:val="vstavekChar"/>
          <w:rFonts w:ascii="Myriad Pro" w:hAnsi="Myriad Pro"/>
          <w:b w:val="0"/>
          <w:i w:val="0"/>
          <w:noProof w:val="0"/>
          <w:sz w:val="20"/>
          <w:szCs w:val="20"/>
        </w:rPr>
        <w:t>.</w:t>
      </w:r>
      <w:r w:rsidR="008450BA">
        <w:rPr>
          <w:rStyle w:val="vstavekChar"/>
          <w:rFonts w:ascii="Myriad Pro" w:hAnsi="Myriad Pro"/>
          <w:b w:val="0"/>
          <w:i w:val="0"/>
          <w:noProof w:val="0"/>
          <w:sz w:val="20"/>
          <w:szCs w:val="20"/>
        </w:rPr>
        <w:t xml:space="preserve"> Tako pridobljena sredstva so bila namenjena za odplačevanje tujih posojil.</w:t>
      </w:r>
      <w:r w:rsidR="00D564EF">
        <w:rPr>
          <w:rStyle w:val="vstavekChar"/>
          <w:rFonts w:ascii="Myriad Pro" w:hAnsi="Myriad Pro"/>
          <w:b w:val="0"/>
          <w:i w:val="0"/>
          <w:noProof w:val="0"/>
          <w:sz w:val="20"/>
          <w:szCs w:val="20"/>
        </w:rPr>
        <w:t xml:space="preserve"> Tuje neposredne naložbe v Slov</w:t>
      </w:r>
      <w:r w:rsidR="00D045CF">
        <w:rPr>
          <w:rStyle w:val="vstavekChar"/>
          <w:rFonts w:ascii="Myriad Pro" w:hAnsi="Myriad Pro"/>
          <w:b w:val="0"/>
          <w:i w:val="0"/>
          <w:noProof w:val="0"/>
          <w:sz w:val="20"/>
          <w:szCs w:val="20"/>
        </w:rPr>
        <w:t>e</w:t>
      </w:r>
      <w:r w:rsidR="00D564EF">
        <w:rPr>
          <w:rStyle w:val="vstavekChar"/>
          <w:rFonts w:ascii="Myriad Pro" w:hAnsi="Myriad Pro"/>
          <w:b w:val="0"/>
          <w:i w:val="0"/>
          <w:noProof w:val="0"/>
          <w:sz w:val="20"/>
          <w:szCs w:val="20"/>
        </w:rPr>
        <w:t xml:space="preserve">niji so presegale naložbe slovenskih neposrednih investitorjev v tujini. </w:t>
      </w:r>
    </w:p>
    <w:p w14:paraId="047E8F59" w14:textId="77777777" w:rsidR="001513C3" w:rsidRDefault="001513C3" w:rsidP="00F97FF3">
      <w:pPr>
        <w:spacing w:after="0" w:line="288" w:lineRule="auto"/>
        <w:jc w:val="both"/>
        <w:rPr>
          <w:rStyle w:val="vstavekChar"/>
          <w:rFonts w:ascii="Myriad Pro" w:hAnsi="Myriad Pro"/>
          <w:bCs/>
          <w:i w:val="0"/>
          <w:noProof w:val="0"/>
          <w:sz w:val="20"/>
          <w:szCs w:val="20"/>
        </w:rPr>
      </w:pPr>
    </w:p>
    <w:p w14:paraId="6F771091" w14:textId="1451F5BA" w:rsidR="0075113D" w:rsidRPr="0075113D" w:rsidRDefault="00A248F0" w:rsidP="00F97FF3">
      <w:pPr>
        <w:spacing w:after="0" w:line="288" w:lineRule="auto"/>
        <w:jc w:val="both"/>
        <w:rPr>
          <w:rFonts w:ascii="Myriad Pro" w:eastAsia="Calibri" w:hAnsi="Myriad Pro"/>
          <w:sz w:val="20"/>
          <w:szCs w:val="20"/>
        </w:rPr>
      </w:pPr>
      <w:r w:rsidRPr="00F97FF3">
        <w:rPr>
          <w:rStyle w:val="vstavekChar"/>
          <w:rFonts w:ascii="Myriad Pro" w:hAnsi="Myriad Pro"/>
          <w:bCs/>
          <w:i w:val="0"/>
          <w:noProof w:val="0"/>
          <w:sz w:val="20"/>
          <w:szCs w:val="20"/>
        </w:rPr>
        <w:t xml:space="preserve">Od leta 2013 se </w:t>
      </w:r>
      <w:r w:rsidR="006E0130">
        <w:rPr>
          <w:rStyle w:val="vstavekChar"/>
          <w:rFonts w:ascii="Myriad Pro" w:hAnsi="Myriad Pro"/>
          <w:bCs/>
          <w:i w:val="0"/>
          <w:noProof w:val="0"/>
          <w:sz w:val="20"/>
          <w:szCs w:val="20"/>
        </w:rPr>
        <w:t xml:space="preserve">je </w:t>
      </w:r>
      <w:r w:rsidRPr="00F97FF3">
        <w:rPr>
          <w:rStyle w:val="vstavekChar"/>
          <w:rFonts w:ascii="Myriad Pro" w:hAnsi="Myriad Pro"/>
          <w:bCs/>
          <w:i w:val="0"/>
          <w:noProof w:val="0"/>
          <w:sz w:val="20"/>
          <w:szCs w:val="20"/>
        </w:rPr>
        <w:t>neto finančna pozicija Slovenije do tujine izboljš</w:t>
      </w:r>
      <w:r w:rsidR="006E0130">
        <w:rPr>
          <w:rStyle w:val="vstavekChar"/>
          <w:rFonts w:ascii="Myriad Pro" w:hAnsi="Myriad Pro"/>
          <w:bCs/>
          <w:i w:val="0"/>
          <w:noProof w:val="0"/>
          <w:sz w:val="20"/>
          <w:szCs w:val="20"/>
        </w:rPr>
        <w:t>evala</w:t>
      </w:r>
      <w:r w:rsidR="00F97FF3" w:rsidRPr="00F97FF3">
        <w:rPr>
          <w:rStyle w:val="vstavekChar"/>
          <w:rFonts w:ascii="Myriad Pro" w:hAnsi="Myriad Pro"/>
          <w:bCs/>
          <w:i w:val="0"/>
          <w:noProof w:val="0"/>
          <w:sz w:val="20"/>
          <w:szCs w:val="20"/>
        </w:rPr>
        <w:t xml:space="preserve"> </w:t>
      </w:r>
      <w:r w:rsidR="002D64EA" w:rsidRPr="00F97FF3">
        <w:rPr>
          <w:rStyle w:val="vstavekChar"/>
          <w:rFonts w:ascii="Myriad Pro" w:hAnsi="Myriad Pro"/>
          <w:bCs/>
          <w:i w:val="0"/>
          <w:noProof w:val="0"/>
          <w:sz w:val="20"/>
          <w:szCs w:val="20"/>
        </w:rPr>
        <w:t>zaradi</w:t>
      </w:r>
      <w:r w:rsidRPr="00F97FF3">
        <w:rPr>
          <w:rStyle w:val="vstavekChar"/>
          <w:rFonts w:ascii="Myriad Pro" w:hAnsi="Myriad Pro"/>
          <w:bCs/>
          <w:i w:val="0"/>
          <w:noProof w:val="0"/>
          <w:sz w:val="20"/>
          <w:szCs w:val="20"/>
        </w:rPr>
        <w:t xml:space="preserve"> neto odliv</w:t>
      </w:r>
      <w:r w:rsidR="002D64EA" w:rsidRPr="00F97FF3">
        <w:rPr>
          <w:rStyle w:val="vstavekChar"/>
          <w:rFonts w:ascii="Myriad Pro" w:hAnsi="Myriad Pro"/>
          <w:bCs/>
          <w:i w:val="0"/>
          <w:noProof w:val="0"/>
          <w:sz w:val="20"/>
          <w:szCs w:val="20"/>
        </w:rPr>
        <w:t>a</w:t>
      </w:r>
      <w:r w:rsidRPr="00F97FF3">
        <w:rPr>
          <w:rStyle w:val="vstavekChar"/>
          <w:rFonts w:ascii="Myriad Pro" w:hAnsi="Myriad Pro"/>
          <w:bCs/>
          <w:i w:val="0"/>
          <w:noProof w:val="0"/>
          <w:sz w:val="20"/>
          <w:szCs w:val="20"/>
        </w:rPr>
        <w:t xml:space="preserve"> </w:t>
      </w:r>
      <w:r w:rsidR="002D64EA" w:rsidRPr="00F97FF3">
        <w:rPr>
          <w:rFonts w:ascii="Myriad Pro" w:hAnsi="Myriad Pro"/>
          <w:b/>
          <w:bCs/>
          <w:sz w:val="20"/>
          <w:szCs w:val="20"/>
        </w:rPr>
        <w:t>finančnih sredstev na segmentu ostalih naložb</w:t>
      </w:r>
      <w:r w:rsidR="00DF627F">
        <w:rPr>
          <w:rFonts w:ascii="Myriad Pro" w:hAnsi="Myriad Pro"/>
          <w:b/>
          <w:bCs/>
          <w:sz w:val="20"/>
          <w:szCs w:val="20"/>
        </w:rPr>
        <w:t xml:space="preserve">, </w:t>
      </w:r>
      <w:r w:rsidR="00DF627F" w:rsidRPr="00DF627F">
        <w:rPr>
          <w:rFonts w:ascii="Myriad Pro" w:hAnsi="Myriad Pro"/>
          <w:sz w:val="20"/>
          <w:szCs w:val="20"/>
        </w:rPr>
        <w:t>pri</w:t>
      </w:r>
      <w:r w:rsidR="00AC2FF4" w:rsidRPr="00F97FF3">
        <w:rPr>
          <w:rFonts w:ascii="Myriad Pro" w:hAnsi="Myriad Pro"/>
          <w:sz w:val="20"/>
          <w:szCs w:val="20"/>
        </w:rPr>
        <w:t xml:space="preserve"> vseh</w:t>
      </w:r>
      <w:r w:rsidR="00AC2FF4" w:rsidRPr="00F97FF3">
        <w:rPr>
          <w:rFonts w:ascii="Myriad Pro" w:hAnsi="Myriad Pro"/>
          <w:b/>
          <w:bCs/>
          <w:sz w:val="20"/>
          <w:szCs w:val="20"/>
        </w:rPr>
        <w:t xml:space="preserve"> </w:t>
      </w:r>
      <w:r w:rsidR="00AC2FF4" w:rsidRPr="00F97FF3">
        <w:rPr>
          <w:rFonts w:ascii="Myriad Pro" w:hAnsi="Myriad Pro"/>
          <w:sz w:val="20"/>
          <w:szCs w:val="20"/>
        </w:rPr>
        <w:t xml:space="preserve">ostalih instrumentih </w:t>
      </w:r>
      <w:r w:rsidR="00DF627F">
        <w:rPr>
          <w:rFonts w:ascii="Myriad Pro" w:hAnsi="Myriad Pro"/>
          <w:sz w:val="20"/>
          <w:szCs w:val="20"/>
        </w:rPr>
        <w:t xml:space="preserve">pa </w:t>
      </w:r>
      <w:r w:rsidR="00AC2FF4" w:rsidRPr="00F97FF3">
        <w:rPr>
          <w:rFonts w:ascii="Myriad Pro" w:hAnsi="Myriad Pro"/>
          <w:sz w:val="20"/>
          <w:szCs w:val="20"/>
        </w:rPr>
        <w:t xml:space="preserve">so kapitalski prilivi presegali kapitalske odlive. </w:t>
      </w:r>
      <w:r w:rsidR="00FD0484" w:rsidRPr="00F97FF3">
        <w:rPr>
          <w:rFonts w:ascii="Myriad Pro" w:hAnsi="Myriad Pro"/>
          <w:sz w:val="20"/>
          <w:szCs w:val="20"/>
        </w:rPr>
        <w:t>Neto odliv ostalih naložb</w:t>
      </w:r>
      <w:r w:rsidR="00AC2FF4">
        <w:rPr>
          <w:rFonts w:ascii="Myriad Pro" w:hAnsi="Myriad Pro"/>
          <w:sz w:val="20"/>
          <w:szCs w:val="20"/>
        </w:rPr>
        <w:t xml:space="preserve">, ki je </w:t>
      </w:r>
      <w:r w:rsidR="00FD0484" w:rsidRPr="00F97FF3">
        <w:rPr>
          <w:rFonts w:ascii="Myriad Pro" w:hAnsi="Myriad Pro"/>
          <w:sz w:val="20"/>
          <w:szCs w:val="20"/>
        </w:rPr>
        <w:t xml:space="preserve">bil posledica povečanih terjatev do tujine </w:t>
      </w:r>
      <w:r w:rsidR="00AC2FF4">
        <w:rPr>
          <w:rFonts w:ascii="Myriad Pro" w:hAnsi="Myriad Pro"/>
          <w:sz w:val="20"/>
          <w:szCs w:val="20"/>
        </w:rPr>
        <w:t>in</w:t>
      </w:r>
      <w:r w:rsidR="00FD0484" w:rsidRPr="00F97FF3">
        <w:rPr>
          <w:rFonts w:ascii="Myriad Pro" w:hAnsi="Myriad Pro"/>
          <w:sz w:val="20"/>
          <w:szCs w:val="20"/>
        </w:rPr>
        <w:t xml:space="preserve"> tudi znižanih obveznosti</w:t>
      </w:r>
      <w:r w:rsidR="00AC2FF4">
        <w:rPr>
          <w:rFonts w:ascii="Myriad Pro" w:hAnsi="Myriad Pro"/>
          <w:sz w:val="20"/>
          <w:szCs w:val="20"/>
        </w:rPr>
        <w:t>, se je v</w:t>
      </w:r>
      <w:r w:rsidR="00C54E4F" w:rsidRPr="00F97FF3">
        <w:rPr>
          <w:rFonts w:ascii="Myriad Pro" w:hAnsi="Myriad Pro"/>
          <w:sz w:val="20"/>
          <w:szCs w:val="20"/>
        </w:rPr>
        <w:t xml:space="preserve"> obdobju 2013-2020</w:t>
      </w:r>
      <w:r w:rsidR="00AC2FF4">
        <w:rPr>
          <w:rFonts w:ascii="Myriad Pro" w:hAnsi="Myriad Pro"/>
          <w:sz w:val="20"/>
          <w:szCs w:val="20"/>
        </w:rPr>
        <w:t xml:space="preserve"> povečal za 18,</w:t>
      </w:r>
      <w:r w:rsidR="0049481F">
        <w:rPr>
          <w:rFonts w:ascii="Myriad Pro" w:hAnsi="Myriad Pro"/>
          <w:sz w:val="20"/>
          <w:szCs w:val="20"/>
        </w:rPr>
        <w:t>9</w:t>
      </w:r>
      <w:r w:rsidR="00AC2FF4">
        <w:rPr>
          <w:rFonts w:ascii="Myriad Pro" w:hAnsi="Myriad Pro"/>
          <w:sz w:val="20"/>
          <w:szCs w:val="20"/>
        </w:rPr>
        <w:t xml:space="preserve"> mrd EUR. </w:t>
      </w:r>
      <w:r w:rsidR="00EC1366">
        <w:rPr>
          <w:rFonts w:ascii="Myriad Pro" w:hAnsi="Myriad Pro"/>
          <w:sz w:val="20"/>
          <w:szCs w:val="20"/>
        </w:rPr>
        <w:t xml:space="preserve"> </w:t>
      </w:r>
      <w:r w:rsidR="00AC2FF4">
        <w:rPr>
          <w:rFonts w:ascii="Myriad Pro" w:hAnsi="Myriad Pro"/>
          <w:sz w:val="20"/>
          <w:szCs w:val="20"/>
        </w:rPr>
        <w:t xml:space="preserve">Pri tem </w:t>
      </w:r>
      <w:r w:rsidR="00C54E4F" w:rsidRPr="00F97FF3">
        <w:rPr>
          <w:rFonts w:ascii="Myriad Pro" w:hAnsi="Myriad Pro"/>
          <w:sz w:val="20"/>
          <w:szCs w:val="20"/>
        </w:rPr>
        <w:t>so se povečale gotovina in vloge na računih v tujini</w:t>
      </w:r>
      <w:r w:rsidR="00AC2FF4">
        <w:rPr>
          <w:rFonts w:ascii="Myriad Pro" w:hAnsi="Myriad Pro"/>
          <w:sz w:val="20"/>
          <w:szCs w:val="20"/>
        </w:rPr>
        <w:t>,</w:t>
      </w:r>
      <w:r w:rsidR="00C54E4F" w:rsidRPr="00F97FF3">
        <w:rPr>
          <w:rFonts w:ascii="Myriad Pro" w:hAnsi="Myriad Pro"/>
          <w:sz w:val="20"/>
          <w:szCs w:val="20"/>
        </w:rPr>
        <w:t xml:space="preserve"> </w:t>
      </w:r>
      <w:r w:rsidR="00AC2FF4">
        <w:rPr>
          <w:rFonts w:ascii="Myriad Pro" w:hAnsi="Myriad Pro"/>
          <w:sz w:val="20"/>
          <w:szCs w:val="20"/>
        </w:rPr>
        <w:t>n</w:t>
      </w:r>
      <w:r w:rsidR="00C54E4F" w:rsidRPr="00F97FF3">
        <w:rPr>
          <w:rFonts w:ascii="Myriad Pro" w:hAnsi="Myriad Pro"/>
          <w:sz w:val="20"/>
          <w:szCs w:val="20"/>
        </w:rPr>
        <w:t xml:space="preserve">adaljevalo se je razdolževanje poslovnih bank do tujine in umik vlog nerezidentov </w:t>
      </w:r>
      <w:r w:rsidR="00C54E4F" w:rsidRPr="0049481F">
        <w:rPr>
          <w:rFonts w:ascii="Myriad Pro" w:hAnsi="Myriad Pro"/>
          <w:sz w:val="20"/>
          <w:szCs w:val="20"/>
        </w:rPr>
        <w:t xml:space="preserve">iz slovenskih bank. </w:t>
      </w:r>
      <w:r w:rsidR="0075113D" w:rsidRPr="0049481F">
        <w:rPr>
          <w:rFonts w:ascii="Myriad Pro" w:hAnsi="Myriad Pro"/>
          <w:bCs/>
          <w:sz w:val="20"/>
          <w:szCs w:val="20"/>
        </w:rPr>
        <w:t>Neto</w:t>
      </w:r>
      <w:r w:rsidR="0075113D">
        <w:rPr>
          <w:rFonts w:ascii="Myriad Pro" w:hAnsi="Myriad Pro"/>
          <w:bCs/>
          <w:sz w:val="20"/>
          <w:szCs w:val="20"/>
        </w:rPr>
        <w:t xml:space="preserve"> obveznosti na segmentu vrednostnih papirjev so se v obdobju 2013-2020 povečale za 1</w:t>
      </w:r>
      <w:r w:rsidR="00361F24">
        <w:rPr>
          <w:rFonts w:ascii="Myriad Pro" w:hAnsi="Myriad Pro"/>
          <w:bCs/>
          <w:sz w:val="20"/>
          <w:szCs w:val="20"/>
        </w:rPr>
        <w:t>,1</w:t>
      </w:r>
      <w:r w:rsidR="0075113D">
        <w:rPr>
          <w:rFonts w:ascii="Myriad Pro" w:hAnsi="Myriad Pro"/>
          <w:bCs/>
          <w:sz w:val="20"/>
          <w:szCs w:val="20"/>
        </w:rPr>
        <w:t xml:space="preserve"> mrd EUR, predvsem zaradi višjih cen dolžniških vrednostnih papirjev državnega sektorja</w:t>
      </w:r>
      <w:r w:rsidR="00361F24">
        <w:rPr>
          <w:rFonts w:ascii="Myriad Pro" w:hAnsi="Myriad Pro"/>
          <w:bCs/>
          <w:sz w:val="20"/>
          <w:szCs w:val="20"/>
        </w:rPr>
        <w:t xml:space="preserve"> v letu 2014.</w:t>
      </w:r>
      <w:r w:rsidR="0075113D">
        <w:rPr>
          <w:rFonts w:ascii="Myriad Pro" w:hAnsi="Myriad Pro"/>
          <w:bCs/>
          <w:sz w:val="20"/>
          <w:szCs w:val="20"/>
        </w:rPr>
        <w:t xml:space="preserve">  </w:t>
      </w:r>
    </w:p>
    <w:p w14:paraId="76C56D50" w14:textId="77777777" w:rsidR="0075113D" w:rsidRDefault="0075113D" w:rsidP="00F97FF3">
      <w:pPr>
        <w:spacing w:after="0" w:line="288" w:lineRule="auto"/>
        <w:jc w:val="both"/>
        <w:rPr>
          <w:rFonts w:ascii="Myriad Pro" w:hAnsi="Myriad Pro"/>
          <w:sz w:val="20"/>
          <w:szCs w:val="20"/>
        </w:rPr>
      </w:pPr>
    </w:p>
    <w:p w14:paraId="74CF86AC" w14:textId="2968088A" w:rsidR="003B30E3" w:rsidRPr="003B30E3" w:rsidRDefault="00AC2FF4" w:rsidP="003B30E3">
      <w:pPr>
        <w:autoSpaceDE w:val="0"/>
        <w:autoSpaceDN w:val="0"/>
        <w:adjustRightInd w:val="0"/>
        <w:spacing w:after="0" w:line="288" w:lineRule="auto"/>
        <w:jc w:val="both"/>
        <w:rPr>
          <w:rFonts w:ascii="Myriad Pro" w:hAnsi="Myriad Pro" w:cs="CharlotteBookPlain"/>
          <w:bCs/>
          <w:color w:val="292526"/>
          <w:sz w:val="20"/>
          <w:szCs w:val="20"/>
          <w:lang w:eastAsia="sl-SI"/>
        </w:rPr>
      </w:pPr>
      <w:r w:rsidRPr="003B30E3">
        <w:rPr>
          <w:rFonts w:ascii="Myriad Pro" w:hAnsi="Myriad Pro"/>
          <w:sz w:val="20"/>
          <w:szCs w:val="20"/>
        </w:rPr>
        <w:t>Neto dolžniška pozicija neposrednih naložb se je povečala za 6</w:t>
      </w:r>
      <w:r w:rsidR="0052706E">
        <w:rPr>
          <w:rFonts w:ascii="Myriad Pro" w:hAnsi="Myriad Pro"/>
          <w:sz w:val="20"/>
          <w:szCs w:val="20"/>
        </w:rPr>
        <w:t>,1</w:t>
      </w:r>
      <w:r w:rsidRPr="003B30E3">
        <w:rPr>
          <w:rFonts w:ascii="Myriad Pro" w:hAnsi="Myriad Pro"/>
          <w:sz w:val="20"/>
          <w:szCs w:val="20"/>
        </w:rPr>
        <w:t xml:space="preserve"> mrd EUR. </w:t>
      </w:r>
      <w:r w:rsidR="00F97FF3" w:rsidRPr="003B30E3">
        <w:rPr>
          <w:rFonts w:ascii="Myriad Pro" w:hAnsi="Myriad Pro"/>
          <w:bCs/>
          <w:sz w:val="20"/>
          <w:szCs w:val="20"/>
        </w:rPr>
        <w:t>Vhodne NTI v Slovenijo so se od leta 2015 hitreje povečevale, izhodne NTI pa so bile skromne. Višje vhodne NTI, katerih stanje se je v zadnjih petih letih povečalo kar za 43,3 %, so bile predvsem posledica pospešitve privatizacije in tudi sicer večje prodaje lastniških deležev v slovenskih podjetjih. Več pa je bilo tudi širitev že obstoječih podjetij s tujim kapitalom in novih (</w:t>
      </w:r>
      <w:r w:rsidR="006E0130">
        <w:rPr>
          <w:rFonts w:ascii="Myriad Pro" w:hAnsi="Myriad Pro"/>
          <w:bCs/>
          <w:sz w:val="20"/>
          <w:szCs w:val="20"/>
        </w:rPr>
        <w:t>»</w:t>
      </w:r>
      <w:r w:rsidR="00F97FF3" w:rsidRPr="003B30E3">
        <w:rPr>
          <w:rFonts w:ascii="Myriad Pro" w:hAnsi="Myriad Pro"/>
          <w:bCs/>
          <w:sz w:val="20"/>
          <w:szCs w:val="20"/>
        </w:rPr>
        <w:t>greenfield</w:t>
      </w:r>
      <w:r w:rsidR="006E0130">
        <w:rPr>
          <w:rFonts w:ascii="Myriad Pro" w:hAnsi="Myriad Pro"/>
          <w:bCs/>
          <w:sz w:val="20"/>
          <w:szCs w:val="20"/>
        </w:rPr>
        <w:t>«</w:t>
      </w:r>
      <w:r w:rsidR="00F97FF3" w:rsidRPr="003B30E3">
        <w:rPr>
          <w:rFonts w:ascii="Myriad Pro" w:hAnsi="Myriad Pro"/>
          <w:bCs/>
          <w:sz w:val="20"/>
          <w:szCs w:val="20"/>
        </w:rPr>
        <w:t xml:space="preserve">) investicij. </w:t>
      </w:r>
      <w:r w:rsidR="003B30E3" w:rsidRPr="003B30E3">
        <w:rPr>
          <w:rFonts w:ascii="Myriad Pro" w:hAnsi="Myriad Pro"/>
          <w:bCs/>
          <w:sz w:val="20"/>
          <w:szCs w:val="20"/>
        </w:rPr>
        <w:t xml:space="preserve">Slovenija je mala odprta ekonomija, ki je močno vpeta v mednarodne trgovinske in kapitalske tokove. S tujimi neposrednimi naložbami pojasnimo tudi močno povezanost uvoznih in izvoznih tokov. </w:t>
      </w:r>
      <w:r w:rsidR="003B30E3" w:rsidRPr="003B30E3">
        <w:rPr>
          <w:rFonts w:ascii="Myriad Pro" w:hAnsi="Myriad Pro" w:cs="CharlotteBookPlain"/>
          <w:bCs/>
          <w:color w:val="292526"/>
          <w:sz w:val="20"/>
          <w:szCs w:val="20"/>
          <w:lang w:eastAsia="sl-SI"/>
        </w:rPr>
        <w:t>Po podatkih BS tuji vlagatelji najbolj vlagajo v podjetniški sektor, kjer je bilo konec leta 2019 kar 77,6 % vrednosti vseh tujih neposrednih naložb. Podjetja s tujimi neposrednimi naložbami so ustvarila 1,4 mrd EUR poslovnega dobička. Najbolj so bila vpeta v blagovno menjavo, kjer so dosegla kar 44,2 % izvoza in 49,5 % uvoza celotnega podjetniškega sektorja. Delež izvoza blaga podjetij s tujimi neposrednimi naložbami se povečuje od leta 2014, kar kaže, da so podjetja s tujim kapitalom pomemben dejavnik rasti izvoza</w:t>
      </w:r>
      <w:r w:rsidR="003B30E3">
        <w:rPr>
          <w:rFonts w:ascii="Myriad Pro" w:hAnsi="Myriad Pro" w:cs="CharlotteBookPlain"/>
          <w:bCs/>
          <w:color w:val="292526"/>
          <w:sz w:val="20"/>
          <w:szCs w:val="20"/>
          <w:lang w:eastAsia="sl-SI"/>
        </w:rPr>
        <w:t>.</w:t>
      </w:r>
      <w:r w:rsidR="003B30E3" w:rsidRPr="003B30E3">
        <w:rPr>
          <w:rFonts w:ascii="Myriad Pro" w:hAnsi="Myriad Pro" w:cs="CharlotteBookPlain"/>
          <w:bCs/>
          <w:color w:val="292526"/>
          <w:sz w:val="20"/>
          <w:szCs w:val="20"/>
          <w:lang w:eastAsia="sl-SI"/>
        </w:rPr>
        <w:t xml:space="preserve"> </w:t>
      </w:r>
    </w:p>
    <w:p w14:paraId="615FA35A" w14:textId="6EE2F948" w:rsidR="00EE022B" w:rsidRDefault="00EE022B" w:rsidP="00F97FF3">
      <w:pPr>
        <w:spacing w:after="0" w:line="288" w:lineRule="auto"/>
        <w:jc w:val="both"/>
        <w:rPr>
          <w:rFonts w:ascii="Myriad Pro" w:hAnsi="Myriad Pro"/>
          <w:bCs/>
          <w:sz w:val="20"/>
          <w:szCs w:val="20"/>
        </w:rPr>
      </w:pPr>
    </w:p>
    <w:p w14:paraId="14822729" w14:textId="602507DD" w:rsidR="003672B4" w:rsidRDefault="003672B4" w:rsidP="00F97FF3">
      <w:pPr>
        <w:spacing w:after="0" w:line="288" w:lineRule="auto"/>
        <w:jc w:val="both"/>
        <w:rPr>
          <w:rFonts w:ascii="Myriad Pro" w:hAnsi="Myriad Pro"/>
          <w:bCs/>
          <w:sz w:val="20"/>
          <w:szCs w:val="20"/>
        </w:rPr>
      </w:pPr>
    </w:p>
    <w:p w14:paraId="07AB9D6E" w14:textId="5DC326E7" w:rsidR="003672B4" w:rsidRDefault="003672B4" w:rsidP="00F97FF3">
      <w:pPr>
        <w:spacing w:after="0" w:line="288" w:lineRule="auto"/>
        <w:jc w:val="both"/>
        <w:rPr>
          <w:rFonts w:ascii="Myriad Pro" w:hAnsi="Myriad Pro"/>
          <w:bCs/>
          <w:sz w:val="20"/>
          <w:szCs w:val="20"/>
        </w:rPr>
      </w:pPr>
    </w:p>
    <w:p w14:paraId="22B850A0" w14:textId="13F9C266" w:rsidR="003672B4" w:rsidRDefault="003672B4" w:rsidP="00F97FF3">
      <w:pPr>
        <w:spacing w:after="0" w:line="288" w:lineRule="auto"/>
        <w:jc w:val="both"/>
        <w:rPr>
          <w:rFonts w:ascii="Myriad Pro" w:hAnsi="Myriad Pro"/>
          <w:bCs/>
          <w:sz w:val="20"/>
          <w:szCs w:val="20"/>
        </w:rPr>
      </w:pPr>
    </w:p>
    <w:p w14:paraId="6FA38656" w14:textId="77777777" w:rsidR="003672B4" w:rsidRDefault="003672B4" w:rsidP="00F97FF3">
      <w:pPr>
        <w:spacing w:after="0" w:line="288" w:lineRule="auto"/>
        <w:jc w:val="both"/>
        <w:rPr>
          <w:rFonts w:ascii="Myriad Pro" w:hAnsi="Myriad Pro"/>
          <w:bCs/>
          <w:sz w:val="20"/>
          <w:szCs w:val="20"/>
        </w:rPr>
      </w:pPr>
    </w:p>
    <w:p w14:paraId="027B09A0" w14:textId="77777777" w:rsidR="008A7ED6" w:rsidRDefault="008A7ED6" w:rsidP="00F97FF3">
      <w:pPr>
        <w:spacing w:after="0" w:line="288" w:lineRule="auto"/>
        <w:jc w:val="both"/>
        <w:rPr>
          <w:rFonts w:ascii="Myriad Pro" w:hAnsi="Myriad Pro"/>
          <w:bCs/>
          <w:sz w:val="20"/>
          <w:szCs w:val="20"/>
        </w:rPr>
      </w:pPr>
    </w:p>
    <w:p w14:paraId="33BE2721" w14:textId="37DAEACD" w:rsidR="00EE022B" w:rsidRPr="003672B4" w:rsidRDefault="00EE022B" w:rsidP="00F97FF3">
      <w:pPr>
        <w:spacing w:after="0" w:line="288" w:lineRule="auto"/>
        <w:jc w:val="both"/>
        <w:rPr>
          <w:rStyle w:val="vstavekChar"/>
          <w:rFonts w:ascii="Myriad Pro" w:hAnsi="Myriad Pro"/>
          <w:i w:val="0"/>
          <w:noProof w:val="0"/>
          <w:color w:val="9E001A" w:themeColor="accent1"/>
          <w:sz w:val="28"/>
          <w:szCs w:val="28"/>
        </w:rPr>
      </w:pPr>
      <w:r w:rsidRPr="003672B4">
        <w:rPr>
          <w:rStyle w:val="vstavekChar"/>
          <w:rFonts w:ascii="Myriad Pro" w:hAnsi="Myriad Pro"/>
          <w:i w:val="0"/>
          <w:noProof w:val="0"/>
          <w:color w:val="9E001A" w:themeColor="accent1"/>
          <w:sz w:val="28"/>
          <w:szCs w:val="28"/>
        </w:rPr>
        <w:lastRenderedPageBreak/>
        <w:t>2.3</w:t>
      </w:r>
      <w:r w:rsidR="003672B4" w:rsidRPr="003672B4">
        <w:rPr>
          <w:rStyle w:val="vstavekChar"/>
          <w:rFonts w:ascii="Myriad Pro" w:hAnsi="Myriad Pro"/>
          <w:i w:val="0"/>
          <w:noProof w:val="0"/>
          <w:color w:val="9E001A" w:themeColor="accent1"/>
          <w:sz w:val="28"/>
          <w:szCs w:val="28"/>
        </w:rPr>
        <w:tab/>
      </w:r>
      <w:r w:rsidRPr="003672B4">
        <w:rPr>
          <w:rStyle w:val="vstavekChar"/>
          <w:rFonts w:ascii="Myriad Pro" w:hAnsi="Myriad Pro"/>
          <w:i w:val="0"/>
          <w:noProof w:val="0"/>
          <w:color w:val="9E001A" w:themeColor="accent1"/>
          <w:sz w:val="28"/>
          <w:szCs w:val="28"/>
        </w:rPr>
        <w:t>Račun sektorjev</w:t>
      </w:r>
    </w:p>
    <w:p w14:paraId="21E64D58" w14:textId="1B31E836" w:rsidR="00EE022B" w:rsidRPr="003672B4" w:rsidRDefault="00EE022B" w:rsidP="003672B4">
      <w:pPr>
        <w:pStyle w:val="BesediloUMAR"/>
        <w:rPr>
          <w:rStyle w:val="vstavekChar"/>
          <w:rFonts w:ascii="Myriad Pro" w:hAnsi="Myriad Pro"/>
          <w:i w:val="0"/>
          <w:noProof w:val="0"/>
          <w:sz w:val="20"/>
          <w:szCs w:val="20"/>
        </w:rPr>
      </w:pPr>
    </w:p>
    <w:p w14:paraId="64A61EC8" w14:textId="5A465BDC" w:rsidR="00EE022B" w:rsidRPr="00EE022B" w:rsidRDefault="00EE022B" w:rsidP="00F97FF3">
      <w:pPr>
        <w:spacing w:after="0" w:line="288" w:lineRule="auto"/>
        <w:jc w:val="both"/>
        <w:rPr>
          <w:rStyle w:val="vstavekChar"/>
          <w:rFonts w:ascii="Myriad Pro" w:hAnsi="Myriad Pro"/>
          <w:b w:val="0"/>
          <w:bCs/>
          <w:i w:val="0"/>
          <w:noProof w:val="0"/>
          <w:sz w:val="20"/>
          <w:szCs w:val="20"/>
        </w:rPr>
      </w:pPr>
      <w:r w:rsidRPr="00EE022B">
        <w:rPr>
          <w:rStyle w:val="vstavekChar"/>
          <w:rFonts w:ascii="Myriad Pro" w:hAnsi="Myriad Pro"/>
          <w:b w:val="0"/>
          <w:bCs/>
          <w:i w:val="0"/>
          <w:noProof w:val="0"/>
          <w:sz w:val="20"/>
          <w:szCs w:val="20"/>
        </w:rPr>
        <w:t>S</w:t>
      </w:r>
      <w:r>
        <w:rPr>
          <w:rStyle w:val="vstavekChar"/>
          <w:rFonts w:ascii="Myriad Pro" w:hAnsi="Myriad Pro"/>
          <w:b w:val="0"/>
          <w:bCs/>
          <w:i w:val="0"/>
          <w:noProof w:val="0"/>
          <w:sz w:val="20"/>
          <w:szCs w:val="20"/>
        </w:rPr>
        <w:t xml:space="preserve">ektorski račun prikazuje spremembe stanja mednarodnih naložb </w:t>
      </w:r>
      <w:r w:rsidR="005A1447">
        <w:rPr>
          <w:rStyle w:val="vstavekChar"/>
          <w:rFonts w:ascii="Myriad Pro" w:hAnsi="Myriad Pro"/>
          <w:b w:val="0"/>
          <w:bCs/>
          <w:i w:val="0"/>
          <w:noProof w:val="0"/>
          <w:sz w:val="20"/>
          <w:szCs w:val="20"/>
        </w:rPr>
        <w:t>državnega sektorja, centralne banke in zasebnega sektorja.</w:t>
      </w:r>
      <w:r w:rsidR="005A1447">
        <w:rPr>
          <w:rStyle w:val="FootnoteReference"/>
          <w:rFonts w:eastAsia="Calibri"/>
          <w:bCs/>
          <w:szCs w:val="20"/>
        </w:rPr>
        <w:footnoteReference w:id="8"/>
      </w:r>
      <w:r>
        <w:rPr>
          <w:rStyle w:val="vstavekChar"/>
          <w:rFonts w:ascii="Myriad Pro" w:hAnsi="Myriad Pro"/>
          <w:b w:val="0"/>
          <w:bCs/>
          <w:i w:val="0"/>
          <w:noProof w:val="0"/>
          <w:sz w:val="20"/>
          <w:szCs w:val="20"/>
        </w:rPr>
        <w:t xml:space="preserve"> </w:t>
      </w:r>
      <w:r w:rsidR="0048345E">
        <w:rPr>
          <w:rStyle w:val="vstavekChar"/>
          <w:rFonts w:ascii="Myriad Pro" w:hAnsi="Myriad Pro"/>
          <w:b w:val="0"/>
          <w:bCs/>
          <w:i w:val="0"/>
          <w:noProof w:val="0"/>
          <w:sz w:val="20"/>
          <w:szCs w:val="20"/>
        </w:rPr>
        <w:t>Račun sektorjev omogoča analizo strukturnih sprememb celotnih imetij in obveznosti posameznih sektorjev do tujine</w:t>
      </w:r>
      <w:r w:rsidR="00010321">
        <w:rPr>
          <w:rStyle w:val="vstavekChar"/>
          <w:rFonts w:ascii="Myriad Pro" w:hAnsi="Myriad Pro"/>
          <w:b w:val="0"/>
          <w:bCs/>
          <w:i w:val="0"/>
          <w:noProof w:val="0"/>
          <w:sz w:val="20"/>
          <w:szCs w:val="20"/>
        </w:rPr>
        <w:t xml:space="preserve"> (slika 8).</w:t>
      </w:r>
    </w:p>
    <w:p w14:paraId="0B6CE65B" w14:textId="46DC018D" w:rsidR="00010321" w:rsidRDefault="00010321" w:rsidP="003672B4">
      <w:pPr>
        <w:pStyle w:val="Caption"/>
      </w:pPr>
      <w:r w:rsidRPr="00D17988">
        <w:t>Slika</w:t>
      </w:r>
      <w:r>
        <w:t xml:space="preserve"> 8</w:t>
      </w:r>
      <w:r w:rsidRPr="00D17988">
        <w:t xml:space="preserve">: </w:t>
      </w:r>
      <w:r>
        <w:t>Stanje mednarodnih naložb Slovenije po sektorjih</w:t>
      </w:r>
      <w:r w:rsidR="00AE398A">
        <w:t xml:space="preserve"> v obdobju 2002-2020</w:t>
      </w:r>
    </w:p>
    <w:p w14:paraId="6ACB118B" w14:textId="04CBB944" w:rsidR="00010321" w:rsidRDefault="00010321" w:rsidP="00F97FF3">
      <w:pPr>
        <w:spacing w:after="0" w:line="288" w:lineRule="auto"/>
        <w:jc w:val="both"/>
        <w:rPr>
          <w:rStyle w:val="vstavekChar"/>
          <w:rFonts w:ascii="Myriad Pro" w:hAnsi="Myriad Pro"/>
          <w:b w:val="0"/>
          <w:i w:val="0"/>
          <w:noProof w:val="0"/>
          <w:sz w:val="20"/>
          <w:szCs w:val="20"/>
        </w:rPr>
      </w:pPr>
      <w:r>
        <w:rPr>
          <w:rStyle w:val="vstavekChar"/>
          <w:rFonts w:ascii="Myriad Pro" w:hAnsi="Myriad Pro"/>
          <w:b w:val="0"/>
          <w:i w:val="0"/>
          <w:sz w:val="20"/>
          <w:szCs w:val="20"/>
        </w:rPr>
        <w:drawing>
          <wp:inline distT="0" distB="0" distL="0" distR="0" wp14:anchorId="168F14C3" wp14:editId="00482AC6">
            <wp:extent cx="5752407" cy="2614073"/>
            <wp:effectExtent l="0" t="0" r="1270" b="0"/>
            <wp:docPr id="15" name="Slik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3552" cy="2619138"/>
                    </a:xfrm>
                    <a:prstGeom prst="rect">
                      <a:avLst/>
                    </a:prstGeom>
                    <a:noFill/>
                  </pic:spPr>
                </pic:pic>
              </a:graphicData>
            </a:graphic>
          </wp:inline>
        </w:drawing>
      </w:r>
    </w:p>
    <w:p w14:paraId="5B9C68F9" w14:textId="1A740867" w:rsidR="00010321" w:rsidRPr="007F4BE5" w:rsidRDefault="00010321" w:rsidP="003672B4">
      <w:pPr>
        <w:pStyle w:val="VirUMAR"/>
        <w:rPr>
          <w:rStyle w:val="vstavekChar"/>
          <w:rFonts w:ascii="Myriad Pro" w:eastAsiaTheme="minorHAnsi" w:hAnsi="Myriad Pro"/>
          <w:b w:val="0"/>
          <w:i w:val="0"/>
          <w:sz w:val="16"/>
          <w:szCs w:val="16"/>
        </w:rPr>
      </w:pPr>
      <w:r w:rsidRPr="006F412C">
        <w:t>Vir: BS, SURS, lastni izračun</w:t>
      </w:r>
      <w:r>
        <w:t>i.</w:t>
      </w:r>
    </w:p>
    <w:p w14:paraId="168E43C1" w14:textId="77777777" w:rsidR="003672B4" w:rsidRDefault="003672B4" w:rsidP="00AE398A">
      <w:pPr>
        <w:pStyle w:val="TekstPOR"/>
        <w:spacing w:before="0" w:after="0" w:line="288" w:lineRule="auto"/>
        <w:jc w:val="both"/>
        <w:rPr>
          <w:rFonts w:ascii="Myriad Pro" w:hAnsi="Myriad Pro"/>
          <w:b/>
          <w:bCs/>
          <w:sz w:val="20"/>
          <w:szCs w:val="20"/>
        </w:rPr>
      </w:pPr>
    </w:p>
    <w:p w14:paraId="32552AD0" w14:textId="6B9D8F45" w:rsidR="000168FC" w:rsidRDefault="00901F96" w:rsidP="00AE398A">
      <w:pPr>
        <w:pStyle w:val="TekstPOR"/>
        <w:spacing w:before="0" w:after="0" w:line="288" w:lineRule="auto"/>
        <w:jc w:val="both"/>
        <w:rPr>
          <w:rFonts w:ascii="Myriad Pro" w:hAnsi="Myriad Pro"/>
          <w:sz w:val="20"/>
          <w:szCs w:val="20"/>
        </w:rPr>
      </w:pPr>
      <w:r w:rsidRPr="00AE398A">
        <w:rPr>
          <w:rFonts w:ascii="Myriad Pro" w:hAnsi="Myriad Pro"/>
          <w:b/>
          <w:bCs/>
          <w:sz w:val="20"/>
          <w:szCs w:val="20"/>
        </w:rPr>
        <w:t>Visoke rasti zadolževanja v obdobju 200</w:t>
      </w:r>
      <w:r w:rsidR="00891A1C" w:rsidRPr="00AE398A">
        <w:rPr>
          <w:rFonts w:ascii="Myriad Pro" w:hAnsi="Myriad Pro"/>
          <w:b/>
          <w:bCs/>
          <w:sz w:val="20"/>
          <w:szCs w:val="20"/>
        </w:rPr>
        <w:t>3</w:t>
      </w:r>
      <w:r w:rsidRPr="00AE398A">
        <w:rPr>
          <w:rFonts w:ascii="Myriad Pro" w:hAnsi="Myriad Pro"/>
          <w:b/>
          <w:bCs/>
          <w:sz w:val="20"/>
          <w:szCs w:val="20"/>
        </w:rPr>
        <w:t xml:space="preserve">-2008 so bile </w:t>
      </w:r>
      <w:r w:rsidR="006F5892" w:rsidRPr="00AE398A">
        <w:rPr>
          <w:rFonts w:ascii="Myriad Pro" w:hAnsi="Myriad Pro"/>
          <w:b/>
          <w:bCs/>
          <w:sz w:val="20"/>
          <w:szCs w:val="20"/>
        </w:rPr>
        <w:t xml:space="preserve">ob nizkih obrestnih merah </w:t>
      </w:r>
      <w:r w:rsidRPr="00AE398A">
        <w:rPr>
          <w:rFonts w:ascii="Myriad Pro" w:hAnsi="Myriad Pro"/>
          <w:b/>
          <w:bCs/>
          <w:sz w:val="20"/>
          <w:szCs w:val="20"/>
        </w:rPr>
        <w:t>posledica tudi pospešenega dohitevanja razvitejših držav EU</w:t>
      </w:r>
      <w:r w:rsidR="000519EA" w:rsidRPr="00AE398A">
        <w:rPr>
          <w:rFonts w:ascii="Myriad Pro" w:hAnsi="Myriad Pro"/>
          <w:b/>
          <w:bCs/>
          <w:sz w:val="20"/>
          <w:szCs w:val="20"/>
        </w:rPr>
        <w:t>.</w:t>
      </w:r>
      <w:r w:rsidR="00B11382" w:rsidRPr="00AE398A">
        <w:rPr>
          <w:rFonts w:ascii="Myriad Pro" w:hAnsi="Myriad Pro"/>
          <w:b/>
          <w:bCs/>
          <w:sz w:val="20"/>
          <w:szCs w:val="20"/>
        </w:rPr>
        <w:t xml:space="preserve"> </w:t>
      </w:r>
      <w:r w:rsidR="007B460A">
        <w:rPr>
          <w:rFonts w:ascii="Myriad Pro" w:hAnsi="Myriad Pro"/>
          <w:sz w:val="20"/>
          <w:szCs w:val="20"/>
        </w:rPr>
        <w:t xml:space="preserve">Pri </w:t>
      </w:r>
      <w:r w:rsidRPr="00CA0210">
        <w:rPr>
          <w:rFonts w:ascii="Myriad Pro" w:hAnsi="Myriad Pro"/>
          <w:sz w:val="20"/>
          <w:szCs w:val="20"/>
        </w:rPr>
        <w:t xml:space="preserve">tem se je najbolj okrepilo zadolževanje </w:t>
      </w:r>
      <w:r w:rsidR="007B460A">
        <w:rPr>
          <w:rFonts w:ascii="Myriad Pro" w:hAnsi="Myriad Pro"/>
          <w:sz w:val="20"/>
          <w:szCs w:val="20"/>
        </w:rPr>
        <w:t xml:space="preserve">zasebnega sektorja oz. </w:t>
      </w:r>
      <w:r w:rsidRPr="00CA0210">
        <w:rPr>
          <w:rFonts w:ascii="Myriad Pro" w:hAnsi="Myriad Pro"/>
          <w:sz w:val="20"/>
          <w:szCs w:val="20"/>
        </w:rPr>
        <w:t>domačih poslovnih bank</w:t>
      </w:r>
      <w:r w:rsidR="000519EA">
        <w:rPr>
          <w:rFonts w:ascii="Myriad Pro" w:hAnsi="Myriad Pro"/>
          <w:sz w:val="20"/>
          <w:szCs w:val="20"/>
        </w:rPr>
        <w:t xml:space="preserve"> (slika 9)</w:t>
      </w:r>
      <w:r w:rsidRPr="00CA0210">
        <w:rPr>
          <w:rFonts w:ascii="Myriad Pro" w:hAnsi="Myriad Pro"/>
          <w:sz w:val="20"/>
          <w:szCs w:val="20"/>
        </w:rPr>
        <w:t xml:space="preserve">. </w:t>
      </w:r>
    </w:p>
    <w:p w14:paraId="39541EA8" w14:textId="77777777" w:rsidR="000168FC" w:rsidRDefault="000168FC" w:rsidP="00AE398A">
      <w:pPr>
        <w:pStyle w:val="TekstPOR"/>
        <w:spacing w:before="0" w:after="0" w:line="288" w:lineRule="auto"/>
        <w:jc w:val="both"/>
        <w:rPr>
          <w:rFonts w:ascii="Myriad Pro" w:hAnsi="Myriad Pro"/>
          <w:sz w:val="20"/>
          <w:szCs w:val="20"/>
        </w:rPr>
      </w:pPr>
    </w:p>
    <w:p w14:paraId="6F53FA5D" w14:textId="274CA3A2" w:rsidR="0045125E" w:rsidRDefault="00901F96" w:rsidP="00AE398A">
      <w:pPr>
        <w:pStyle w:val="TekstPOR"/>
        <w:spacing w:before="0" w:after="0" w:line="288" w:lineRule="auto"/>
        <w:jc w:val="both"/>
        <w:rPr>
          <w:rFonts w:ascii="Myriad Pro" w:hAnsi="Myriad Pro"/>
          <w:sz w:val="20"/>
          <w:szCs w:val="20"/>
        </w:rPr>
      </w:pPr>
      <w:r w:rsidRPr="00CA0210">
        <w:rPr>
          <w:rFonts w:ascii="Myriad Pro" w:hAnsi="Myriad Pro"/>
          <w:sz w:val="20"/>
          <w:szCs w:val="20"/>
        </w:rPr>
        <w:t>Večino zadolževanja v tujini so predstavljala prejeta posojila ter gotovina in vloge nerezidentov, s katerimi so banke financirale realne in finančne investicije podjetij in gospodinjstev</w:t>
      </w:r>
      <w:r>
        <w:rPr>
          <w:rFonts w:ascii="Myriad Pro" w:hAnsi="Myriad Pro"/>
          <w:sz w:val="20"/>
          <w:szCs w:val="20"/>
        </w:rPr>
        <w:t xml:space="preserve">. </w:t>
      </w:r>
      <w:r w:rsidR="00D43A43">
        <w:rPr>
          <w:rFonts w:ascii="Myriad Pro" w:hAnsi="Myriad Pro"/>
          <w:sz w:val="20"/>
          <w:szCs w:val="20"/>
        </w:rPr>
        <w:t>Po drugi strani so se o</w:t>
      </w:r>
      <w:r w:rsidR="00026B49">
        <w:rPr>
          <w:rFonts w:ascii="Myriad Pro" w:hAnsi="Myriad Pro"/>
          <w:sz w:val="20"/>
          <w:szCs w:val="20"/>
        </w:rPr>
        <w:t>krepile tudi terjatve do tujine</w:t>
      </w:r>
      <w:r w:rsidR="00C718C9">
        <w:rPr>
          <w:rFonts w:ascii="Myriad Pro" w:hAnsi="Myriad Pro"/>
          <w:sz w:val="20"/>
          <w:szCs w:val="20"/>
        </w:rPr>
        <w:t xml:space="preserve">, predvsem </w:t>
      </w:r>
      <w:r w:rsidR="00D43A43">
        <w:rPr>
          <w:rFonts w:ascii="Myriad Pro" w:hAnsi="Myriad Pro"/>
          <w:sz w:val="20"/>
          <w:szCs w:val="20"/>
        </w:rPr>
        <w:t xml:space="preserve">podjetniške in bančne naložbe, ki so bile </w:t>
      </w:r>
      <w:r w:rsidR="00A957A0">
        <w:rPr>
          <w:rFonts w:ascii="Myriad Pro" w:hAnsi="Myriad Pro"/>
          <w:sz w:val="20"/>
          <w:szCs w:val="20"/>
        </w:rPr>
        <w:t>delno financirane iz deviznih rezerv</w:t>
      </w:r>
      <w:r w:rsidR="006E0130">
        <w:rPr>
          <w:rFonts w:ascii="Myriad Pro" w:hAnsi="Myriad Pro"/>
          <w:sz w:val="20"/>
          <w:szCs w:val="20"/>
        </w:rPr>
        <w:t>,</w:t>
      </w:r>
      <w:r w:rsidR="00A957A0">
        <w:rPr>
          <w:rFonts w:ascii="Myriad Pro" w:hAnsi="Myriad Pro"/>
          <w:sz w:val="20"/>
          <w:szCs w:val="20"/>
        </w:rPr>
        <w:t xml:space="preserve"> delno pa iz zunanjega zadolževanja. </w:t>
      </w:r>
      <w:r w:rsidRPr="00CA0210">
        <w:rPr>
          <w:rFonts w:ascii="Myriad Pro" w:hAnsi="Myriad Pro"/>
          <w:sz w:val="20"/>
          <w:szCs w:val="20"/>
        </w:rPr>
        <w:t>Poglabljanje finančne krize je leta 2008 močno omejilo dostop do tujih virov financiranja, ki so začeli postopoma usihati, naložbe v tujini so postale bolj tvegane.</w:t>
      </w:r>
      <w:r w:rsidR="00467CD9">
        <w:rPr>
          <w:rFonts w:ascii="Myriad Pro" w:hAnsi="Myriad Pro"/>
          <w:sz w:val="20"/>
          <w:szCs w:val="20"/>
        </w:rPr>
        <w:t xml:space="preserve"> </w:t>
      </w:r>
      <w:r w:rsidR="00891A1C">
        <w:rPr>
          <w:rFonts w:ascii="Myriad Pro" w:hAnsi="Myriad Pro"/>
          <w:sz w:val="20"/>
          <w:szCs w:val="20"/>
        </w:rPr>
        <w:t>C</w:t>
      </w:r>
      <w:r w:rsidR="0096329A">
        <w:rPr>
          <w:rFonts w:ascii="Myriad Pro" w:hAnsi="Myriad Pro"/>
          <w:sz w:val="20"/>
          <w:szCs w:val="20"/>
        </w:rPr>
        <w:t>elotna neto zadolženost</w:t>
      </w:r>
      <w:r w:rsidR="00891A1C">
        <w:rPr>
          <w:rFonts w:ascii="Myriad Pro" w:hAnsi="Myriad Pro"/>
          <w:sz w:val="20"/>
          <w:szCs w:val="20"/>
        </w:rPr>
        <w:t xml:space="preserve"> </w:t>
      </w:r>
      <w:r w:rsidR="0096329A">
        <w:rPr>
          <w:rFonts w:ascii="Myriad Pro" w:hAnsi="Myriad Pro"/>
          <w:sz w:val="20"/>
          <w:szCs w:val="20"/>
        </w:rPr>
        <w:t xml:space="preserve">zasebnega sektorja </w:t>
      </w:r>
      <w:r w:rsidR="001F4893">
        <w:rPr>
          <w:rFonts w:ascii="Myriad Pro" w:hAnsi="Myriad Pro"/>
          <w:sz w:val="20"/>
          <w:szCs w:val="20"/>
        </w:rPr>
        <w:t xml:space="preserve">do tujine </w:t>
      </w:r>
      <w:r w:rsidR="00891A1C">
        <w:rPr>
          <w:rFonts w:ascii="Myriad Pro" w:hAnsi="Myriad Pro"/>
          <w:sz w:val="20"/>
          <w:szCs w:val="20"/>
        </w:rPr>
        <w:t xml:space="preserve">se je </w:t>
      </w:r>
      <w:r w:rsidR="00CC5F73">
        <w:rPr>
          <w:rFonts w:ascii="Myriad Pro" w:hAnsi="Myriad Pro"/>
          <w:sz w:val="20"/>
          <w:szCs w:val="20"/>
        </w:rPr>
        <w:t xml:space="preserve">v omenjenem obdobju </w:t>
      </w:r>
      <w:r w:rsidR="00891A1C">
        <w:rPr>
          <w:rFonts w:ascii="Myriad Pro" w:hAnsi="Myriad Pro"/>
          <w:sz w:val="20"/>
          <w:szCs w:val="20"/>
        </w:rPr>
        <w:t xml:space="preserve">povečala </w:t>
      </w:r>
      <w:r w:rsidR="00CC5F73">
        <w:rPr>
          <w:rFonts w:ascii="Myriad Pro" w:hAnsi="Myriad Pro"/>
          <w:sz w:val="20"/>
          <w:szCs w:val="20"/>
        </w:rPr>
        <w:t>z</w:t>
      </w:r>
      <w:r w:rsidR="00891A1C">
        <w:rPr>
          <w:rFonts w:ascii="Myriad Pro" w:hAnsi="Myriad Pro"/>
          <w:sz w:val="20"/>
          <w:szCs w:val="20"/>
        </w:rPr>
        <w:t>a 9,8 mrd EUR. K povečanju zadolženosti je prispeval tudi dolg BS</w:t>
      </w:r>
      <w:r w:rsidR="003378AD">
        <w:rPr>
          <w:rFonts w:ascii="Myriad Pro" w:hAnsi="Myriad Pro"/>
          <w:sz w:val="20"/>
          <w:szCs w:val="20"/>
        </w:rPr>
        <w:t xml:space="preserve"> (za 3,6 mrd EUR)</w:t>
      </w:r>
      <w:r w:rsidR="00891A1C">
        <w:rPr>
          <w:rFonts w:ascii="Myriad Pro" w:hAnsi="Myriad Pro"/>
          <w:sz w:val="20"/>
          <w:szCs w:val="20"/>
        </w:rPr>
        <w:t xml:space="preserve">, ki je nastal z njenim vstopom </w:t>
      </w:r>
      <w:r w:rsidR="007342B4">
        <w:rPr>
          <w:rFonts w:ascii="Myriad Pro" w:hAnsi="Myriad Pro"/>
          <w:sz w:val="20"/>
          <w:szCs w:val="20"/>
        </w:rPr>
        <w:t>v Evrosistem.</w:t>
      </w:r>
      <w:r w:rsidR="00FE5F07">
        <w:rPr>
          <w:rStyle w:val="FootnoteReference"/>
          <w:szCs w:val="20"/>
        </w:rPr>
        <w:footnoteReference w:id="9"/>
      </w:r>
      <w:r w:rsidR="001828D6">
        <w:rPr>
          <w:rFonts w:ascii="Myriad Pro" w:hAnsi="Myriad Pro"/>
          <w:sz w:val="20"/>
          <w:szCs w:val="20"/>
        </w:rPr>
        <w:t xml:space="preserve"> Neto zadolženost države do tujine se je v obdobju visoke gospodarske rasti in s tem večjih fiskalnih prihodkov </w:t>
      </w:r>
      <w:r w:rsidR="00E404F3">
        <w:rPr>
          <w:rFonts w:ascii="Myriad Pro" w:hAnsi="Myriad Pro"/>
          <w:sz w:val="20"/>
          <w:szCs w:val="20"/>
        </w:rPr>
        <w:t>ter</w:t>
      </w:r>
      <w:r w:rsidR="003378AD">
        <w:rPr>
          <w:rFonts w:ascii="Myriad Pro" w:hAnsi="Myriad Pro"/>
          <w:sz w:val="20"/>
          <w:szCs w:val="20"/>
        </w:rPr>
        <w:t xml:space="preserve"> posledično nizkih fiskalnih primanjkljaj</w:t>
      </w:r>
      <w:r w:rsidR="00550431">
        <w:rPr>
          <w:rFonts w:ascii="Myriad Pro" w:hAnsi="Myriad Pro"/>
          <w:sz w:val="20"/>
          <w:szCs w:val="20"/>
        </w:rPr>
        <w:t>ev</w:t>
      </w:r>
      <w:r w:rsidR="003378AD">
        <w:rPr>
          <w:rFonts w:ascii="Myriad Pro" w:hAnsi="Myriad Pro"/>
          <w:sz w:val="20"/>
          <w:szCs w:val="20"/>
        </w:rPr>
        <w:t xml:space="preserve"> ali celo presežk</w:t>
      </w:r>
      <w:r w:rsidR="00550431">
        <w:rPr>
          <w:rFonts w:ascii="Myriad Pro" w:hAnsi="Myriad Pro"/>
          <w:sz w:val="20"/>
          <w:szCs w:val="20"/>
        </w:rPr>
        <w:t>ov</w:t>
      </w:r>
      <w:r w:rsidR="003378AD">
        <w:rPr>
          <w:rFonts w:ascii="Myriad Pro" w:hAnsi="Myriad Pro"/>
          <w:sz w:val="20"/>
          <w:szCs w:val="20"/>
        </w:rPr>
        <w:t xml:space="preserve"> od vseh sektorjev poveč</w:t>
      </w:r>
      <w:r w:rsidR="00550431">
        <w:rPr>
          <w:rFonts w:ascii="Myriad Pro" w:hAnsi="Myriad Pro"/>
          <w:sz w:val="20"/>
          <w:szCs w:val="20"/>
        </w:rPr>
        <w:t>a</w:t>
      </w:r>
      <w:r w:rsidR="003378AD">
        <w:rPr>
          <w:rFonts w:ascii="Myriad Pro" w:hAnsi="Myriad Pro"/>
          <w:sz w:val="20"/>
          <w:szCs w:val="20"/>
        </w:rPr>
        <w:t>la najmanj, in sicer za 1,6 mrd EUR.</w:t>
      </w:r>
    </w:p>
    <w:p w14:paraId="4DAC8F6F" w14:textId="6ACA0460" w:rsidR="00AE398A" w:rsidRDefault="00AE398A" w:rsidP="00AE398A">
      <w:pPr>
        <w:pStyle w:val="TekstPOR"/>
        <w:spacing w:before="0" w:after="0" w:line="288" w:lineRule="auto"/>
        <w:jc w:val="both"/>
        <w:rPr>
          <w:rStyle w:val="vstavekChar"/>
          <w:rFonts w:ascii="Myriad Pro" w:hAnsi="Myriad Pro"/>
          <w:b w:val="0"/>
          <w:i w:val="0"/>
          <w:sz w:val="20"/>
          <w:szCs w:val="20"/>
        </w:rPr>
      </w:pPr>
    </w:p>
    <w:p w14:paraId="6316B8BB" w14:textId="79B9C076" w:rsidR="003672B4" w:rsidRDefault="003672B4" w:rsidP="00AE398A">
      <w:pPr>
        <w:pStyle w:val="TekstPOR"/>
        <w:spacing w:before="0" w:after="0" w:line="288" w:lineRule="auto"/>
        <w:jc w:val="both"/>
        <w:rPr>
          <w:rStyle w:val="vstavekChar"/>
          <w:rFonts w:ascii="Myriad Pro" w:hAnsi="Myriad Pro"/>
          <w:b w:val="0"/>
          <w:i w:val="0"/>
          <w:sz w:val="20"/>
          <w:szCs w:val="20"/>
        </w:rPr>
      </w:pPr>
    </w:p>
    <w:p w14:paraId="66196999" w14:textId="77F500CC" w:rsidR="003672B4" w:rsidRDefault="003672B4" w:rsidP="00AE398A">
      <w:pPr>
        <w:pStyle w:val="TekstPOR"/>
        <w:spacing w:before="0" w:after="0" w:line="288" w:lineRule="auto"/>
        <w:jc w:val="both"/>
        <w:rPr>
          <w:rStyle w:val="vstavekChar"/>
          <w:rFonts w:ascii="Myriad Pro" w:hAnsi="Myriad Pro"/>
          <w:b w:val="0"/>
          <w:i w:val="0"/>
          <w:sz w:val="20"/>
          <w:szCs w:val="20"/>
        </w:rPr>
      </w:pPr>
    </w:p>
    <w:p w14:paraId="0D2C99BC" w14:textId="2F9517F1" w:rsidR="003672B4" w:rsidRDefault="003672B4" w:rsidP="00AE398A">
      <w:pPr>
        <w:pStyle w:val="TekstPOR"/>
        <w:spacing w:before="0" w:after="0" w:line="288" w:lineRule="auto"/>
        <w:jc w:val="both"/>
        <w:rPr>
          <w:rStyle w:val="vstavekChar"/>
          <w:rFonts w:ascii="Myriad Pro" w:hAnsi="Myriad Pro"/>
          <w:b w:val="0"/>
          <w:i w:val="0"/>
          <w:sz w:val="20"/>
          <w:szCs w:val="20"/>
        </w:rPr>
      </w:pPr>
    </w:p>
    <w:p w14:paraId="05C457F0" w14:textId="77777777" w:rsidR="003672B4" w:rsidRDefault="003672B4" w:rsidP="00AE398A">
      <w:pPr>
        <w:pStyle w:val="TekstPOR"/>
        <w:spacing w:before="0" w:after="0" w:line="288" w:lineRule="auto"/>
        <w:jc w:val="both"/>
        <w:rPr>
          <w:rStyle w:val="vstavekChar"/>
          <w:rFonts w:ascii="Myriad Pro" w:hAnsi="Myriad Pro"/>
          <w:b w:val="0"/>
          <w:i w:val="0"/>
          <w:sz w:val="20"/>
          <w:szCs w:val="20"/>
        </w:rPr>
      </w:pPr>
    </w:p>
    <w:p w14:paraId="74C9309A" w14:textId="77777777" w:rsidR="003672B4" w:rsidRPr="00AE398A" w:rsidRDefault="003672B4" w:rsidP="00AE398A">
      <w:pPr>
        <w:pStyle w:val="TekstPOR"/>
        <w:spacing w:before="0" w:after="0" w:line="288" w:lineRule="auto"/>
        <w:jc w:val="both"/>
        <w:rPr>
          <w:rStyle w:val="vstavekChar"/>
          <w:rFonts w:ascii="Myriad Pro" w:hAnsi="Myriad Pro"/>
          <w:b w:val="0"/>
          <w:i w:val="0"/>
          <w:sz w:val="20"/>
          <w:szCs w:val="20"/>
        </w:rPr>
      </w:pPr>
    </w:p>
    <w:p w14:paraId="4DB91288" w14:textId="6406AE27" w:rsidR="0096329A" w:rsidRPr="0096329A" w:rsidRDefault="0096329A" w:rsidP="0096329A">
      <w:pPr>
        <w:spacing w:after="0" w:line="288" w:lineRule="auto"/>
        <w:jc w:val="both"/>
        <w:rPr>
          <w:rStyle w:val="vstavekChar"/>
          <w:rFonts w:ascii="Myriad Pro" w:hAnsi="Myriad Pro"/>
          <w:bCs/>
          <w:i w:val="0"/>
          <w:noProof w:val="0"/>
          <w:sz w:val="20"/>
          <w:szCs w:val="20"/>
        </w:rPr>
      </w:pPr>
      <w:r w:rsidRPr="0096329A">
        <w:rPr>
          <w:rStyle w:val="vstavekChar"/>
          <w:rFonts w:ascii="Myriad Pro" w:hAnsi="Myriad Pro"/>
          <w:bCs/>
          <w:i w:val="0"/>
          <w:noProof w:val="0"/>
          <w:sz w:val="20"/>
          <w:szCs w:val="20"/>
        </w:rPr>
        <w:lastRenderedPageBreak/>
        <w:t>Slika</w:t>
      </w:r>
      <w:r w:rsidR="00AF0164">
        <w:rPr>
          <w:rStyle w:val="vstavekChar"/>
          <w:rFonts w:ascii="Myriad Pro" w:hAnsi="Myriad Pro"/>
          <w:bCs/>
          <w:i w:val="0"/>
          <w:noProof w:val="0"/>
          <w:sz w:val="20"/>
          <w:szCs w:val="20"/>
        </w:rPr>
        <w:t xml:space="preserve"> 9</w:t>
      </w:r>
      <w:r w:rsidRPr="0096329A">
        <w:rPr>
          <w:rStyle w:val="vstavekChar"/>
          <w:rFonts w:ascii="Myriad Pro" w:hAnsi="Myriad Pro"/>
          <w:bCs/>
          <w:i w:val="0"/>
          <w:noProof w:val="0"/>
          <w:sz w:val="20"/>
          <w:szCs w:val="20"/>
        </w:rPr>
        <w:t xml:space="preserve">: </w:t>
      </w:r>
      <w:r w:rsidRPr="0096329A">
        <w:rPr>
          <w:rFonts w:ascii="Myriad Pro" w:hAnsi="Myriad Pro"/>
          <w:bCs/>
          <w:sz w:val="20"/>
          <w:szCs w:val="20"/>
        </w:rPr>
        <w:t xml:space="preserve"> </w:t>
      </w:r>
      <w:r w:rsidRPr="0096329A">
        <w:rPr>
          <w:rFonts w:ascii="Myriad Pro" w:hAnsi="Myriad Pro"/>
          <w:b/>
          <w:sz w:val="20"/>
          <w:szCs w:val="20"/>
        </w:rPr>
        <w:t>Račun sektorjev</w:t>
      </w:r>
      <w:r>
        <w:rPr>
          <w:rFonts w:ascii="Myriad Pro" w:hAnsi="Myriad Pro"/>
          <w:b/>
          <w:sz w:val="20"/>
          <w:szCs w:val="20"/>
        </w:rPr>
        <w:t xml:space="preserve"> -</w:t>
      </w:r>
      <w:r w:rsidRPr="0096329A">
        <w:rPr>
          <w:rFonts w:ascii="Myriad Pro" w:hAnsi="Myriad Pro"/>
          <w:b/>
          <w:sz w:val="20"/>
          <w:szCs w:val="20"/>
        </w:rPr>
        <w:t xml:space="preserve"> prispevki k spremembam </w:t>
      </w:r>
      <w:r>
        <w:rPr>
          <w:rFonts w:ascii="Myriad Pro" w:hAnsi="Myriad Pro"/>
          <w:b/>
          <w:sz w:val="20"/>
          <w:szCs w:val="20"/>
        </w:rPr>
        <w:t>stanja mednarodnih naložb</w:t>
      </w:r>
    </w:p>
    <w:p w14:paraId="2B3418A5" w14:textId="7CB447D3" w:rsidR="0075319C" w:rsidRDefault="005222CB" w:rsidP="0096329A">
      <w:pPr>
        <w:pStyle w:val="TekstPOR"/>
        <w:spacing w:before="0" w:after="0" w:line="288" w:lineRule="auto"/>
        <w:jc w:val="both"/>
        <w:rPr>
          <w:rFonts w:ascii="Myriad Pro" w:hAnsi="Myriad Pro"/>
          <w:sz w:val="20"/>
        </w:rPr>
      </w:pPr>
      <w:r>
        <w:rPr>
          <w:noProof/>
        </w:rPr>
        <w:drawing>
          <wp:inline distT="0" distB="0" distL="0" distR="0" wp14:anchorId="52B2BC21" wp14:editId="5961F2F3">
            <wp:extent cx="5767200" cy="2480400"/>
            <wp:effectExtent l="0" t="0" r="5080" b="0"/>
            <wp:docPr id="50" name="Slika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7200" cy="2480400"/>
                    </a:xfrm>
                    <a:prstGeom prst="rect">
                      <a:avLst/>
                    </a:prstGeom>
                    <a:noFill/>
                  </pic:spPr>
                </pic:pic>
              </a:graphicData>
            </a:graphic>
          </wp:inline>
        </w:drawing>
      </w:r>
    </w:p>
    <w:p w14:paraId="2604FB09" w14:textId="756F43C8" w:rsidR="002F4D6C" w:rsidRPr="007F4BE5" w:rsidRDefault="002F4D6C" w:rsidP="003672B4">
      <w:pPr>
        <w:pStyle w:val="VirUMAR"/>
        <w:rPr>
          <w:rStyle w:val="vstavekChar"/>
          <w:rFonts w:ascii="Myriad Pro" w:eastAsiaTheme="minorHAnsi" w:hAnsi="Myriad Pro"/>
          <w:b w:val="0"/>
          <w:i w:val="0"/>
          <w:sz w:val="16"/>
          <w:szCs w:val="16"/>
        </w:rPr>
      </w:pPr>
      <w:r w:rsidRPr="006F412C">
        <w:t>Vir: BS, SURS, lastni izračun</w:t>
      </w:r>
      <w:r w:rsidR="00AF0164">
        <w:t>i</w:t>
      </w:r>
      <w:r>
        <w:t>.</w:t>
      </w:r>
    </w:p>
    <w:p w14:paraId="08DAFDC6" w14:textId="62150654" w:rsidR="00895A61" w:rsidRDefault="00895A61" w:rsidP="0096329A">
      <w:pPr>
        <w:pStyle w:val="TekstPOR"/>
        <w:spacing w:before="0" w:after="0" w:line="288" w:lineRule="auto"/>
        <w:jc w:val="both"/>
        <w:rPr>
          <w:rFonts w:ascii="Myriad Pro" w:hAnsi="Myriad Pro"/>
          <w:sz w:val="20"/>
        </w:rPr>
      </w:pPr>
    </w:p>
    <w:p w14:paraId="3DA45470" w14:textId="38489899" w:rsidR="003378AD" w:rsidRDefault="003378AD" w:rsidP="00327B96">
      <w:pPr>
        <w:spacing w:after="0" w:line="288" w:lineRule="auto"/>
        <w:jc w:val="both"/>
        <w:rPr>
          <w:rStyle w:val="vstavekChar"/>
          <w:rFonts w:ascii="Myriad Pro" w:hAnsi="Myriad Pro"/>
          <w:b w:val="0"/>
          <w:bCs/>
          <w:i w:val="0"/>
          <w:noProof w:val="0"/>
          <w:sz w:val="20"/>
          <w:szCs w:val="20"/>
        </w:rPr>
      </w:pPr>
      <w:r w:rsidRPr="005A4F69">
        <w:rPr>
          <w:rStyle w:val="vstavekChar"/>
          <w:rFonts w:ascii="Myriad Pro" w:hAnsi="Myriad Pro"/>
          <w:i w:val="0"/>
          <w:noProof w:val="0"/>
          <w:sz w:val="20"/>
          <w:szCs w:val="20"/>
        </w:rPr>
        <w:t>V obdobju relativno stabilnega stanja mednarodnih naložb (2009-2012</w:t>
      </w:r>
      <w:r>
        <w:rPr>
          <w:rStyle w:val="vstavekChar"/>
          <w:rFonts w:ascii="Myriad Pro" w:hAnsi="Myriad Pro"/>
          <w:b w:val="0"/>
          <w:bCs/>
          <w:i w:val="0"/>
          <w:noProof w:val="0"/>
          <w:sz w:val="20"/>
          <w:szCs w:val="20"/>
        </w:rPr>
        <w:t>)</w:t>
      </w:r>
      <w:r w:rsidR="00550431">
        <w:rPr>
          <w:rStyle w:val="vstavekChar"/>
          <w:rFonts w:ascii="Myriad Pro" w:hAnsi="Myriad Pro"/>
          <w:b w:val="0"/>
          <w:bCs/>
          <w:i w:val="0"/>
          <w:noProof w:val="0"/>
          <w:sz w:val="20"/>
          <w:szCs w:val="20"/>
        </w:rPr>
        <w:t xml:space="preserve"> se je </w:t>
      </w:r>
      <w:r w:rsidR="00267A72">
        <w:rPr>
          <w:rStyle w:val="vstavekChar"/>
          <w:rFonts w:ascii="Myriad Pro" w:hAnsi="Myriad Pro"/>
          <w:b w:val="0"/>
          <w:bCs/>
          <w:i w:val="0"/>
          <w:noProof w:val="0"/>
          <w:sz w:val="20"/>
          <w:szCs w:val="20"/>
        </w:rPr>
        <w:t xml:space="preserve">zasebni sektor začel razdolževati, </w:t>
      </w:r>
      <w:r w:rsidR="00550431">
        <w:rPr>
          <w:rStyle w:val="vstavekChar"/>
          <w:rFonts w:ascii="Myriad Pro" w:hAnsi="Myriad Pro"/>
          <w:b w:val="0"/>
          <w:bCs/>
          <w:i w:val="0"/>
          <w:noProof w:val="0"/>
          <w:sz w:val="20"/>
          <w:szCs w:val="20"/>
        </w:rPr>
        <w:t xml:space="preserve">povečala </w:t>
      </w:r>
      <w:r w:rsidR="00267A72">
        <w:rPr>
          <w:rStyle w:val="vstavekChar"/>
          <w:rFonts w:ascii="Myriad Pro" w:hAnsi="Myriad Pro"/>
          <w:b w:val="0"/>
          <w:bCs/>
          <w:i w:val="0"/>
          <w:noProof w:val="0"/>
          <w:sz w:val="20"/>
          <w:szCs w:val="20"/>
        </w:rPr>
        <w:t xml:space="preserve">se je </w:t>
      </w:r>
      <w:r w:rsidR="00550431">
        <w:rPr>
          <w:rStyle w:val="vstavekChar"/>
          <w:rFonts w:ascii="Myriad Pro" w:hAnsi="Myriad Pro"/>
          <w:b w:val="0"/>
          <w:bCs/>
          <w:i w:val="0"/>
          <w:noProof w:val="0"/>
          <w:sz w:val="20"/>
          <w:szCs w:val="20"/>
        </w:rPr>
        <w:t xml:space="preserve">neto zadolženost države, neto dolžniška pozicija mednarodnih naložb BS </w:t>
      </w:r>
      <w:r w:rsidR="00C327A2">
        <w:rPr>
          <w:rStyle w:val="vstavekChar"/>
          <w:rFonts w:ascii="Myriad Pro" w:hAnsi="Myriad Pro"/>
          <w:b w:val="0"/>
          <w:bCs/>
          <w:i w:val="0"/>
          <w:noProof w:val="0"/>
          <w:sz w:val="20"/>
          <w:szCs w:val="20"/>
        </w:rPr>
        <w:t>se je nekoliko poslabšala</w:t>
      </w:r>
      <w:r w:rsidR="00550431">
        <w:rPr>
          <w:rStyle w:val="vstavekChar"/>
          <w:rFonts w:ascii="Myriad Pro" w:hAnsi="Myriad Pro"/>
          <w:b w:val="0"/>
          <w:bCs/>
          <w:i w:val="0"/>
          <w:noProof w:val="0"/>
          <w:sz w:val="20"/>
          <w:szCs w:val="20"/>
        </w:rPr>
        <w:t xml:space="preserve">. </w:t>
      </w:r>
    </w:p>
    <w:p w14:paraId="7A8CD782" w14:textId="08347F6E" w:rsidR="00026B30" w:rsidRDefault="00026B30" w:rsidP="003378AD">
      <w:pPr>
        <w:spacing w:after="0" w:line="288" w:lineRule="auto"/>
        <w:jc w:val="both"/>
        <w:rPr>
          <w:rStyle w:val="vstavekChar"/>
          <w:rFonts w:ascii="Myriad Pro" w:hAnsi="Myriad Pro"/>
          <w:b w:val="0"/>
          <w:bCs/>
          <w:i w:val="0"/>
          <w:noProof w:val="0"/>
          <w:sz w:val="20"/>
          <w:szCs w:val="20"/>
        </w:rPr>
      </w:pPr>
    </w:p>
    <w:p w14:paraId="63A151A3" w14:textId="23AC38AC" w:rsidR="005F4007" w:rsidRPr="00997696" w:rsidRDefault="00A40EA8" w:rsidP="00997696">
      <w:pPr>
        <w:pStyle w:val="TekstPOR"/>
        <w:spacing w:before="0" w:after="0" w:line="288" w:lineRule="auto"/>
        <w:jc w:val="both"/>
        <w:rPr>
          <w:rFonts w:ascii="Myriad Pro" w:hAnsi="Myriad Pro"/>
          <w:sz w:val="20"/>
          <w:szCs w:val="20"/>
        </w:rPr>
      </w:pPr>
      <w:r w:rsidRPr="005A4F69">
        <w:rPr>
          <w:rFonts w:ascii="Myriad Pro" w:hAnsi="Myriad Pro"/>
          <w:sz w:val="20"/>
          <w:szCs w:val="20"/>
        </w:rPr>
        <w:t xml:space="preserve">Neto odliv zasebnega sektorja je bil nadomeščen s financiranjem preko ECB in z zadolževanjem države. </w:t>
      </w:r>
      <w:r w:rsidR="00267A72">
        <w:rPr>
          <w:rFonts w:ascii="Myriad Pro" w:hAnsi="Myriad Pro"/>
          <w:sz w:val="20"/>
          <w:szCs w:val="20"/>
        </w:rPr>
        <w:t xml:space="preserve">Terjatve države do tujine so se povečale predvsem na segmentu posojil, saj je </w:t>
      </w:r>
      <w:r w:rsidR="00267A72" w:rsidRPr="00267A72">
        <w:rPr>
          <w:rFonts w:ascii="Myriad Pro" w:hAnsi="Myriad Pro" w:cs="Arial"/>
          <w:sz w:val="20"/>
          <w:szCs w:val="20"/>
        </w:rPr>
        <w:t xml:space="preserve">Slovenija </w:t>
      </w:r>
      <w:r w:rsidR="00F90623">
        <w:rPr>
          <w:rFonts w:ascii="Myriad Pro" w:hAnsi="Myriad Pro" w:cs="Arial"/>
          <w:sz w:val="20"/>
          <w:szCs w:val="20"/>
        </w:rPr>
        <w:t>z dolgoročnim</w:t>
      </w:r>
      <w:r w:rsidR="00267A72" w:rsidRPr="00267A72">
        <w:rPr>
          <w:rFonts w:ascii="Myriad Pro" w:hAnsi="Myriad Pro" w:cs="Arial"/>
          <w:sz w:val="20"/>
          <w:szCs w:val="20"/>
        </w:rPr>
        <w:t xml:space="preserve"> posojil</w:t>
      </w:r>
      <w:r w:rsidR="00F90623">
        <w:rPr>
          <w:rFonts w:ascii="Myriad Pro" w:hAnsi="Myriad Pro" w:cs="Arial"/>
          <w:sz w:val="20"/>
          <w:szCs w:val="20"/>
        </w:rPr>
        <w:t>om</w:t>
      </w:r>
      <w:r w:rsidR="00267A72" w:rsidRPr="00267A72">
        <w:rPr>
          <w:rFonts w:ascii="Myriad Pro" w:hAnsi="Myriad Pro" w:cs="Arial"/>
          <w:sz w:val="20"/>
          <w:szCs w:val="20"/>
        </w:rPr>
        <w:t xml:space="preserve"> financirala v okviru pomoči evrskemu območju (Grčija, Portugalska, Irska). </w:t>
      </w:r>
      <w:r w:rsidR="001241D3" w:rsidRPr="00267A72">
        <w:rPr>
          <w:rFonts w:ascii="Myriad Pro" w:hAnsi="Myriad Pro"/>
          <w:sz w:val="20"/>
          <w:szCs w:val="20"/>
        </w:rPr>
        <w:t>D</w:t>
      </w:r>
      <w:r w:rsidR="001241D3" w:rsidRPr="005A4F69">
        <w:rPr>
          <w:rFonts w:ascii="Myriad Pro" w:hAnsi="Myriad Pro"/>
          <w:sz w:val="20"/>
          <w:szCs w:val="20"/>
        </w:rPr>
        <w:t>ržava se je večinoma neto zadolževala do tujih portfeljskih vlagateljev</w:t>
      </w:r>
      <w:r w:rsidR="001241D3" w:rsidRPr="005A4F69">
        <w:rPr>
          <w:rStyle w:val="vstavekChar"/>
          <w:rFonts w:ascii="Myriad Pro" w:hAnsi="Myriad Pro"/>
          <w:b w:val="0"/>
          <w:i w:val="0"/>
          <w:noProof w:val="0"/>
          <w:sz w:val="20"/>
          <w:szCs w:val="20"/>
        </w:rPr>
        <w:t xml:space="preserve"> z namenom blažitve posledic finančno-gospodarske krize</w:t>
      </w:r>
      <w:r w:rsidR="00837151" w:rsidRPr="005A4F69">
        <w:rPr>
          <w:rStyle w:val="vstavekChar"/>
          <w:rFonts w:ascii="Myriad Pro" w:hAnsi="Myriad Pro"/>
          <w:b w:val="0"/>
          <w:i w:val="0"/>
          <w:noProof w:val="0"/>
          <w:sz w:val="20"/>
          <w:szCs w:val="20"/>
        </w:rPr>
        <w:t xml:space="preserve"> in </w:t>
      </w:r>
      <w:r w:rsidR="00E81B75" w:rsidRPr="005A4F69">
        <w:rPr>
          <w:rStyle w:val="vstavekChar"/>
          <w:rFonts w:ascii="Myriad Pro" w:hAnsi="Myriad Pro"/>
          <w:b w:val="0"/>
          <w:i w:val="0"/>
          <w:noProof w:val="0"/>
          <w:sz w:val="20"/>
          <w:szCs w:val="20"/>
        </w:rPr>
        <w:t xml:space="preserve">pomagala </w:t>
      </w:r>
      <w:r w:rsidR="00775AD2" w:rsidRPr="005A4F69">
        <w:rPr>
          <w:rStyle w:val="vstavekChar"/>
          <w:rFonts w:ascii="Myriad Pro" w:hAnsi="Myriad Pro"/>
          <w:b w:val="0"/>
          <w:i w:val="0"/>
          <w:noProof w:val="0"/>
          <w:sz w:val="20"/>
          <w:szCs w:val="20"/>
        </w:rPr>
        <w:t xml:space="preserve">pri financiranju </w:t>
      </w:r>
      <w:r w:rsidR="00E81B75" w:rsidRPr="005A4F69">
        <w:rPr>
          <w:rStyle w:val="vstavekChar"/>
          <w:rFonts w:ascii="Myriad Pro" w:hAnsi="Myriad Pro"/>
          <w:b w:val="0"/>
          <w:i w:val="0"/>
          <w:noProof w:val="0"/>
          <w:sz w:val="20"/>
          <w:szCs w:val="20"/>
        </w:rPr>
        <w:t>ostal</w:t>
      </w:r>
      <w:r w:rsidR="00775AD2" w:rsidRPr="005A4F69">
        <w:rPr>
          <w:rStyle w:val="vstavekChar"/>
          <w:rFonts w:ascii="Myriad Pro" w:hAnsi="Myriad Pro"/>
          <w:b w:val="0"/>
          <w:i w:val="0"/>
          <w:noProof w:val="0"/>
          <w:sz w:val="20"/>
          <w:szCs w:val="20"/>
        </w:rPr>
        <w:t>ih</w:t>
      </w:r>
      <w:r w:rsidR="00E81B75" w:rsidRPr="005A4F69">
        <w:rPr>
          <w:rStyle w:val="vstavekChar"/>
          <w:rFonts w:ascii="Myriad Pro" w:hAnsi="Myriad Pro"/>
          <w:b w:val="0"/>
          <w:i w:val="0"/>
          <w:noProof w:val="0"/>
          <w:sz w:val="20"/>
          <w:szCs w:val="20"/>
        </w:rPr>
        <w:t xml:space="preserve"> sektorje</w:t>
      </w:r>
      <w:r w:rsidR="00775AD2" w:rsidRPr="005A4F69">
        <w:rPr>
          <w:rStyle w:val="vstavekChar"/>
          <w:rFonts w:ascii="Myriad Pro" w:hAnsi="Myriad Pro"/>
          <w:b w:val="0"/>
          <w:i w:val="0"/>
          <w:noProof w:val="0"/>
          <w:sz w:val="20"/>
          <w:szCs w:val="20"/>
        </w:rPr>
        <w:t>v</w:t>
      </w:r>
      <w:r w:rsidR="009C6C12" w:rsidRPr="005A4F69">
        <w:rPr>
          <w:rStyle w:val="vstavekChar"/>
          <w:rFonts w:ascii="Myriad Pro" w:hAnsi="Myriad Pro"/>
          <w:b w:val="0"/>
          <w:i w:val="0"/>
          <w:noProof w:val="0"/>
          <w:sz w:val="20"/>
          <w:szCs w:val="20"/>
        </w:rPr>
        <w:t>.</w:t>
      </w:r>
      <w:r w:rsidR="005A4F69" w:rsidRPr="00267A72">
        <w:rPr>
          <w:rFonts w:ascii="Myriad Pro" w:hAnsi="Myriad Pro" w:cs="Arial"/>
          <w:sz w:val="20"/>
          <w:szCs w:val="20"/>
        </w:rPr>
        <w:t xml:space="preserve"> </w:t>
      </w:r>
      <w:r w:rsidR="00997696" w:rsidRPr="00267A72">
        <w:rPr>
          <w:rFonts w:ascii="Myriad Pro" w:hAnsi="Myriad Pro" w:cs="Arial"/>
          <w:sz w:val="20"/>
          <w:szCs w:val="20"/>
        </w:rPr>
        <w:t>Ob poglabljanju dolžniške krize je BS domačim poslovnim bankam z operacijami</w:t>
      </w:r>
      <w:r w:rsidR="00997696" w:rsidRPr="00997696">
        <w:rPr>
          <w:rFonts w:ascii="Myriad Pro" w:hAnsi="Myriad Pro" w:cs="Arial"/>
          <w:sz w:val="20"/>
          <w:szCs w:val="20"/>
        </w:rPr>
        <w:t xml:space="preserve"> enoletnega in dolgoročnega refinanciranja zagotavljala dodatno likvidnost in s tem precej povečala obveznosti v okviru Evrosistema</w:t>
      </w:r>
      <w:r w:rsidR="00997696">
        <w:rPr>
          <w:rFonts w:ascii="Myriad Pro" w:hAnsi="Myriad Pro" w:cs="Arial"/>
          <w:sz w:val="20"/>
          <w:szCs w:val="20"/>
        </w:rPr>
        <w:t>.</w:t>
      </w:r>
      <w:r w:rsidR="002E5E23" w:rsidRPr="005A4F69">
        <w:rPr>
          <w:rStyle w:val="vstavekChar"/>
          <w:rFonts w:ascii="Myriad Pro" w:hAnsi="Myriad Pro"/>
          <w:b w:val="0"/>
          <w:i w:val="0"/>
          <w:noProof w:val="0"/>
          <w:sz w:val="20"/>
          <w:szCs w:val="20"/>
        </w:rPr>
        <w:t xml:space="preserve"> D</w:t>
      </w:r>
      <w:r w:rsidR="00775AD2" w:rsidRPr="005A4F69">
        <w:rPr>
          <w:rStyle w:val="vstavekChar"/>
          <w:rFonts w:ascii="Myriad Pro" w:hAnsi="Myriad Pro"/>
          <w:b w:val="0"/>
          <w:i w:val="0"/>
          <w:noProof w:val="0"/>
          <w:sz w:val="20"/>
          <w:szCs w:val="20"/>
        </w:rPr>
        <w:t xml:space="preserve">omače poslovne banke </w:t>
      </w:r>
      <w:r w:rsidR="002E5E23" w:rsidRPr="005A4F69">
        <w:rPr>
          <w:rStyle w:val="vstavekChar"/>
          <w:rFonts w:ascii="Myriad Pro" w:hAnsi="Myriad Pro"/>
          <w:b w:val="0"/>
          <w:i w:val="0"/>
          <w:noProof w:val="0"/>
          <w:sz w:val="20"/>
          <w:szCs w:val="20"/>
        </w:rPr>
        <w:t xml:space="preserve">so s pridobljenimi sredstvi </w:t>
      </w:r>
      <w:r w:rsidR="00C327A2" w:rsidRPr="005A4F69">
        <w:rPr>
          <w:rStyle w:val="vstavekChar"/>
          <w:rFonts w:ascii="Myriad Pro" w:hAnsi="Myriad Pro"/>
          <w:b w:val="0"/>
          <w:i w:val="0"/>
          <w:noProof w:val="0"/>
          <w:sz w:val="20"/>
          <w:szCs w:val="20"/>
        </w:rPr>
        <w:t>od države in centralne banke z</w:t>
      </w:r>
      <w:r w:rsidR="00775AD2" w:rsidRPr="005A4F69">
        <w:rPr>
          <w:rStyle w:val="vstavekChar"/>
          <w:rFonts w:ascii="Myriad Pro" w:hAnsi="Myriad Pro"/>
          <w:b w:val="0"/>
          <w:i w:val="0"/>
          <w:noProof w:val="0"/>
          <w:sz w:val="20"/>
          <w:szCs w:val="20"/>
        </w:rPr>
        <w:t>ačele odplačevati pred krizo najeta tuja posojila.</w:t>
      </w:r>
      <w:r w:rsidR="00C327A2" w:rsidRPr="005A4F69">
        <w:rPr>
          <w:rStyle w:val="FootnoteReference"/>
          <w:sz w:val="20"/>
          <w:szCs w:val="20"/>
        </w:rPr>
        <w:footnoteReference w:id="10"/>
      </w:r>
      <w:r w:rsidR="00E81B75" w:rsidRPr="005A4F69">
        <w:rPr>
          <w:rStyle w:val="vstavekChar"/>
          <w:rFonts w:ascii="Myriad Pro" w:hAnsi="Myriad Pro"/>
          <w:b w:val="0"/>
          <w:i w:val="0"/>
          <w:noProof w:val="0"/>
          <w:sz w:val="20"/>
          <w:szCs w:val="20"/>
        </w:rPr>
        <w:t xml:space="preserve"> </w:t>
      </w:r>
      <w:r w:rsidR="00327B96" w:rsidRPr="005A4F69">
        <w:rPr>
          <w:rFonts w:ascii="Myriad Pro" w:hAnsi="Myriad Pro" w:cs="Arial"/>
          <w:sz w:val="20"/>
          <w:szCs w:val="20"/>
        </w:rPr>
        <w:t xml:space="preserve">Od poglobitve finančne krize (septembra 2008) pa do konca leta 2012 so banke tujini odplačale za okoli </w:t>
      </w:r>
      <w:r w:rsidR="009C6C12" w:rsidRPr="005A4F69">
        <w:rPr>
          <w:rFonts w:ascii="Myriad Pro" w:hAnsi="Myriad Pro" w:cs="Arial"/>
          <w:sz w:val="20"/>
          <w:szCs w:val="20"/>
        </w:rPr>
        <w:t>8</w:t>
      </w:r>
      <w:r w:rsidR="00C327A2" w:rsidRPr="005A4F69">
        <w:rPr>
          <w:rFonts w:ascii="Myriad Pro" w:hAnsi="Myriad Pro" w:cs="Arial"/>
          <w:sz w:val="20"/>
          <w:szCs w:val="20"/>
        </w:rPr>
        <w:t>,6</w:t>
      </w:r>
      <w:r w:rsidR="00327B96" w:rsidRPr="005A4F69">
        <w:rPr>
          <w:rFonts w:ascii="Myriad Pro" w:hAnsi="Myriad Pro" w:cs="Arial"/>
          <w:sz w:val="20"/>
          <w:szCs w:val="20"/>
        </w:rPr>
        <w:t xml:space="preserve"> mrd EUR obveznosti. </w:t>
      </w:r>
    </w:p>
    <w:p w14:paraId="5F50777F" w14:textId="77777777" w:rsidR="00A248F0" w:rsidRDefault="00A248F0" w:rsidP="0075319C">
      <w:pPr>
        <w:pStyle w:val="TekstPOR"/>
        <w:spacing w:line="288" w:lineRule="auto"/>
        <w:jc w:val="both"/>
        <w:rPr>
          <w:rFonts w:ascii="Myriad Pro" w:hAnsi="Myriad Pro"/>
          <w:sz w:val="20"/>
        </w:rPr>
      </w:pPr>
    </w:p>
    <w:p w14:paraId="51749C41" w14:textId="422E4722" w:rsidR="009F2D3D" w:rsidRDefault="0075319C" w:rsidP="00537135">
      <w:pPr>
        <w:pStyle w:val="TekstPOR"/>
        <w:spacing w:before="0" w:after="0" w:line="288" w:lineRule="auto"/>
        <w:jc w:val="both"/>
        <w:rPr>
          <w:rFonts w:ascii="Myriad Pro" w:hAnsi="Myriad Pro"/>
          <w:sz w:val="20"/>
        </w:rPr>
      </w:pPr>
      <w:r w:rsidRPr="0019054C">
        <w:rPr>
          <w:rFonts w:ascii="Myriad Pro" w:hAnsi="Myriad Pro"/>
          <w:b/>
          <w:bCs/>
          <w:sz w:val="20"/>
        </w:rPr>
        <w:t>Od leta 2013 se</w:t>
      </w:r>
      <w:r w:rsidR="0012413A">
        <w:rPr>
          <w:rFonts w:ascii="Myriad Pro" w:hAnsi="Myriad Pro"/>
          <w:b/>
          <w:bCs/>
          <w:sz w:val="20"/>
        </w:rPr>
        <w:t xml:space="preserve"> je</w:t>
      </w:r>
      <w:r w:rsidRPr="0019054C">
        <w:rPr>
          <w:rFonts w:ascii="Myriad Pro" w:hAnsi="Myriad Pro"/>
          <w:b/>
          <w:bCs/>
          <w:sz w:val="20"/>
        </w:rPr>
        <w:t xml:space="preserve"> </w:t>
      </w:r>
      <w:r w:rsidR="003B4CCC">
        <w:rPr>
          <w:rFonts w:ascii="Myriad Pro" w:hAnsi="Myriad Pro"/>
          <w:b/>
          <w:bCs/>
          <w:sz w:val="20"/>
        </w:rPr>
        <w:t xml:space="preserve">mednarodna investicijska pozicija Slovenije </w:t>
      </w:r>
      <w:r w:rsidRPr="0019054C">
        <w:rPr>
          <w:rFonts w:ascii="Myriad Pro" w:hAnsi="Myriad Pro"/>
          <w:b/>
          <w:bCs/>
          <w:sz w:val="20"/>
        </w:rPr>
        <w:t>postopoma izboljš</w:t>
      </w:r>
      <w:r w:rsidR="003B4CCC">
        <w:rPr>
          <w:rFonts w:ascii="Myriad Pro" w:hAnsi="Myriad Pro"/>
          <w:b/>
          <w:bCs/>
          <w:sz w:val="20"/>
        </w:rPr>
        <w:t>ala</w:t>
      </w:r>
      <w:r w:rsidRPr="0019054C">
        <w:rPr>
          <w:rFonts w:ascii="Myriad Pro" w:hAnsi="Myriad Pro"/>
          <w:b/>
          <w:bCs/>
          <w:sz w:val="20"/>
        </w:rPr>
        <w:t xml:space="preserve">, predvsem zaradi </w:t>
      </w:r>
      <w:r w:rsidR="00C327A2" w:rsidRPr="0019054C">
        <w:rPr>
          <w:rFonts w:ascii="Myriad Pro" w:hAnsi="Myriad Pro"/>
          <w:b/>
          <w:bCs/>
          <w:sz w:val="20"/>
        </w:rPr>
        <w:t xml:space="preserve">večjega neto odliva </w:t>
      </w:r>
      <w:r w:rsidR="009F2D3D">
        <w:rPr>
          <w:rFonts w:ascii="Myriad Pro" w:hAnsi="Myriad Pro"/>
          <w:b/>
          <w:bCs/>
          <w:sz w:val="20"/>
        </w:rPr>
        <w:t xml:space="preserve">finančnih sredstev </w:t>
      </w:r>
      <w:r w:rsidR="00AA482C">
        <w:rPr>
          <w:rFonts w:ascii="Myriad Pro" w:hAnsi="Myriad Pro"/>
          <w:b/>
          <w:bCs/>
          <w:sz w:val="20"/>
        </w:rPr>
        <w:t xml:space="preserve">BS in </w:t>
      </w:r>
      <w:r w:rsidR="00C327A2" w:rsidRPr="0019054C">
        <w:rPr>
          <w:rFonts w:ascii="Myriad Pro" w:hAnsi="Myriad Pro"/>
          <w:b/>
          <w:bCs/>
          <w:sz w:val="20"/>
        </w:rPr>
        <w:t>zaseb</w:t>
      </w:r>
      <w:r w:rsidRPr="0019054C">
        <w:rPr>
          <w:rFonts w:ascii="Myriad Pro" w:hAnsi="Myriad Pro"/>
          <w:b/>
          <w:bCs/>
          <w:sz w:val="20"/>
        </w:rPr>
        <w:t>n</w:t>
      </w:r>
      <w:r w:rsidR="00C327A2" w:rsidRPr="0019054C">
        <w:rPr>
          <w:rFonts w:ascii="Myriad Pro" w:hAnsi="Myriad Pro"/>
          <w:b/>
          <w:bCs/>
          <w:sz w:val="20"/>
        </w:rPr>
        <w:t xml:space="preserve">ega </w:t>
      </w:r>
      <w:r w:rsidR="0019054C" w:rsidRPr="0019054C">
        <w:rPr>
          <w:rFonts w:ascii="Myriad Pro" w:hAnsi="Myriad Pro"/>
          <w:b/>
          <w:bCs/>
          <w:sz w:val="20"/>
        </w:rPr>
        <w:t xml:space="preserve">sektorja, ki je presegal neto priliv </w:t>
      </w:r>
      <w:r w:rsidR="009F2D3D">
        <w:rPr>
          <w:rFonts w:ascii="Myriad Pro" w:hAnsi="Myriad Pro"/>
          <w:b/>
          <w:bCs/>
          <w:sz w:val="20"/>
        </w:rPr>
        <w:t xml:space="preserve">finančnih sredstev </w:t>
      </w:r>
      <w:r w:rsidR="0019054C" w:rsidRPr="0019054C">
        <w:rPr>
          <w:rFonts w:ascii="Myriad Pro" w:hAnsi="Myriad Pro"/>
          <w:b/>
          <w:bCs/>
          <w:sz w:val="20"/>
        </w:rPr>
        <w:t>države</w:t>
      </w:r>
      <w:r w:rsidR="003C46D6">
        <w:rPr>
          <w:rFonts w:ascii="Myriad Pro" w:hAnsi="Myriad Pro"/>
          <w:b/>
          <w:bCs/>
          <w:sz w:val="20"/>
        </w:rPr>
        <w:t xml:space="preserve"> </w:t>
      </w:r>
      <w:r w:rsidR="003C46D6" w:rsidRPr="003C46D6">
        <w:rPr>
          <w:rFonts w:ascii="Myriad Pro" w:hAnsi="Myriad Pro"/>
          <w:sz w:val="20"/>
        </w:rPr>
        <w:t>(slika 10)</w:t>
      </w:r>
      <w:r w:rsidR="0019054C" w:rsidRPr="003C46D6">
        <w:rPr>
          <w:rFonts w:ascii="Myriad Pro" w:hAnsi="Myriad Pro"/>
          <w:sz w:val="20"/>
        </w:rPr>
        <w:t>.</w:t>
      </w:r>
      <w:r w:rsidR="009F2D3D">
        <w:rPr>
          <w:rFonts w:ascii="Myriad Pro" w:hAnsi="Myriad Pro"/>
          <w:sz w:val="20"/>
        </w:rPr>
        <w:t xml:space="preserve"> </w:t>
      </w:r>
      <w:r w:rsidR="008B1ED9" w:rsidRPr="0087795F">
        <w:rPr>
          <w:rFonts w:ascii="Myriad Pro" w:hAnsi="Myriad Pro"/>
          <w:sz w:val="20"/>
          <w:szCs w:val="20"/>
        </w:rPr>
        <w:t>V obdobju 2013-2020</w:t>
      </w:r>
      <w:r w:rsidR="008B1ED9" w:rsidRPr="008B1ED9">
        <w:rPr>
          <w:rFonts w:ascii="Myriad Pro" w:hAnsi="Myriad Pro"/>
          <w:sz w:val="20"/>
          <w:szCs w:val="20"/>
        </w:rPr>
        <w:t xml:space="preserve"> </w:t>
      </w:r>
      <w:r w:rsidR="008B1ED9">
        <w:rPr>
          <w:rFonts w:ascii="Myriad Pro" w:hAnsi="Myriad Pro"/>
          <w:sz w:val="20"/>
          <w:szCs w:val="20"/>
        </w:rPr>
        <w:t xml:space="preserve">se je zato celotna neto zadolženost Slovenije agregatno zmanjšala za </w:t>
      </w:r>
      <w:r w:rsidR="00537135">
        <w:rPr>
          <w:rFonts w:ascii="Myriad Pro" w:hAnsi="Myriad Pro"/>
          <w:sz w:val="20"/>
          <w:szCs w:val="20"/>
        </w:rPr>
        <w:t>8,</w:t>
      </w:r>
      <w:r w:rsidR="000519EA">
        <w:rPr>
          <w:rFonts w:ascii="Myriad Pro" w:hAnsi="Myriad Pro"/>
          <w:sz w:val="20"/>
          <w:szCs w:val="20"/>
        </w:rPr>
        <w:t>8</w:t>
      </w:r>
      <w:r w:rsidR="00537135">
        <w:rPr>
          <w:rFonts w:ascii="Myriad Pro" w:hAnsi="Myriad Pro"/>
          <w:sz w:val="20"/>
          <w:szCs w:val="20"/>
        </w:rPr>
        <w:t xml:space="preserve"> mrd EUR in je konec leta 2020 znašala 7,</w:t>
      </w:r>
      <w:r w:rsidR="000519EA">
        <w:rPr>
          <w:rFonts w:ascii="Myriad Pro" w:hAnsi="Myriad Pro"/>
          <w:sz w:val="20"/>
          <w:szCs w:val="20"/>
        </w:rPr>
        <w:t>1</w:t>
      </w:r>
      <w:r w:rsidR="00FA61DC">
        <w:rPr>
          <w:rFonts w:ascii="Myriad Pro" w:hAnsi="Myriad Pro"/>
          <w:sz w:val="20"/>
          <w:szCs w:val="20"/>
        </w:rPr>
        <w:t xml:space="preserve"> </w:t>
      </w:r>
      <w:r w:rsidR="00537135">
        <w:rPr>
          <w:rFonts w:ascii="Myriad Pro" w:hAnsi="Myriad Pro"/>
          <w:sz w:val="20"/>
          <w:szCs w:val="20"/>
        </w:rPr>
        <w:t>mrd EUR (1</w:t>
      </w:r>
      <w:r w:rsidR="000519EA">
        <w:rPr>
          <w:rFonts w:ascii="Myriad Pro" w:hAnsi="Myriad Pro"/>
          <w:sz w:val="20"/>
          <w:szCs w:val="20"/>
        </w:rPr>
        <w:t>5</w:t>
      </w:r>
      <w:r w:rsidR="00537135">
        <w:rPr>
          <w:rFonts w:ascii="Myriad Pro" w:hAnsi="Myriad Pro"/>
          <w:sz w:val="20"/>
          <w:szCs w:val="20"/>
        </w:rPr>
        <w:t>,</w:t>
      </w:r>
      <w:r w:rsidR="000519EA">
        <w:rPr>
          <w:rFonts w:ascii="Myriad Pro" w:hAnsi="Myriad Pro"/>
          <w:sz w:val="20"/>
          <w:szCs w:val="20"/>
        </w:rPr>
        <w:t>2</w:t>
      </w:r>
      <w:r w:rsidR="00537135">
        <w:rPr>
          <w:rFonts w:ascii="Myriad Pro" w:hAnsi="Myriad Pro"/>
          <w:sz w:val="20"/>
          <w:szCs w:val="20"/>
        </w:rPr>
        <w:t xml:space="preserve"> % BDP).</w:t>
      </w:r>
      <w:r w:rsidR="00214D59">
        <w:rPr>
          <w:rFonts w:ascii="Myriad Pro" w:hAnsi="Myriad Pro"/>
          <w:sz w:val="20"/>
          <w:szCs w:val="20"/>
        </w:rPr>
        <w:t xml:space="preserve"> </w:t>
      </w:r>
      <w:r w:rsidR="00B37E74">
        <w:rPr>
          <w:rFonts w:ascii="Myriad Pro" w:hAnsi="Myriad Pro"/>
          <w:sz w:val="20"/>
          <w:szCs w:val="20"/>
        </w:rPr>
        <w:t xml:space="preserve">Pri tem sta </w:t>
      </w:r>
      <w:r w:rsidR="00570725">
        <w:rPr>
          <w:rFonts w:ascii="Myriad Pro" w:hAnsi="Myriad Pro"/>
          <w:sz w:val="20"/>
          <w:szCs w:val="20"/>
        </w:rPr>
        <w:t xml:space="preserve">neto upniško pozicijo izkazovali </w:t>
      </w:r>
      <w:r w:rsidR="00214D59">
        <w:rPr>
          <w:rFonts w:ascii="Myriad Pro" w:hAnsi="Myriad Pro"/>
          <w:sz w:val="20"/>
          <w:szCs w:val="20"/>
        </w:rPr>
        <w:t>BS</w:t>
      </w:r>
      <w:r w:rsidR="00570725">
        <w:rPr>
          <w:rFonts w:ascii="Myriad Pro" w:hAnsi="Myriad Pro"/>
          <w:sz w:val="20"/>
          <w:szCs w:val="20"/>
        </w:rPr>
        <w:t xml:space="preserve"> (</w:t>
      </w:r>
      <w:r w:rsidR="000519EA">
        <w:rPr>
          <w:rFonts w:ascii="Myriad Pro" w:hAnsi="Myriad Pro"/>
          <w:sz w:val="20"/>
          <w:szCs w:val="20"/>
        </w:rPr>
        <w:t>9,3</w:t>
      </w:r>
      <w:r w:rsidR="00570725">
        <w:rPr>
          <w:rFonts w:ascii="Myriad Pro" w:hAnsi="Myriad Pro"/>
          <w:sz w:val="20"/>
          <w:szCs w:val="20"/>
        </w:rPr>
        <w:t xml:space="preserve"> mrd EUR)</w:t>
      </w:r>
      <w:r w:rsidR="00214D59">
        <w:rPr>
          <w:rFonts w:ascii="Myriad Pro" w:hAnsi="Myriad Pro"/>
          <w:sz w:val="20"/>
          <w:szCs w:val="20"/>
        </w:rPr>
        <w:t xml:space="preserve"> in zasebni sektor</w:t>
      </w:r>
      <w:r w:rsidR="00570725">
        <w:rPr>
          <w:rFonts w:ascii="Myriad Pro" w:hAnsi="Myriad Pro"/>
          <w:sz w:val="20"/>
          <w:szCs w:val="20"/>
        </w:rPr>
        <w:t xml:space="preserve"> (4,</w:t>
      </w:r>
      <w:r w:rsidR="000519EA">
        <w:rPr>
          <w:rFonts w:ascii="Myriad Pro" w:hAnsi="Myriad Pro"/>
          <w:sz w:val="20"/>
          <w:szCs w:val="20"/>
        </w:rPr>
        <w:t>4</w:t>
      </w:r>
      <w:r w:rsidR="00570725">
        <w:rPr>
          <w:rFonts w:ascii="Myriad Pro" w:hAnsi="Myriad Pro"/>
          <w:sz w:val="20"/>
          <w:szCs w:val="20"/>
        </w:rPr>
        <w:t xml:space="preserve"> mrd EUR), </w:t>
      </w:r>
      <w:r w:rsidR="00214D59">
        <w:rPr>
          <w:rFonts w:ascii="Myriad Pro" w:hAnsi="Myriad Pro"/>
          <w:sz w:val="20"/>
          <w:szCs w:val="20"/>
        </w:rPr>
        <w:t xml:space="preserve">državni sektor pa neto dolžniško pozicijo do tujine </w:t>
      </w:r>
      <w:r w:rsidR="00570725">
        <w:rPr>
          <w:rFonts w:ascii="Myriad Pro" w:hAnsi="Myriad Pro"/>
          <w:sz w:val="20"/>
          <w:szCs w:val="20"/>
        </w:rPr>
        <w:t xml:space="preserve">v višini </w:t>
      </w:r>
      <w:r w:rsidR="000519EA">
        <w:rPr>
          <w:rFonts w:ascii="Myriad Pro" w:hAnsi="Myriad Pro"/>
          <w:sz w:val="20"/>
          <w:szCs w:val="20"/>
        </w:rPr>
        <w:t>20,8 mrd</w:t>
      </w:r>
      <w:r w:rsidR="00CD37AD">
        <w:rPr>
          <w:rFonts w:ascii="Myriad Pro" w:hAnsi="Myriad Pro"/>
          <w:sz w:val="20"/>
          <w:szCs w:val="20"/>
        </w:rPr>
        <w:t xml:space="preserve"> EUR.</w:t>
      </w:r>
    </w:p>
    <w:p w14:paraId="0FB26F57" w14:textId="1DB22FD8" w:rsidR="0092346F" w:rsidRDefault="0092346F" w:rsidP="0087795F">
      <w:pPr>
        <w:pStyle w:val="TekstPOR"/>
        <w:spacing w:before="0" w:after="0" w:line="288" w:lineRule="auto"/>
        <w:jc w:val="both"/>
        <w:rPr>
          <w:rFonts w:ascii="Myriad Pro" w:hAnsi="Myriad Pro" w:cs="Arial"/>
          <w:b/>
          <w:bCs/>
          <w:sz w:val="20"/>
          <w:szCs w:val="20"/>
        </w:rPr>
      </w:pPr>
    </w:p>
    <w:p w14:paraId="57E22398" w14:textId="197C6BEB" w:rsidR="003672B4" w:rsidRDefault="003672B4" w:rsidP="0087795F">
      <w:pPr>
        <w:pStyle w:val="TekstPOR"/>
        <w:spacing w:before="0" w:after="0" w:line="288" w:lineRule="auto"/>
        <w:jc w:val="both"/>
        <w:rPr>
          <w:rFonts w:ascii="Myriad Pro" w:hAnsi="Myriad Pro" w:cs="Arial"/>
          <w:b/>
          <w:bCs/>
          <w:sz w:val="20"/>
          <w:szCs w:val="20"/>
        </w:rPr>
      </w:pPr>
    </w:p>
    <w:p w14:paraId="5544C6D9" w14:textId="4A8D60AD" w:rsidR="003672B4" w:rsidRDefault="003672B4" w:rsidP="0087795F">
      <w:pPr>
        <w:pStyle w:val="TekstPOR"/>
        <w:spacing w:before="0" w:after="0" w:line="288" w:lineRule="auto"/>
        <w:jc w:val="both"/>
        <w:rPr>
          <w:rFonts w:ascii="Myriad Pro" w:hAnsi="Myriad Pro" w:cs="Arial"/>
          <w:b/>
          <w:bCs/>
          <w:sz w:val="20"/>
          <w:szCs w:val="20"/>
        </w:rPr>
      </w:pPr>
    </w:p>
    <w:p w14:paraId="2CC2B1A1" w14:textId="44252CBA" w:rsidR="003672B4" w:rsidRDefault="003672B4" w:rsidP="0087795F">
      <w:pPr>
        <w:pStyle w:val="TekstPOR"/>
        <w:spacing w:before="0" w:after="0" w:line="288" w:lineRule="auto"/>
        <w:jc w:val="both"/>
        <w:rPr>
          <w:rFonts w:ascii="Myriad Pro" w:hAnsi="Myriad Pro" w:cs="Arial"/>
          <w:b/>
          <w:bCs/>
          <w:sz w:val="20"/>
          <w:szCs w:val="20"/>
        </w:rPr>
      </w:pPr>
    </w:p>
    <w:p w14:paraId="6131C119" w14:textId="4CC9BAA4" w:rsidR="003672B4" w:rsidRDefault="003672B4" w:rsidP="0087795F">
      <w:pPr>
        <w:pStyle w:val="TekstPOR"/>
        <w:spacing w:before="0" w:after="0" w:line="288" w:lineRule="auto"/>
        <w:jc w:val="both"/>
        <w:rPr>
          <w:rFonts w:ascii="Myriad Pro" w:hAnsi="Myriad Pro" w:cs="Arial"/>
          <w:b/>
          <w:bCs/>
          <w:sz w:val="20"/>
          <w:szCs w:val="20"/>
        </w:rPr>
      </w:pPr>
    </w:p>
    <w:p w14:paraId="720A0842" w14:textId="05EBAE49" w:rsidR="003672B4" w:rsidRDefault="003672B4" w:rsidP="0087795F">
      <w:pPr>
        <w:pStyle w:val="TekstPOR"/>
        <w:spacing w:before="0" w:after="0" w:line="288" w:lineRule="auto"/>
        <w:jc w:val="both"/>
        <w:rPr>
          <w:rFonts w:ascii="Myriad Pro" w:hAnsi="Myriad Pro" w:cs="Arial"/>
          <w:b/>
          <w:bCs/>
          <w:sz w:val="20"/>
          <w:szCs w:val="20"/>
        </w:rPr>
      </w:pPr>
    </w:p>
    <w:p w14:paraId="3D89E5FC" w14:textId="6E48C89D" w:rsidR="003672B4" w:rsidRDefault="003672B4" w:rsidP="0087795F">
      <w:pPr>
        <w:pStyle w:val="TekstPOR"/>
        <w:spacing w:before="0" w:after="0" w:line="288" w:lineRule="auto"/>
        <w:jc w:val="both"/>
        <w:rPr>
          <w:rFonts w:ascii="Myriad Pro" w:hAnsi="Myriad Pro" w:cs="Arial"/>
          <w:b/>
          <w:bCs/>
          <w:sz w:val="20"/>
          <w:szCs w:val="20"/>
        </w:rPr>
      </w:pPr>
    </w:p>
    <w:p w14:paraId="79452797" w14:textId="77777777" w:rsidR="003672B4" w:rsidRDefault="003672B4" w:rsidP="0087795F">
      <w:pPr>
        <w:pStyle w:val="TekstPOR"/>
        <w:spacing w:before="0" w:after="0" w:line="288" w:lineRule="auto"/>
        <w:jc w:val="both"/>
        <w:rPr>
          <w:rFonts w:ascii="Myriad Pro" w:hAnsi="Myriad Pro" w:cs="Arial"/>
          <w:b/>
          <w:bCs/>
          <w:sz w:val="20"/>
          <w:szCs w:val="20"/>
        </w:rPr>
      </w:pPr>
    </w:p>
    <w:p w14:paraId="01C225AE" w14:textId="26372171" w:rsidR="00DC3449" w:rsidRPr="00DC3449" w:rsidRDefault="00DC3449" w:rsidP="003672B4">
      <w:pPr>
        <w:pStyle w:val="Caption"/>
      </w:pPr>
      <w:r w:rsidRPr="00DC3449">
        <w:lastRenderedPageBreak/>
        <w:t>Slika</w:t>
      </w:r>
      <w:r w:rsidR="00FA1299">
        <w:t xml:space="preserve"> </w:t>
      </w:r>
      <w:r w:rsidR="00FB366E">
        <w:t>10</w:t>
      </w:r>
      <w:r w:rsidRPr="00DC3449">
        <w:t xml:space="preserve">: </w:t>
      </w:r>
      <w:r w:rsidR="00C33442">
        <w:t xml:space="preserve">Integrirani sistem računov prikaza </w:t>
      </w:r>
      <w:r w:rsidR="00294FA5">
        <w:t>sp</w:t>
      </w:r>
      <w:r w:rsidRPr="00DC3449">
        <w:t xml:space="preserve">rememb </w:t>
      </w:r>
      <w:r w:rsidR="00FA1299">
        <w:t xml:space="preserve">stanja </w:t>
      </w:r>
      <w:r w:rsidRPr="00DC3449">
        <w:t>mednarodn</w:t>
      </w:r>
      <w:r w:rsidR="00FA1299">
        <w:t>ih naložb</w:t>
      </w:r>
    </w:p>
    <w:p w14:paraId="1ED0A3EC" w14:textId="7CEDD28C" w:rsidR="003965C6" w:rsidRDefault="00924FB6" w:rsidP="003672B4">
      <w:pPr>
        <w:pStyle w:val="TekstPOR"/>
        <w:spacing w:before="0" w:after="0" w:line="288" w:lineRule="auto"/>
        <w:rPr>
          <w:rFonts w:ascii="Myriad Pro" w:hAnsi="Myriad Pro"/>
          <w:sz w:val="20"/>
          <w:szCs w:val="20"/>
        </w:rPr>
      </w:pPr>
      <w:r>
        <w:rPr>
          <w:rFonts w:ascii="Myriad Pro" w:hAnsi="Myriad Pro"/>
          <w:noProof/>
          <w:sz w:val="20"/>
          <w:szCs w:val="20"/>
        </w:rPr>
        <w:drawing>
          <wp:inline distT="0" distB="0" distL="0" distR="0" wp14:anchorId="5CACD5D0" wp14:editId="4668DA71">
            <wp:extent cx="1875600" cy="2732400"/>
            <wp:effectExtent l="0" t="0" r="0"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5600" cy="2732400"/>
                    </a:xfrm>
                    <a:prstGeom prst="rect">
                      <a:avLst/>
                    </a:prstGeom>
                    <a:noFill/>
                  </pic:spPr>
                </pic:pic>
              </a:graphicData>
            </a:graphic>
          </wp:inline>
        </w:drawing>
      </w:r>
      <w:r w:rsidR="003672B4">
        <w:rPr>
          <w:rFonts w:ascii="Myriad Pro" w:hAnsi="Myriad Pro"/>
          <w:sz w:val="20"/>
          <w:szCs w:val="20"/>
        </w:rPr>
        <w:t xml:space="preserve">  </w:t>
      </w:r>
      <w:r>
        <w:rPr>
          <w:rFonts w:ascii="Myriad Pro" w:hAnsi="Myriad Pro"/>
          <w:noProof/>
          <w:sz w:val="20"/>
          <w:szCs w:val="20"/>
        </w:rPr>
        <w:drawing>
          <wp:inline distT="0" distB="0" distL="0" distR="0" wp14:anchorId="7B887B5F" wp14:editId="011C2741">
            <wp:extent cx="1886400" cy="2739600"/>
            <wp:effectExtent l="0" t="0" r="0" b="3810"/>
            <wp:docPr id="4"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6400" cy="2739600"/>
                    </a:xfrm>
                    <a:prstGeom prst="rect">
                      <a:avLst/>
                    </a:prstGeom>
                    <a:noFill/>
                  </pic:spPr>
                </pic:pic>
              </a:graphicData>
            </a:graphic>
          </wp:inline>
        </w:drawing>
      </w:r>
      <w:r w:rsidR="003672B4">
        <w:rPr>
          <w:rFonts w:ascii="Myriad Pro" w:hAnsi="Myriad Pro"/>
          <w:sz w:val="20"/>
          <w:szCs w:val="20"/>
        </w:rPr>
        <w:t xml:space="preserve">  </w:t>
      </w:r>
      <w:r>
        <w:rPr>
          <w:rFonts w:ascii="Myriad Pro" w:hAnsi="Myriad Pro"/>
          <w:noProof/>
          <w:sz w:val="20"/>
          <w:szCs w:val="20"/>
        </w:rPr>
        <w:drawing>
          <wp:inline distT="0" distB="0" distL="0" distR="0" wp14:anchorId="75441EF5" wp14:editId="05A9C9A4">
            <wp:extent cx="1879200" cy="2739600"/>
            <wp:effectExtent l="0" t="0" r="6985" b="3810"/>
            <wp:docPr id="12" name="Slika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9200" cy="2739600"/>
                    </a:xfrm>
                    <a:prstGeom prst="rect">
                      <a:avLst/>
                    </a:prstGeom>
                    <a:noFill/>
                  </pic:spPr>
                </pic:pic>
              </a:graphicData>
            </a:graphic>
          </wp:inline>
        </w:drawing>
      </w:r>
    </w:p>
    <w:p w14:paraId="2515E274" w14:textId="2A6C0E98" w:rsidR="00D2700A" w:rsidRPr="007F4BE5" w:rsidRDefault="00D2700A" w:rsidP="003672B4">
      <w:pPr>
        <w:pStyle w:val="VirUMAR"/>
        <w:rPr>
          <w:rStyle w:val="vstavekChar"/>
          <w:rFonts w:ascii="Myriad Pro" w:eastAsiaTheme="minorHAnsi" w:hAnsi="Myriad Pro"/>
          <w:b w:val="0"/>
          <w:i w:val="0"/>
          <w:sz w:val="16"/>
          <w:szCs w:val="16"/>
        </w:rPr>
      </w:pPr>
      <w:r w:rsidRPr="006F412C">
        <w:t xml:space="preserve">Vir: BS, SURS, lastni </w:t>
      </w:r>
      <w:r w:rsidR="009467D5">
        <w:t>preračuni.</w:t>
      </w:r>
    </w:p>
    <w:p w14:paraId="74D375D0" w14:textId="77777777" w:rsidR="003965C6" w:rsidRDefault="003965C6" w:rsidP="00997696">
      <w:pPr>
        <w:pStyle w:val="TekstPOR"/>
        <w:spacing w:before="0" w:after="0" w:line="288" w:lineRule="auto"/>
        <w:jc w:val="both"/>
        <w:rPr>
          <w:rFonts w:ascii="Myriad Pro" w:hAnsi="Myriad Pro"/>
          <w:sz w:val="20"/>
          <w:szCs w:val="20"/>
        </w:rPr>
      </w:pPr>
    </w:p>
    <w:p w14:paraId="56477022" w14:textId="2A087112" w:rsidR="005C0E47" w:rsidRPr="00C47425" w:rsidRDefault="006910BD" w:rsidP="005C0E47">
      <w:pPr>
        <w:autoSpaceDE w:val="0"/>
        <w:autoSpaceDN w:val="0"/>
        <w:adjustRightInd w:val="0"/>
        <w:spacing w:after="0" w:line="288" w:lineRule="auto"/>
        <w:jc w:val="both"/>
        <w:rPr>
          <w:rFonts w:ascii="Myriad Pro" w:hAnsi="Myriad Pro" w:cstheme="minorHAnsi"/>
          <w:sz w:val="20"/>
        </w:rPr>
      </w:pPr>
      <w:r w:rsidRPr="006910BD">
        <w:rPr>
          <w:rFonts w:ascii="Myriad Pro" w:hAnsi="Myriad Pro"/>
          <w:sz w:val="20"/>
        </w:rPr>
        <w:t>Mednarodna investicijska pozicija</w:t>
      </w:r>
      <w:r>
        <w:rPr>
          <w:rFonts w:ascii="Myriad Pro" w:hAnsi="Myriad Pro"/>
          <w:b/>
          <w:bCs/>
          <w:sz w:val="20"/>
        </w:rPr>
        <w:t xml:space="preserve"> </w:t>
      </w:r>
      <w:r w:rsidR="005C0E47" w:rsidRPr="00CD37AD">
        <w:rPr>
          <w:rFonts w:ascii="Myriad Pro" w:hAnsi="Myriad Pro" w:cstheme="minorHAnsi"/>
          <w:i/>
          <w:iCs/>
          <w:sz w:val="20"/>
        </w:rPr>
        <w:t>zasebnega sektorja</w:t>
      </w:r>
      <w:r w:rsidR="005C0E47">
        <w:rPr>
          <w:rFonts w:ascii="Myriad Pro" w:hAnsi="Myriad Pro" w:cstheme="minorHAnsi"/>
          <w:sz w:val="20"/>
        </w:rPr>
        <w:t xml:space="preserve"> se je v obdobju nenehnih presežkov tekočega računa plačilne bilance in s tem povezanih neto kapitalskih odlivov izboljšala za 13,</w:t>
      </w:r>
      <w:r>
        <w:rPr>
          <w:rFonts w:ascii="Myriad Pro" w:hAnsi="Myriad Pro" w:cstheme="minorHAnsi"/>
          <w:sz w:val="20"/>
        </w:rPr>
        <w:t>2</w:t>
      </w:r>
      <w:r w:rsidR="005C0E47">
        <w:rPr>
          <w:rFonts w:ascii="Myriad Pro" w:hAnsi="Myriad Pro" w:cstheme="minorHAnsi"/>
          <w:sz w:val="20"/>
        </w:rPr>
        <w:t xml:space="preserve"> mrd EUR. Slednje je bilo večinoma posledica višjih terjatev za 1</w:t>
      </w:r>
      <w:r>
        <w:rPr>
          <w:rFonts w:ascii="Myriad Pro" w:hAnsi="Myriad Pro" w:cstheme="minorHAnsi"/>
          <w:sz w:val="20"/>
        </w:rPr>
        <w:t>4,8</w:t>
      </w:r>
      <w:r w:rsidR="005C0E47">
        <w:rPr>
          <w:rFonts w:ascii="Myriad Pro" w:hAnsi="Myriad Pro" w:cstheme="minorHAnsi"/>
          <w:sz w:val="20"/>
        </w:rPr>
        <w:t xml:space="preserve"> mrd EUR, medtem ko so bile celotne obveznosti do tujine višje za 1,</w:t>
      </w:r>
      <w:r>
        <w:rPr>
          <w:rFonts w:ascii="Myriad Pro" w:hAnsi="Myriad Pro" w:cstheme="minorHAnsi"/>
          <w:sz w:val="20"/>
        </w:rPr>
        <w:t>6</w:t>
      </w:r>
      <w:r w:rsidR="005C0E47">
        <w:rPr>
          <w:rFonts w:ascii="Myriad Pro" w:hAnsi="Myriad Pro" w:cstheme="minorHAnsi"/>
          <w:sz w:val="20"/>
        </w:rPr>
        <w:t xml:space="preserve"> mrd EUR. </w:t>
      </w:r>
      <w:r w:rsidR="005C0E47" w:rsidRPr="00C47425">
        <w:rPr>
          <w:rFonts w:ascii="Myriad Pro" w:hAnsi="Myriad Pro" w:cs="Arial"/>
          <w:sz w:val="20"/>
          <w:szCs w:val="20"/>
        </w:rPr>
        <w:t>Večino finančnih transakcij</w:t>
      </w:r>
      <w:r w:rsidR="005C0E47" w:rsidRPr="00DA58A8">
        <w:rPr>
          <w:rFonts w:ascii="Myriad Pro" w:hAnsi="Myriad Pro" w:cs="Arial"/>
          <w:sz w:val="20"/>
          <w:szCs w:val="20"/>
        </w:rPr>
        <w:t xml:space="preserve"> zasebnega sektorja so zaznamovali neto odlivi kapitala domačih bank. Neto odlivne so bile tudi finančne transakcije ostalih finančnih družb</w:t>
      </w:r>
      <w:r w:rsidR="005C0E47">
        <w:rPr>
          <w:rFonts w:ascii="Myriad Pro" w:hAnsi="Myriad Pro" w:cs="Arial"/>
          <w:sz w:val="20"/>
          <w:szCs w:val="20"/>
        </w:rPr>
        <w:t>, zavarovalnih družb in pokojninskih skladov ter</w:t>
      </w:r>
      <w:r w:rsidR="005C0E47" w:rsidRPr="00DA58A8">
        <w:rPr>
          <w:rFonts w:ascii="Myriad Pro" w:hAnsi="Myriad Pro" w:cs="Arial"/>
          <w:sz w:val="20"/>
          <w:szCs w:val="20"/>
        </w:rPr>
        <w:t xml:space="preserve"> v manjšem obsegu tudi gospodinjstev</w:t>
      </w:r>
      <w:r w:rsidR="005C0E47">
        <w:rPr>
          <w:rFonts w:ascii="Myriad Pro" w:hAnsi="Myriad Pro" w:cs="Arial"/>
          <w:sz w:val="20"/>
          <w:szCs w:val="20"/>
        </w:rPr>
        <w:t>. Tokovi</w:t>
      </w:r>
      <w:r w:rsidR="005C0E47" w:rsidRPr="00DA58A8">
        <w:rPr>
          <w:rFonts w:ascii="Myriad Pro" w:hAnsi="Myriad Pro" w:cs="Arial"/>
          <w:sz w:val="20"/>
          <w:szCs w:val="20"/>
        </w:rPr>
        <w:t xml:space="preserve"> tujih neposrednih naložb v Slovenijo pa so presegali tokove neposrednih naložb Slovenije v tujino.</w:t>
      </w:r>
    </w:p>
    <w:p w14:paraId="0DA5B1DB" w14:textId="77777777" w:rsidR="005C0E47" w:rsidRDefault="005C0E47" w:rsidP="005C0E47">
      <w:pPr>
        <w:pStyle w:val="TekstPOR"/>
        <w:spacing w:before="0" w:after="0" w:line="288" w:lineRule="auto"/>
        <w:jc w:val="both"/>
        <w:rPr>
          <w:rFonts w:ascii="Myriad Pro" w:hAnsi="Myriad Pro" w:cstheme="minorHAnsi"/>
          <w:sz w:val="20"/>
          <w:szCs w:val="20"/>
        </w:rPr>
      </w:pPr>
    </w:p>
    <w:p w14:paraId="28A4C872" w14:textId="01CBDF7F" w:rsidR="005C0E47" w:rsidRDefault="005C0E47" w:rsidP="005C0E47">
      <w:pPr>
        <w:pStyle w:val="TekstPOR"/>
        <w:spacing w:before="0" w:after="0" w:line="288" w:lineRule="auto"/>
        <w:jc w:val="both"/>
        <w:rPr>
          <w:rFonts w:ascii="Myriad Pro" w:hAnsi="Myriad Pro" w:cstheme="minorHAnsi"/>
          <w:sz w:val="20"/>
        </w:rPr>
      </w:pPr>
      <w:r>
        <w:rPr>
          <w:rFonts w:ascii="Myriad Pro" w:hAnsi="Myriad Pro" w:cs="Arial"/>
          <w:sz w:val="20"/>
          <w:szCs w:val="20"/>
        </w:rPr>
        <w:t xml:space="preserve">Domače poslovne banke so okrepile naložbe v dolgoročne dolžniške vrednostne papirje, povečale depozite na računih v tujini in se </w:t>
      </w:r>
      <w:r w:rsidRPr="004E17F8">
        <w:rPr>
          <w:rFonts w:ascii="Myriad Pro" w:hAnsi="Myriad Pro"/>
          <w:sz w:val="20"/>
          <w:szCs w:val="20"/>
        </w:rPr>
        <w:t>do tujine nadalje razdolževale</w:t>
      </w:r>
      <w:r>
        <w:rPr>
          <w:rFonts w:ascii="Myriad Pro" w:hAnsi="Myriad Pro"/>
          <w:sz w:val="20"/>
          <w:szCs w:val="20"/>
        </w:rPr>
        <w:t>. Poleg tega se je nadaljeval tudi umik vlog nerezidentov iz slovenskih bank.</w:t>
      </w:r>
      <w:r>
        <w:rPr>
          <w:rFonts w:ascii="Myriad Pro" w:hAnsi="Myriad Pro" w:cstheme="minorHAnsi"/>
          <w:sz w:val="20"/>
        </w:rPr>
        <w:t xml:space="preserve"> </w:t>
      </w:r>
      <w:r>
        <w:rPr>
          <w:rFonts w:ascii="Myriad Pro" w:hAnsi="Myriad Pro" w:cs="Arial"/>
          <w:sz w:val="20"/>
          <w:szCs w:val="20"/>
        </w:rPr>
        <w:t>O</w:t>
      </w:r>
      <w:r w:rsidRPr="00DA58A8">
        <w:rPr>
          <w:rFonts w:ascii="Myriad Pro" w:hAnsi="Myriad Pro" w:cs="Arial"/>
          <w:sz w:val="20"/>
          <w:szCs w:val="20"/>
        </w:rPr>
        <w:t>stal</w:t>
      </w:r>
      <w:r>
        <w:rPr>
          <w:rFonts w:ascii="Myriad Pro" w:hAnsi="Myriad Pro" w:cs="Arial"/>
          <w:sz w:val="20"/>
          <w:szCs w:val="20"/>
        </w:rPr>
        <w:t>e</w:t>
      </w:r>
      <w:r w:rsidRPr="00DA58A8">
        <w:rPr>
          <w:rFonts w:ascii="Myriad Pro" w:hAnsi="Myriad Pro" w:cs="Arial"/>
          <w:sz w:val="20"/>
          <w:szCs w:val="20"/>
        </w:rPr>
        <w:t xml:space="preserve"> finančn</w:t>
      </w:r>
      <w:r>
        <w:rPr>
          <w:rFonts w:ascii="Myriad Pro" w:hAnsi="Myriad Pro" w:cs="Arial"/>
          <w:sz w:val="20"/>
          <w:szCs w:val="20"/>
        </w:rPr>
        <w:t>e</w:t>
      </w:r>
      <w:r w:rsidRPr="00DA58A8">
        <w:rPr>
          <w:rFonts w:ascii="Myriad Pro" w:hAnsi="Myriad Pro" w:cs="Arial"/>
          <w:sz w:val="20"/>
          <w:szCs w:val="20"/>
        </w:rPr>
        <w:t xml:space="preserve"> družb</w:t>
      </w:r>
      <w:r>
        <w:rPr>
          <w:rFonts w:ascii="Myriad Pro" w:hAnsi="Myriad Pro" w:cs="Arial"/>
          <w:sz w:val="20"/>
          <w:szCs w:val="20"/>
        </w:rPr>
        <w:t>e, zavarovalne družbe ter pokojninski skladi so povečali naložbe</w:t>
      </w:r>
      <w:r w:rsidRPr="004E17F8">
        <w:rPr>
          <w:rFonts w:ascii="Myriad Pro" w:hAnsi="Myriad Pro"/>
          <w:sz w:val="20"/>
          <w:szCs w:val="20"/>
        </w:rPr>
        <w:t xml:space="preserve"> v tuje </w:t>
      </w:r>
      <w:r>
        <w:rPr>
          <w:rFonts w:ascii="Myriad Pro" w:hAnsi="Myriad Pro"/>
          <w:sz w:val="20"/>
          <w:szCs w:val="20"/>
        </w:rPr>
        <w:t>v</w:t>
      </w:r>
      <w:r w:rsidRPr="004E17F8">
        <w:rPr>
          <w:rFonts w:ascii="Myriad Pro" w:hAnsi="Myriad Pro"/>
          <w:sz w:val="20"/>
          <w:szCs w:val="20"/>
        </w:rPr>
        <w:t>rednostne papirje</w:t>
      </w:r>
      <w:r>
        <w:rPr>
          <w:rFonts w:ascii="Myriad Pro" w:hAnsi="Myriad Pro"/>
          <w:sz w:val="20"/>
          <w:szCs w:val="20"/>
        </w:rPr>
        <w:t xml:space="preserve">, </w:t>
      </w:r>
      <w:r w:rsidRPr="00C47425">
        <w:rPr>
          <w:rFonts w:ascii="Myriad Pro" w:hAnsi="Myriad Pro" w:cs="Arial"/>
          <w:sz w:val="20"/>
          <w:szCs w:val="20"/>
        </w:rPr>
        <w:t xml:space="preserve">kar je </w:t>
      </w:r>
      <w:r>
        <w:rPr>
          <w:rFonts w:ascii="Myriad Pro" w:hAnsi="Myriad Pro" w:cs="Arial"/>
          <w:sz w:val="20"/>
          <w:szCs w:val="20"/>
        </w:rPr>
        <w:t xml:space="preserve">bilo </w:t>
      </w:r>
      <w:r w:rsidRPr="00C47425">
        <w:rPr>
          <w:rFonts w:ascii="Myriad Pro" w:hAnsi="Myriad Pro" w:cs="Arial"/>
          <w:sz w:val="20"/>
          <w:szCs w:val="20"/>
        </w:rPr>
        <w:t>povezano z višjimi donosi na mednarodnih finančnih trgih.</w:t>
      </w:r>
      <w:r>
        <w:rPr>
          <w:rFonts w:ascii="Myriad Pro" w:hAnsi="Myriad Pro" w:cs="Arial"/>
          <w:sz w:val="20"/>
          <w:szCs w:val="20"/>
        </w:rPr>
        <w:t xml:space="preserve"> </w:t>
      </w:r>
      <w:r>
        <w:rPr>
          <w:rFonts w:ascii="Myriad Pro" w:hAnsi="Myriad Pro"/>
          <w:sz w:val="20"/>
          <w:szCs w:val="20"/>
        </w:rPr>
        <w:t>N</w:t>
      </w:r>
      <w:r w:rsidRPr="004E17F8">
        <w:rPr>
          <w:rFonts w:ascii="Myriad Pro" w:hAnsi="Myriad Pro"/>
          <w:sz w:val="20"/>
          <w:szCs w:val="20"/>
        </w:rPr>
        <w:t xml:space="preserve">efinančne družbe </w:t>
      </w:r>
      <w:r>
        <w:rPr>
          <w:rFonts w:ascii="Myriad Pro" w:hAnsi="Myriad Pro"/>
          <w:sz w:val="20"/>
          <w:szCs w:val="20"/>
        </w:rPr>
        <w:t xml:space="preserve">so povečale neto terjatve </w:t>
      </w:r>
      <w:r w:rsidRPr="004E17F8">
        <w:rPr>
          <w:rFonts w:ascii="Myriad Pro" w:hAnsi="Myriad Pro"/>
          <w:sz w:val="20"/>
          <w:szCs w:val="20"/>
        </w:rPr>
        <w:t xml:space="preserve">na segmentu kratkoročnih komercialnih kreditov, </w:t>
      </w:r>
      <w:r>
        <w:rPr>
          <w:rFonts w:ascii="Myriad Pro" w:hAnsi="Myriad Pro"/>
          <w:sz w:val="20"/>
          <w:szCs w:val="20"/>
        </w:rPr>
        <w:t xml:space="preserve">kar je </w:t>
      </w:r>
      <w:r w:rsidR="00355F20">
        <w:rPr>
          <w:rFonts w:ascii="Myriad Pro" w:hAnsi="Myriad Pro"/>
          <w:sz w:val="20"/>
          <w:szCs w:val="20"/>
        </w:rPr>
        <w:t xml:space="preserve">bilo povezano z rastjo </w:t>
      </w:r>
      <w:r>
        <w:rPr>
          <w:rFonts w:ascii="Myriad Pro" w:hAnsi="Myriad Pro"/>
          <w:sz w:val="20"/>
          <w:szCs w:val="20"/>
        </w:rPr>
        <w:t>blagovno-storitvene menjave s tujino.</w:t>
      </w:r>
      <w:r w:rsidRPr="004E17F8">
        <w:rPr>
          <w:rFonts w:ascii="Myriad Pro" w:hAnsi="Myriad Pro"/>
          <w:sz w:val="20"/>
          <w:szCs w:val="20"/>
        </w:rPr>
        <w:t xml:space="preserve"> </w:t>
      </w:r>
      <w:r>
        <w:rPr>
          <w:rFonts w:ascii="Myriad Pro" w:hAnsi="Myriad Pro"/>
          <w:sz w:val="20"/>
          <w:szCs w:val="20"/>
        </w:rPr>
        <w:t>Podjetniški sektor je bil tudi neto prejemnik neposrednih naložb.</w:t>
      </w:r>
    </w:p>
    <w:p w14:paraId="2CD028F0" w14:textId="77777777" w:rsidR="005C0E47" w:rsidRDefault="005C0E47" w:rsidP="005D6200">
      <w:pPr>
        <w:pStyle w:val="TekstPOR"/>
        <w:spacing w:before="0" w:after="0" w:line="288" w:lineRule="auto"/>
        <w:jc w:val="both"/>
        <w:rPr>
          <w:rFonts w:ascii="Myriad Pro" w:hAnsi="Myriad Pro"/>
          <w:sz w:val="20"/>
          <w:szCs w:val="20"/>
        </w:rPr>
      </w:pPr>
    </w:p>
    <w:p w14:paraId="265FAEBA" w14:textId="046BAF8F" w:rsidR="009F2D3D" w:rsidRPr="005C0E47" w:rsidRDefault="00BE2751" w:rsidP="00997696">
      <w:pPr>
        <w:pStyle w:val="TekstPOR"/>
        <w:spacing w:before="0" w:after="0" w:line="288" w:lineRule="auto"/>
        <w:jc w:val="both"/>
        <w:rPr>
          <w:rFonts w:ascii="Myriad Pro" w:hAnsi="Myriad Pro" w:cstheme="minorHAnsi"/>
          <w:sz w:val="20"/>
        </w:rPr>
      </w:pPr>
      <w:r w:rsidRPr="006F1980">
        <w:rPr>
          <w:rFonts w:ascii="Myriad Pro" w:hAnsi="Myriad Pro"/>
          <w:sz w:val="20"/>
          <w:szCs w:val="20"/>
        </w:rPr>
        <w:t xml:space="preserve">V opazovanem obdobju se je </w:t>
      </w:r>
      <w:r w:rsidR="005C0E47">
        <w:rPr>
          <w:rFonts w:ascii="Myriad Pro" w:hAnsi="Myriad Pro"/>
          <w:sz w:val="20"/>
          <w:szCs w:val="20"/>
        </w:rPr>
        <w:t xml:space="preserve">izboljšala tudi </w:t>
      </w:r>
      <w:r w:rsidR="00FC01D8">
        <w:rPr>
          <w:rFonts w:ascii="Myriad Pro" w:hAnsi="Myriad Pro"/>
          <w:sz w:val="20"/>
          <w:szCs w:val="20"/>
        </w:rPr>
        <w:t>mednarodn</w:t>
      </w:r>
      <w:r w:rsidR="00461840">
        <w:rPr>
          <w:rFonts w:ascii="Myriad Pro" w:hAnsi="Myriad Pro"/>
          <w:sz w:val="20"/>
          <w:szCs w:val="20"/>
        </w:rPr>
        <w:t>a</w:t>
      </w:r>
      <w:r w:rsidR="00FC01D8">
        <w:rPr>
          <w:rFonts w:ascii="Myriad Pro" w:hAnsi="Myriad Pro"/>
          <w:sz w:val="20"/>
          <w:szCs w:val="20"/>
        </w:rPr>
        <w:t xml:space="preserve"> investicijska pozicija </w:t>
      </w:r>
      <w:r w:rsidRPr="006F1980">
        <w:rPr>
          <w:rFonts w:ascii="Myriad Pro" w:hAnsi="Myriad Pro"/>
          <w:i/>
          <w:iCs/>
          <w:sz w:val="20"/>
          <w:szCs w:val="20"/>
        </w:rPr>
        <w:t>BS</w:t>
      </w:r>
      <w:r w:rsidR="005C0E47">
        <w:rPr>
          <w:rFonts w:ascii="Myriad Pro" w:hAnsi="Myriad Pro"/>
          <w:sz w:val="20"/>
          <w:szCs w:val="20"/>
        </w:rPr>
        <w:t xml:space="preserve">, in sicer </w:t>
      </w:r>
      <w:r w:rsidRPr="006F1980">
        <w:rPr>
          <w:rFonts w:ascii="Myriad Pro" w:hAnsi="Myriad Pro"/>
          <w:sz w:val="20"/>
          <w:szCs w:val="20"/>
        </w:rPr>
        <w:t xml:space="preserve">za </w:t>
      </w:r>
      <w:r w:rsidR="00C963F3">
        <w:rPr>
          <w:rFonts w:ascii="Myriad Pro" w:hAnsi="Myriad Pro"/>
          <w:sz w:val="20"/>
          <w:szCs w:val="20"/>
        </w:rPr>
        <w:t>6,6</w:t>
      </w:r>
      <w:r w:rsidRPr="006F1980">
        <w:rPr>
          <w:rFonts w:ascii="Myriad Pro" w:hAnsi="Myriad Pro"/>
          <w:sz w:val="20"/>
          <w:szCs w:val="20"/>
        </w:rPr>
        <w:t xml:space="preserve"> mrd EUR.  </w:t>
      </w:r>
      <w:r w:rsidR="005D6200">
        <w:rPr>
          <w:rFonts w:ascii="Myriad Pro" w:hAnsi="Myriad Pro"/>
          <w:sz w:val="20"/>
          <w:szCs w:val="20"/>
        </w:rPr>
        <w:t xml:space="preserve">Najbolj so se okrepili neto odlivi </w:t>
      </w:r>
      <w:r w:rsidR="003A5537">
        <w:rPr>
          <w:rFonts w:ascii="Myriad Pro" w:hAnsi="Myriad Pro"/>
          <w:sz w:val="20"/>
          <w:szCs w:val="20"/>
        </w:rPr>
        <w:t>gotovine in vlog</w:t>
      </w:r>
      <w:r w:rsidR="005D6200">
        <w:rPr>
          <w:rFonts w:ascii="Myriad Pro" w:hAnsi="Myriad Pro"/>
          <w:sz w:val="20"/>
          <w:szCs w:val="20"/>
        </w:rPr>
        <w:t xml:space="preserve">. </w:t>
      </w:r>
      <w:r w:rsidR="00B26254">
        <w:rPr>
          <w:rFonts w:ascii="Myriad Pro" w:hAnsi="Myriad Pro"/>
          <w:sz w:val="20"/>
          <w:szCs w:val="20"/>
        </w:rPr>
        <w:t>Najprej so se o</w:t>
      </w:r>
      <w:r w:rsidR="00071815">
        <w:rPr>
          <w:rFonts w:ascii="Myriad Pro" w:hAnsi="Myriad Pro"/>
          <w:sz w:val="20"/>
          <w:szCs w:val="20"/>
        </w:rPr>
        <w:t xml:space="preserve">bveznosti BS </w:t>
      </w:r>
      <w:r w:rsidR="00997696" w:rsidRPr="006F1980">
        <w:rPr>
          <w:rFonts w:ascii="Myriad Pro" w:hAnsi="Myriad Pro"/>
          <w:sz w:val="20"/>
          <w:szCs w:val="20"/>
        </w:rPr>
        <w:t>v okviru Evrosistema</w:t>
      </w:r>
      <w:r w:rsidR="00A75949">
        <w:rPr>
          <w:rFonts w:ascii="Myriad Pro" w:hAnsi="Myriad Pro"/>
          <w:sz w:val="20"/>
          <w:szCs w:val="20"/>
        </w:rPr>
        <w:t xml:space="preserve"> zmanjšale</w:t>
      </w:r>
      <w:r w:rsidR="00997696" w:rsidRPr="006F1980">
        <w:rPr>
          <w:rFonts w:ascii="Myriad Pro" w:hAnsi="Myriad Pro"/>
          <w:sz w:val="20"/>
          <w:szCs w:val="20"/>
        </w:rPr>
        <w:t xml:space="preserve"> (TARGET2) </w:t>
      </w:r>
      <w:r w:rsidR="00467D8A">
        <w:rPr>
          <w:rFonts w:ascii="Myriad Pro" w:hAnsi="Myriad Pro"/>
          <w:sz w:val="20"/>
          <w:szCs w:val="20"/>
        </w:rPr>
        <w:t xml:space="preserve">in sicer </w:t>
      </w:r>
      <w:r w:rsidR="00071815">
        <w:rPr>
          <w:rFonts w:ascii="Myriad Pro" w:hAnsi="Myriad Pro"/>
          <w:sz w:val="20"/>
          <w:szCs w:val="20"/>
        </w:rPr>
        <w:t>zaradi višjih depozitov države in položaj je v 2014 prešel celo v terjatve.</w:t>
      </w:r>
      <w:r w:rsidR="006F1980">
        <w:rPr>
          <w:rFonts w:ascii="Myriad Pro" w:hAnsi="Myriad Pro"/>
          <w:sz w:val="20"/>
          <w:szCs w:val="20"/>
        </w:rPr>
        <w:t xml:space="preserve"> </w:t>
      </w:r>
      <w:r w:rsidR="00270F9D">
        <w:rPr>
          <w:rFonts w:ascii="Myriad Pro" w:hAnsi="Myriad Pro"/>
          <w:sz w:val="20"/>
          <w:szCs w:val="20"/>
        </w:rPr>
        <w:t>Obratno je bilo</w:t>
      </w:r>
      <w:r w:rsidR="00071815">
        <w:rPr>
          <w:rFonts w:ascii="Myriad Pro" w:hAnsi="Myriad Pro"/>
          <w:sz w:val="20"/>
          <w:szCs w:val="20"/>
        </w:rPr>
        <w:t xml:space="preserve"> v letu </w:t>
      </w:r>
      <w:r w:rsidR="000B3EA2">
        <w:rPr>
          <w:rFonts w:ascii="Myriad Pro" w:hAnsi="Myriad Pro"/>
          <w:sz w:val="20"/>
          <w:szCs w:val="20"/>
        </w:rPr>
        <w:t>2015</w:t>
      </w:r>
      <w:r w:rsidR="00071815">
        <w:rPr>
          <w:rFonts w:ascii="Myriad Pro" w:hAnsi="Myriad Pro"/>
          <w:sz w:val="20"/>
          <w:szCs w:val="20"/>
        </w:rPr>
        <w:t xml:space="preserve">, ko </w:t>
      </w:r>
      <w:r w:rsidR="000B3EA2">
        <w:rPr>
          <w:rFonts w:ascii="Myriad Pro" w:hAnsi="Myriad Pro"/>
          <w:sz w:val="20"/>
          <w:szCs w:val="20"/>
        </w:rPr>
        <w:t>je država zaradi ugodnejših pogojev povečala depozite v tujih bankah</w:t>
      </w:r>
      <w:r w:rsidR="00B26254">
        <w:rPr>
          <w:rFonts w:ascii="Myriad Pro" w:hAnsi="Myriad Pro"/>
          <w:sz w:val="20"/>
          <w:szCs w:val="20"/>
        </w:rPr>
        <w:t xml:space="preserve">, saj so </w:t>
      </w:r>
      <w:r w:rsidR="00B26254" w:rsidRPr="00C23EA9">
        <w:rPr>
          <w:rFonts w:ascii="Myriad Pro" w:hAnsi="Myriad Pro" w:cstheme="minorHAnsi"/>
          <w:sz w:val="20"/>
        </w:rPr>
        <w:t>bile vloge obrestovane višje kot v domačem bančnem sistemu.</w:t>
      </w:r>
      <w:r w:rsidR="005D6200">
        <w:rPr>
          <w:rFonts w:ascii="Myriad Pro" w:hAnsi="Myriad Pro"/>
          <w:sz w:val="20"/>
          <w:szCs w:val="20"/>
        </w:rPr>
        <w:t xml:space="preserve"> </w:t>
      </w:r>
      <w:r w:rsidR="00270F9D">
        <w:rPr>
          <w:rFonts w:ascii="Myriad Pro" w:hAnsi="Myriad Pro"/>
          <w:sz w:val="20"/>
          <w:szCs w:val="20"/>
        </w:rPr>
        <w:t xml:space="preserve">Posledično so se obveznosti BS do tujine povečale. </w:t>
      </w:r>
      <w:r w:rsidR="005D6200">
        <w:rPr>
          <w:rFonts w:ascii="Myriad Pro" w:hAnsi="Myriad Pro"/>
          <w:sz w:val="20"/>
          <w:szCs w:val="20"/>
        </w:rPr>
        <w:t xml:space="preserve">V preteklih treh letih pa je </w:t>
      </w:r>
      <w:r w:rsidR="005D6200" w:rsidRPr="005D6200">
        <w:rPr>
          <w:rFonts w:ascii="Myriad Pro" w:hAnsi="Myriad Pro" w:cstheme="minorHAnsi"/>
          <w:sz w:val="20"/>
        </w:rPr>
        <w:t>BS</w:t>
      </w:r>
      <w:r w:rsidR="005D6200" w:rsidRPr="00C23EA9">
        <w:rPr>
          <w:rFonts w:ascii="Myriad Pro" w:hAnsi="Myriad Pro" w:cstheme="minorHAnsi"/>
          <w:sz w:val="20"/>
        </w:rPr>
        <w:t xml:space="preserve"> precej povečala gotovino in vloge na računih v tujini, saj so se </w:t>
      </w:r>
      <w:r w:rsidR="00B26254">
        <w:rPr>
          <w:rFonts w:ascii="Myriad Pro" w:hAnsi="Myriad Pro" w:cstheme="minorHAnsi"/>
          <w:sz w:val="20"/>
        </w:rPr>
        <w:t xml:space="preserve">v okviru terjatev znotraj Evrosistema večinoma </w:t>
      </w:r>
      <w:r w:rsidR="005D6200" w:rsidRPr="00C23EA9">
        <w:rPr>
          <w:rFonts w:ascii="Myriad Pro" w:hAnsi="Myriad Pro" w:cstheme="minorHAnsi"/>
          <w:sz w:val="20"/>
        </w:rPr>
        <w:t xml:space="preserve">povečale terjatve preko plačilnega sistema TARGET kot neto rezultat vseh čezmejnih nakazil. </w:t>
      </w:r>
      <w:r w:rsidR="00C963F3">
        <w:rPr>
          <w:rFonts w:ascii="Myriad Pro" w:hAnsi="Myriad Pro" w:cstheme="minorHAnsi"/>
          <w:sz w:val="20"/>
        </w:rPr>
        <w:t xml:space="preserve">Poleg tega je </w:t>
      </w:r>
      <w:r w:rsidR="005D6200" w:rsidRPr="00C23EA9">
        <w:rPr>
          <w:rFonts w:ascii="Myriad Pro" w:hAnsi="Myriad Pro" w:cstheme="minorHAnsi"/>
          <w:sz w:val="20"/>
        </w:rPr>
        <w:t xml:space="preserve">BS </w:t>
      </w:r>
      <w:r w:rsidR="00C963F3">
        <w:rPr>
          <w:rFonts w:ascii="Myriad Pro" w:hAnsi="Myriad Pro" w:cstheme="minorHAnsi"/>
          <w:sz w:val="20"/>
        </w:rPr>
        <w:t>p</w:t>
      </w:r>
      <w:r w:rsidR="005D6200" w:rsidRPr="00C23EA9">
        <w:rPr>
          <w:rFonts w:ascii="Myriad Pro" w:hAnsi="Myriad Pro" w:cstheme="minorHAnsi"/>
          <w:sz w:val="20"/>
        </w:rPr>
        <w:t xml:space="preserve">ovečala tudi obveznosti v okviru Evrosistema, na kar je vplivalo predvsem večje povpraševanje gospodinjstev po gotovini. </w:t>
      </w:r>
      <w:r w:rsidR="006F1980" w:rsidRPr="006F1980">
        <w:rPr>
          <w:rFonts w:ascii="Myriad Pro" w:hAnsi="Myriad Pro" w:cs="Arial"/>
          <w:sz w:val="20"/>
          <w:szCs w:val="20"/>
        </w:rPr>
        <w:t xml:space="preserve">BS </w:t>
      </w:r>
      <w:r w:rsidR="00DC3449">
        <w:rPr>
          <w:rFonts w:ascii="Myriad Pro" w:hAnsi="Myriad Pro" w:cs="Arial"/>
          <w:sz w:val="20"/>
          <w:szCs w:val="20"/>
        </w:rPr>
        <w:t>je povečala</w:t>
      </w:r>
      <w:r w:rsidR="006F1980" w:rsidRPr="006F1980">
        <w:rPr>
          <w:rFonts w:ascii="Myriad Pro" w:hAnsi="Myriad Pro" w:cs="Arial"/>
          <w:sz w:val="20"/>
          <w:szCs w:val="20"/>
        </w:rPr>
        <w:t xml:space="preserve"> </w:t>
      </w:r>
      <w:r w:rsidR="00970E39">
        <w:rPr>
          <w:rFonts w:ascii="Myriad Pro" w:hAnsi="Myriad Pro" w:cs="Arial"/>
          <w:sz w:val="20"/>
          <w:szCs w:val="20"/>
        </w:rPr>
        <w:t xml:space="preserve">tudi </w:t>
      </w:r>
      <w:r w:rsidR="006F1980" w:rsidRPr="006F1980">
        <w:rPr>
          <w:rFonts w:ascii="Myriad Pro" w:hAnsi="Myriad Pro" w:cs="Arial"/>
          <w:sz w:val="20"/>
          <w:szCs w:val="20"/>
        </w:rPr>
        <w:t xml:space="preserve">finančne investicije v vrednostne papirje tujih sektorjev, </w:t>
      </w:r>
      <w:r w:rsidR="00483922">
        <w:rPr>
          <w:rFonts w:ascii="Myriad Pro" w:hAnsi="Myriad Pro" w:cs="Arial"/>
          <w:sz w:val="20"/>
          <w:szCs w:val="20"/>
        </w:rPr>
        <w:t xml:space="preserve">predvsem v obdobju 2015-2017, </w:t>
      </w:r>
      <w:r w:rsidR="006F1980" w:rsidRPr="006F1980">
        <w:rPr>
          <w:rFonts w:ascii="Myriad Pro" w:hAnsi="Myriad Pro" w:cs="Arial"/>
          <w:sz w:val="20"/>
          <w:szCs w:val="20"/>
        </w:rPr>
        <w:t xml:space="preserve">kar je </w:t>
      </w:r>
      <w:r w:rsidR="00DC3449">
        <w:rPr>
          <w:rFonts w:ascii="Myriad Pro" w:hAnsi="Myriad Pro" w:cs="Arial"/>
          <w:sz w:val="20"/>
          <w:szCs w:val="20"/>
        </w:rPr>
        <w:t xml:space="preserve">bilo </w:t>
      </w:r>
      <w:r w:rsidR="006F1980" w:rsidRPr="006F1980">
        <w:rPr>
          <w:rFonts w:ascii="Myriad Pro" w:hAnsi="Myriad Pro" w:cs="Arial"/>
          <w:sz w:val="20"/>
          <w:szCs w:val="20"/>
        </w:rPr>
        <w:t>posledica razmer na finančnih trgih, tj. nizkih oz. negativnih obrestnih mer na denarnem trgu in s tem povezanih investicijskih odločitev BS. Poleg tega</w:t>
      </w:r>
      <w:r w:rsidR="00FA61DC">
        <w:rPr>
          <w:rFonts w:ascii="Myriad Pro" w:hAnsi="Myriad Pro" w:cs="Arial"/>
          <w:sz w:val="20"/>
          <w:szCs w:val="20"/>
        </w:rPr>
        <w:t xml:space="preserve"> je</w:t>
      </w:r>
      <w:r w:rsidR="006F1980" w:rsidRPr="006F1980">
        <w:rPr>
          <w:rFonts w:ascii="Myriad Pro" w:hAnsi="Myriad Pro" w:cs="Arial"/>
          <w:sz w:val="20"/>
          <w:szCs w:val="20"/>
        </w:rPr>
        <w:t xml:space="preserve"> BS kup</w:t>
      </w:r>
      <w:r w:rsidR="00DC3449">
        <w:rPr>
          <w:rFonts w:ascii="Myriad Pro" w:hAnsi="Myriad Pro" w:cs="Arial"/>
          <w:sz w:val="20"/>
          <w:szCs w:val="20"/>
        </w:rPr>
        <w:t>ovala</w:t>
      </w:r>
      <w:r w:rsidR="006F1980" w:rsidRPr="006F1980">
        <w:rPr>
          <w:rFonts w:ascii="Myriad Pro" w:hAnsi="Myriad Pro" w:cs="Arial"/>
          <w:sz w:val="20"/>
          <w:szCs w:val="20"/>
        </w:rPr>
        <w:t xml:space="preserve"> vrednostne papirje v okviru izvajanja programa APP (v delu, ko </w:t>
      </w:r>
      <w:r w:rsidR="00EC5840">
        <w:rPr>
          <w:rFonts w:ascii="Myriad Pro" w:hAnsi="Myriad Pro" w:cs="Arial"/>
          <w:sz w:val="20"/>
          <w:szCs w:val="20"/>
        </w:rPr>
        <w:t xml:space="preserve">je </w:t>
      </w:r>
      <w:r w:rsidR="006F1980" w:rsidRPr="006F1980">
        <w:rPr>
          <w:rFonts w:ascii="Myriad Pro" w:hAnsi="Myriad Pro" w:cs="Arial"/>
          <w:sz w:val="20"/>
          <w:szCs w:val="20"/>
        </w:rPr>
        <w:t>kot substitut kup</w:t>
      </w:r>
      <w:r w:rsidR="00DC3449">
        <w:rPr>
          <w:rFonts w:ascii="Myriad Pro" w:hAnsi="Myriad Pro" w:cs="Arial"/>
          <w:sz w:val="20"/>
          <w:szCs w:val="20"/>
        </w:rPr>
        <w:t>ovala</w:t>
      </w:r>
      <w:r w:rsidR="006F1980" w:rsidRPr="006F1980">
        <w:rPr>
          <w:rFonts w:ascii="Myriad Pro" w:hAnsi="Myriad Pro" w:cs="Arial"/>
          <w:sz w:val="20"/>
          <w:szCs w:val="20"/>
        </w:rPr>
        <w:t xml:space="preserve"> naddržavne obveznice izdane s strani evropskih institucij), ki </w:t>
      </w:r>
      <w:r w:rsidR="00DC3449">
        <w:rPr>
          <w:rFonts w:ascii="Myriad Pro" w:hAnsi="Myriad Pro" w:cs="Arial"/>
          <w:sz w:val="20"/>
          <w:szCs w:val="20"/>
        </w:rPr>
        <w:t xml:space="preserve">so </w:t>
      </w:r>
      <w:r w:rsidR="006F1980" w:rsidRPr="006F1980">
        <w:rPr>
          <w:rFonts w:ascii="Myriad Pro" w:hAnsi="Myriad Pro" w:cs="Arial"/>
          <w:sz w:val="20"/>
          <w:szCs w:val="20"/>
        </w:rPr>
        <w:t>poteka</w:t>
      </w:r>
      <w:r w:rsidR="00DC3449">
        <w:rPr>
          <w:rFonts w:ascii="Myriad Pro" w:hAnsi="Myriad Pro" w:cs="Arial"/>
          <w:sz w:val="20"/>
          <w:szCs w:val="20"/>
        </w:rPr>
        <w:t>li</w:t>
      </w:r>
      <w:r w:rsidR="006F1980" w:rsidRPr="006F1980">
        <w:rPr>
          <w:rFonts w:ascii="Myriad Pro" w:hAnsi="Myriad Pro" w:cs="Arial"/>
          <w:sz w:val="20"/>
          <w:szCs w:val="20"/>
        </w:rPr>
        <w:t xml:space="preserve"> usklajeno na ravni Evrosistema in </w:t>
      </w:r>
      <w:r w:rsidR="00DC3449">
        <w:rPr>
          <w:rFonts w:ascii="Myriad Pro" w:hAnsi="Myriad Pro" w:cs="Arial"/>
          <w:sz w:val="20"/>
          <w:szCs w:val="20"/>
        </w:rPr>
        <w:t xml:space="preserve">so </w:t>
      </w:r>
      <w:r w:rsidR="006F1980" w:rsidRPr="006F1980">
        <w:rPr>
          <w:rFonts w:ascii="Myriad Pro" w:hAnsi="Myriad Pro" w:cs="Arial"/>
          <w:sz w:val="20"/>
          <w:szCs w:val="20"/>
        </w:rPr>
        <w:t xml:space="preserve">se v celoti </w:t>
      </w:r>
      <w:r w:rsidR="006F1980" w:rsidRPr="006F1980">
        <w:rPr>
          <w:rFonts w:ascii="Myriad Pro" w:hAnsi="Myriad Pro" w:cs="Arial"/>
          <w:sz w:val="20"/>
          <w:szCs w:val="20"/>
        </w:rPr>
        <w:lastRenderedPageBreak/>
        <w:t>financira</w:t>
      </w:r>
      <w:r w:rsidR="00DC3449">
        <w:rPr>
          <w:rFonts w:ascii="Myriad Pro" w:hAnsi="Myriad Pro" w:cs="Arial"/>
          <w:sz w:val="20"/>
          <w:szCs w:val="20"/>
        </w:rPr>
        <w:t>li</w:t>
      </w:r>
      <w:r w:rsidR="006F1980" w:rsidRPr="006F1980">
        <w:rPr>
          <w:rFonts w:ascii="Myriad Pro" w:hAnsi="Myriad Pro" w:cs="Arial"/>
          <w:sz w:val="20"/>
          <w:szCs w:val="20"/>
        </w:rPr>
        <w:t xml:space="preserve"> s centralno bančnim denarjem. Zaradi programa nakupov vrednostnih papirjev se je povečala tudi presežna likvidnost domačih bank</w:t>
      </w:r>
      <w:r w:rsidR="00C72C7B">
        <w:rPr>
          <w:rFonts w:ascii="Myriad Pro" w:hAnsi="Myriad Pro" w:cs="Arial"/>
          <w:sz w:val="20"/>
          <w:szCs w:val="20"/>
        </w:rPr>
        <w:t>.</w:t>
      </w:r>
      <w:r w:rsidR="00C26576">
        <w:rPr>
          <w:rStyle w:val="FootnoteReference"/>
          <w:rFonts w:cs="Arial"/>
          <w:szCs w:val="20"/>
        </w:rPr>
        <w:footnoteReference w:id="11"/>
      </w:r>
    </w:p>
    <w:p w14:paraId="196C7268" w14:textId="706DCA2F" w:rsidR="009F2D3D" w:rsidRDefault="009F2D3D" w:rsidP="0075319C">
      <w:pPr>
        <w:pStyle w:val="TekstPOR"/>
        <w:spacing w:line="288" w:lineRule="auto"/>
        <w:jc w:val="both"/>
        <w:rPr>
          <w:rFonts w:ascii="Myriad Pro" w:hAnsi="Myriad Pro"/>
          <w:sz w:val="20"/>
        </w:rPr>
      </w:pPr>
    </w:p>
    <w:p w14:paraId="309A8CFB" w14:textId="3D4317C0" w:rsidR="00270F9D" w:rsidRPr="0087795F" w:rsidRDefault="00270F9D" w:rsidP="00270F9D">
      <w:pPr>
        <w:pStyle w:val="TekstPOR"/>
        <w:spacing w:before="0" w:after="0" w:line="288" w:lineRule="auto"/>
        <w:jc w:val="both"/>
        <w:rPr>
          <w:rFonts w:ascii="Myriad Pro" w:hAnsi="Myriad Pro" w:cs="Arial"/>
          <w:sz w:val="20"/>
          <w:szCs w:val="20"/>
        </w:rPr>
      </w:pPr>
      <w:r>
        <w:rPr>
          <w:rFonts w:ascii="Myriad Pro" w:hAnsi="Myriad Pro"/>
          <w:sz w:val="20"/>
          <w:szCs w:val="20"/>
        </w:rPr>
        <w:t>C</w:t>
      </w:r>
      <w:r w:rsidRPr="0087795F">
        <w:rPr>
          <w:rFonts w:ascii="Myriad Pro" w:hAnsi="Myriad Pro"/>
          <w:sz w:val="20"/>
          <w:szCs w:val="20"/>
        </w:rPr>
        <w:t xml:space="preserve">elotna neto zadolženost </w:t>
      </w:r>
      <w:r w:rsidRPr="0087795F">
        <w:rPr>
          <w:rFonts w:ascii="Myriad Pro" w:hAnsi="Myriad Pro"/>
          <w:i/>
          <w:iCs/>
          <w:sz w:val="20"/>
          <w:szCs w:val="20"/>
        </w:rPr>
        <w:t>države</w:t>
      </w:r>
      <w:r w:rsidRPr="0087795F">
        <w:rPr>
          <w:rFonts w:ascii="Myriad Pro" w:hAnsi="Myriad Pro"/>
          <w:sz w:val="20"/>
          <w:szCs w:val="20"/>
        </w:rPr>
        <w:t xml:space="preserve"> </w:t>
      </w:r>
      <w:r w:rsidR="00CD3804">
        <w:rPr>
          <w:rFonts w:ascii="Myriad Pro" w:hAnsi="Myriad Pro"/>
          <w:sz w:val="20"/>
          <w:szCs w:val="20"/>
        </w:rPr>
        <w:t xml:space="preserve">pa </w:t>
      </w:r>
      <w:r>
        <w:rPr>
          <w:rFonts w:ascii="Myriad Pro" w:hAnsi="Myriad Pro"/>
          <w:sz w:val="20"/>
          <w:szCs w:val="20"/>
        </w:rPr>
        <w:t xml:space="preserve">se je </w:t>
      </w:r>
      <w:r w:rsidRPr="0087795F">
        <w:rPr>
          <w:rFonts w:ascii="Myriad Pro" w:hAnsi="Myriad Pro"/>
          <w:sz w:val="20"/>
          <w:szCs w:val="20"/>
        </w:rPr>
        <w:t>povečala za 11,</w:t>
      </w:r>
      <w:r w:rsidR="00C963F3">
        <w:rPr>
          <w:rFonts w:ascii="Myriad Pro" w:hAnsi="Myriad Pro"/>
          <w:sz w:val="20"/>
          <w:szCs w:val="20"/>
        </w:rPr>
        <w:t>0</w:t>
      </w:r>
      <w:r w:rsidRPr="0087795F">
        <w:rPr>
          <w:rFonts w:ascii="Myriad Pro" w:hAnsi="Myriad Pro"/>
          <w:sz w:val="20"/>
          <w:szCs w:val="20"/>
        </w:rPr>
        <w:t xml:space="preserve"> mrd EUR.  </w:t>
      </w:r>
      <w:r w:rsidRPr="004338E5">
        <w:rPr>
          <w:rFonts w:ascii="Myriad Pro" w:hAnsi="Myriad Pro" w:cs="Arial"/>
          <w:sz w:val="20"/>
          <w:szCs w:val="20"/>
        </w:rPr>
        <w:t xml:space="preserve">Večino terjatev do tujine </w:t>
      </w:r>
      <w:r>
        <w:rPr>
          <w:rFonts w:ascii="Myriad Pro" w:hAnsi="Myriad Pro" w:cs="Arial"/>
          <w:sz w:val="20"/>
          <w:szCs w:val="20"/>
        </w:rPr>
        <w:t xml:space="preserve">so </w:t>
      </w:r>
      <w:r w:rsidRPr="004338E5">
        <w:rPr>
          <w:rFonts w:ascii="Myriad Pro" w:hAnsi="Myriad Pro" w:cs="Arial"/>
          <w:sz w:val="20"/>
          <w:szCs w:val="20"/>
        </w:rPr>
        <w:t>predstavlja</w:t>
      </w:r>
      <w:r>
        <w:rPr>
          <w:rFonts w:ascii="Myriad Pro" w:hAnsi="Myriad Pro" w:cs="Arial"/>
          <w:sz w:val="20"/>
          <w:szCs w:val="20"/>
        </w:rPr>
        <w:t>le</w:t>
      </w:r>
      <w:r w:rsidRPr="004338E5">
        <w:rPr>
          <w:rFonts w:ascii="Myriad Pro" w:hAnsi="Myriad Pro" w:cs="Arial"/>
          <w:sz w:val="20"/>
          <w:szCs w:val="20"/>
        </w:rPr>
        <w:t xml:space="preserve"> gotovina in vloge na računih v tujini</w:t>
      </w:r>
      <w:r>
        <w:rPr>
          <w:rFonts w:ascii="Myriad Pro" w:hAnsi="Myriad Pro" w:cs="Arial"/>
          <w:sz w:val="20"/>
          <w:szCs w:val="20"/>
        </w:rPr>
        <w:t>, kamor je država, skladno s strategijo upravljanja plasirala svoje likvidnostne presežke.</w:t>
      </w:r>
      <w:r w:rsidRPr="0087795F">
        <w:rPr>
          <w:rFonts w:ascii="Myriad Pro" w:hAnsi="Myriad Pro" w:cs="Arial"/>
          <w:sz w:val="20"/>
          <w:szCs w:val="20"/>
        </w:rPr>
        <w:t xml:space="preserve"> Obveznosti državnega sektorja,</w:t>
      </w:r>
      <w:r w:rsidRPr="0087795F">
        <w:rPr>
          <w:rFonts w:ascii="Myriad Pro" w:hAnsi="Myriad Pro" w:cs="Arial"/>
          <w:i/>
          <w:sz w:val="20"/>
          <w:szCs w:val="20"/>
        </w:rPr>
        <w:t xml:space="preserve"> </w:t>
      </w:r>
      <w:r w:rsidRPr="0087795F">
        <w:rPr>
          <w:rFonts w:ascii="Myriad Pro" w:hAnsi="Myriad Pro" w:cs="Arial"/>
          <w:sz w:val="20"/>
          <w:szCs w:val="20"/>
        </w:rPr>
        <w:t xml:space="preserve">ki se je od začetka </w:t>
      </w:r>
      <w:r>
        <w:rPr>
          <w:rFonts w:ascii="Myriad Pro" w:hAnsi="Myriad Pro" w:cs="Arial"/>
          <w:sz w:val="20"/>
          <w:szCs w:val="20"/>
        </w:rPr>
        <w:t xml:space="preserve">finančne </w:t>
      </w:r>
      <w:r w:rsidRPr="0087795F">
        <w:rPr>
          <w:rFonts w:ascii="Myriad Pro" w:hAnsi="Myriad Pro" w:cs="Arial"/>
          <w:sz w:val="20"/>
          <w:szCs w:val="20"/>
        </w:rPr>
        <w:t xml:space="preserve">krize pa do konca leta 2014 pospešeno zadolževal, so se </w:t>
      </w:r>
      <w:r>
        <w:rPr>
          <w:rFonts w:ascii="Myriad Pro" w:hAnsi="Myriad Pro" w:cs="Arial"/>
          <w:sz w:val="20"/>
          <w:szCs w:val="20"/>
        </w:rPr>
        <w:t xml:space="preserve">v obdobju 2015-2018 </w:t>
      </w:r>
      <w:r w:rsidRPr="0087795F">
        <w:rPr>
          <w:rFonts w:ascii="Myriad Pro" w:hAnsi="Myriad Pro" w:cs="Arial"/>
          <w:sz w:val="20"/>
          <w:szCs w:val="20"/>
        </w:rPr>
        <w:t xml:space="preserve">zmanjšale. </w:t>
      </w:r>
      <w:r>
        <w:rPr>
          <w:rFonts w:ascii="Myriad Pro" w:hAnsi="Myriad Pro" w:cs="Arial"/>
          <w:sz w:val="20"/>
          <w:szCs w:val="20"/>
        </w:rPr>
        <w:t>K temu je prispevala tudi BS, ki je primarno izvajala nakupe lastnih državnih in agencijskih obveznic. Z</w:t>
      </w:r>
      <w:r w:rsidRPr="0087795F">
        <w:rPr>
          <w:rFonts w:ascii="Myriad Pro" w:hAnsi="Myriad Pro" w:cs="Arial"/>
          <w:sz w:val="20"/>
          <w:szCs w:val="20"/>
        </w:rPr>
        <w:t>aradi ukrepov za blažitev posledic pandemije</w:t>
      </w:r>
      <w:r>
        <w:rPr>
          <w:rFonts w:ascii="Myriad Pro" w:hAnsi="Myriad Pro" w:cs="Arial"/>
          <w:sz w:val="20"/>
          <w:szCs w:val="20"/>
        </w:rPr>
        <w:t xml:space="preserve"> pa se je država v letu 2020 </w:t>
      </w:r>
      <w:r w:rsidRPr="0087795F">
        <w:rPr>
          <w:rFonts w:ascii="Myriad Pro" w:hAnsi="Myriad Pro" w:cs="Arial"/>
          <w:sz w:val="20"/>
          <w:szCs w:val="20"/>
        </w:rPr>
        <w:t>občutno zadolžila do tujih portfeljskih vlagateljev</w:t>
      </w:r>
      <w:r>
        <w:rPr>
          <w:rFonts w:ascii="Myriad Pro" w:hAnsi="Myriad Pro" w:cs="Arial"/>
          <w:sz w:val="20"/>
          <w:szCs w:val="20"/>
        </w:rPr>
        <w:t xml:space="preserve">, </w:t>
      </w:r>
      <w:r w:rsidRPr="0087795F">
        <w:rPr>
          <w:rFonts w:ascii="Myriad Pro" w:hAnsi="Myriad Pro" w:cs="Arial"/>
          <w:sz w:val="20"/>
          <w:szCs w:val="20"/>
        </w:rPr>
        <w:t xml:space="preserve">z namenom financiranja javnofinančnih primanjkljajev </w:t>
      </w:r>
      <w:r w:rsidRPr="0087795F">
        <w:rPr>
          <w:rFonts w:ascii="Myriad Pro" w:hAnsi="Myriad Pro" w:cs="Arial"/>
          <w:color w:val="333333"/>
          <w:sz w:val="20"/>
          <w:szCs w:val="20"/>
        </w:rPr>
        <w:t>ter odplačila glavnic državnega dolga</w:t>
      </w:r>
      <w:r>
        <w:rPr>
          <w:rFonts w:ascii="Myriad Pro" w:hAnsi="Myriad Pro" w:cs="Arial"/>
          <w:color w:val="333333"/>
          <w:sz w:val="20"/>
          <w:szCs w:val="20"/>
        </w:rPr>
        <w:t xml:space="preserve"> še tudi v letu 2021. </w:t>
      </w:r>
      <w:r>
        <w:rPr>
          <w:rFonts w:ascii="Myriad Pro" w:hAnsi="Myriad Pro" w:cs="Arial"/>
          <w:sz w:val="20"/>
          <w:szCs w:val="20"/>
        </w:rPr>
        <w:t>G</w:t>
      </w:r>
      <w:r w:rsidRPr="00C23EA9">
        <w:rPr>
          <w:rFonts w:ascii="Myriad Pro" w:hAnsi="Myriad Pro" w:cs="Arial"/>
          <w:color w:val="333333"/>
          <w:sz w:val="20"/>
        </w:rPr>
        <w:t xml:space="preserve">lede na volatilne razmere na mednarodnih finančih trgih </w:t>
      </w:r>
      <w:r>
        <w:rPr>
          <w:rFonts w:ascii="Myriad Pro" w:hAnsi="Myriad Pro" w:cs="Arial"/>
          <w:color w:val="333333"/>
          <w:sz w:val="20"/>
        </w:rPr>
        <w:t xml:space="preserve">je </w:t>
      </w:r>
      <w:r w:rsidRPr="00C23EA9">
        <w:rPr>
          <w:rFonts w:ascii="Myriad Pro" w:hAnsi="Myriad Pro" w:cs="Arial"/>
          <w:color w:val="333333"/>
          <w:sz w:val="20"/>
        </w:rPr>
        <w:t xml:space="preserve">povečala tudi obveznosti na segmentu finančnih derivativov </w:t>
      </w:r>
      <w:r>
        <w:rPr>
          <w:rFonts w:ascii="Myriad Pro" w:hAnsi="Myriad Pro" w:cs="Arial"/>
          <w:color w:val="333333"/>
          <w:sz w:val="20"/>
        </w:rPr>
        <w:t>ter</w:t>
      </w:r>
      <w:r w:rsidRPr="00C23EA9">
        <w:rPr>
          <w:rFonts w:ascii="Myriad Pro" w:hAnsi="Myriad Pro" w:cs="Arial"/>
          <w:color w:val="333333"/>
          <w:sz w:val="20"/>
        </w:rPr>
        <w:t xml:space="preserve"> s tem zavarovala izdane državne obveznice pred tečajnim in obrestnim tveganjem</w:t>
      </w:r>
      <w:r w:rsidRPr="004338E5">
        <w:rPr>
          <w:rFonts w:ascii="Myriad Pro" w:hAnsi="Myriad Pro" w:cs="Arial"/>
          <w:color w:val="333333"/>
          <w:sz w:val="20"/>
          <w:szCs w:val="20"/>
        </w:rPr>
        <w:t xml:space="preserve">. </w:t>
      </w:r>
    </w:p>
    <w:p w14:paraId="3CFC5670" w14:textId="77777777" w:rsidR="0012413A" w:rsidRDefault="0012413A" w:rsidP="0012413A">
      <w:pPr>
        <w:autoSpaceDE w:val="0"/>
        <w:autoSpaceDN w:val="0"/>
        <w:adjustRightInd w:val="0"/>
        <w:spacing w:after="0" w:line="288" w:lineRule="auto"/>
        <w:jc w:val="both"/>
        <w:rPr>
          <w:rFonts w:ascii="Myriad Pro" w:hAnsi="Myriad Pro" w:cstheme="minorHAnsi"/>
          <w:sz w:val="20"/>
        </w:rPr>
      </w:pPr>
    </w:p>
    <w:p w14:paraId="0722CE9F" w14:textId="77777777" w:rsidR="00427357" w:rsidRDefault="00427357" w:rsidP="0075319C">
      <w:pPr>
        <w:pStyle w:val="VirUMAR"/>
        <w:rPr>
          <w:sz w:val="20"/>
          <w:szCs w:val="20"/>
        </w:rPr>
      </w:pPr>
    </w:p>
    <w:p w14:paraId="2CC89016" w14:textId="1AC3AD4D" w:rsidR="00433DB0" w:rsidRPr="003672B4" w:rsidRDefault="00537135" w:rsidP="00537135">
      <w:pPr>
        <w:spacing w:after="0" w:line="288" w:lineRule="auto"/>
        <w:jc w:val="both"/>
        <w:rPr>
          <w:color w:val="9E001A" w:themeColor="accent1"/>
          <w:sz w:val="16"/>
          <w:szCs w:val="16"/>
        </w:rPr>
      </w:pPr>
      <w:r w:rsidRPr="003672B4">
        <w:rPr>
          <w:rStyle w:val="vstavekChar"/>
          <w:rFonts w:ascii="Myriad Pro" w:hAnsi="Myriad Pro"/>
          <w:i w:val="0"/>
          <w:noProof w:val="0"/>
          <w:color w:val="9E001A" w:themeColor="accent1"/>
          <w:sz w:val="28"/>
          <w:szCs w:val="28"/>
        </w:rPr>
        <w:t>3</w:t>
      </w:r>
      <w:r w:rsidR="003672B4" w:rsidRPr="003672B4">
        <w:rPr>
          <w:rStyle w:val="vstavekChar"/>
          <w:rFonts w:ascii="Myriad Pro" w:hAnsi="Myriad Pro"/>
          <w:i w:val="0"/>
          <w:noProof w:val="0"/>
          <w:color w:val="9E001A" w:themeColor="accent1"/>
          <w:sz w:val="28"/>
          <w:szCs w:val="28"/>
        </w:rPr>
        <w:tab/>
      </w:r>
      <w:r w:rsidRPr="003672B4">
        <w:rPr>
          <w:rStyle w:val="vstavekChar"/>
          <w:rFonts w:ascii="Myriad Pro" w:hAnsi="Myriad Pro"/>
          <w:i w:val="0"/>
          <w:noProof w:val="0"/>
          <w:color w:val="9E001A" w:themeColor="accent1"/>
          <w:sz w:val="28"/>
          <w:szCs w:val="28"/>
        </w:rPr>
        <w:t>Slovenija in makroekonomsko zunanje ravno</w:t>
      </w:r>
      <w:r w:rsidR="00C378C7" w:rsidRPr="003672B4">
        <w:rPr>
          <w:rStyle w:val="vstavekChar"/>
          <w:rFonts w:ascii="Myriad Pro" w:hAnsi="Myriad Pro"/>
          <w:i w:val="0"/>
          <w:noProof w:val="0"/>
          <w:color w:val="9E001A" w:themeColor="accent1"/>
          <w:sz w:val="28"/>
          <w:szCs w:val="28"/>
        </w:rPr>
        <w:t>težje</w:t>
      </w:r>
    </w:p>
    <w:p w14:paraId="3BF3DEF5" w14:textId="77777777" w:rsidR="00433DB0" w:rsidRDefault="00433DB0" w:rsidP="0075319C">
      <w:pPr>
        <w:pStyle w:val="BesediloUMAR"/>
        <w:rPr>
          <w:sz w:val="16"/>
          <w:szCs w:val="16"/>
        </w:rPr>
      </w:pPr>
    </w:p>
    <w:p w14:paraId="11B2B9EC" w14:textId="78B95C45" w:rsidR="00D63FDA" w:rsidRPr="006B2A0B" w:rsidRDefault="00D63FDA" w:rsidP="00677AC1">
      <w:pPr>
        <w:pStyle w:val="FootnoteText"/>
      </w:pPr>
      <w:r w:rsidRPr="006B2A0B">
        <w:rPr>
          <w:rFonts w:cs="Arial"/>
        </w:rPr>
        <w:t>Evropska komisija daje posebe</w:t>
      </w:r>
      <w:r w:rsidRPr="006B2A0B">
        <w:rPr>
          <w:rFonts w:cs="Arial,BoldItalic"/>
        </w:rPr>
        <w:t>n poudarek zgodnjemu odkrivanju in popravljanju presežnih makroekonomskih neravnotežij v državah EU</w:t>
      </w:r>
      <w:r w:rsidRPr="006B2A0B">
        <w:rPr>
          <w:rFonts w:cs="Arial,BoldItalic"/>
          <w:i/>
          <w:iCs/>
        </w:rPr>
        <w:t xml:space="preserve">. </w:t>
      </w:r>
      <w:r w:rsidRPr="006B2A0B">
        <w:t xml:space="preserve">Namen MIP je opredeliti, preprečiti ali odpraviti  morebitno škodljivo neravnovesje, ki bi vplivalo na gospodarsko stabilnost posamezne države EU, evrskem območju ali EU v celoti. MIP je bil uveden v letu 2011, ko je finančna kriza pokazala, da lahko makroekonomska neravnovesja, kot je velik primanjkljaj tekočega računa ali cene nepremičnin, v eni državi vplivajo na druge. </w:t>
      </w:r>
    </w:p>
    <w:p w14:paraId="43C23659" w14:textId="77777777" w:rsidR="00D63FDA" w:rsidRPr="006B2A0B" w:rsidRDefault="00D63FDA" w:rsidP="00677AC1">
      <w:pPr>
        <w:pStyle w:val="FootnoteText"/>
      </w:pPr>
    </w:p>
    <w:p w14:paraId="741E4FEA" w14:textId="7DA04D34" w:rsidR="00D63FDA" w:rsidRPr="006B2A0B" w:rsidRDefault="00D63FDA" w:rsidP="00677AC1">
      <w:pPr>
        <w:pStyle w:val="FootnoteText"/>
      </w:pPr>
      <w:r w:rsidRPr="006B2A0B">
        <w:t>Postopek ocenjevanja temelji na enajstih kazalnikih zunanjih in notranjih neravnotežij ter na poglobljeni analizi, s katero se dodatno ugotavlja vpliv s kazalniki prepoznanega neravnotežja na makroekonomsko stabilnost. Pri</w:t>
      </w:r>
      <w:r w:rsidRPr="006B2A0B">
        <w:rPr>
          <w:rFonts w:cs="Arial,BoldItalic"/>
          <w:i/>
          <w:iCs/>
        </w:rPr>
        <w:t xml:space="preserve"> </w:t>
      </w:r>
      <w:r w:rsidRPr="006B2A0B">
        <w:t>ugotovljenih presežnih neravnotežjih Evropska komisija (EK) izda državam priporočila glede ustreznih odzivov politik ter zelo</w:t>
      </w:r>
      <w:r w:rsidRPr="006B2A0B">
        <w:rPr>
          <w:rFonts w:cs="Arial,BoldItalic"/>
          <w:i/>
          <w:iCs/>
        </w:rPr>
        <w:t xml:space="preserve"> </w:t>
      </w:r>
      <w:r w:rsidRPr="006B2A0B">
        <w:t xml:space="preserve">podrobno spremlja njihovo izvajanje. </w:t>
      </w:r>
      <w:r w:rsidRPr="00796DD1">
        <w:t>V primeru zelo resnih presežnih neravnotežij, ki lahko ogrozijo tudi delovanje ekonomske in</w:t>
      </w:r>
      <w:r w:rsidRPr="00796DD1">
        <w:rPr>
          <w:rFonts w:cs="Arial,BoldItalic"/>
          <w:i/>
          <w:iCs/>
        </w:rPr>
        <w:t xml:space="preserve"> </w:t>
      </w:r>
      <w:r w:rsidRPr="00796DD1">
        <w:t>monetarne unije, pa se na predlog Sveta</w:t>
      </w:r>
      <w:r w:rsidRPr="00D63FDA">
        <w:t xml:space="preserve"> </w:t>
      </w:r>
      <w:r w:rsidRPr="006B2A0B">
        <w:t>EU začne postopek, ki poleg izdaje priporočil državi, okrepljenega nadzora in spremljanja,</w:t>
      </w:r>
      <w:r w:rsidRPr="006B2A0B">
        <w:rPr>
          <w:rFonts w:cs="Arial,BoldItalic"/>
          <w:i/>
          <w:iCs/>
        </w:rPr>
        <w:t xml:space="preserve"> </w:t>
      </w:r>
      <w:r w:rsidRPr="006B2A0B">
        <w:t>od države zahteva tudi načrt popravljalnih ukrepov. Za članice evrskega območja, ki večkrat zaporedoma ne sprejmejo ustreznih</w:t>
      </w:r>
      <w:r w:rsidRPr="006B2A0B">
        <w:rPr>
          <w:rFonts w:cs="Arial,BoldItalic"/>
          <w:i/>
          <w:iCs/>
        </w:rPr>
        <w:t xml:space="preserve"> </w:t>
      </w:r>
      <w:r w:rsidRPr="006B2A0B">
        <w:t>ukrepov, so možne tudi finančne sankcije v višini do 0,1 % BDP.</w:t>
      </w:r>
    </w:p>
    <w:p w14:paraId="1B751A43" w14:textId="77777777" w:rsidR="00D63FDA" w:rsidRPr="006B2A0B" w:rsidRDefault="00D63FDA" w:rsidP="00677AC1">
      <w:pPr>
        <w:pStyle w:val="FootnoteText"/>
      </w:pPr>
    </w:p>
    <w:p w14:paraId="555F5010" w14:textId="5FDC268E" w:rsidR="00341C2C" w:rsidRPr="006B2A0B" w:rsidRDefault="0099523F" w:rsidP="00677AC1">
      <w:pPr>
        <w:pStyle w:val="FootnoteText"/>
      </w:pPr>
      <w:r w:rsidRPr="006B2A0B">
        <w:t>Po oceni EK (Alert Mechanism Report, 2021) slovensko gospodarstvo</w:t>
      </w:r>
      <w:r w:rsidR="009D634C" w:rsidRPr="006B2A0B">
        <w:t xml:space="preserve"> nima makroekonomskih</w:t>
      </w:r>
      <w:r w:rsidRPr="006B2A0B">
        <w:t xml:space="preserve"> </w:t>
      </w:r>
      <w:r w:rsidR="009D634C" w:rsidRPr="006B2A0B">
        <w:t>neravnovesij, čeprav obstaja tveganje fiskalne stabilnosti in nepremičninskega trga.</w:t>
      </w:r>
      <w:r w:rsidRPr="006B2A0B">
        <w:t xml:space="preserve"> </w:t>
      </w:r>
      <w:r w:rsidR="008B6393" w:rsidRPr="006B2A0B">
        <w:t>Zaradi pandemije pričakujejo povečanje državnega dolga, vendar zunanja pozicija (presežek tekočega računa plačilne bilance) ostaja čvrsta.</w:t>
      </w:r>
      <w:r w:rsidR="00785127" w:rsidRPr="006B2A0B">
        <w:t xml:space="preserve"> </w:t>
      </w:r>
      <w:r w:rsidR="00785127" w:rsidRPr="006B2A0B">
        <w:rPr>
          <w:rFonts w:cs="Arial"/>
        </w:rPr>
        <w:t>V nadaljevanju prikazujemo kazalnike zunanjega neravnotežja (glej tabelo</w:t>
      </w:r>
      <w:r w:rsidR="004F4CC1">
        <w:rPr>
          <w:rFonts w:cs="Arial"/>
        </w:rPr>
        <w:t xml:space="preserve"> 3</w:t>
      </w:r>
      <w:r w:rsidR="00785127" w:rsidRPr="006B2A0B">
        <w:rPr>
          <w:rFonts w:cs="Arial"/>
        </w:rPr>
        <w:t>).</w:t>
      </w:r>
    </w:p>
    <w:p w14:paraId="24BA175B" w14:textId="364A376F" w:rsidR="008B6393" w:rsidRPr="003672B4" w:rsidRDefault="008B6393" w:rsidP="003672B4">
      <w:pPr>
        <w:pStyle w:val="Caption"/>
      </w:pPr>
      <w:r w:rsidRPr="003672B4">
        <w:t>Tabela</w:t>
      </w:r>
      <w:r w:rsidR="00DF0AE9" w:rsidRPr="003672B4">
        <w:t xml:space="preserve"> 3</w:t>
      </w:r>
      <w:r w:rsidRPr="003672B4">
        <w:t>: Nabor kazalnikov makroekono</w:t>
      </w:r>
      <w:r w:rsidR="00C378C7" w:rsidRPr="003672B4">
        <w:t>m</w:t>
      </w:r>
      <w:r w:rsidRPr="003672B4">
        <w:t>sk</w:t>
      </w:r>
      <w:r w:rsidR="00FB09EC" w:rsidRPr="003672B4">
        <w:t>ega</w:t>
      </w:r>
      <w:r w:rsidRPr="003672B4">
        <w:t xml:space="preserve"> </w:t>
      </w:r>
      <w:r w:rsidR="005601C6" w:rsidRPr="003672B4">
        <w:t>zunanj</w:t>
      </w:r>
      <w:r w:rsidR="00FB09EC" w:rsidRPr="003672B4">
        <w:t>ega</w:t>
      </w:r>
      <w:r w:rsidR="005601C6" w:rsidRPr="003672B4">
        <w:t xml:space="preserve"> </w:t>
      </w:r>
      <w:r w:rsidRPr="003672B4">
        <w:t>neravnotež</w:t>
      </w:r>
      <w:r w:rsidR="00FB09EC" w:rsidRPr="003672B4">
        <w:t>ja</w:t>
      </w:r>
      <w:r w:rsidRPr="003672B4">
        <w:t xml:space="preserve"> za Slovenijo</w:t>
      </w:r>
    </w:p>
    <w:tbl>
      <w:tblPr>
        <w:tblStyle w:val="TableGridLight"/>
        <w:tblW w:w="5000" w:type="pct"/>
        <w:tblLayout w:type="fixed"/>
        <w:tblLook w:val="04A0" w:firstRow="1" w:lastRow="0" w:firstColumn="1" w:lastColumn="0" w:noHBand="0" w:noVBand="1"/>
      </w:tblPr>
      <w:tblGrid>
        <w:gridCol w:w="3970"/>
        <w:gridCol w:w="706"/>
        <w:gridCol w:w="628"/>
        <w:gridCol w:w="628"/>
        <w:gridCol w:w="628"/>
        <w:gridCol w:w="628"/>
        <w:gridCol w:w="628"/>
        <w:gridCol w:w="628"/>
        <w:gridCol w:w="626"/>
      </w:tblGrid>
      <w:tr w:rsidR="00E233BD" w14:paraId="5631BC22" w14:textId="77777777" w:rsidTr="005A0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9" w:type="pct"/>
            <w:vAlign w:val="top"/>
          </w:tcPr>
          <w:p w14:paraId="121EBF06" w14:textId="5F7D36F3" w:rsidR="00ED6EDF" w:rsidRDefault="00ED6EDF" w:rsidP="003672B4">
            <w:pPr>
              <w:pStyle w:val="TabelalevoUMAR"/>
            </w:pPr>
            <w:r>
              <w:t>Kazalnik/mejna v</w:t>
            </w:r>
            <w:r w:rsidR="001E6765">
              <w:t>rednost</w:t>
            </w:r>
          </w:p>
        </w:tc>
        <w:tc>
          <w:tcPr>
            <w:tcW w:w="389" w:type="pct"/>
            <w:vAlign w:val="top"/>
          </w:tcPr>
          <w:p w14:paraId="40930F2A" w14:textId="4600D433" w:rsidR="00ED6EDF" w:rsidRDefault="00ED6EDF" w:rsidP="00355F20">
            <w:pPr>
              <w:pStyle w:val="TabelaglavadesnoUMAR"/>
              <w:jc w:val="center"/>
              <w:cnfStyle w:val="100000000000" w:firstRow="1" w:lastRow="0" w:firstColumn="0" w:lastColumn="0" w:oddVBand="0" w:evenVBand="0" w:oddHBand="0" w:evenHBand="0" w:firstRowFirstColumn="0" w:firstRowLastColumn="0" w:lastRowFirstColumn="0" w:lastRowLastColumn="0"/>
            </w:pPr>
          </w:p>
        </w:tc>
        <w:tc>
          <w:tcPr>
            <w:tcW w:w="346" w:type="pct"/>
            <w:vAlign w:val="top"/>
          </w:tcPr>
          <w:p w14:paraId="64B98AC2" w14:textId="45110E90" w:rsidR="00ED6EDF" w:rsidRDefault="00ED6EDF" w:rsidP="003672B4">
            <w:pPr>
              <w:pStyle w:val="TabelaglavadesnoUMAR"/>
              <w:cnfStyle w:val="100000000000" w:firstRow="1" w:lastRow="0" w:firstColumn="0" w:lastColumn="0" w:oddVBand="0" w:evenVBand="0" w:oddHBand="0" w:evenHBand="0" w:firstRowFirstColumn="0" w:firstRowLastColumn="0" w:lastRowFirstColumn="0" w:lastRowLastColumn="0"/>
            </w:pPr>
            <w:r>
              <w:t>2014</w:t>
            </w:r>
          </w:p>
        </w:tc>
        <w:tc>
          <w:tcPr>
            <w:tcW w:w="346" w:type="pct"/>
            <w:vAlign w:val="top"/>
          </w:tcPr>
          <w:p w14:paraId="3D0D1FC6" w14:textId="17CBF417" w:rsidR="00ED6EDF" w:rsidRDefault="00ED6EDF" w:rsidP="003672B4">
            <w:pPr>
              <w:pStyle w:val="TabelaglavadesnoUMAR"/>
              <w:cnfStyle w:val="100000000000" w:firstRow="1" w:lastRow="0" w:firstColumn="0" w:lastColumn="0" w:oddVBand="0" w:evenVBand="0" w:oddHBand="0" w:evenHBand="0" w:firstRowFirstColumn="0" w:firstRowLastColumn="0" w:lastRowFirstColumn="0" w:lastRowLastColumn="0"/>
            </w:pPr>
            <w:r>
              <w:t>2015</w:t>
            </w:r>
          </w:p>
        </w:tc>
        <w:tc>
          <w:tcPr>
            <w:tcW w:w="346" w:type="pct"/>
            <w:vAlign w:val="top"/>
          </w:tcPr>
          <w:p w14:paraId="3B88CCF7" w14:textId="65AB814B" w:rsidR="00ED6EDF" w:rsidRDefault="00ED6EDF" w:rsidP="003672B4">
            <w:pPr>
              <w:pStyle w:val="TabelaglavadesnoUMAR"/>
              <w:cnfStyle w:val="100000000000" w:firstRow="1" w:lastRow="0" w:firstColumn="0" w:lastColumn="0" w:oddVBand="0" w:evenVBand="0" w:oddHBand="0" w:evenHBand="0" w:firstRowFirstColumn="0" w:firstRowLastColumn="0" w:lastRowFirstColumn="0" w:lastRowLastColumn="0"/>
            </w:pPr>
            <w:r>
              <w:t>2016</w:t>
            </w:r>
          </w:p>
        </w:tc>
        <w:tc>
          <w:tcPr>
            <w:tcW w:w="346" w:type="pct"/>
            <w:vAlign w:val="top"/>
          </w:tcPr>
          <w:p w14:paraId="0A2BF800" w14:textId="50B95E00" w:rsidR="00ED6EDF" w:rsidRDefault="00ED6EDF" w:rsidP="003672B4">
            <w:pPr>
              <w:pStyle w:val="TabelaglavadesnoUMAR"/>
              <w:cnfStyle w:val="100000000000" w:firstRow="1" w:lastRow="0" w:firstColumn="0" w:lastColumn="0" w:oddVBand="0" w:evenVBand="0" w:oddHBand="0" w:evenHBand="0" w:firstRowFirstColumn="0" w:firstRowLastColumn="0" w:lastRowFirstColumn="0" w:lastRowLastColumn="0"/>
            </w:pPr>
            <w:r>
              <w:t>2017</w:t>
            </w:r>
          </w:p>
        </w:tc>
        <w:tc>
          <w:tcPr>
            <w:tcW w:w="346" w:type="pct"/>
            <w:vAlign w:val="top"/>
          </w:tcPr>
          <w:p w14:paraId="53D5CA6D" w14:textId="7C80857D" w:rsidR="00ED6EDF" w:rsidRDefault="00ED6EDF" w:rsidP="003672B4">
            <w:pPr>
              <w:pStyle w:val="TabelaglavadesnoUMAR"/>
              <w:cnfStyle w:val="100000000000" w:firstRow="1" w:lastRow="0" w:firstColumn="0" w:lastColumn="0" w:oddVBand="0" w:evenVBand="0" w:oddHBand="0" w:evenHBand="0" w:firstRowFirstColumn="0" w:firstRowLastColumn="0" w:lastRowFirstColumn="0" w:lastRowLastColumn="0"/>
            </w:pPr>
            <w:r>
              <w:t>2018</w:t>
            </w:r>
          </w:p>
        </w:tc>
        <w:tc>
          <w:tcPr>
            <w:tcW w:w="346" w:type="pct"/>
            <w:vAlign w:val="top"/>
          </w:tcPr>
          <w:p w14:paraId="4BC39ACD" w14:textId="7930CBB5" w:rsidR="00ED6EDF" w:rsidRDefault="00ED6EDF" w:rsidP="003672B4">
            <w:pPr>
              <w:pStyle w:val="TabelaglavadesnoUMAR"/>
              <w:cnfStyle w:val="100000000000" w:firstRow="1" w:lastRow="0" w:firstColumn="0" w:lastColumn="0" w:oddVBand="0" w:evenVBand="0" w:oddHBand="0" w:evenHBand="0" w:firstRowFirstColumn="0" w:firstRowLastColumn="0" w:lastRowFirstColumn="0" w:lastRowLastColumn="0"/>
            </w:pPr>
            <w:r>
              <w:t>2019</w:t>
            </w:r>
          </w:p>
        </w:tc>
        <w:tc>
          <w:tcPr>
            <w:tcW w:w="345" w:type="pct"/>
            <w:vAlign w:val="top"/>
          </w:tcPr>
          <w:p w14:paraId="2A169732" w14:textId="23B1CFAE" w:rsidR="00ED6EDF" w:rsidRDefault="00ED6EDF" w:rsidP="003672B4">
            <w:pPr>
              <w:pStyle w:val="TabelaglavadesnoUMAR"/>
              <w:cnfStyle w:val="100000000000" w:firstRow="1" w:lastRow="0" w:firstColumn="0" w:lastColumn="0" w:oddVBand="0" w:evenVBand="0" w:oddHBand="0" w:evenHBand="0" w:firstRowFirstColumn="0" w:firstRowLastColumn="0" w:lastRowFirstColumn="0" w:lastRowLastColumn="0"/>
            </w:pPr>
            <w:r>
              <w:t>2020</w:t>
            </w:r>
          </w:p>
        </w:tc>
      </w:tr>
      <w:tr w:rsidR="005A0BF8" w:rsidRPr="005A0BF8" w14:paraId="7D9F796E" w14:textId="77777777" w:rsidTr="005A0BF8">
        <w:trPr>
          <w:trHeight w:val="285"/>
        </w:trPr>
        <w:tc>
          <w:tcPr>
            <w:cnfStyle w:val="001000000000" w:firstRow="0" w:lastRow="0" w:firstColumn="1" w:lastColumn="0" w:oddVBand="0" w:evenVBand="0" w:oddHBand="0" w:evenHBand="0" w:firstRowFirstColumn="0" w:firstRowLastColumn="0" w:lastRowFirstColumn="0" w:lastRowLastColumn="0"/>
            <w:tcW w:w="2189" w:type="pct"/>
            <w:noWrap/>
            <w:vAlign w:val="top"/>
          </w:tcPr>
          <w:p w14:paraId="4D0B4442" w14:textId="75853EAF" w:rsidR="005A0BF8" w:rsidRPr="0057035C" w:rsidRDefault="005A0BF8" w:rsidP="003672B4">
            <w:pPr>
              <w:pStyle w:val="TabelalevoUMAR"/>
              <w:rPr>
                <w:lang w:eastAsia="sl-SI"/>
              </w:rPr>
            </w:pPr>
            <w:r>
              <w:rPr>
                <w:lang w:eastAsia="sl-SI"/>
              </w:rPr>
              <w:t>Tekoči račun, v % BDP (triletno povprečje)</w:t>
            </w:r>
          </w:p>
        </w:tc>
        <w:tc>
          <w:tcPr>
            <w:tcW w:w="389" w:type="pct"/>
            <w:noWrap/>
            <w:vAlign w:val="top"/>
          </w:tcPr>
          <w:p w14:paraId="444684FF" w14:textId="1B0F0A8C" w:rsidR="005A0BF8" w:rsidRPr="00DB7FD3" w:rsidRDefault="005A0BF8" w:rsidP="005A0BF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DB7FD3">
              <w:rPr>
                <w:lang w:eastAsia="sl-SI"/>
              </w:rPr>
              <w:t>-4/6 %</w:t>
            </w:r>
          </w:p>
        </w:tc>
        <w:tc>
          <w:tcPr>
            <w:tcW w:w="346" w:type="pct"/>
            <w:noWrap/>
            <w:vAlign w:val="top"/>
          </w:tcPr>
          <w:p w14:paraId="60690F7D" w14:textId="6E44C950" w:rsidR="005A0BF8" w:rsidRPr="00DB7FD3" w:rsidRDefault="005A0BF8"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54EB0">
              <w:t>3</w:t>
            </w:r>
            <w:r w:rsidR="00204185">
              <w:t>,</w:t>
            </w:r>
            <w:r w:rsidRPr="00C54EB0">
              <w:t>2</w:t>
            </w:r>
          </w:p>
        </w:tc>
        <w:tc>
          <w:tcPr>
            <w:tcW w:w="346" w:type="pct"/>
            <w:noWrap/>
            <w:vAlign w:val="top"/>
          </w:tcPr>
          <w:p w14:paraId="39841AFB" w14:textId="794B5D09" w:rsidR="005A0BF8" w:rsidRPr="00D05843" w:rsidRDefault="005A0BF8"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54EB0">
              <w:t>4</w:t>
            </w:r>
            <w:r w:rsidR="00204185">
              <w:t>,</w:t>
            </w:r>
            <w:r w:rsidRPr="00C54EB0">
              <w:t>1</w:t>
            </w:r>
          </w:p>
        </w:tc>
        <w:tc>
          <w:tcPr>
            <w:tcW w:w="346" w:type="pct"/>
            <w:noWrap/>
            <w:vAlign w:val="top"/>
          </w:tcPr>
          <w:p w14:paraId="1C0BF098" w14:textId="54C1DDDF" w:rsidR="005A0BF8" w:rsidRPr="00D05843" w:rsidRDefault="005A0BF8"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54EB0">
              <w:t>4</w:t>
            </w:r>
            <w:r w:rsidR="00204185">
              <w:t>,</w:t>
            </w:r>
            <w:r w:rsidRPr="00C54EB0">
              <w:t>6</w:t>
            </w:r>
          </w:p>
        </w:tc>
        <w:tc>
          <w:tcPr>
            <w:tcW w:w="346" w:type="pct"/>
            <w:noWrap/>
            <w:vAlign w:val="top"/>
          </w:tcPr>
          <w:p w14:paraId="1119AFCB" w14:textId="693FCCAF" w:rsidR="005A0BF8" w:rsidRPr="00D05843" w:rsidRDefault="005A0BF8"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54EB0">
              <w:t>4</w:t>
            </w:r>
            <w:r w:rsidR="00204185">
              <w:t>,</w:t>
            </w:r>
            <w:r w:rsidRPr="00C54EB0">
              <w:t>9</w:t>
            </w:r>
          </w:p>
        </w:tc>
        <w:tc>
          <w:tcPr>
            <w:tcW w:w="346" w:type="pct"/>
            <w:vAlign w:val="top"/>
          </w:tcPr>
          <w:p w14:paraId="2179B78B" w14:textId="37E78F41" w:rsidR="005A0BF8" w:rsidRPr="00A66BC4" w:rsidRDefault="005A0BF8" w:rsidP="003672B4">
            <w:pPr>
              <w:pStyle w:val="TabeladesnoUMAR"/>
              <w:cnfStyle w:val="000000000000" w:firstRow="0" w:lastRow="0" w:firstColumn="0" w:lastColumn="0" w:oddVBand="0" w:evenVBand="0" w:oddHBand="0" w:evenHBand="0" w:firstRowFirstColumn="0" w:firstRowLastColumn="0" w:lastRowFirstColumn="0" w:lastRowLastColumn="0"/>
            </w:pPr>
            <w:r w:rsidRPr="00C54EB0">
              <w:t>5</w:t>
            </w:r>
            <w:r w:rsidR="00204185">
              <w:t>,</w:t>
            </w:r>
            <w:r w:rsidRPr="00C54EB0">
              <w:t>6</w:t>
            </w:r>
          </w:p>
        </w:tc>
        <w:tc>
          <w:tcPr>
            <w:tcW w:w="346" w:type="pct"/>
            <w:vAlign w:val="top"/>
          </w:tcPr>
          <w:p w14:paraId="55831D32" w14:textId="0A7C8441" w:rsidR="005A0BF8" w:rsidRPr="00A66BC4" w:rsidRDefault="00796DD1" w:rsidP="003672B4">
            <w:pPr>
              <w:pStyle w:val="TabeladesnoUMAR"/>
              <w:cnfStyle w:val="000000000000" w:firstRow="0" w:lastRow="0" w:firstColumn="0" w:lastColumn="0" w:oddVBand="0" w:evenVBand="0" w:oddHBand="0" w:evenHBand="0" w:firstRowFirstColumn="0" w:firstRowLastColumn="0" w:lastRowFirstColumn="0" w:lastRowLastColumn="0"/>
            </w:pPr>
            <w:r>
              <w:t>6,1</w:t>
            </w:r>
          </w:p>
        </w:tc>
        <w:tc>
          <w:tcPr>
            <w:tcW w:w="345" w:type="pct"/>
            <w:vAlign w:val="top"/>
          </w:tcPr>
          <w:p w14:paraId="2203EEDE" w14:textId="6E59FC53" w:rsidR="005A0BF8" w:rsidRPr="005A0BF8" w:rsidRDefault="005A0BF8" w:rsidP="003672B4">
            <w:pPr>
              <w:pStyle w:val="TabeladesnoUMAR"/>
              <w:cnfStyle w:val="000000000000" w:firstRow="0" w:lastRow="0" w:firstColumn="0" w:lastColumn="0" w:oddVBand="0" w:evenVBand="0" w:oddHBand="0" w:evenHBand="0" w:firstRowFirstColumn="0" w:firstRowLastColumn="0" w:lastRowFirstColumn="0" w:lastRowLastColumn="0"/>
            </w:pPr>
            <w:r w:rsidRPr="005A0BF8">
              <w:t>6</w:t>
            </w:r>
            <w:r w:rsidR="00204185">
              <w:t>,</w:t>
            </w:r>
            <w:r w:rsidR="00796DD1">
              <w:t>4</w:t>
            </w:r>
          </w:p>
        </w:tc>
      </w:tr>
      <w:tr w:rsidR="005A0BF8" w:rsidRPr="00D05843" w14:paraId="0D2E79DF" w14:textId="77777777" w:rsidTr="005A0BF8">
        <w:trPr>
          <w:trHeight w:val="285"/>
        </w:trPr>
        <w:tc>
          <w:tcPr>
            <w:cnfStyle w:val="001000000000" w:firstRow="0" w:lastRow="0" w:firstColumn="1" w:lastColumn="0" w:oddVBand="0" w:evenVBand="0" w:oddHBand="0" w:evenHBand="0" w:firstRowFirstColumn="0" w:firstRowLastColumn="0" w:lastRowFirstColumn="0" w:lastRowLastColumn="0"/>
            <w:tcW w:w="2189" w:type="pct"/>
            <w:noWrap/>
            <w:vAlign w:val="top"/>
          </w:tcPr>
          <w:p w14:paraId="6A025E21" w14:textId="1203B67F" w:rsidR="005A0BF8" w:rsidRPr="0057035C" w:rsidRDefault="005A0BF8" w:rsidP="003672B4">
            <w:pPr>
              <w:pStyle w:val="TabelalevoUMAR"/>
              <w:rPr>
                <w:lang w:eastAsia="sl-SI"/>
              </w:rPr>
            </w:pPr>
            <w:r>
              <w:rPr>
                <w:lang w:eastAsia="sl-SI"/>
              </w:rPr>
              <w:t>Stanje mednarodnih naložb, v % BDP</w:t>
            </w:r>
          </w:p>
        </w:tc>
        <w:tc>
          <w:tcPr>
            <w:tcW w:w="389" w:type="pct"/>
            <w:noWrap/>
            <w:vAlign w:val="top"/>
          </w:tcPr>
          <w:p w14:paraId="77E20ADA" w14:textId="1C677EAA" w:rsidR="005A0BF8" w:rsidRPr="0057035C" w:rsidRDefault="005A0BF8" w:rsidP="005A0BF8">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lang w:eastAsia="sl-SI"/>
              </w:rPr>
              <w:t>-35 %</w:t>
            </w:r>
          </w:p>
        </w:tc>
        <w:tc>
          <w:tcPr>
            <w:tcW w:w="346" w:type="pct"/>
            <w:noWrap/>
            <w:vAlign w:val="top"/>
          </w:tcPr>
          <w:p w14:paraId="35C7387E" w14:textId="01B5BDE1" w:rsidR="005A0BF8" w:rsidRPr="0057035C" w:rsidRDefault="005A0BF8"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D0C2E">
              <w:t>-38</w:t>
            </w:r>
            <w:r w:rsidR="00204185">
              <w:t>,</w:t>
            </w:r>
            <w:r w:rsidRPr="00CD0C2E">
              <w:t>4</w:t>
            </w:r>
          </w:p>
        </w:tc>
        <w:tc>
          <w:tcPr>
            <w:tcW w:w="346" w:type="pct"/>
            <w:noWrap/>
            <w:vAlign w:val="top"/>
          </w:tcPr>
          <w:p w14:paraId="36CF17CF" w14:textId="666D2F63" w:rsidR="005A0BF8" w:rsidRPr="00D05843" w:rsidRDefault="005A0BF8"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D0C2E">
              <w:t>-31</w:t>
            </w:r>
            <w:r w:rsidR="00204185">
              <w:t>,</w:t>
            </w:r>
            <w:r w:rsidRPr="00CD0C2E">
              <w:t>2</w:t>
            </w:r>
          </w:p>
        </w:tc>
        <w:tc>
          <w:tcPr>
            <w:tcW w:w="346" w:type="pct"/>
            <w:noWrap/>
            <w:vAlign w:val="top"/>
          </w:tcPr>
          <w:p w14:paraId="41D13877" w14:textId="28E067AA" w:rsidR="005A0BF8" w:rsidRPr="00D05843" w:rsidRDefault="005A0BF8"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D0C2E">
              <w:t>-28</w:t>
            </w:r>
            <w:r w:rsidR="00204185">
              <w:t>,</w:t>
            </w:r>
            <w:r w:rsidRPr="00CD0C2E">
              <w:t>8</w:t>
            </w:r>
          </w:p>
        </w:tc>
        <w:tc>
          <w:tcPr>
            <w:tcW w:w="346" w:type="pct"/>
            <w:noWrap/>
            <w:vAlign w:val="top"/>
          </w:tcPr>
          <w:p w14:paraId="12700606" w14:textId="4375DE16" w:rsidR="005A0BF8" w:rsidRPr="00D05843" w:rsidRDefault="005A0BF8"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D0C2E">
              <w:t>-24</w:t>
            </w:r>
            <w:r w:rsidR="00204185">
              <w:t>,</w:t>
            </w:r>
            <w:r w:rsidRPr="00CD0C2E">
              <w:t>2</w:t>
            </w:r>
          </w:p>
        </w:tc>
        <w:tc>
          <w:tcPr>
            <w:tcW w:w="346" w:type="pct"/>
            <w:vAlign w:val="top"/>
          </w:tcPr>
          <w:p w14:paraId="6EA3D105" w14:textId="4691757A" w:rsidR="005A0BF8" w:rsidRPr="00A66BC4" w:rsidRDefault="005A0BF8" w:rsidP="003672B4">
            <w:pPr>
              <w:pStyle w:val="TabeladesnoUMAR"/>
              <w:cnfStyle w:val="000000000000" w:firstRow="0" w:lastRow="0" w:firstColumn="0" w:lastColumn="0" w:oddVBand="0" w:evenVBand="0" w:oddHBand="0" w:evenHBand="0" w:firstRowFirstColumn="0" w:firstRowLastColumn="0" w:lastRowFirstColumn="0" w:lastRowLastColumn="0"/>
            </w:pPr>
            <w:r w:rsidRPr="00CD0C2E">
              <w:t>-1</w:t>
            </w:r>
            <w:r w:rsidR="00796DD1">
              <w:t>8,9</w:t>
            </w:r>
          </w:p>
        </w:tc>
        <w:tc>
          <w:tcPr>
            <w:tcW w:w="346" w:type="pct"/>
            <w:vAlign w:val="top"/>
          </w:tcPr>
          <w:p w14:paraId="1D96998A" w14:textId="2A1E37EA" w:rsidR="005A0BF8" w:rsidRPr="00A66BC4" w:rsidRDefault="005A0BF8" w:rsidP="003672B4">
            <w:pPr>
              <w:pStyle w:val="TabeladesnoUMAR"/>
              <w:cnfStyle w:val="000000000000" w:firstRow="0" w:lastRow="0" w:firstColumn="0" w:lastColumn="0" w:oddVBand="0" w:evenVBand="0" w:oddHBand="0" w:evenHBand="0" w:firstRowFirstColumn="0" w:firstRowLastColumn="0" w:lastRowFirstColumn="0" w:lastRowLastColumn="0"/>
            </w:pPr>
            <w:r w:rsidRPr="00CD0C2E">
              <w:t>-15</w:t>
            </w:r>
            <w:r w:rsidR="00204185">
              <w:t>,</w:t>
            </w:r>
            <w:r w:rsidR="00796DD1">
              <w:t>9</w:t>
            </w:r>
          </w:p>
        </w:tc>
        <w:tc>
          <w:tcPr>
            <w:tcW w:w="345" w:type="pct"/>
            <w:vAlign w:val="top"/>
          </w:tcPr>
          <w:p w14:paraId="358D0C30" w14:textId="171B96D0" w:rsidR="005A0BF8" w:rsidRPr="00A66BC4" w:rsidRDefault="005A0BF8" w:rsidP="003672B4">
            <w:pPr>
              <w:pStyle w:val="TabeladesnoUMAR"/>
              <w:cnfStyle w:val="000000000000" w:firstRow="0" w:lastRow="0" w:firstColumn="0" w:lastColumn="0" w:oddVBand="0" w:evenVBand="0" w:oddHBand="0" w:evenHBand="0" w:firstRowFirstColumn="0" w:firstRowLastColumn="0" w:lastRowFirstColumn="0" w:lastRowLastColumn="0"/>
            </w:pPr>
            <w:r w:rsidRPr="00CD0C2E">
              <w:t>-1</w:t>
            </w:r>
            <w:r w:rsidR="00796DD1">
              <w:t>5,2</w:t>
            </w:r>
          </w:p>
        </w:tc>
      </w:tr>
      <w:tr w:rsidR="00FC15F9" w:rsidRPr="00D05843" w14:paraId="6B07B67A" w14:textId="77777777" w:rsidTr="005A0BF8">
        <w:trPr>
          <w:trHeight w:val="285"/>
        </w:trPr>
        <w:tc>
          <w:tcPr>
            <w:cnfStyle w:val="001000000000" w:firstRow="0" w:lastRow="0" w:firstColumn="1" w:lastColumn="0" w:oddVBand="0" w:evenVBand="0" w:oddHBand="0" w:evenHBand="0" w:firstRowFirstColumn="0" w:firstRowLastColumn="0" w:lastRowFirstColumn="0" w:lastRowLastColumn="0"/>
            <w:tcW w:w="2189" w:type="pct"/>
            <w:noWrap/>
            <w:vAlign w:val="top"/>
          </w:tcPr>
          <w:p w14:paraId="4B06271E" w14:textId="219E03B4" w:rsidR="00FC15F9" w:rsidRPr="0057035C" w:rsidRDefault="00FC15F9" w:rsidP="003672B4">
            <w:pPr>
              <w:pStyle w:val="TabelalevoUMAR"/>
              <w:rPr>
                <w:lang w:eastAsia="sl-SI"/>
              </w:rPr>
            </w:pPr>
            <w:r>
              <w:rPr>
                <w:lang w:eastAsia="sl-SI"/>
              </w:rPr>
              <w:t>Realni efektivni tečaj (deflator CPI), rast v treh letih</w:t>
            </w:r>
          </w:p>
        </w:tc>
        <w:tc>
          <w:tcPr>
            <w:tcW w:w="389" w:type="pct"/>
            <w:noWrap/>
            <w:vAlign w:val="top"/>
          </w:tcPr>
          <w:p w14:paraId="46179233" w14:textId="1E7B45EF" w:rsidR="00FC15F9" w:rsidRPr="0057035C" w:rsidRDefault="00FC15F9" w:rsidP="00FC15F9">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lang w:eastAsia="sl-SI"/>
              </w:rPr>
              <w:t>-/+5 %</w:t>
            </w:r>
          </w:p>
        </w:tc>
        <w:tc>
          <w:tcPr>
            <w:tcW w:w="346" w:type="pct"/>
            <w:noWrap/>
            <w:vAlign w:val="top"/>
          </w:tcPr>
          <w:p w14:paraId="11508260" w14:textId="1FAE09AE" w:rsidR="00FC15F9" w:rsidRPr="0057035C"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FF1E2C">
              <w:t>1</w:t>
            </w:r>
            <w:r w:rsidR="00204185">
              <w:t>,</w:t>
            </w:r>
            <w:r w:rsidRPr="00FF1E2C">
              <w:t>2</w:t>
            </w:r>
          </w:p>
        </w:tc>
        <w:tc>
          <w:tcPr>
            <w:tcW w:w="346" w:type="pct"/>
            <w:noWrap/>
            <w:vAlign w:val="top"/>
          </w:tcPr>
          <w:p w14:paraId="58A65A2A" w14:textId="4CEB309C" w:rsidR="00FC15F9" w:rsidRPr="00D05843"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FF1E2C">
              <w:t>0</w:t>
            </w:r>
            <w:r w:rsidR="00204185">
              <w:t>,</w:t>
            </w:r>
            <w:r w:rsidRPr="00FF1E2C">
              <w:t>3</w:t>
            </w:r>
          </w:p>
        </w:tc>
        <w:tc>
          <w:tcPr>
            <w:tcW w:w="346" w:type="pct"/>
            <w:noWrap/>
            <w:vAlign w:val="top"/>
          </w:tcPr>
          <w:p w14:paraId="00DDED6E" w14:textId="2EF2B5C8" w:rsidR="00FC15F9" w:rsidRPr="00D05843"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FF1E2C">
              <w:t>-0</w:t>
            </w:r>
            <w:r w:rsidR="00204185">
              <w:t>,</w:t>
            </w:r>
            <w:r w:rsidRPr="00FF1E2C">
              <w:t>6</w:t>
            </w:r>
          </w:p>
        </w:tc>
        <w:tc>
          <w:tcPr>
            <w:tcW w:w="346" w:type="pct"/>
            <w:noWrap/>
            <w:vAlign w:val="top"/>
          </w:tcPr>
          <w:p w14:paraId="5CEA4537" w14:textId="68B86716" w:rsidR="00FC15F9" w:rsidRPr="00D05843"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FF1E2C">
              <w:t>-2</w:t>
            </w:r>
            <w:r w:rsidR="00204185">
              <w:t>,</w:t>
            </w:r>
            <w:r w:rsidRPr="00FF1E2C">
              <w:t>0</w:t>
            </w:r>
          </w:p>
        </w:tc>
        <w:tc>
          <w:tcPr>
            <w:tcW w:w="346" w:type="pct"/>
            <w:vAlign w:val="top"/>
          </w:tcPr>
          <w:p w14:paraId="226E27EC" w14:textId="0FDF9911" w:rsidR="00FC15F9" w:rsidRPr="00A66BC4" w:rsidRDefault="00FC15F9" w:rsidP="003672B4">
            <w:pPr>
              <w:pStyle w:val="TabeladesnoUMAR"/>
              <w:cnfStyle w:val="000000000000" w:firstRow="0" w:lastRow="0" w:firstColumn="0" w:lastColumn="0" w:oddVBand="0" w:evenVBand="0" w:oddHBand="0" w:evenHBand="0" w:firstRowFirstColumn="0" w:firstRowLastColumn="0" w:lastRowFirstColumn="0" w:lastRowLastColumn="0"/>
            </w:pPr>
            <w:r w:rsidRPr="00FF1E2C">
              <w:t>2</w:t>
            </w:r>
            <w:r w:rsidR="00204185">
              <w:t>,</w:t>
            </w:r>
            <w:r w:rsidRPr="00FF1E2C">
              <w:t>0</w:t>
            </w:r>
          </w:p>
        </w:tc>
        <w:tc>
          <w:tcPr>
            <w:tcW w:w="346" w:type="pct"/>
            <w:vAlign w:val="top"/>
          </w:tcPr>
          <w:p w14:paraId="76FE5EF9" w14:textId="636E6945" w:rsidR="00FC15F9" w:rsidRPr="00A66BC4" w:rsidRDefault="00FC15F9" w:rsidP="003672B4">
            <w:pPr>
              <w:pStyle w:val="TabeladesnoUMAR"/>
              <w:cnfStyle w:val="000000000000" w:firstRow="0" w:lastRow="0" w:firstColumn="0" w:lastColumn="0" w:oddVBand="0" w:evenVBand="0" w:oddHBand="0" w:evenHBand="0" w:firstRowFirstColumn="0" w:firstRowLastColumn="0" w:lastRowFirstColumn="0" w:lastRowLastColumn="0"/>
            </w:pPr>
            <w:r w:rsidRPr="00FF1E2C">
              <w:t>1</w:t>
            </w:r>
            <w:r w:rsidR="00204185">
              <w:t>,</w:t>
            </w:r>
            <w:r w:rsidRPr="00FF1E2C">
              <w:t>0</w:t>
            </w:r>
          </w:p>
        </w:tc>
        <w:tc>
          <w:tcPr>
            <w:tcW w:w="345" w:type="pct"/>
            <w:vAlign w:val="top"/>
          </w:tcPr>
          <w:p w14:paraId="178E7949" w14:textId="54248696" w:rsidR="00FC15F9" w:rsidRPr="00A66BC4" w:rsidRDefault="00FC15F9" w:rsidP="003672B4">
            <w:pPr>
              <w:pStyle w:val="TabeladesnoUMAR"/>
              <w:cnfStyle w:val="000000000000" w:firstRow="0" w:lastRow="0" w:firstColumn="0" w:lastColumn="0" w:oddVBand="0" w:evenVBand="0" w:oddHBand="0" w:evenHBand="0" w:firstRowFirstColumn="0" w:firstRowLastColumn="0" w:lastRowFirstColumn="0" w:lastRowLastColumn="0"/>
            </w:pPr>
            <w:r w:rsidRPr="00FF1E2C">
              <w:t>1</w:t>
            </w:r>
            <w:r w:rsidR="00204185">
              <w:t>,</w:t>
            </w:r>
            <w:r w:rsidRPr="00FF1E2C">
              <w:t>9</w:t>
            </w:r>
          </w:p>
        </w:tc>
      </w:tr>
      <w:tr w:rsidR="00FC15F9" w:rsidRPr="00D05843" w14:paraId="7EED0BB7" w14:textId="77777777" w:rsidTr="005A0BF8">
        <w:trPr>
          <w:trHeight w:val="285"/>
        </w:trPr>
        <w:tc>
          <w:tcPr>
            <w:cnfStyle w:val="001000000000" w:firstRow="0" w:lastRow="0" w:firstColumn="1" w:lastColumn="0" w:oddVBand="0" w:evenVBand="0" w:oddHBand="0" w:evenHBand="0" w:firstRowFirstColumn="0" w:firstRowLastColumn="0" w:lastRowFirstColumn="0" w:lastRowLastColumn="0"/>
            <w:tcW w:w="2189" w:type="pct"/>
            <w:noWrap/>
            <w:vAlign w:val="top"/>
          </w:tcPr>
          <w:p w14:paraId="21F05FC8" w14:textId="7CA14BD5" w:rsidR="00FC15F9" w:rsidRPr="0057035C" w:rsidRDefault="00FC15F9" w:rsidP="003672B4">
            <w:pPr>
              <w:pStyle w:val="TabelalevoUMAR"/>
              <w:rPr>
                <w:lang w:eastAsia="sl-SI"/>
              </w:rPr>
            </w:pPr>
            <w:r>
              <w:rPr>
                <w:lang w:eastAsia="sl-SI"/>
              </w:rPr>
              <w:t>Tržni delež na svetovnem trgu, rast v petih letih</w:t>
            </w:r>
          </w:p>
        </w:tc>
        <w:tc>
          <w:tcPr>
            <w:tcW w:w="389" w:type="pct"/>
            <w:noWrap/>
            <w:vAlign w:val="top"/>
          </w:tcPr>
          <w:p w14:paraId="1D974011" w14:textId="4FF6B9D3" w:rsidR="00FC15F9" w:rsidRPr="0057035C" w:rsidRDefault="00FC15F9" w:rsidP="00FC15F9">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lang w:eastAsia="sl-SI"/>
              </w:rPr>
              <w:t>-6 %</w:t>
            </w:r>
          </w:p>
        </w:tc>
        <w:tc>
          <w:tcPr>
            <w:tcW w:w="346" w:type="pct"/>
            <w:noWrap/>
            <w:vAlign w:val="top"/>
          </w:tcPr>
          <w:p w14:paraId="4E819FCC" w14:textId="35EE54F8" w:rsidR="00FC15F9" w:rsidRPr="0057035C"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841EEF">
              <w:t>-13</w:t>
            </w:r>
            <w:r w:rsidR="00204185">
              <w:t>,</w:t>
            </w:r>
            <w:r w:rsidRPr="00841EEF">
              <w:t>2</w:t>
            </w:r>
          </w:p>
        </w:tc>
        <w:tc>
          <w:tcPr>
            <w:tcW w:w="346" w:type="pct"/>
            <w:noWrap/>
            <w:vAlign w:val="top"/>
          </w:tcPr>
          <w:p w14:paraId="5DDC23DC" w14:textId="5CEC9BCB" w:rsidR="00FC15F9" w:rsidRPr="00D05843"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841EEF">
              <w:t>-5</w:t>
            </w:r>
            <w:r w:rsidR="00204185">
              <w:t>,</w:t>
            </w:r>
            <w:r w:rsidRPr="00841EEF">
              <w:t>0</w:t>
            </w:r>
          </w:p>
        </w:tc>
        <w:tc>
          <w:tcPr>
            <w:tcW w:w="346" w:type="pct"/>
            <w:noWrap/>
            <w:vAlign w:val="top"/>
          </w:tcPr>
          <w:p w14:paraId="61588516" w14:textId="31DD72AE" w:rsidR="00FC15F9" w:rsidRPr="00D05843"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841EEF">
              <w:t>3</w:t>
            </w:r>
            <w:r w:rsidR="00204185">
              <w:t>,</w:t>
            </w:r>
            <w:r w:rsidRPr="00841EEF">
              <w:t>2</w:t>
            </w:r>
          </w:p>
        </w:tc>
        <w:tc>
          <w:tcPr>
            <w:tcW w:w="346" w:type="pct"/>
            <w:noWrap/>
            <w:vAlign w:val="top"/>
          </w:tcPr>
          <w:p w14:paraId="1BF698DA" w14:textId="6E898080" w:rsidR="00FC15F9" w:rsidRPr="00D05843"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841EEF">
              <w:t>17</w:t>
            </w:r>
            <w:r w:rsidR="00204185">
              <w:t>,</w:t>
            </w:r>
            <w:r w:rsidRPr="00841EEF">
              <w:t>9</w:t>
            </w:r>
          </w:p>
        </w:tc>
        <w:tc>
          <w:tcPr>
            <w:tcW w:w="346" w:type="pct"/>
            <w:vAlign w:val="top"/>
          </w:tcPr>
          <w:p w14:paraId="5E52A056" w14:textId="0730E306" w:rsidR="00FC15F9" w:rsidRPr="00A66BC4" w:rsidRDefault="00FC15F9" w:rsidP="003672B4">
            <w:pPr>
              <w:pStyle w:val="TabeladesnoUMAR"/>
              <w:cnfStyle w:val="000000000000" w:firstRow="0" w:lastRow="0" w:firstColumn="0" w:lastColumn="0" w:oddVBand="0" w:evenVBand="0" w:oddHBand="0" w:evenHBand="0" w:firstRowFirstColumn="0" w:firstRowLastColumn="0" w:lastRowFirstColumn="0" w:lastRowLastColumn="0"/>
            </w:pPr>
            <w:r w:rsidRPr="00841EEF">
              <w:t>19</w:t>
            </w:r>
            <w:r w:rsidR="00204185">
              <w:t>,</w:t>
            </w:r>
            <w:r w:rsidRPr="00841EEF">
              <w:t>5</w:t>
            </w:r>
          </w:p>
        </w:tc>
        <w:tc>
          <w:tcPr>
            <w:tcW w:w="346" w:type="pct"/>
            <w:vAlign w:val="top"/>
          </w:tcPr>
          <w:p w14:paraId="22DDE57A" w14:textId="0F9499E3" w:rsidR="00FC15F9" w:rsidRPr="00A66BC4" w:rsidRDefault="00FC15F9" w:rsidP="003672B4">
            <w:pPr>
              <w:pStyle w:val="TabeladesnoUMAR"/>
              <w:cnfStyle w:val="000000000000" w:firstRow="0" w:lastRow="0" w:firstColumn="0" w:lastColumn="0" w:oddVBand="0" w:evenVBand="0" w:oddHBand="0" w:evenHBand="0" w:firstRowFirstColumn="0" w:firstRowLastColumn="0" w:lastRowFirstColumn="0" w:lastRowLastColumn="0"/>
            </w:pPr>
            <w:r w:rsidRPr="00841EEF">
              <w:t>15</w:t>
            </w:r>
            <w:r w:rsidR="00204185">
              <w:t>,</w:t>
            </w:r>
            <w:r w:rsidRPr="00841EEF">
              <w:t>7</w:t>
            </w:r>
          </w:p>
        </w:tc>
        <w:tc>
          <w:tcPr>
            <w:tcW w:w="345" w:type="pct"/>
            <w:vAlign w:val="top"/>
          </w:tcPr>
          <w:p w14:paraId="35B931D1" w14:textId="00341F67" w:rsidR="00FC15F9" w:rsidRPr="00A66BC4" w:rsidRDefault="00FC15F9" w:rsidP="003672B4">
            <w:pPr>
              <w:pStyle w:val="TabeladesnoUMAR"/>
              <w:cnfStyle w:val="000000000000" w:firstRow="0" w:lastRow="0" w:firstColumn="0" w:lastColumn="0" w:oddVBand="0" w:evenVBand="0" w:oddHBand="0" w:evenHBand="0" w:firstRowFirstColumn="0" w:firstRowLastColumn="0" w:lastRowFirstColumn="0" w:lastRowLastColumn="0"/>
            </w:pPr>
            <w:r w:rsidRPr="00841EEF">
              <w:t>20</w:t>
            </w:r>
            <w:r w:rsidR="00204185">
              <w:t>,</w:t>
            </w:r>
            <w:r w:rsidRPr="00841EEF">
              <w:t>4</w:t>
            </w:r>
          </w:p>
        </w:tc>
      </w:tr>
      <w:tr w:rsidR="00FC15F9" w:rsidRPr="00D05843" w14:paraId="67EA5E15" w14:textId="77777777" w:rsidTr="005A0BF8">
        <w:trPr>
          <w:trHeight w:val="285"/>
        </w:trPr>
        <w:tc>
          <w:tcPr>
            <w:cnfStyle w:val="001000000000" w:firstRow="0" w:lastRow="0" w:firstColumn="1" w:lastColumn="0" w:oddVBand="0" w:evenVBand="0" w:oddHBand="0" w:evenHBand="0" w:firstRowFirstColumn="0" w:firstRowLastColumn="0" w:lastRowFirstColumn="0" w:lastRowLastColumn="0"/>
            <w:tcW w:w="2189" w:type="pct"/>
            <w:noWrap/>
            <w:vAlign w:val="top"/>
          </w:tcPr>
          <w:p w14:paraId="66E7792B" w14:textId="6C97634C" w:rsidR="00FC15F9" w:rsidRPr="0057035C" w:rsidRDefault="00FC15F9" w:rsidP="003672B4">
            <w:pPr>
              <w:pStyle w:val="TabelalevoUMAR"/>
              <w:rPr>
                <w:lang w:eastAsia="sl-SI"/>
              </w:rPr>
            </w:pPr>
            <w:r>
              <w:rPr>
                <w:lang w:eastAsia="sl-SI"/>
              </w:rPr>
              <w:t>Nom. stroški dela na enoto, rast v treh letih</w:t>
            </w:r>
          </w:p>
        </w:tc>
        <w:tc>
          <w:tcPr>
            <w:tcW w:w="389" w:type="pct"/>
            <w:noWrap/>
            <w:vAlign w:val="top"/>
          </w:tcPr>
          <w:p w14:paraId="5920530B" w14:textId="5ABBF51B" w:rsidR="00FC15F9" w:rsidRPr="0057035C" w:rsidRDefault="00FC15F9" w:rsidP="00FC15F9">
            <w:pPr>
              <w:pStyle w:val="TabeladesnoUMAR"/>
              <w:cnfStyle w:val="000000000000" w:firstRow="0" w:lastRow="0" w:firstColumn="0" w:lastColumn="0" w:oddVBand="0" w:evenVBand="0" w:oddHBand="0" w:evenHBand="0" w:firstRowFirstColumn="0" w:firstRowLastColumn="0" w:lastRowFirstColumn="0" w:lastRowLastColumn="0"/>
              <w:rPr>
                <w:lang w:eastAsia="sl-SI"/>
              </w:rPr>
            </w:pPr>
            <w:r>
              <w:rPr>
                <w:lang w:eastAsia="sl-SI"/>
              </w:rPr>
              <w:t>+9 %</w:t>
            </w:r>
          </w:p>
        </w:tc>
        <w:tc>
          <w:tcPr>
            <w:tcW w:w="346" w:type="pct"/>
            <w:noWrap/>
            <w:vAlign w:val="top"/>
          </w:tcPr>
          <w:p w14:paraId="481EA077" w14:textId="64CD24AD" w:rsidR="00FC15F9" w:rsidRPr="0057035C"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C4048">
              <w:t>0</w:t>
            </w:r>
            <w:r w:rsidR="00204185">
              <w:t>,</w:t>
            </w:r>
            <w:r w:rsidRPr="00CC4048">
              <w:t>1</w:t>
            </w:r>
          </w:p>
        </w:tc>
        <w:tc>
          <w:tcPr>
            <w:tcW w:w="346" w:type="pct"/>
            <w:noWrap/>
            <w:vAlign w:val="top"/>
          </w:tcPr>
          <w:p w14:paraId="59FEDC68" w14:textId="30294DE2" w:rsidR="00FC15F9" w:rsidRPr="00D05843"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C4048">
              <w:t>-0</w:t>
            </w:r>
            <w:r w:rsidR="00204185">
              <w:t>,</w:t>
            </w:r>
            <w:r w:rsidRPr="00CC4048">
              <w:t>1</w:t>
            </w:r>
          </w:p>
        </w:tc>
        <w:tc>
          <w:tcPr>
            <w:tcW w:w="346" w:type="pct"/>
            <w:noWrap/>
            <w:vAlign w:val="top"/>
          </w:tcPr>
          <w:p w14:paraId="215A6031" w14:textId="2B43A31B" w:rsidR="00FC15F9" w:rsidRPr="00D05843"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C4048">
              <w:t>1</w:t>
            </w:r>
            <w:r w:rsidR="00204185">
              <w:t>,</w:t>
            </w:r>
            <w:r w:rsidRPr="00CC4048">
              <w:t>3</w:t>
            </w:r>
          </w:p>
        </w:tc>
        <w:tc>
          <w:tcPr>
            <w:tcW w:w="346" w:type="pct"/>
            <w:noWrap/>
            <w:vAlign w:val="top"/>
          </w:tcPr>
          <w:p w14:paraId="23290C8C" w14:textId="722F9239" w:rsidR="00FC15F9" w:rsidRPr="00D05843" w:rsidRDefault="00FC15F9" w:rsidP="003672B4">
            <w:pPr>
              <w:pStyle w:val="TabeladesnoUMAR"/>
              <w:cnfStyle w:val="000000000000" w:firstRow="0" w:lastRow="0" w:firstColumn="0" w:lastColumn="0" w:oddVBand="0" w:evenVBand="0" w:oddHBand="0" w:evenHBand="0" w:firstRowFirstColumn="0" w:firstRowLastColumn="0" w:lastRowFirstColumn="0" w:lastRowLastColumn="0"/>
              <w:rPr>
                <w:lang w:eastAsia="sl-SI"/>
              </w:rPr>
            </w:pPr>
            <w:r w:rsidRPr="00CC4048">
              <w:t>3</w:t>
            </w:r>
            <w:r w:rsidR="00204185">
              <w:t>,</w:t>
            </w:r>
            <w:r w:rsidRPr="00CC4048">
              <w:t>6</w:t>
            </w:r>
          </w:p>
        </w:tc>
        <w:tc>
          <w:tcPr>
            <w:tcW w:w="346" w:type="pct"/>
            <w:vAlign w:val="top"/>
          </w:tcPr>
          <w:p w14:paraId="78D31B0A" w14:textId="551BE900" w:rsidR="00FC15F9" w:rsidRPr="00A66BC4" w:rsidRDefault="00FC15F9" w:rsidP="003672B4">
            <w:pPr>
              <w:pStyle w:val="TabeladesnoUMAR"/>
              <w:cnfStyle w:val="000000000000" w:firstRow="0" w:lastRow="0" w:firstColumn="0" w:lastColumn="0" w:oddVBand="0" w:evenVBand="0" w:oddHBand="0" w:evenHBand="0" w:firstRowFirstColumn="0" w:firstRowLastColumn="0" w:lastRowFirstColumn="0" w:lastRowLastColumn="0"/>
            </w:pPr>
            <w:r w:rsidRPr="00CC4048">
              <w:t>5</w:t>
            </w:r>
            <w:r w:rsidR="00204185">
              <w:t>,</w:t>
            </w:r>
            <w:r w:rsidRPr="00CC4048">
              <w:t>8</w:t>
            </w:r>
          </w:p>
        </w:tc>
        <w:tc>
          <w:tcPr>
            <w:tcW w:w="346" w:type="pct"/>
            <w:vAlign w:val="top"/>
          </w:tcPr>
          <w:p w14:paraId="55C15A13" w14:textId="1B6A3660" w:rsidR="00FC15F9" w:rsidRPr="00A66BC4" w:rsidRDefault="00FC15F9" w:rsidP="003672B4">
            <w:pPr>
              <w:pStyle w:val="TabeladesnoUMAR"/>
              <w:cnfStyle w:val="000000000000" w:firstRow="0" w:lastRow="0" w:firstColumn="0" w:lastColumn="0" w:oddVBand="0" w:evenVBand="0" w:oddHBand="0" w:evenHBand="0" w:firstRowFirstColumn="0" w:firstRowLastColumn="0" w:lastRowFirstColumn="0" w:lastRowLastColumn="0"/>
            </w:pPr>
            <w:r w:rsidRPr="00CC4048">
              <w:t>8</w:t>
            </w:r>
            <w:r w:rsidR="00204185">
              <w:t>,</w:t>
            </w:r>
            <w:r w:rsidRPr="00CC4048">
              <w:t>4</w:t>
            </w:r>
          </w:p>
        </w:tc>
        <w:tc>
          <w:tcPr>
            <w:tcW w:w="345" w:type="pct"/>
            <w:vAlign w:val="top"/>
          </w:tcPr>
          <w:p w14:paraId="75A96616" w14:textId="3626B376" w:rsidR="00FC15F9" w:rsidRPr="00A66BC4" w:rsidRDefault="00FC15F9" w:rsidP="003672B4">
            <w:pPr>
              <w:pStyle w:val="TabeladesnoUMAR"/>
              <w:cnfStyle w:val="000000000000" w:firstRow="0" w:lastRow="0" w:firstColumn="0" w:lastColumn="0" w:oddVBand="0" w:evenVBand="0" w:oddHBand="0" w:evenHBand="0" w:firstRowFirstColumn="0" w:firstRowLastColumn="0" w:lastRowFirstColumn="0" w:lastRowLastColumn="0"/>
            </w:pPr>
            <w:r w:rsidRPr="00EE10DE">
              <w:t>14</w:t>
            </w:r>
            <w:r w:rsidR="00204185">
              <w:t>,</w:t>
            </w:r>
            <w:r w:rsidRPr="00EE10DE">
              <w:t>8</w:t>
            </w:r>
          </w:p>
        </w:tc>
      </w:tr>
    </w:tbl>
    <w:p w14:paraId="2C12695E" w14:textId="0E2EFADB" w:rsidR="008B6393" w:rsidRPr="00F94399" w:rsidRDefault="008B6393" w:rsidP="003672B4">
      <w:pPr>
        <w:pStyle w:val="VirUMAR"/>
      </w:pPr>
      <w:r w:rsidRPr="00F94399">
        <w:t xml:space="preserve">Vir: </w:t>
      </w:r>
      <w:r>
        <w:t>Eurostat.</w:t>
      </w:r>
    </w:p>
    <w:p w14:paraId="160EB35B" w14:textId="4BD15580" w:rsidR="00433DB0" w:rsidRDefault="00433DB0" w:rsidP="0075319C">
      <w:pPr>
        <w:pStyle w:val="BesediloUMAR"/>
      </w:pPr>
    </w:p>
    <w:p w14:paraId="6CE08C1C" w14:textId="323AAA03" w:rsidR="0075319C" w:rsidRPr="00352A65" w:rsidRDefault="00820AC8" w:rsidP="0075319C">
      <w:pPr>
        <w:pStyle w:val="BesediloUMAR"/>
      </w:pPr>
      <w:r>
        <w:rPr>
          <w:szCs w:val="20"/>
        </w:rPr>
        <w:lastRenderedPageBreak/>
        <w:t xml:space="preserve">Po vseh relevantnih kazalnikih Slovenija le pri nominalnih stroških dela v letu 2020 izkazuje </w:t>
      </w:r>
      <w:r w:rsidR="005E2EEB">
        <w:rPr>
          <w:szCs w:val="20"/>
        </w:rPr>
        <w:t xml:space="preserve">zunanje </w:t>
      </w:r>
      <w:r>
        <w:rPr>
          <w:szCs w:val="20"/>
        </w:rPr>
        <w:t xml:space="preserve">neravnotežje. Vendar velja pri tem omeniti, da kazalnik stroškovne konkurenčnosti </w:t>
      </w:r>
      <w:r w:rsidR="001A2214">
        <w:rPr>
          <w:szCs w:val="20"/>
        </w:rPr>
        <w:t xml:space="preserve">za </w:t>
      </w:r>
      <w:r>
        <w:rPr>
          <w:szCs w:val="20"/>
        </w:rPr>
        <w:t>lani kaže precej mešano sliko. Medtem ko</w:t>
      </w:r>
      <w:r w:rsidR="001A2214">
        <w:rPr>
          <w:szCs w:val="20"/>
        </w:rPr>
        <w:t xml:space="preserve"> izračuni </w:t>
      </w:r>
      <w:r>
        <w:rPr>
          <w:szCs w:val="20"/>
        </w:rPr>
        <w:t xml:space="preserve">ECB </w:t>
      </w:r>
      <w:r w:rsidR="001A2214">
        <w:rPr>
          <w:szCs w:val="20"/>
        </w:rPr>
        <w:t xml:space="preserve">kažejo izboljšanje, pa </w:t>
      </w:r>
      <w:r w:rsidR="002A410B">
        <w:rPr>
          <w:szCs w:val="20"/>
        </w:rPr>
        <w:t xml:space="preserve">obratno podatki </w:t>
      </w:r>
      <w:r w:rsidR="001A2214">
        <w:rPr>
          <w:szCs w:val="20"/>
        </w:rPr>
        <w:t>Eurostata kaže</w:t>
      </w:r>
      <w:r w:rsidR="002A410B">
        <w:rPr>
          <w:szCs w:val="20"/>
        </w:rPr>
        <w:t>jo</w:t>
      </w:r>
      <w:r w:rsidR="001A2214">
        <w:rPr>
          <w:szCs w:val="20"/>
        </w:rPr>
        <w:t xml:space="preserve"> </w:t>
      </w:r>
      <w:r w:rsidR="002A410B">
        <w:rPr>
          <w:szCs w:val="20"/>
        </w:rPr>
        <w:t xml:space="preserve">močno </w:t>
      </w:r>
      <w:r w:rsidR="001A2214">
        <w:rPr>
          <w:szCs w:val="20"/>
        </w:rPr>
        <w:t>poslabšanje stroškovne konkure</w:t>
      </w:r>
      <w:r w:rsidR="001048D6">
        <w:rPr>
          <w:szCs w:val="20"/>
        </w:rPr>
        <w:t>n</w:t>
      </w:r>
      <w:r w:rsidR="001A2214">
        <w:rPr>
          <w:szCs w:val="20"/>
        </w:rPr>
        <w:t>čnosti</w:t>
      </w:r>
      <w:r w:rsidR="001048D6">
        <w:rPr>
          <w:szCs w:val="20"/>
        </w:rPr>
        <w:t xml:space="preserve"> slovenskih izvoznikov</w:t>
      </w:r>
      <w:r w:rsidR="00380375">
        <w:rPr>
          <w:szCs w:val="20"/>
        </w:rPr>
        <w:t>.</w:t>
      </w:r>
      <w:r w:rsidR="001048D6">
        <w:rPr>
          <w:szCs w:val="20"/>
        </w:rPr>
        <w:t xml:space="preserve"> Kazalnika se razlikujeta </w:t>
      </w:r>
      <w:r w:rsidR="001A2F26">
        <w:rPr>
          <w:szCs w:val="20"/>
        </w:rPr>
        <w:t xml:space="preserve">zaradi različnega </w:t>
      </w:r>
      <w:r w:rsidR="000967F0">
        <w:rPr>
          <w:szCs w:val="20"/>
        </w:rPr>
        <w:t>izbora</w:t>
      </w:r>
      <w:r w:rsidR="001A2F26">
        <w:rPr>
          <w:szCs w:val="20"/>
        </w:rPr>
        <w:t xml:space="preserve"> držav in različne metodologij</w:t>
      </w:r>
      <w:r w:rsidR="00621928">
        <w:rPr>
          <w:szCs w:val="20"/>
        </w:rPr>
        <w:t>e</w:t>
      </w:r>
      <w:r w:rsidR="001A2F26">
        <w:rPr>
          <w:szCs w:val="20"/>
        </w:rPr>
        <w:t xml:space="preserve"> izračuna izvozno-uvoznih uteži</w:t>
      </w:r>
      <w:r w:rsidR="00621928">
        <w:rPr>
          <w:szCs w:val="20"/>
        </w:rPr>
        <w:t xml:space="preserve">. Razlika je namreč posledica prikaza relativnih stroškov </w:t>
      </w:r>
      <w:r w:rsidR="00407D7E">
        <w:rPr>
          <w:szCs w:val="20"/>
        </w:rPr>
        <w:t>dela in sicer no</w:t>
      </w:r>
      <w:r w:rsidR="00621928">
        <w:rPr>
          <w:szCs w:val="20"/>
        </w:rPr>
        <w:t>minalni</w:t>
      </w:r>
      <w:r w:rsidR="00407D7E">
        <w:rPr>
          <w:szCs w:val="20"/>
        </w:rPr>
        <w:t>h</w:t>
      </w:r>
      <w:r w:rsidR="00621928">
        <w:rPr>
          <w:szCs w:val="20"/>
        </w:rPr>
        <w:t xml:space="preserve"> strošk</w:t>
      </w:r>
      <w:r w:rsidR="00407D7E">
        <w:rPr>
          <w:szCs w:val="20"/>
        </w:rPr>
        <w:t>ov</w:t>
      </w:r>
      <w:r w:rsidR="00621928">
        <w:rPr>
          <w:szCs w:val="20"/>
        </w:rPr>
        <w:t xml:space="preserve"> dela posamezne države v primerjavi z nominalnimi stroški dela</w:t>
      </w:r>
      <w:r w:rsidR="00407D7E">
        <w:rPr>
          <w:szCs w:val="20"/>
        </w:rPr>
        <w:t xml:space="preserve"> zunanjetrgovinskih partneric, ponderiranih glede pomembnosti v mednarodni menjavi.</w:t>
      </w:r>
      <w:r w:rsidR="000967F0">
        <w:rPr>
          <w:szCs w:val="20"/>
        </w:rPr>
        <w:t xml:space="preserve"> </w:t>
      </w:r>
      <w:r w:rsidR="00380375">
        <w:rPr>
          <w:szCs w:val="20"/>
        </w:rPr>
        <w:t>Po ocenah UMAR naj bi bil Eurostat primarni vir za izračun relativnih stroškov.</w:t>
      </w:r>
      <w:r w:rsidR="000967F0">
        <w:rPr>
          <w:szCs w:val="20"/>
        </w:rPr>
        <w:t xml:space="preserve"> </w:t>
      </w:r>
    </w:p>
    <w:p w14:paraId="33F929E6" w14:textId="6C739A76" w:rsidR="00820AC8" w:rsidRDefault="001A2F26" w:rsidP="001A2F26">
      <w:pPr>
        <w:pStyle w:val="TekstPOR"/>
        <w:tabs>
          <w:tab w:val="left" w:pos="6695"/>
        </w:tabs>
        <w:spacing w:before="0" w:after="0" w:line="288" w:lineRule="auto"/>
        <w:jc w:val="both"/>
        <w:rPr>
          <w:rFonts w:ascii="Myriad Pro" w:hAnsi="Myriad Pro"/>
          <w:sz w:val="20"/>
        </w:rPr>
      </w:pPr>
      <w:r>
        <w:rPr>
          <w:rFonts w:ascii="Myriad Pro" w:hAnsi="Myriad Pro"/>
          <w:sz w:val="20"/>
        </w:rPr>
        <w:tab/>
      </w:r>
    </w:p>
    <w:p w14:paraId="7D6C1018" w14:textId="532D0B73" w:rsidR="0075319C" w:rsidRPr="00C23EA9" w:rsidRDefault="009B7BFB" w:rsidP="0075319C">
      <w:pPr>
        <w:pStyle w:val="TekstPOR"/>
        <w:spacing w:before="0" w:after="0" w:line="288" w:lineRule="auto"/>
        <w:jc w:val="both"/>
        <w:rPr>
          <w:rFonts w:ascii="Myriad Pro" w:hAnsi="Myriad Pro"/>
          <w:sz w:val="20"/>
        </w:rPr>
      </w:pPr>
      <w:r>
        <w:rPr>
          <w:rFonts w:ascii="Myriad Pro" w:hAnsi="Myriad Pro"/>
          <w:sz w:val="20"/>
        </w:rPr>
        <w:t>Neto stanje mednarodnih naložb</w:t>
      </w:r>
      <w:r w:rsidR="0075319C" w:rsidRPr="00C23EA9">
        <w:rPr>
          <w:rFonts w:ascii="Myriad Pro" w:hAnsi="Myriad Pro"/>
          <w:sz w:val="20"/>
        </w:rPr>
        <w:t xml:space="preserve"> Slovenije </w:t>
      </w:r>
      <w:r w:rsidR="00C97AC0">
        <w:rPr>
          <w:rFonts w:ascii="Myriad Pro" w:hAnsi="Myriad Pro"/>
          <w:sz w:val="20"/>
        </w:rPr>
        <w:t xml:space="preserve">do tujine </w:t>
      </w:r>
      <w:r w:rsidR="0075319C" w:rsidRPr="00C23EA9">
        <w:rPr>
          <w:rFonts w:ascii="Myriad Pro" w:hAnsi="Myriad Pro"/>
          <w:sz w:val="20"/>
        </w:rPr>
        <w:t>je od leta 2015 znotraj indikativnega praga zunanjega neravno</w:t>
      </w:r>
      <w:r w:rsidR="00820AC8">
        <w:rPr>
          <w:rFonts w:ascii="Myriad Pro" w:hAnsi="Myriad Pro"/>
          <w:sz w:val="20"/>
        </w:rPr>
        <w:t>težja</w:t>
      </w:r>
      <w:r w:rsidR="0075319C" w:rsidRPr="00C23EA9">
        <w:rPr>
          <w:rFonts w:ascii="Myriad Pro" w:hAnsi="Myriad Pro"/>
          <w:sz w:val="20"/>
        </w:rPr>
        <w:t xml:space="preserve"> (</w:t>
      </w:r>
      <w:r w:rsidR="002927CC">
        <w:rPr>
          <w:rFonts w:ascii="Myriad Pro" w:hAnsi="Myriad Pro"/>
          <w:sz w:val="20"/>
        </w:rPr>
        <w:t>-</w:t>
      </w:r>
      <w:r w:rsidR="0075319C" w:rsidRPr="00C23EA9">
        <w:rPr>
          <w:rFonts w:ascii="Myriad Pro" w:hAnsi="Myriad Pro"/>
          <w:sz w:val="20"/>
        </w:rPr>
        <w:t>35 % BDP) in je konec leta v letu 2020 znašal</w:t>
      </w:r>
      <w:r>
        <w:rPr>
          <w:rFonts w:ascii="Myriad Pro" w:hAnsi="Myriad Pro"/>
          <w:sz w:val="20"/>
        </w:rPr>
        <w:t>o</w:t>
      </w:r>
      <w:r w:rsidR="0075319C" w:rsidRPr="00C23EA9">
        <w:rPr>
          <w:rFonts w:ascii="Myriad Pro" w:hAnsi="Myriad Pro"/>
          <w:sz w:val="20"/>
        </w:rPr>
        <w:t xml:space="preserve"> </w:t>
      </w:r>
      <w:r w:rsidR="002927CC">
        <w:rPr>
          <w:rFonts w:ascii="Myriad Pro" w:hAnsi="Myriad Pro"/>
          <w:sz w:val="20"/>
        </w:rPr>
        <w:t>-</w:t>
      </w:r>
      <w:r w:rsidR="0075319C" w:rsidRPr="00C23EA9">
        <w:rPr>
          <w:rFonts w:ascii="Myriad Pro" w:hAnsi="Myriad Pro"/>
          <w:sz w:val="20"/>
        </w:rPr>
        <w:t>1</w:t>
      </w:r>
      <w:r w:rsidR="00796DD1">
        <w:rPr>
          <w:rFonts w:ascii="Myriad Pro" w:hAnsi="Myriad Pro"/>
          <w:sz w:val="20"/>
        </w:rPr>
        <w:t xml:space="preserve">5,2 </w:t>
      </w:r>
      <w:r w:rsidR="0075319C" w:rsidRPr="00C23EA9">
        <w:rPr>
          <w:rFonts w:ascii="Myriad Pro" w:hAnsi="Myriad Pro"/>
          <w:sz w:val="20"/>
        </w:rPr>
        <w:t>% BDP</w:t>
      </w:r>
      <w:r w:rsidR="00427357">
        <w:rPr>
          <w:rFonts w:ascii="Myriad Pro" w:hAnsi="Myriad Pro"/>
          <w:sz w:val="20"/>
        </w:rPr>
        <w:t xml:space="preserve"> (slika 10)</w:t>
      </w:r>
      <w:r w:rsidR="0075319C" w:rsidRPr="00C23EA9">
        <w:rPr>
          <w:rFonts w:ascii="Myriad Pro" w:hAnsi="Myriad Pro"/>
          <w:sz w:val="20"/>
        </w:rPr>
        <w:t xml:space="preserve">. Ta prag še vedno najbolj presegajo države evrskega območja, ki so imele največjo dolžniško krizo (Španija, Portugalska, Ciper, </w:t>
      </w:r>
      <w:r w:rsidR="00AD1837">
        <w:rPr>
          <w:rFonts w:ascii="Myriad Pro" w:hAnsi="Myriad Pro"/>
          <w:sz w:val="20"/>
        </w:rPr>
        <w:t xml:space="preserve">Irska  in </w:t>
      </w:r>
      <w:r w:rsidR="0075319C" w:rsidRPr="00C23EA9">
        <w:rPr>
          <w:rFonts w:ascii="Myriad Pro" w:hAnsi="Myriad Pro"/>
          <w:sz w:val="20"/>
        </w:rPr>
        <w:t>Grčija).</w:t>
      </w:r>
    </w:p>
    <w:p w14:paraId="35B267B9" w14:textId="44308671" w:rsidR="0075319C" w:rsidRDefault="0075319C" w:rsidP="0075319C">
      <w:pPr>
        <w:pStyle w:val="Caption"/>
      </w:pPr>
      <w:r>
        <w:t xml:space="preserve">Slika </w:t>
      </w:r>
      <w:r w:rsidR="00673C07">
        <w:t>10</w:t>
      </w:r>
      <w:r>
        <w:t xml:space="preserve">: </w:t>
      </w:r>
      <w:r w:rsidR="005239C1">
        <w:t>Stanje mednarodnih naložb</w:t>
      </w:r>
      <w:r>
        <w:t xml:space="preserve"> </w:t>
      </w:r>
      <w:r w:rsidR="00C97AC0">
        <w:t xml:space="preserve">v državah </w:t>
      </w:r>
      <w:r>
        <w:t xml:space="preserve">EU, </w:t>
      </w:r>
      <w:r w:rsidR="005239C1">
        <w:t>v letu 2020</w:t>
      </w:r>
    </w:p>
    <w:p w14:paraId="1841F98E" w14:textId="5458A390" w:rsidR="0075319C" w:rsidRPr="00AA6CC4" w:rsidRDefault="000A24BD" w:rsidP="0075319C">
      <w:pPr>
        <w:pStyle w:val="BesediloUMAR"/>
      </w:pPr>
      <w:r>
        <w:rPr>
          <w:noProof/>
        </w:rPr>
        <w:drawing>
          <wp:inline distT="0" distB="0" distL="0" distR="0" wp14:anchorId="6171EF89" wp14:editId="37E4D282">
            <wp:extent cx="5765629" cy="3757808"/>
            <wp:effectExtent l="0" t="0" r="6985" b="0"/>
            <wp:docPr id="53" name="Slika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89500" cy="3773366"/>
                    </a:xfrm>
                    <a:prstGeom prst="rect">
                      <a:avLst/>
                    </a:prstGeom>
                    <a:noFill/>
                  </pic:spPr>
                </pic:pic>
              </a:graphicData>
            </a:graphic>
          </wp:inline>
        </w:drawing>
      </w:r>
    </w:p>
    <w:p w14:paraId="360F6BCB" w14:textId="77777777" w:rsidR="0075319C" w:rsidRDefault="0075319C" w:rsidP="003672B4">
      <w:pPr>
        <w:pStyle w:val="VirUMAR"/>
        <w:rPr>
          <w:rFonts w:cs="Arial"/>
          <w:szCs w:val="20"/>
        </w:rPr>
      </w:pPr>
      <w:r w:rsidRPr="002A5B83">
        <w:t>Vir:</w:t>
      </w:r>
      <w:r>
        <w:t xml:space="preserve"> Eurostat.</w:t>
      </w:r>
    </w:p>
    <w:p w14:paraId="08A70EDC" w14:textId="73FF1F84" w:rsidR="0075319C" w:rsidRDefault="0075319C" w:rsidP="0075319C">
      <w:pPr>
        <w:pStyle w:val="TekstPOR"/>
      </w:pPr>
    </w:p>
    <w:p w14:paraId="78C697EE" w14:textId="37AE29C2" w:rsidR="00AC5F1D" w:rsidRPr="00AC5F1D" w:rsidRDefault="001D63B1" w:rsidP="008C5461">
      <w:pPr>
        <w:pStyle w:val="BesediloUMAR"/>
      </w:pPr>
      <w:r w:rsidRPr="00AC5F1D">
        <w:t xml:space="preserve">Tekoča gibanja kažejo, da se </w:t>
      </w:r>
      <w:r w:rsidR="0015219C" w:rsidRPr="00AC5F1D">
        <w:t>stanje mednarodnih naložb Slovenije nadalje izboljšuje.</w:t>
      </w:r>
      <w:r w:rsidR="00C55114">
        <w:t xml:space="preserve"> </w:t>
      </w:r>
      <w:r w:rsidR="0015219C" w:rsidRPr="00AC5F1D">
        <w:t>Ce</w:t>
      </w:r>
      <w:r w:rsidRPr="00AC5F1D">
        <w:t xml:space="preserve">lotna neto zadolženost Slovenije do tujine </w:t>
      </w:r>
      <w:r w:rsidR="0015219C" w:rsidRPr="00AC5F1D">
        <w:t xml:space="preserve">se je </w:t>
      </w:r>
      <w:r w:rsidR="00427357" w:rsidRPr="00AC5F1D">
        <w:t xml:space="preserve">v primerjavi s koncem leta 2020 v prvem letošnjem četrtletju </w:t>
      </w:r>
      <w:r w:rsidR="0015219C" w:rsidRPr="00AC5F1D">
        <w:t xml:space="preserve">znižala za </w:t>
      </w:r>
      <w:r w:rsidR="00427357" w:rsidRPr="00AC5F1D">
        <w:t>3 mrd EUR</w:t>
      </w:r>
      <w:r w:rsidR="0015219C" w:rsidRPr="00AC5F1D">
        <w:t>, na 4,2 mrd EUR (-8,8 % BDP)</w:t>
      </w:r>
      <w:r w:rsidR="00427357" w:rsidRPr="00AC5F1D">
        <w:t xml:space="preserve">. </w:t>
      </w:r>
      <w:r w:rsidR="00AC5F1D">
        <w:t>K</w:t>
      </w:r>
      <w:r w:rsidR="00AC5F1D" w:rsidRPr="00AC5F1D">
        <w:t xml:space="preserve"> zapiranju zunanje vrzeli </w:t>
      </w:r>
      <w:r w:rsidR="00AC5F1D">
        <w:t xml:space="preserve">bo tudi letos </w:t>
      </w:r>
      <w:r w:rsidR="00AC5F1D" w:rsidRPr="00AC5F1D">
        <w:t>največ prispeval sicer postopno nižji presež</w:t>
      </w:r>
      <w:r w:rsidR="00AC5F1D">
        <w:t>ek</w:t>
      </w:r>
      <w:r w:rsidR="00AC5F1D" w:rsidRPr="00AC5F1D">
        <w:t xml:space="preserve"> tekočega računa, deloma pa tudi prilivi na kapitalskem računu plačilne bilance ter rast nominalnega BDP. </w:t>
      </w:r>
    </w:p>
    <w:p w14:paraId="1D690C22" w14:textId="77777777" w:rsidR="00352A65" w:rsidRDefault="00352A65" w:rsidP="0075319C">
      <w:pPr>
        <w:pStyle w:val="TekstPOR"/>
      </w:pPr>
    </w:p>
    <w:p w14:paraId="72761CE0" w14:textId="2A565ABB" w:rsidR="00777572" w:rsidRDefault="00777572" w:rsidP="00427357">
      <w:pPr>
        <w:tabs>
          <w:tab w:val="left" w:pos="5706"/>
        </w:tabs>
      </w:pPr>
    </w:p>
    <w:p w14:paraId="58B1174F" w14:textId="1CD818A7" w:rsidR="00777572" w:rsidRDefault="00777572" w:rsidP="00FF5B7E"/>
    <w:p w14:paraId="2936882D" w14:textId="2C12E118" w:rsidR="00777572" w:rsidRDefault="00777572" w:rsidP="00FF5B7E"/>
    <w:p w14:paraId="4ABC7978" w14:textId="77777777" w:rsidR="000A24BD" w:rsidRDefault="000A24BD" w:rsidP="00FF5B7E"/>
    <w:p w14:paraId="6F6B600F" w14:textId="77777777" w:rsidR="001908FD" w:rsidRPr="003672B4" w:rsidRDefault="001908FD" w:rsidP="001908FD">
      <w:pPr>
        <w:pStyle w:val="Heading3"/>
        <w:numPr>
          <w:ilvl w:val="0"/>
          <w:numId w:val="0"/>
        </w:numPr>
      </w:pPr>
      <w:r w:rsidRPr="003672B4">
        <w:lastRenderedPageBreak/>
        <w:t>Literatura in viri</w:t>
      </w:r>
    </w:p>
    <w:p w14:paraId="0551008F" w14:textId="77777777" w:rsidR="001908FD" w:rsidRDefault="001908FD" w:rsidP="001908FD">
      <w:pPr>
        <w:pStyle w:val="Heading3"/>
        <w:numPr>
          <w:ilvl w:val="0"/>
          <w:numId w:val="0"/>
        </w:numPr>
      </w:pPr>
    </w:p>
    <w:p w14:paraId="07EE59B4" w14:textId="1F72D195" w:rsidR="008B547C" w:rsidRPr="00F12988" w:rsidRDefault="008B547C" w:rsidP="008B547C">
      <w:pPr>
        <w:pStyle w:val="LiteraturaUMAR"/>
        <w:rPr>
          <w:szCs w:val="20"/>
        </w:rPr>
      </w:pPr>
      <w:r w:rsidRPr="00F12988">
        <w:rPr>
          <w:szCs w:val="20"/>
        </w:rPr>
        <w:t xml:space="preserve">Bleaney M., in Tian M. (2018). Net foreign assets, real exchange rates and net exports revisited. Working Paper No. </w:t>
      </w:r>
      <w:r w:rsidR="002F77EF" w:rsidRPr="00F12988">
        <w:rPr>
          <w:szCs w:val="20"/>
        </w:rPr>
        <w:t>20</w:t>
      </w:r>
      <w:r w:rsidRPr="00F12988">
        <w:rPr>
          <w:szCs w:val="20"/>
        </w:rPr>
        <w:t>13/04.</w:t>
      </w:r>
    </w:p>
    <w:p w14:paraId="34880D76" w14:textId="0CE5719E" w:rsidR="008B3527" w:rsidRPr="00F12988" w:rsidRDefault="008B3527" w:rsidP="008B3527">
      <w:pPr>
        <w:pStyle w:val="LiteraturaUMAR"/>
        <w:rPr>
          <w:szCs w:val="20"/>
        </w:rPr>
      </w:pPr>
      <w:r w:rsidRPr="00F12988">
        <w:rPr>
          <w:szCs w:val="20"/>
          <w:lang w:val="it-IT"/>
        </w:rPr>
        <w:t>Corte V., Federico S.</w:t>
      </w:r>
      <w:r w:rsidR="008B547C" w:rsidRPr="00F12988">
        <w:rPr>
          <w:szCs w:val="20"/>
          <w:lang w:val="it-IT"/>
        </w:rPr>
        <w:t>,</w:t>
      </w:r>
      <w:r w:rsidRPr="00F12988">
        <w:rPr>
          <w:szCs w:val="20"/>
          <w:lang w:val="it-IT"/>
        </w:rPr>
        <w:t xml:space="preserve"> in Tosti E. (2018). </w:t>
      </w:r>
      <w:r w:rsidRPr="00F12988">
        <w:rPr>
          <w:szCs w:val="20"/>
          <w:lang w:val="en-US"/>
        </w:rPr>
        <w:t>Unwinding external stock imbalances? The case of</w:t>
      </w:r>
      <w:r w:rsidRPr="00F12988">
        <w:rPr>
          <w:szCs w:val="20"/>
        </w:rPr>
        <w:t xml:space="preserve"> Italy’s net international investment position. Banca D’Italia.</w:t>
      </w:r>
    </w:p>
    <w:p w14:paraId="538A02D1" w14:textId="3151DAE2" w:rsidR="001F483F" w:rsidRPr="00F12988" w:rsidRDefault="001F483F" w:rsidP="001F483F">
      <w:pPr>
        <w:pStyle w:val="LiteraturaUMAR"/>
        <w:rPr>
          <w:bCs/>
          <w:szCs w:val="20"/>
        </w:rPr>
      </w:pPr>
      <w:r w:rsidRPr="00F12988">
        <w:rPr>
          <w:szCs w:val="20"/>
        </w:rPr>
        <w:t>ECB (2017).</w:t>
      </w:r>
      <w:r w:rsidR="008B547C" w:rsidRPr="00F12988">
        <w:rPr>
          <w:szCs w:val="20"/>
        </w:rPr>
        <w:t xml:space="preserve"> </w:t>
      </w:r>
      <w:r w:rsidRPr="00F12988">
        <w:rPr>
          <w:rFonts w:cs="Arial"/>
          <w:szCs w:val="20"/>
        </w:rPr>
        <w:t>Large net foreign liabilities of euroarea countries.</w:t>
      </w:r>
      <w:r w:rsidRPr="00F12988">
        <w:rPr>
          <w:szCs w:val="20"/>
        </w:rPr>
        <w:t xml:space="preserve"> Frankfurt: Evropska centralna banka.</w:t>
      </w:r>
      <w:r w:rsidRPr="00F12988">
        <w:rPr>
          <w:bCs/>
          <w:szCs w:val="20"/>
        </w:rPr>
        <w:t xml:space="preserve"> </w:t>
      </w:r>
    </w:p>
    <w:p w14:paraId="39754FAF" w14:textId="60C38DB9" w:rsidR="00FB14A7" w:rsidRPr="00F12988" w:rsidRDefault="00563A34" w:rsidP="00FB14A7">
      <w:pPr>
        <w:pStyle w:val="LiteraturaUMAR"/>
        <w:rPr>
          <w:szCs w:val="20"/>
        </w:rPr>
      </w:pPr>
      <w:r w:rsidRPr="00F12988">
        <w:rPr>
          <w:szCs w:val="20"/>
        </w:rPr>
        <w:t>IMF External sector report: Global Imbalances and the COVID-19 Crisis. (2020). Washington: International Monetary Fund.</w:t>
      </w:r>
      <w:r w:rsidR="00FB14A7" w:rsidRPr="00F12988">
        <w:rPr>
          <w:szCs w:val="20"/>
        </w:rPr>
        <w:t xml:space="preserve"> </w:t>
      </w:r>
    </w:p>
    <w:p w14:paraId="75A08473" w14:textId="1460B9A5" w:rsidR="00BE3464" w:rsidRPr="00F12988" w:rsidRDefault="00563A34" w:rsidP="00BE3464">
      <w:pPr>
        <w:pStyle w:val="LiteraturaUMAR"/>
        <w:rPr>
          <w:szCs w:val="20"/>
        </w:rPr>
      </w:pPr>
      <w:r w:rsidRPr="00F12988">
        <w:rPr>
          <w:szCs w:val="20"/>
        </w:rPr>
        <w:t>Markič J. (2020). Analiza odzivnosti slovenskega blagovnega izvoza. Delovni zvezek št. 2/2020, letnik XXIX. Ljubljana: Urad RS za makroekonske analize in razvoj.</w:t>
      </w:r>
    </w:p>
    <w:p w14:paraId="47DEE3F4" w14:textId="2E879E5C" w:rsidR="00AD2F31" w:rsidRPr="00F12988" w:rsidRDefault="00AD2F31" w:rsidP="00AD2F31">
      <w:pPr>
        <w:pStyle w:val="LiteraturaUMAR"/>
        <w:rPr>
          <w:szCs w:val="20"/>
        </w:rPr>
      </w:pPr>
      <w:r w:rsidRPr="00F12988">
        <w:rPr>
          <w:szCs w:val="20"/>
          <w:lang w:val="it-IT"/>
        </w:rPr>
        <w:t xml:space="preserve">Oddo G., in Tosti E. (2017). </w:t>
      </w:r>
      <w:r w:rsidRPr="00F12988">
        <w:rPr>
          <w:szCs w:val="20"/>
          <w:lang w:val="en-US"/>
        </w:rPr>
        <w:t xml:space="preserve">The evolution of </w:t>
      </w:r>
      <w:r w:rsidRPr="00F12988">
        <w:rPr>
          <w:szCs w:val="20"/>
        </w:rPr>
        <w:t>Italy’s investment income balance. Banca D’Italia.</w:t>
      </w:r>
    </w:p>
    <w:p w14:paraId="67EB0C06" w14:textId="2DD6EC56" w:rsidR="008B3527" w:rsidRPr="00F12988" w:rsidRDefault="008B3527" w:rsidP="008B3527">
      <w:pPr>
        <w:pStyle w:val="LiteraturaUMAR"/>
        <w:rPr>
          <w:szCs w:val="20"/>
          <w:lang w:val="it-IT"/>
        </w:rPr>
      </w:pPr>
      <w:r w:rsidRPr="00F12988">
        <w:rPr>
          <w:szCs w:val="20"/>
        </w:rPr>
        <w:t>The impact of COVID-19 on China’s Balance of Payments and Foreign reserves. (2020). BBVA research</w:t>
      </w:r>
      <w:r w:rsidRPr="00F12988">
        <w:rPr>
          <w:szCs w:val="20"/>
          <w:lang w:val="en-US"/>
        </w:rPr>
        <w:t>.</w:t>
      </w:r>
    </w:p>
    <w:p w14:paraId="293559D6" w14:textId="79D9A703" w:rsidR="008B3527" w:rsidRPr="00F12988" w:rsidRDefault="008B547C" w:rsidP="00673C07">
      <w:pPr>
        <w:pStyle w:val="LiteraturaUMAR"/>
        <w:rPr>
          <w:szCs w:val="20"/>
        </w:rPr>
      </w:pPr>
      <w:r w:rsidRPr="00F12988">
        <w:rPr>
          <w:szCs w:val="20"/>
        </w:rPr>
        <w:t xml:space="preserve">Yang L. (2018). Net foreign assets, real exchange rates and net exports revisited. Working Paper No. </w:t>
      </w:r>
      <w:r w:rsidR="002F77EF" w:rsidRPr="00F12988">
        <w:rPr>
          <w:szCs w:val="20"/>
        </w:rPr>
        <w:t>2011</w:t>
      </w:r>
      <w:r w:rsidRPr="00F12988">
        <w:rPr>
          <w:szCs w:val="20"/>
        </w:rPr>
        <w:t>/</w:t>
      </w:r>
      <w:r w:rsidR="002F77EF" w:rsidRPr="00F12988">
        <w:rPr>
          <w:szCs w:val="20"/>
        </w:rPr>
        <w:t>10</w:t>
      </w:r>
      <w:r w:rsidRPr="00F12988">
        <w:rPr>
          <w:szCs w:val="20"/>
        </w:rPr>
        <w:t>.</w:t>
      </w:r>
    </w:p>
    <w:p w14:paraId="3922E49D" w14:textId="53D15C75" w:rsidR="008B3527" w:rsidRPr="00F12988" w:rsidRDefault="008B3527" w:rsidP="008B3527">
      <w:pPr>
        <w:pStyle w:val="LiteraturaUMAR"/>
        <w:rPr>
          <w:rStyle w:val="Hyperlink"/>
          <w:color w:val="auto"/>
          <w:szCs w:val="20"/>
          <w:u w:val="none"/>
          <w:lang w:val="it-IT"/>
        </w:rPr>
      </w:pPr>
      <w:r w:rsidRPr="00F12988">
        <w:rPr>
          <w:szCs w:val="20"/>
          <w:lang w:val="it-IT"/>
        </w:rPr>
        <w:t xml:space="preserve">Banka Slovenije (2021) podatkovni portal. Ljubljana. Pridobljeno na </w:t>
      </w:r>
      <w:hyperlink r:id="rId30" w:history="1">
        <w:r w:rsidRPr="00F12988">
          <w:rPr>
            <w:rStyle w:val="Hyperlink"/>
            <w:rFonts w:eastAsia="Calibri" w:cs="Arial"/>
            <w:color w:val="auto"/>
            <w:szCs w:val="20"/>
            <w:u w:val="none"/>
            <w:lang w:val="it-IT"/>
          </w:rPr>
          <w:t>https://www.bsi.si/statistika/podatkovne-serije/podatkovne-serije</w:t>
        </w:r>
      </w:hyperlink>
    </w:p>
    <w:p w14:paraId="20FFC31D" w14:textId="77E3AFB0" w:rsidR="00450EA6" w:rsidRPr="00F12988" w:rsidRDefault="00450EA6" w:rsidP="00450EA6">
      <w:pPr>
        <w:pStyle w:val="LiteraturaUMAR"/>
        <w:rPr>
          <w:rStyle w:val="Hyperlink"/>
          <w:color w:val="auto"/>
          <w:szCs w:val="20"/>
          <w:u w:val="none"/>
          <w:lang w:val="it-IT"/>
        </w:rPr>
      </w:pPr>
      <w:r w:rsidRPr="00F12988">
        <w:rPr>
          <w:szCs w:val="20"/>
          <w:lang w:val="it-IT"/>
        </w:rPr>
        <w:t>Banka Slovenije (2016) Letno poročilo 2015.</w:t>
      </w:r>
      <w:r w:rsidRPr="00F12988">
        <w:rPr>
          <w:rStyle w:val="Hyperlink"/>
          <w:color w:val="auto"/>
          <w:szCs w:val="20"/>
          <w:u w:val="none"/>
          <w:lang w:val="it-IT"/>
        </w:rPr>
        <w:t xml:space="preserve"> </w:t>
      </w:r>
    </w:p>
    <w:p w14:paraId="74D7E3DA" w14:textId="12DA7BA0" w:rsidR="00450EA6" w:rsidRPr="00F12988" w:rsidRDefault="00450EA6" w:rsidP="00450EA6">
      <w:pPr>
        <w:pStyle w:val="LiteraturaUMAR"/>
        <w:rPr>
          <w:rStyle w:val="Hyperlink"/>
          <w:color w:val="auto"/>
          <w:szCs w:val="20"/>
          <w:u w:val="none"/>
          <w:lang w:val="it-IT"/>
        </w:rPr>
      </w:pPr>
      <w:r w:rsidRPr="00F12988">
        <w:rPr>
          <w:szCs w:val="20"/>
          <w:lang w:val="it-IT"/>
        </w:rPr>
        <w:t>Banka Slovenije (2020) Letno poročilo 2019.</w:t>
      </w:r>
      <w:r w:rsidRPr="00F12988">
        <w:rPr>
          <w:rStyle w:val="Hyperlink"/>
          <w:color w:val="auto"/>
          <w:szCs w:val="20"/>
          <w:u w:val="none"/>
          <w:lang w:val="it-IT"/>
        </w:rPr>
        <w:t xml:space="preserve"> </w:t>
      </w:r>
    </w:p>
    <w:p w14:paraId="62C55ED9" w14:textId="75654651" w:rsidR="003C4D02" w:rsidRPr="00F12988" w:rsidRDefault="003C4D02" w:rsidP="00450EA6">
      <w:pPr>
        <w:pStyle w:val="LiteraturaUMAR"/>
        <w:rPr>
          <w:rStyle w:val="Hyperlink"/>
          <w:color w:val="auto"/>
          <w:szCs w:val="20"/>
          <w:u w:val="none"/>
          <w:lang w:val="en-US"/>
        </w:rPr>
      </w:pPr>
      <w:r w:rsidRPr="00F12988">
        <w:rPr>
          <w:rStyle w:val="Hyperlink"/>
          <w:color w:val="auto"/>
          <w:szCs w:val="20"/>
          <w:u w:val="none"/>
          <w:lang w:val="en-US"/>
        </w:rPr>
        <w:t>Deutsche Bundesbank Monthly Report (2018). Germany</w:t>
      </w:r>
      <w:r w:rsidRPr="00F12988">
        <w:rPr>
          <w:szCs w:val="20"/>
        </w:rPr>
        <w:t>’s external position: new statistical approaches and results since financial crisis.</w:t>
      </w:r>
    </w:p>
    <w:p w14:paraId="7B7B7D75" w14:textId="77777777" w:rsidR="008B3527" w:rsidRPr="00F12988" w:rsidRDefault="008B3527" w:rsidP="008B3527">
      <w:pPr>
        <w:pStyle w:val="LiteraturaUMAR"/>
        <w:rPr>
          <w:szCs w:val="20"/>
        </w:rPr>
      </w:pPr>
      <w:r w:rsidRPr="00F12988">
        <w:rPr>
          <w:szCs w:val="20"/>
        </w:rPr>
        <w:t>Coronavirus and the effects on the UK Institutional Sector Accounts. (2020). Office for National Statistics.</w:t>
      </w:r>
    </w:p>
    <w:p w14:paraId="21D4CAF9" w14:textId="4D84CEC2" w:rsidR="008B3527" w:rsidRPr="00F12988" w:rsidRDefault="008B3527" w:rsidP="008B3527">
      <w:pPr>
        <w:pStyle w:val="LiteraturaUMAR"/>
        <w:rPr>
          <w:szCs w:val="20"/>
        </w:rPr>
      </w:pPr>
      <w:r w:rsidRPr="00F12988">
        <w:rPr>
          <w:szCs w:val="20"/>
        </w:rPr>
        <w:t>Coronavirus and the effects on the UK Balace of Payments. (2020). Office for National Statistics.</w:t>
      </w:r>
    </w:p>
    <w:p w14:paraId="14F74E3C" w14:textId="7F0164FB" w:rsidR="008B3527" w:rsidRPr="00F12988" w:rsidRDefault="008B3527" w:rsidP="008B3527">
      <w:pPr>
        <w:pStyle w:val="LiteraturaUMAR"/>
        <w:rPr>
          <w:rStyle w:val="Hyperlink"/>
          <w:color w:val="auto"/>
          <w:szCs w:val="20"/>
          <w:u w:val="none"/>
          <w:lang w:val="it-IT"/>
        </w:rPr>
      </w:pPr>
      <w:r w:rsidRPr="00F12988">
        <w:rPr>
          <w:szCs w:val="20"/>
          <w:lang w:val="it-IT"/>
        </w:rPr>
        <w:t xml:space="preserve">Eurostat Portal Page (2021). Luxemburg: Eurostat. Pridobljeno na </w:t>
      </w:r>
      <w:hyperlink r:id="rId31" w:history="1">
        <w:r w:rsidRPr="00F12988">
          <w:rPr>
            <w:rStyle w:val="Hyperlink"/>
            <w:rFonts w:eastAsia="Calibri" w:cs="Arial"/>
            <w:color w:val="auto"/>
            <w:szCs w:val="20"/>
            <w:u w:val="none"/>
            <w:lang w:val="it-IT"/>
          </w:rPr>
          <w:t>http://ec.europa.eu/eurostat/data/database</w:t>
        </w:r>
      </w:hyperlink>
    </w:p>
    <w:p w14:paraId="58652F68" w14:textId="77777777" w:rsidR="008B3527" w:rsidRPr="00F12988" w:rsidRDefault="008B3527" w:rsidP="008B3527">
      <w:pPr>
        <w:pStyle w:val="LiteraturaUMAR"/>
        <w:rPr>
          <w:szCs w:val="20"/>
          <w:lang w:val="it-IT"/>
        </w:rPr>
      </w:pPr>
      <w:r w:rsidRPr="00F12988">
        <w:rPr>
          <w:szCs w:val="20"/>
          <w:lang w:val="it-IT"/>
        </w:rPr>
        <w:t>SURS. (2021). SI-STAT podatkovni portal. Ljubljana: Statistični urad RS. Pridobljeno na:</w:t>
      </w:r>
    </w:p>
    <w:p w14:paraId="738BE1DF" w14:textId="5A65506E" w:rsidR="008B3527" w:rsidRPr="00F12988" w:rsidRDefault="007F7EA5" w:rsidP="008B3527">
      <w:pPr>
        <w:autoSpaceDE w:val="0"/>
        <w:autoSpaceDN w:val="0"/>
        <w:adjustRightInd w:val="0"/>
        <w:spacing w:after="0"/>
        <w:ind w:left="360"/>
        <w:rPr>
          <w:rFonts w:ascii="Myriad Pro" w:hAnsi="Myriad Pro" w:cs="Arial"/>
          <w:sz w:val="20"/>
          <w:szCs w:val="20"/>
        </w:rPr>
      </w:pPr>
      <w:hyperlink r:id="rId32" w:history="1">
        <w:r w:rsidR="008B3527" w:rsidRPr="00F12988">
          <w:rPr>
            <w:rStyle w:val="Hyperlink"/>
            <w:rFonts w:cs="Arial"/>
            <w:color w:val="auto"/>
            <w:sz w:val="20"/>
            <w:szCs w:val="20"/>
            <w:u w:val="none"/>
          </w:rPr>
          <w:t>https://pxweb.stat.si/pxweb/Database/Ekonomsko/Ekonomsko.asp</w:t>
        </w:r>
      </w:hyperlink>
    </w:p>
    <w:p w14:paraId="410DAE01" w14:textId="77777777" w:rsidR="008B3527" w:rsidRPr="00F12988" w:rsidRDefault="008B3527" w:rsidP="008B3527">
      <w:pPr>
        <w:pStyle w:val="LiteraturaUMAR"/>
        <w:rPr>
          <w:rStyle w:val="Hyperlink"/>
          <w:color w:val="auto"/>
          <w:szCs w:val="20"/>
          <w:u w:val="none"/>
        </w:rPr>
      </w:pPr>
      <w:r w:rsidRPr="00F12988">
        <w:rPr>
          <w:szCs w:val="20"/>
        </w:rPr>
        <w:t xml:space="preserve">UMAR (2021). Pomladanska napoved gospodarskih gibanj. Ljubljana: Urad RS za makroekonomske analize in razvoj. Pridobljeno na: </w:t>
      </w:r>
      <w:hyperlink r:id="rId33" w:history="1">
        <w:r w:rsidRPr="00F12988">
          <w:rPr>
            <w:rStyle w:val="Hyperlink"/>
            <w:color w:val="auto"/>
            <w:szCs w:val="20"/>
            <w:u w:val="none"/>
          </w:rPr>
          <w:t>https://www.UMAR.gov.si/</w:t>
        </w:r>
      </w:hyperlink>
    </w:p>
    <w:p w14:paraId="4815583A" w14:textId="77777777" w:rsidR="008B3527" w:rsidRPr="00F12988" w:rsidRDefault="008B3527" w:rsidP="008B3527">
      <w:pPr>
        <w:pStyle w:val="LiteraturaUMAR"/>
        <w:rPr>
          <w:rStyle w:val="Hyperlink"/>
          <w:color w:val="auto"/>
          <w:szCs w:val="20"/>
          <w:u w:val="none"/>
        </w:rPr>
      </w:pPr>
      <w:r w:rsidRPr="00F12988">
        <w:rPr>
          <w:szCs w:val="20"/>
        </w:rPr>
        <w:t xml:space="preserve">UMAR (2019). Poročilo o razvoju. Ljubljana: Urad RS za makroekonomske analize in razvoj. Pridobljeno na: </w:t>
      </w:r>
      <w:hyperlink r:id="rId34" w:history="1">
        <w:r w:rsidRPr="00F12988">
          <w:rPr>
            <w:rStyle w:val="Hyperlink"/>
            <w:color w:val="auto"/>
            <w:szCs w:val="20"/>
            <w:u w:val="none"/>
          </w:rPr>
          <w:t>https://www.UMAR.gov.si/</w:t>
        </w:r>
      </w:hyperlink>
    </w:p>
    <w:p w14:paraId="2C556D30" w14:textId="73B8BB90" w:rsidR="008B3527" w:rsidRPr="00F12988" w:rsidRDefault="008B3527" w:rsidP="008B3527">
      <w:pPr>
        <w:pStyle w:val="LiteraturaUMAR"/>
        <w:rPr>
          <w:rStyle w:val="Hyperlink"/>
          <w:color w:val="auto"/>
          <w:szCs w:val="20"/>
          <w:u w:val="none"/>
        </w:rPr>
      </w:pPr>
      <w:r w:rsidRPr="00F12988">
        <w:rPr>
          <w:szCs w:val="20"/>
        </w:rPr>
        <w:t xml:space="preserve">UMAR (2020). Poročilo o razvoju. Ljubljana: Urad RS za makroekonomske analize in razvoj. Pridobljeno na: </w:t>
      </w:r>
      <w:hyperlink r:id="rId35" w:history="1">
        <w:r w:rsidRPr="00F12988">
          <w:rPr>
            <w:rStyle w:val="Hyperlink"/>
            <w:color w:val="auto"/>
            <w:szCs w:val="20"/>
            <w:u w:val="none"/>
          </w:rPr>
          <w:t>https://www.UMAR.gov.si/</w:t>
        </w:r>
      </w:hyperlink>
    </w:p>
    <w:p w14:paraId="40270EE0" w14:textId="76658D7E" w:rsidR="009902CB" w:rsidRPr="00F12988" w:rsidRDefault="00563A34" w:rsidP="00450EA6">
      <w:pPr>
        <w:pStyle w:val="LiteraturaUMAR"/>
        <w:rPr>
          <w:szCs w:val="20"/>
        </w:rPr>
      </w:pPr>
      <w:r w:rsidRPr="00F12988">
        <w:rPr>
          <w:szCs w:val="20"/>
        </w:rPr>
        <w:t>Understanding the UK’s net international investment position. (2020). Office for National Statistics</w:t>
      </w:r>
      <w:r w:rsidR="008B3527" w:rsidRPr="00F12988">
        <w:rPr>
          <w:szCs w:val="20"/>
        </w:rPr>
        <w:t>.</w:t>
      </w:r>
    </w:p>
    <w:p w14:paraId="79D2C3EC" w14:textId="6CE5AE77" w:rsidR="002979FF" w:rsidRPr="00F12988" w:rsidRDefault="009902CB" w:rsidP="00F12988">
      <w:pPr>
        <w:pStyle w:val="LiteraturaUMAR"/>
        <w:rPr>
          <w:szCs w:val="20"/>
          <w:lang w:val="it-IT"/>
        </w:rPr>
      </w:pPr>
      <w:r w:rsidRPr="00F12988">
        <w:rPr>
          <w:szCs w:val="20"/>
          <w:lang w:val="it-IT"/>
        </w:rPr>
        <w:t xml:space="preserve">WTO (2021). Portal Page (2019). Pridobljeno na:    </w:t>
      </w:r>
      <w:hyperlink r:id="rId36" w:history="1">
        <w:r w:rsidRPr="00F12988">
          <w:rPr>
            <w:rStyle w:val="Hyperlink"/>
            <w:rFonts w:eastAsia="Calibri" w:cs="Arial"/>
            <w:color w:val="auto"/>
            <w:szCs w:val="20"/>
            <w:u w:val="none"/>
            <w:lang w:val="it-IT"/>
          </w:rPr>
          <w:t>https://www.wto.org/english/res_e/statis_e/merch_trade_stat_e.htm</w:t>
        </w:r>
      </w:hyperlink>
    </w:p>
    <w:p w14:paraId="66D78ECC" w14:textId="22D18FD4" w:rsidR="002979FF" w:rsidRDefault="002979FF" w:rsidP="002979FF">
      <w:pPr>
        <w:pStyle w:val="LiteraturaUMAR"/>
        <w:numPr>
          <w:ilvl w:val="0"/>
          <w:numId w:val="0"/>
        </w:numPr>
        <w:ind w:left="360" w:hanging="360"/>
      </w:pPr>
    </w:p>
    <w:p w14:paraId="4460113F" w14:textId="77777777" w:rsidR="002979FF" w:rsidRDefault="002979FF" w:rsidP="002979FF">
      <w:pPr>
        <w:pStyle w:val="LiteraturaUMAR"/>
        <w:numPr>
          <w:ilvl w:val="0"/>
          <w:numId w:val="0"/>
        </w:numPr>
        <w:ind w:left="360" w:hanging="360"/>
      </w:pPr>
    </w:p>
    <w:p w14:paraId="1E146F57" w14:textId="7B67EDBF" w:rsidR="000E7834" w:rsidRDefault="000E7834" w:rsidP="000E7834">
      <w:pPr>
        <w:pStyle w:val="LiteraturaUMAR"/>
        <w:numPr>
          <w:ilvl w:val="0"/>
          <w:numId w:val="0"/>
        </w:numPr>
        <w:ind w:left="360" w:hanging="360"/>
      </w:pPr>
    </w:p>
    <w:p w14:paraId="0D4EA8AE" w14:textId="6889B2B2" w:rsidR="000E7834" w:rsidRDefault="000E7834" w:rsidP="00FF5B7E">
      <w:r w:rsidRPr="00B35647">
        <w:br w:type="page"/>
      </w:r>
      <w:r>
        <w:rPr>
          <w:noProof/>
        </w:rPr>
        <w:lastRenderedPageBreak/>
        <w:drawing>
          <wp:anchor distT="0" distB="0" distL="114300" distR="114300" simplePos="0" relativeHeight="251665408" behindDoc="0" locked="0" layoutInCell="1" allowOverlap="1" wp14:anchorId="1DE9FC1E" wp14:editId="3B71374E">
            <wp:simplePos x="0" y="0"/>
            <wp:positionH relativeFrom="page">
              <wp:align>left</wp:align>
            </wp:positionH>
            <wp:positionV relativeFrom="paragraph">
              <wp:posOffset>-1137285</wp:posOffset>
            </wp:positionV>
            <wp:extent cx="7562632" cy="10706100"/>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fografika s priporočili za ravnanje glede Covid-19"/>
                    <pic:cNvPicPr/>
                  </pic:nvPicPr>
                  <pic:blipFill>
                    <a:blip r:embed="rId37">
                      <a:extLst>
                        <a:ext uri="{28A0092B-C50C-407E-A947-70E740481C1C}">
                          <a14:useLocalDpi xmlns:a14="http://schemas.microsoft.com/office/drawing/2010/main" val="0"/>
                        </a:ext>
                      </a:extLst>
                    </a:blip>
                    <a:stretch>
                      <a:fillRect/>
                    </a:stretch>
                  </pic:blipFill>
                  <pic:spPr>
                    <a:xfrm>
                      <a:off x="0" y="0"/>
                      <a:ext cx="7564803" cy="10709174"/>
                    </a:xfrm>
                    <a:prstGeom prst="rect">
                      <a:avLst/>
                    </a:prstGeom>
                  </pic:spPr>
                </pic:pic>
              </a:graphicData>
            </a:graphic>
            <wp14:sizeRelH relativeFrom="page">
              <wp14:pctWidth>0</wp14:pctWidth>
            </wp14:sizeRelH>
            <wp14:sizeRelV relativeFrom="page">
              <wp14:pctHeight>0</wp14:pctHeight>
            </wp14:sizeRelV>
          </wp:anchor>
        </w:drawing>
      </w:r>
    </w:p>
    <w:sectPr w:rsidR="000E7834" w:rsidSect="00DA3486">
      <w:headerReference w:type="default" r:id="rId38"/>
      <w:pgSz w:w="11906" w:h="16838"/>
      <w:pgMar w:top="1701" w:right="1418" w:bottom="1418" w:left="1418"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E4EA0" w14:textId="77777777" w:rsidR="00717C1B" w:rsidRDefault="00717C1B" w:rsidP="00FF5B7E">
      <w:r>
        <w:separator/>
      </w:r>
    </w:p>
    <w:p w14:paraId="4C9B1CDA" w14:textId="77777777" w:rsidR="00717C1B" w:rsidRDefault="00717C1B" w:rsidP="00FF5B7E"/>
    <w:p w14:paraId="75AEB108" w14:textId="77777777" w:rsidR="00717C1B" w:rsidRDefault="00717C1B" w:rsidP="00FF5B7E"/>
    <w:p w14:paraId="49CA77F1" w14:textId="77777777" w:rsidR="00717C1B" w:rsidRDefault="00717C1B" w:rsidP="00FF5B7E"/>
    <w:p w14:paraId="77683216" w14:textId="77777777" w:rsidR="00717C1B" w:rsidRDefault="00717C1B" w:rsidP="00FF5B7E"/>
    <w:p w14:paraId="73567884" w14:textId="77777777" w:rsidR="00717C1B" w:rsidRDefault="00717C1B" w:rsidP="00FF5B7E"/>
    <w:p w14:paraId="575A49FA" w14:textId="77777777" w:rsidR="00717C1B" w:rsidRDefault="00717C1B" w:rsidP="00FF5B7E"/>
    <w:p w14:paraId="3DD4D68F" w14:textId="77777777" w:rsidR="00717C1B" w:rsidRDefault="00717C1B" w:rsidP="00FF5B7E"/>
    <w:p w14:paraId="29380484" w14:textId="77777777" w:rsidR="00717C1B" w:rsidRDefault="00717C1B" w:rsidP="00FF5B7E"/>
    <w:p w14:paraId="65120A40" w14:textId="77777777" w:rsidR="00717C1B" w:rsidRDefault="00717C1B" w:rsidP="00FF5B7E"/>
    <w:p w14:paraId="00203257" w14:textId="77777777" w:rsidR="00717C1B" w:rsidRDefault="00717C1B" w:rsidP="00FF5B7E"/>
    <w:p w14:paraId="6E37D519" w14:textId="77777777" w:rsidR="00717C1B" w:rsidRDefault="00717C1B" w:rsidP="00FF5B7E"/>
    <w:p w14:paraId="6EF70156" w14:textId="77777777" w:rsidR="00717C1B" w:rsidRDefault="00717C1B" w:rsidP="00FF5B7E"/>
    <w:p w14:paraId="14FB45FE" w14:textId="77777777" w:rsidR="00717C1B" w:rsidRDefault="00717C1B" w:rsidP="00FF5B7E"/>
    <w:p w14:paraId="06B8DD98" w14:textId="77777777" w:rsidR="00717C1B" w:rsidRDefault="00717C1B" w:rsidP="00FF5B7E"/>
    <w:p w14:paraId="7D19CC28" w14:textId="77777777" w:rsidR="00717C1B" w:rsidRDefault="00717C1B" w:rsidP="00FF5B7E"/>
    <w:p w14:paraId="1601E5B9" w14:textId="77777777" w:rsidR="00717C1B" w:rsidRDefault="00717C1B" w:rsidP="00FF5B7E"/>
    <w:p w14:paraId="730F5228" w14:textId="77777777" w:rsidR="00717C1B" w:rsidRDefault="00717C1B" w:rsidP="00FF5B7E"/>
    <w:p w14:paraId="073E18FD" w14:textId="77777777" w:rsidR="00717C1B" w:rsidRDefault="00717C1B" w:rsidP="00FF5B7E"/>
  </w:endnote>
  <w:endnote w:type="continuationSeparator" w:id="0">
    <w:p w14:paraId="3D6C5B5A" w14:textId="77777777" w:rsidR="00717C1B" w:rsidRDefault="00717C1B" w:rsidP="00FF5B7E">
      <w:r>
        <w:continuationSeparator/>
      </w:r>
    </w:p>
    <w:p w14:paraId="00F964DD" w14:textId="77777777" w:rsidR="00717C1B" w:rsidRDefault="00717C1B" w:rsidP="00FF5B7E"/>
    <w:p w14:paraId="7A9F2B9A" w14:textId="77777777" w:rsidR="00717C1B" w:rsidRDefault="00717C1B" w:rsidP="00FF5B7E"/>
    <w:p w14:paraId="4758B16D" w14:textId="77777777" w:rsidR="00717C1B" w:rsidRDefault="00717C1B" w:rsidP="00FF5B7E"/>
    <w:p w14:paraId="309B78FE" w14:textId="77777777" w:rsidR="00717C1B" w:rsidRDefault="00717C1B" w:rsidP="00FF5B7E"/>
    <w:p w14:paraId="577D6C4F" w14:textId="77777777" w:rsidR="00717C1B" w:rsidRDefault="00717C1B" w:rsidP="00FF5B7E"/>
    <w:p w14:paraId="01B0E9D8" w14:textId="77777777" w:rsidR="00717C1B" w:rsidRDefault="00717C1B" w:rsidP="00FF5B7E"/>
    <w:p w14:paraId="7B07C075" w14:textId="77777777" w:rsidR="00717C1B" w:rsidRDefault="00717C1B" w:rsidP="00FF5B7E"/>
    <w:p w14:paraId="736F4329" w14:textId="77777777" w:rsidR="00717C1B" w:rsidRDefault="00717C1B" w:rsidP="00FF5B7E"/>
    <w:p w14:paraId="0E707A01" w14:textId="77777777" w:rsidR="00717C1B" w:rsidRDefault="00717C1B" w:rsidP="00FF5B7E"/>
    <w:p w14:paraId="0C052074" w14:textId="77777777" w:rsidR="00717C1B" w:rsidRDefault="00717C1B" w:rsidP="00FF5B7E"/>
    <w:p w14:paraId="3BBABC6F" w14:textId="77777777" w:rsidR="00717C1B" w:rsidRDefault="00717C1B" w:rsidP="00FF5B7E"/>
    <w:p w14:paraId="05DBD44E" w14:textId="77777777" w:rsidR="00717C1B" w:rsidRDefault="00717C1B" w:rsidP="00FF5B7E"/>
    <w:p w14:paraId="5D6C6FFA" w14:textId="77777777" w:rsidR="00717C1B" w:rsidRDefault="00717C1B" w:rsidP="00FF5B7E"/>
    <w:p w14:paraId="2410BA24" w14:textId="77777777" w:rsidR="00717C1B" w:rsidRDefault="00717C1B" w:rsidP="00FF5B7E"/>
    <w:p w14:paraId="30C1B545" w14:textId="77777777" w:rsidR="00717C1B" w:rsidRDefault="00717C1B" w:rsidP="00FF5B7E"/>
    <w:p w14:paraId="20E204AC" w14:textId="77777777" w:rsidR="00717C1B" w:rsidRDefault="00717C1B" w:rsidP="00FF5B7E"/>
    <w:p w14:paraId="080858DD" w14:textId="77777777" w:rsidR="00717C1B" w:rsidRDefault="00717C1B" w:rsidP="00FF5B7E"/>
    <w:p w14:paraId="22D0A116" w14:textId="77777777" w:rsidR="00717C1B" w:rsidRDefault="00717C1B" w:rsidP="00FF5B7E"/>
  </w:endnote>
  <w:endnote w:type="continuationNotice" w:id="1">
    <w:p w14:paraId="381572BB" w14:textId="77777777" w:rsidR="00717C1B" w:rsidRDefault="00717C1B" w:rsidP="00FF5B7E"/>
    <w:p w14:paraId="4DFBAB38" w14:textId="77777777" w:rsidR="00717C1B" w:rsidRDefault="00717C1B" w:rsidP="00FF5B7E"/>
    <w:p w14:paraId="5BD80869" w14:textId="77777777" w:rsidR="00717C1B" w:rsidRDefault="00717C1B" w:rsidP="00FF5B7E"/>
    <w:p w14:paraId="6655FA62" w14:textId="77777777" w:rsidR="00717C1B" w:rsidRDefault="00717C1B" w:rsidP="00FF5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3" w:usb1="08070000" w:usb2="00000010" w:usb3="00000000" w:csb0="00020001" w:csb1="00000000"/>
  </w:font>
  <w:font w:name="CharlotteBookPlain">
    <w:panose1 w:val="00000000000000000000"/>
    <w:charset w:val="EE"/>
    <w:family w:val="auto"/>
    <w:notTrueType/>
    <w:pitch w:val="default"/>
    <w:sig w:usb0="00000005" w:usb1="00000000" w:usb2="00000000" w:usb3="00000000" w:csb0="00000002" w:csb1="00000000"/>
  </w:font>
  <w:font w:name="Arial,BoldItalic">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EE511" w14:textId="77777777" w:rsidR="00717C1B" w:rsidRPr="009B56EE" w:rsidRDefault="00717C1B" w:rsidP="009B56EE">
      <w:pPr>
        <w:pStyle w:val="BesediloUMAR"/>
      </w:pPr>
      <w:r w:rsidRPr="009B56EE">
        <w:separator/>
      </w:r>
    </w:p>
  </w:footnote>
  <w:footnote w:type="continuationSeparator" w:id="0">
    <w:p w14:paraId="2FD009F3" w14:textId="77777777" w:rsidR="00717C1B" w:rsidRDefault="00717C1B" w:rsidP="00FF5B7E">
      <w:r>
        <w:separator/>
      </w:r>
    </w:p>
    <w:p w14:paraId="6179F67F" w14:textId="77777777" w:rsidR="00717C1B" w:rsidRDefault="00717C1B" w:rsidP="00FF5B7E"/>
    <w:p w14:paraId="5AB3EF22" w14:textId="77777777" w:rsidR="00717C1B" w:rsidRDefault="00717C1B" w:rsidP="00FF5B7E"/>
    <w:p w14:paraId="13B797B0" w14:textId="77777777" w:rsidR="00717C1B" w:rsidRDefault="00717C1B" w:rsidP="00FF5B7E"/>
  </w:footnote>
  <w:footnote w:type="continuationNotice" w:id="1">
    <w:p w14:paraId="22928684" w14:textId="77777777" w:rsidR="00717C1B" w:rsidRDefault="00717C1B" w:rsidP="00FF5B7E"/>
    <w:p w14:paraId="7E7CDF2D" w14:textId="77777777" w:rsidR="00717C1B" w:rsidRDefault="00717C1B" w:rsidP="00FF5B7E"/>
    <w:p w14:paraId="0F308637" w14:textId="77777777" w:rsidR="00717C1B" w:rsidRDefault="00717C1B" w:rsidP="00FF5B7E"/>
    <w:p w14:paraId="625DE139" w14:textId="77777777" w:rsidR="00717C1B" w:rsidRDefault="00717C1B" w:rsidP="00FF5B7E"/>
  </w:footnote>
  <w:footnote w:id="2">
    <w:p w14:paraId="379E59A7" w14:textId="77777777" w:rsidR="00717C1B" w:rsidRPr="00677AC1" w:rsidRDefault="00717C1B" w:rsidP="00677AC1">
      <w:pPr>
        <w:pStyle w:val="FootnoteText"/>
        <w:rPr>
          <w:rStyle w:val="BesediloUMARChar"/>
          <w:sz w:val="16"/>
          <w:szCs w:val="16"/>
        </w:rPr>
      </w:pPr>
      <w:r w:rsidRPr="007F5A6A">
        <w:rPr>
          <w:rStyle w:val="FootnoteReference"/>
          <w:sz w:val="16"/>
        </w:rPr>
        <w:footnoteRef/>
      </w:r>
      <w:r w:rsidRPr="007F5A6A">
        <w:t xml:space="preserve"> </w:t>
      </w:r>
      <w:r w:rsidRPr="00677AC1">
        <w:rPr>
          <w:rStyle w:val="BesediloUMARChar"/>
          <w:sz w:val="16"/>
          <w:szCs w:val="16"/>
        </w:rPr>
        <w:t>Primarni saldo tekočega računa pomeni celotni tekoči račun plačilne bilance zmanjšan za dohodke od kapitala.</w:t>
      </w:r>
      <w:r w:rsidRPr="00677AC1">
        <w:rPr>
          <w:rStyle w:val="BesediloUMARChar"/>
          <w:sz w:val="16"/>
          <w:szCs w:val="16"/>
        </w:rPr>
        <w:tab/>
      </w:r>
    </w:p>
  </w:footnote>
  <w:footnote w:id="3">
    <w:p w14:paraId="7C8FCFBD" w14:textId="77777777" w:rsidR="00717C1B" w:rsidRPr="00677AC1" w:rsidRDefault="00717C1B" w:rsidP="00677AC1">
      <w:pPr>
        <w:pStyle w:val="FootnoteText"/>
        <w:rPr>
          <w:rStyle w:val="BesediloUMARChar"/>
          <w:sz w:val="16"/>
          <w:szCs w:val="16"/>
        </w:rPr>
      </w:pPr>
      <w:r>
        <w:rPr>
          <w:rStyle w:val="FootnoteReference"/>
        </w:rPr>
        <w:footnoteRef/>
      </w:r>
      <w:r>
        <w:t xml:space="preserve"> </w:t>
      </w:r>
      <w:r w:rsidRPr="00677AC1">
        <w:rPr>
          <w:rStyle w:val="BesediloUMARChar"/>
          <w:sz w:val="16"/>
          <w:szCs w:val="16"/>
        </w:rPr>
        <w:t>Vpliv epidemije se je v letu 2020 na tekočem računu plačilne bilance odrazil predvsem na segmentu menjave blaga in storitev. K višjemu presežku tekočih transakcij je največ prispeval višji blagovni presežek, saj je bil ob manjšem trošenju in investicijah padec uvoza globlji od izvoza. Storitveni presežek se je znižal, najbolj v segmentu menjave potovanj ter deloma v menjavi  transporta.</w:t>
      </w:r>
    </w:p>
  </w:footnote>
  <w:footnote w:id="4">
    <w:p w14:paraId="0988024A" w14:textId="7BBED252" w:rsidR="00717C1B" w:rsidRPr="00677AC1" w:rsidRDefault="00717C1B" w:rsidP="00677AC1">
      <w:pPr>
        <w:pStyle w:val="BesediloUMAR"/>
        <w:rPr>
          <w:sz w:val="16"/>
          <w:szCs w:val="16"/>
        </w:rPr>
      </w:pPr>
      <w:r w:rsidRPr="00677AC1">
        <w:rPr>
          <w:rStyle w:val="FootnoteReference"/>
          <w:sz w:val="16"/>
          <w:szCs w:val="16"/>
        </w:rPr>
        <w:footnoteRef/>
      </w:r>
      <w:r w:rsidRPr="00677AC1">
        <w:rPr>
          <w:sz w:val="16"/>
          <w:szCs w:val="16"/>
        </w:rPr>
        <w:t xml:space="preserve"> Omenjeni tokovi so knjiženi na računu dohodkov od kapitala, ki je del tekočega računa plačilne bilance. Račun dohodkov pomeni povratno zanko preko katere se zaradi večjih obveznosti (terjatev) na segmentu posojil ali vrednostnih papirjev dohodki odlivajo v tujino (iz tujine). Dohodki od kapitala so tudi v drugih oblikah kot nakazila dobičkov iz podružnic in reinvestirani dobički od neposrednih naložb. Kapitalski dobički ali izgube, ki zaradi cenovnih sprememb vplivajo na tržno vrednost tujih naložb, pa se knjižijo kot učinek vrednotenja v stanju mednarodnih naložb.</w:t>
      </w:r>
    </w:p>
  </w:footnote>
  <w:footnote w:id="5">
    <w:p w14:paraId="080B81DC" w14:textId="7CBACEB6" w:rsidR="00717C1B" w:rsidRPr="00677AC1" w:rsidRDefault="00717C1B" w:rsidP="00677AC1">
      <w:pPr>
        <w:pStyle w:val="BesediloUMAR"/>
        <w:rPr>
          <w:sz w:val="16"/>
          <w:szCs w:val="16"/>
        </w:rPr>
      </w:pPr>
      <w:r w:rsidRPr="00677AC1">
        <w:rPr>
          <w:rStyle w:val="FootnoteReference"/>
          <w:sz w:val="16"/>
          <w:szCs w:val="16"/>
        </w:rPr>
        <w:footnoteRef/>
      </w:r>
      <w:r w:rsidRPr="00677AC1">
        <w:rPr>
          <w:sz w:val="16"/>
          <w:szCs w:val="16"/>
        </w:rPr>
        <w:t xml:space="preserve"> Stopnja donosa je izračunana tako, da se v tekočem letu vsota tokov prejemkov in izdatkov od kapitala tekočega leta primerja s stanjem terjatev in obveznosti v predhodnem letu.</w:t>
      </w:r>
    </w:p>
  </w:footnote>
  <w:footnote w:id="6">
    <w:p w14:paraId="0A045E1D" w14:textId="57B3BF59" w:rsidR="00717C1B" w:rsidRPr="003672B4" w:rsidRDefault="00717C1B" w:rsidP="003672B4">
      <w:pPr>
        <w:pStyle w:val="BesediloUMAR"/>
        <w:rPr>
          <w:sz w:val="16"/>
          <w:szCs w:val="16"/>
        </w:rPr>
      </w:pPr>
      <w:r w:rsidRPr="003672B4">
        <w:rPr>
          <w:rStyle w:val="FootnoteReference"/>
          <w:sz w:val="16"/>
          <w:szCs w:val="16"/>
        </w:rPr>
        <w:footnoteRef/>
      </w:r>
      <w:r w:rsidRPr="00677AC1">
        <w:rPr>
          <w:sz w:val="16"/>
          <w:szCs w:val="16"/>
        </w:rPr>
        <w:t xml:space="preserve"> Republika Slovenija je v letih 2012-2014 izdala obveznice v USD. Istočasno je sklenila več izvedenih finančnih instrumentov za glavnico in obresti, da se je zavarovala pred tečajnim rizikom (»Cross currency swap«). Glede na gibanje tečaja USD/EUR ima v zadnjih letih iz tega naslova terjatve iz izvedenih finančnih instrumentov. V letih 2018 in 2019 pa je sklenila več izvedenih finančnih instrumentov, ki omogočajo ščitenje pred dvigom osnovne obrestne mere srednje obrestne zamenjave (»Interest rate swap«). S slednjim je zmanjšala del negotovosti glede bodočih stroškov zadolževanja. V letih 2018 in 2019 je država sklenila tudi več opcij (»Swaption«), iz katerih ima prav tako obveznost iz izvedenih finančnih instrumentov. Država nastopa kot prodajalec opcije in dobi premijo. Kupec opcije je tuja banka, ki ima možnost, da na določen dan v prihodnosti sklene »Interest rate swap«.</w:t>
      </w:r>
    </w:p>
  </w:footnote>
  <w:footnote w:id="7">
    <w:p w14:paraId="0DAAACB0" w14:textId="77777777" w:rsidR="00717C1B" w:rsidRPr="00677AC1" w:rsidRDefault="00717C1B" w:rsidP="00B33D2F">
      <w:pPr>
        <w:spacing w:after="0" w:line="288" w:lineRule="auto"/>
        <w:jc w:val="both"/>
        <w:rPr>
          <w:rStyle w:val="BesediloUMARChar"/>
          <w:sz w:val="16"/>
          <w:szCs w:val="16"/>
        </w:rPr>
      </w:pPr>
      <w:r>
        <w:rPr>
          <w:rStyle w:val="FootnoteReference"/>
        </w:rPr>
        <w:footnoteRef/>
      </w:r>
      <w:r>
        <w:t xml:space="preserve"> </w:t>
      </w:r>
      <w:r w:rsidRPr="00677AC1">
        <w:rPr>
          <w:rStyle w:val="BesediloUMARChar"/>
          <w:sz w:val="16"/>
          <w:szCs w:val="16"/>
        </w:rPr>
        <w:t xml:space="preserve">Visoke rasti zadolževanja v obdobju 2004-2008 so bile posledica tudi pospešenega dohitevanja razvitejših držav EU, večino zadolževanja v tujini pa so predstavljala prejeta posojila ter gotovina in vloge nerezidentov. </w:t>
      </w:r>
    </w:p>
    <w:p w14:paraId="5C1F50F3" w14:textId="67AFA105" w:rsidR="00717C1B" w:rsidRPr="00B33D2F" w:rsidRDefault="00717C1B" w:rsidP="00677AC1">
      <w:pPr>
        <w:pStyle w:val="FootnoteText"/>
      </w:pPr>
    </w:p>
  </w:footnote>
  <w:footnote w:id="8">
    <w:p w14:paraId="6509AA8F" w14:textId="2D5A6700" w:rsidR="00717C1B" w:rsidRPr="00D602A0" w:rsidRDefault="00717C1B" w:rsidP="00D602A0">
      <w:pPr>
        <w:pStyle w:val="BesediloUMAR"/>
        <w:rPr>
          <w:sz w:val="16"/>
          <w:szCs w:val="16"/>
        </w:rPr>
      </w:pPr>
      <w:r w:rsidRPr="00D602A0">
        <w:rPr>
          <w:rStyle w:val="FootnoteReference"/>
          <w:sz w:val="16"/>
          <w:szCs w:val="16"/>
        </w:rPr>
        <w:footnoteRef/>
      </w:r>
      <w:r w:rsidRPr="00D602A0">
        <w:rPr>
          <w:sz w:val="16"/>
          <w:szCs w:val="16"/>
        </w:rPr>
        <w:t xml:space="preserve"> Zasebni sektor vključuje poslovne banke in ostale finančne institucije, zavarovalne družbe in pokojninske sklade ter nefinančne družbe in gospodinjstva.</w:t>
      </w:r>
    </w:p>
  </w:footnote>
  <w:footnote w:id="9">
    <w:p w14:paraId="0A926F39" w14:textId="07A3D277" w:rsidR="00717C1B" w:rsidRPr="00E96096" w:rsidRDefault="00717C1B" w:rsidP="00677AC1">
      <w:pPr>
        <w:pStyle w:val="FootnoteText"/>
      </w:pPr>
      <w:r w:rsidRPr="003672B4">
        <w:rPr>
          <w:rStyle w:val="BesediloUMARChar"/>
          <w:sz w:val="16"/>
          <w:szCs w:val="16"/>
          <w:vertAlign w:val="superscript"/>
        </w:rPr>
        <w:footnoteRef/>
      </w:r>
      <w:r w:rsidRPr="00D602A0">
        <w:rPr>
          <w:rStyle w:val="BesediloUMARChar"/>
          <w:sz w:val="16"/>
          <w:szCs w:val="16"/>
        </w:rPr>
        <w:t xml:space="preserve"> Z vstopom v EMU so se terjatve iz naslova blagajniških zapisov in dolgoročnih depozitov, ki so jih poslovne banke imele do BS, znižale</w:t>
      </w:r>
      <w:r w:rsidRPr="00E96096">
        <w:t>.</w:t>
      </w:r>
    </w:p>
    <w:p w14:paraId="32CDE151" w14:textId="77777777" w:rsidR="00717C1B" w:rsidRPr="006B631C" w:rsidRDefault="00717C1B" w:rsidP="00677AC1">
      <w:pPr>
        <w:pStyle w:val="FootnoteText"/>
      </w:pPr>
    </w:p>
  </w:footnote>
  <w:footnote w:id="10">
    <w:p w14:paraId="24861A16" w14:textId="6D0CD619" w:rsidR="00717C1B" w:rsidRPr="00C327A2" w:rsidRDefault="00717C1B" w:rsidP="00C327A2">
      <w:pPr>
        <w:pStyle w:val="NormalWeb"/>
        <w:spacing w:before="0" w:beforeAutospacing="0" w:after="0" w:afterAutospacing="0" w:line="288" w:lineRule="auto"/>
        <w:jc w:val="both"/>
        <w:rPr>
          <w:rFonts w:ascii="Myriad Pro" w:hAnsi="Myriad Pro" w:cs="Arial"/>
          <w:sz w:val="16"/>
          <w:szCs w:val="16"/>
          <w:lang w:val="sl-SI"/>
        </w:rPr>
      </w:pPr>
      <w:r>
        <w:rPr>
          <w:rStyle w:val="FootnoteReference"/>
        </w:rPr>
        <w:footnoteRef/>
      </w:r>
      <w:r w:rsidRPr="00C327A2">
        <w:rPr>
          <w:lang w:val="sl-SI"/>
        </w:rPr>
        <w:t xml:space="preserve"> </w:t>
      </w:r>
      <w:r w:rsidRPr="00C327A2">
        <w:rPr>
          <w:rFonts w:ascii="Myriad Pro" w:hAnsi="Myriad Pro" w:cs="Arial"/>
          <w:sz w:val="16"/>
          <w:szCs w:val="16"/>
          <w:lang w:val="sl-SI"/>
        </w:rPr>
        <w:t xml:space="preserve">Obseg kreditov podjetjem je usahnil in le skromno naraščal še do prve polovice leta 2010. Nato so se podjetja začela razdolževati, kar se </w:t>
      </w:r>
      <w:r>
        <w:rPr>
          <w:rFonts w:ascii="Myriad Pro" w:hAnsi="Myriad Pro" w:cs="Arial"/>
          <w:sz w:val="16"/>
          <w:szCs w:val="16"/>
          <w:lang w:val="sl-SI"/>
        </w:rPr>
        <w:t xml:space="preserve">je začelo </w:t>
      </w:r>
      <w:r w:rsidRPr="00C327A2">
        <w:rPr>
          <w:rFonts w:ascii="Myriad Pro" w:hAnsi="Myriad Pro" w:cs="Arial"/>
          <w:sz w:val="16"/>
          <w:szCs w:val="16"/>
          <w:lang w:val="sl-SI"/>
        </w:rPr>
        <w:t>odraža</w:t>
      </w:r>
      <w:r>
        <w:rPr>
          <w:rFonts w:ascii="Myriad Pro" w:hAnsi="Myriad Pro" w:cs="Arial"/>
          <w:sz w:val="16"/>
          <w:szCs w:val="16"/>
          <w:lang w:val="sl-SI"/>
        </w:rPr>
        <w:t>ti</w:t>
      </w:r>
      <w:r w:rsidRPr="00C327A2">
        <w:rPr>
          <w:rFonts w:ascii="Myriad Pro" w:hAnsi="Myriad Pro" w:cs="Arial"/>
          <w:sz w:val="16"/>
          <w:szCs w:val="16"/>
          <w:lang w:val="sl-SI"/>
        </w:rPr>
        <w:t xml:space="preserve"> v presežku tekočih in kapitalskih transakcij</w:t>
      </w:r>
      <w:r>
        <w:rPr>
          <w:rFonts w:ascii="Myriad Pro" w:hAnsi="Myriad Pro" w:cs="Arial"/>
          <w:sz w:val="16"/>
          <w:szCs w:val="16"/>
          <w:lang w:val="sl-SI"/>
        </w:rPr>
        <w:t xml:space="preserve">. </w:t>
      </w:r>
      <w:r w:rsidRPr="00C327A2">
        <w:rPr>
          <w:rFonts w:ascii="Myriad Pro" w:hAnsi="Myriad Pro" w:cs="Arial"/>
          <w:sz w:val="16"/>
          <w:szCs w:val="16"/>
          <w:lang w:val="sl-SI"/>
        </w:rPr>
        <w:t xml:space="preserve">Gospodinjstva so bila neto posojilodajalec v celotnem obdobju, tudi pred krizo. </w:t>
      </w:r>
    </w:p>
    <w:p w14:paraId="7BBA460D" w14:textId="47A379DC" w:rsidR="00717C1B" w:rsidRDefault="00717C1B" w:rsidP="00677AC1">
      <w:pPr>
        <w:pStyle w:val="FootnoteText"/>
      </w:pPr>
    </w:p>
  </w:footnote>
  <w:footnote w:id="11">
    <w:p w14:paraId="1F2E5071" w14:textId="77777777" w:rsidR="00717C1B" w:rsidRPr="003672B4" w:rsidRDefault="00717C1B" w:rsidP="00677AC1">
      <w:pPr>
        <w:pStyle w:val="FootnoteText"/>
        <w:rPr>
          <w:sz w:val="16"/>
          <w:szCs w:val="16"/>
        </w:rPr>
      </w:pPr>
      <w:r>
        <w:rPr>
          <w:rStyle w:val="FootnoteReference"/>
        </w:rPr>
        <w:footnoteRef/>
      </w:r>
      <w:r>
        <w:t xml:space="preserve"> </w:t>
      </w:r>
      <w:r w:rsidRPr="00D602A0">
        <w:rPr>
          <w:rStyle w:val="BesediloUMARChar"/>
          <w:sz w:val="16"/>
          <w:szCs w:val="16"/>
        </w:rPr>
        <w:t>Presežna likvidnost bank je vsota mejnega depozita in presežnih rezerv bank in je torej likvidnost, ki je nad potrebami, ki izhajajo iz neto avtonomnih dejavnikov in predpisanih obveznih rezerv. Med avtonomne dejavnike, ki vplivajo na likvidnost ali količino primarnega denarja spadajo neto tuja aktiva, gotovina v obtoku, neto vloge države v BS in dr</w:t>
      </w:r>
      <w:r w:rsidRPr="003672B4">
        <w:rPr>
          <w:rStyle w:val="BesediloUMARChar"/>
          <w:sz w:val="16"/>
          <w:szCs w:val="16"/>
        </w:rPr>
        <w:t>uge neto transakcije</w:t>
      </w:r>
      <w:r w:rsidRPr="003672B4">
        <w:rPr>
          <w:sz w:val="16"/>
          <w:szCs w:val="16"/>
        </w:rPr>
        <w:t>.</w:t>
      </w:r>
    </w:p>
    <w:p w14:paraId="1596F7F1" w14:textId="4ED0BE37" w:rsidR="00717C1B" w:rsidRPr="00FF3635" w:rsidRDefault="00717C1B" w:rsidP="00677A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7" w:type="dxa"/>
      <w:tblCellMar>
        <w:left w:w="0" w:type="dxa"/>
        <w:right w:w="0" w:type="dxa"/>
      </w:tblCellMar>
      <w:tblLook w:val="04A0" w:firstRow="1" w:lastRow="0" w:firstColumn="1" w:lastColumn="0" w:noHBand="0" w:noVBand="1"/>
    </w:tblPr>
    <w:tblGrid>
      <w:gridCol w:w="8931"/>
      <w:gridCol w:w="796"/>
    </w:tblGrid>
    <w:tr w:rsidR="00717C1B" w:rsidRPr="00717C1B" w14:paraId="3FDB05BC" w14:textId="77777777" w:rsidTr="00F420F5">
      <w:trPr>
        <w:trHeight w:val="552"/>
      </w:trPr>
      <w:tc>
        <w:tcPr>
          <w:tcW w:w="8931" w:type="dxa"/>
        </w:tcPr>
        <w:p w14:paraId="420BFBF8" w14:textId="34335F0B" w:rsidR="00717C1B" w:rsidRPr="00717C1B" w:rsidRDefault="00717C1B" w:rsidP="00F420F5">
          <w:pPr>
            <w:pStyle w:val="Header"/>
            <w:tabs>
              <w:tab w:val="clear" w:pos="4536"/>
              <w:tab w:val="clear" w:pos="9072"/>
              <w:tab w:val="right" w:pos="8276"/>
            </w:tabs>
            <w:ind w:right="6"/>
            <w:rPr>
              <w:rFonts w:ascii="Myriad Pro" w:hAnsi="Myriad Pro"/>
              <w:b/>
              <w:sz w:val="16"/>
              <w:szCs w:val="16"/>
            </w:rPr>
          </w:pPr>
          <w:r w:rsidRPr="00717C1B">
            <w:rPr>
              <w:rFonts w:ascii="Myriad Pro" w:hAnsi="Myriad Pro"/>
              <w:b/>
              <w:sz w:val="16"/>
              <w:szCs w:val="16"/>
            </w:rPr>
            <w:t xml:space="preserve">UMAR  </w:t>
          </w:r>
          <w:r w:rsidRPr="00717C1B">
            <w:rPr>
              <w:rFonts w:ascii="Myriad Pro" w:hAnsi="Myriad Pro"/>
              <w:b/>
              <w:noProof/>
              <w:sz w:val="16"/>
              <w:szCs w:val="16"/>
            </w:rPr>
            <w:drawing>
              <wp:inline distT="0" distB="0" distL="0" distR="0" wp14:anchorId="22A2A0D5" wp14:editId="5400DACD">
                <wp:extent cx="58825" cy="763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9" cy="148005"/>
                        </a:xfrm>
                        <a:prstGeom prst="rect">
                          <a:avLst/>
                        </a:prstGeom>
                        <a:noFill/>
                        <a:ln>
                          <a:noFill/>
                        </a:ln>
                      </pic:spPr>
                    </pic:pic>
                  </a:graphicData>
                </a:graphic>
              </wp:inline>
            </w:drawing>
          </w:r>
          <w:r w:rsidRPr="00717C1B">
            <w:rPr>
              <w:rFonts w:ascii="Myriad Pro" w:hAnsi="Myriad Pro"/>
              <w:b/>
              <w:sz w:val="16"/>
              <w:szCs w:val="16"/>
            </w:rPr>
            <w:t xml:space="preserve">  Mednarodne naložbe Slovenije  </w:t>
          </w:r>
          <w:r w:rsidR="00F420F5">
            <w:rPr>
              <w:rFonts w:ascii="Myriad Pro" w:hAnsi="Myriad Pro"/>
              <w:b/>
              <w:sz w:val="16"/>
              <w:szCs w:val="16"/>
            </w:rPr>
            <w:tab/>
          </w:r>
        </w:p>
        <w:p w14:paraId="5E521FE3" w14:textId="60CE26F1" w:rsidR="00717C1B" w:rsidRPr="00717C1B" w:rsidRDefault="00717C1B" w:rsidP="00FF5B7E">
          <w:pPr>
            <w:pStyle w:val="Header"/>
            <w:rPr>
              <w:b/>
            </w:rPr>
          </w:pPr>
          <w:r w:rsidRPr="00717C1B">
            <w:rPr>
              <w:b/>
            </w:rPr>
            <w:tab/>
          </w:r>
        </w:p>
      </w:tc>
      <w:tc>
        <w:tcPr>
          <w:tcW w:w="796" w:type="dxa"/>
        </w:tcPr>
        <w:p w14:paraId="0F9E1D69" w14:textId="77777777" w:rsidR="00717C1B" w:rsidRPr="00717C1B" w:rsidRDefault="00717C1B" w:rsidP="00FF5B7E">
          <w:pPr>
            <w:pStyle w:val="Header"/>
            <w:rPr>
              <w:rFonts w:ascii="Myriad Pro" w:hAnsi="Myriad Pro"/>
              <w:b/>
              <w:sz w:val="16"/>
              <w:szCs w:val="16"/>
            </w:rPr>
          </w:pPr>
          <w:r w:rsidRPr="00717C1B">
            <w:rPr>
              <w:rFonts w:ascii="Myriad Pro" w:hAnsi="Myriad Pro"/>
              <w:b/>
              <w:sz w:val="16"/>
              <w:szCs w:val="16"/>
            </w:rPr>
            <w:fldChar w:fldCharType="begin"/>
          </w:r>
          <w:r w:rsidRPr="00717C1B">
            <w:rPr>
              <w:rFonts w:ascii="Myriad Pro" w:hAnsi="Myriad Pro"/>
              <w:b/>
              <w:sz w:val="16"/>
              <w:szCs w:val="16"/>
            </w:rPr>
            <w:instrText xml:space="preserve"> PAGE  \* Arabic  \* MERGEFORMAT </w:instrText>
          </w:r>
          <w:r w:rsidRPr="00717C1B">
            <w:rPr>
              <w:rFonts w:ascii="Myriad Pro" w:hAnsi="Myriad Pro"/>
              <w:b/>
              <w:sz w:val="16"/>
              <w:szCs w:val="16"/>
            </w:rPr>
            <w:fldChar w:fldCharType="separate"/>
          </w:r>
          <w:r w:rsidRPr="00717C1B">
            <w:rPr>
              <w:rFonts w:ascii="Myriad Pro" w:hAnsi="Myriad Pro"/>
              <w:b/>
              <w:sz w:val="16"/>
              <w:szCs w:val="16"/>
            </w:rPr>
            <w:t>3</w:t>
          </w:r>
          <w:r w:rsidRPr="00717C1B">
            <w:rPr>
              <w:rFonts w:ascii="Myriad Pro" w:hAnsi="Myriad Pro"/>
              <w:b/>
              <w:sz w:val="16"/>
              <w:szCs w:val="16"/>
            </w:rPr>
            <w:fldChar w:fldCharType="end"/>
          </w:r>
        </w:p>
      </w:tc>
    </w:tr>
  </w:tbl>
  <w:p w14:paraId="18CD6A6F" w14:textId="77777777" w:rsidR="00717C1B" w:rsidRDefault="00717C1B" w:rsidP="00FF5B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9AC"/>
    <w:multiLevelType w:val="hybridMultilevel"/>
    <w:tmpl w:val="409ABE48"/>
    <w:lvl w:ilvl="0" w:tplc="4ABEB312">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9F2413"/>
    <w:multiLevelType w:val="hybridMultilevel"/>
    <w:tmpl w:val="579ED5B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84805F9"/>
    <w:multiLevelType w:val="multilevel"/>
    <w:tmpl w:val="AD6EF4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75A4772"/>
    <w:multiLevelType w:val="hybridMultilevel"/>
    <w:tmpl w:val="4208815A"/>
    <w:lvl w:ilvl="0" w:tplc="9C607C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060CD8"/>
    <w:multiLevelType w:val="multilevel"/>
    <w:tmpl w:val="3E48A548"/>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8BA3C93"/>
    <w:multiLevelType w:val="hybridMultilevel"/>
    <w:tmpl w:val="A3546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F3128F"/>
    <w:multiLevelType w:val="hybridMultilevel"/>
    <w:tmpl w:val="938CDE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5CB66A94"/>
    <w:multiLevelType w:val="singleLevel"/>
    <w:tmpl w:val="BEAEA458"/>
    <w:lvl w:ilvl="0">
      <w:start w:val="1"/>
      <w:numFmt w:val="decimal"/>
      <w:pStyle w:val="LiteraturaUMAR"/>
      <w:lvlText w:val="%1."/>
      <w:lvlJc w:val="left"/>
      <w:pPr>
        <w:tabs>
          <w:tab w:val="num" w:pos="360"/>
        </w:tabs>
        <w:ind w:left="360" w:hanging="360"/>
      </w:pPr>
      <w:rPr>
        <w:rFonts w:hint="default"/>
      </w:rPr>
    </w:lvl>
  </w:abstractNum>
  <w:num w:numId="1">
    <w:abstractNumId w:val="7"/>
  </w:num>
  <w:num w:numId="2">
    <w:abstractNumId w:val="4"/>
  </w:num>
  <w:num w:numId="3">
    <w:abstractNumId w:val="0"/>
  </w:num>
  <w:num w:numId="4">
    <w:abstractNumId w:val="3"/>
  </w:num>
  <w:num w:numId="5">
    <w:abstractNumId w:val="1"/>
  </w:num>
  <w:num w:numId="6">
    <w:abstractNumId w:val="5"/>
  </w:num>
  <w:num w:numId="7">
    <w:abstractNumId w:val="4"/>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hideSpellingErrors/>
  <w:hideGrammaticalErrors/>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1C"/>
    <w:rsid w:val="000005F5"/>
    <w:rsid w:val="000017E8"/>
    <w:rsid w:val="00001D3E"/>
    <w:rsid w:val="000026EC"/>
    <w:rsid w:val="00002AB8"/>
    <w:rsid w:val="00002CAF"/>
    <w:rsid w:val="000032F1"/>
    <w:rsid w:val="00003E9D"/>
    <w:rsid w:val="00004323"/>
    <w:rsid w:val="00004DAC"/>
    <w:rsid w:val="0000568B"/>
    <w:rsid w:val="00006657"/>
    <w:rsid w:val="00006975"/>
    <w:rsid w:val="00006BC6"/>
    <w:rsid w:val="00006F03"/>
    <w:rsid w:val="000071B5"/>
    <w:rsid w:val="00007719"/>
    <w:rsid w:val="000102DA"/>
    <w:rsid w:val="00010321"/>
    <w:rsid w:val="00013848"/>
    <w:rsid w:val="000141E1"/>
    <w:rsid w:val="00014DA7"/>
    <w:rsid w:val="00015775"/>
    <w:rsid w:val="000168FC"/>
    <w:rsid w:val="00016BAD"/>
    <w:rsid w:val="00020ED8"/>
    <w:rsid w:val="00021509"/>
    <w:rsid w:val="00022014"/>
    <w:rsid w:val="000236BC"/>
    <w:rsid w:val="00023A5C"/>
    <w:rsid w:val="00023FFD"/>
    <w:rsid w:val="0002452C"/>
    <w:rsid w:val="00024FA0"/>
    <w:rsid w:val="000256E0"/>
    <w:rsid w:val="000267E2"/>
    <w:rsid w:val="00026ACB"/>
    <w:rsid w:val="00026B30"/>
    <w:rsid w:val="00026B49"/>
    <w:rsid w:val="00027AFB"/>
    <w:rsid w:val="0003011B"/>
    <w:rsid w:val="00032C9D"/>
    <w:rsid w:val="00032E05"/>
    <w:rsid w:val="0003308F"/>
    <w:rsid w:val="0003333C"/>
    <w:rsid w:val="00033FF7"/>
    <w:rsid w:val="00035FBD"/>
    <w:rsid w:val="00036326"/>
    <w:rsid w:val="000365D0"/>
    <w:rsid w:val="0003751E"/>
    <w:rsid w:val="00037DDD"/>
    <w:rsid w:val="00040D49"/>
    <w:rsid w:val="000410C0"/>
    <w:rsid w:val="0004147D"/>
    <w:rsid w:val="00041838"/>
    <w:rsid w:val="00041BCA"/>
    <w:rsid w:val="00042655"/>
    <w:rsid w:val="00042B8F"/>
    <w:rsid w:val="00042E00"/>
    <w:rsid w:val="000438D4"/>
    <w:rsid w:val="00046034"/>
    <w:rsid w:val="0004617B"/>
    <w:rsid w:val="00046AF0"/>
    <w:rsid w:val="000470E3"/>
    <w:rsid w:val="0004754E"/>
    <w:rsid w:val="000519EA"/>
    <w:rsid w:val="000530D1"/>
    <w:rsid w:val="00053405"/>
    <w:rsid w:val="00054645"/>
    <w:rsid w:val="0005475A"/>
    <w:rsid w:val="000547F0"/>
    <w:rsid w:val="00055231"/>
    <w:rsid w:val="000552B7"/>
    <w:rsid w:val="00055C01"/>
    <w:rsid w:val="000572B9"/>
    <w:rsid w:val="00057C74"/>
    <w:rsid w:val="00060302"/>
    <w:rsid w:val="00062469"/>
    <w:rsid w:val="0006607E"/>
    <w:rsid w:val="00066A45"/>
    <w:rsid w:val="00070123"/>
    <w:rsid w:val="0007025B"/>
    <w:rsid w:val="000706C0"/>
    <w:rsid w:val="00070830"/>
    <w:rsid w:val="00070B55"/>
    <w:rsid w:val="00071815"/>
    <w:rsid w:val="00072E0A"/>
    <w:rsid w:val="0007354C"/>
    <w:rsid w:val="00074E32"/>
    <w:rsid w:val="00075A35"/>
    <w:rsid w:val="00075D73"/>
    <w:rsid w:val="0007780F"/>
    <w:rsid w:val="00077993"/>
    <w:rsid w:val="00077C63"/>
    <w:rsid w:val="00077E9C"/>
    <w:rsid w:val="000804A3"/>
    <w:rsid w:val="0008109A"/>
    <w:rsid w:val="0008190E"/>
    <w:rsid w:val="00082B96"/>
    <w:rsid w:val="00083383"/>
    <w:rsid w:val="00083E22"/>
    <w:rsid w:val="00084484"/>
    <w:rsid w:val="000853B2"/>
    <w:rsid w:val="00087068"/>
    <w:rsid w:val="000878F8"/>
    <w:rsid w:val="0009064B"/>
    <w:rsid w:val="000909CE"/>
    <w:rsid w:val="00090E58"/>
    <w:rsid w:val="000916F0"/>
    <w:rsid w:val="000918F3"/>
    <w:rsid w:val="00091D6A"/>
    <w:rsid w:val="0009247A"/>
    <w:rsid w:val="000929C6"/>
    <w:rsid w:val="00092DA8"/>
    <w:rsid w:val="0009321C"/>
    <w:rsid w:val="000936DA"/>
    <w:rsid w:val="000967F0"/>
    <w:rsid w:val="000968B4"/>
    <w:rsid w:val="000969D0"/>
    <w:rsid w:val="00096DB6"/>
    <w:rsid w:val="000A0634"/>
    <w:rsid w:val="000A103A"/>
    <w:rsid w:val="000A10B2"/>
    <w:rsid w:val="000A1F78"/>
    <w:rsid w:val="000A24BD"/>
    <w:rsid w:val="000A4967"/>
    <w:rsid w:val="000A528A"/>
    <w:rsid w:val="000A6E55"/>
    <w:rsid w:val="000A7538"/>
    <w:rsid w:val="000A78C0"/>
    <w:rsid w:val="000B033B"/>
    <w:rsid w:val="000B0C7C"/>
    <w:rsid w:val="000B177F"/>
    <w:rsid w:val="000B1E80"/>
    <w:rsid w:val="000B2606"/>
    <w:rsid w:val="000B2CC4"/>
    <w:rsid w:val="000B3619"/>
    <w:rsid w:val="000B3EA2"/>
    <w:rsid w:val="000B48FF"/>
    <w:rsid w:val="000B6231"/>
    <w:rsid w:val="000B75F3"/>
    <w:rsid w:val="000C0BBD"/>
    <w:rsid w:val="000C1952"/>
    <w:rsid w:val="000C1C5A"/>
    <w:rsid w:val="000C2CAF"/>
    <w:rsid w:val="000C43BF"/>
    <w:rsid w:val="000C4E62"/>
    <w:rsid w:val="000C5063"/>
    <w:rsid w:val="000C66F6"/>
    <w:rsid w:val="000D0C8F"/>
    <w:rsid w:val="000D1E72"/>
    <w:rsid w:val="000D4CA8"/>
    <w:rsid w:val="000E04D0"/>
    <w:rsid w:val="000E0B25"/>
    <w:rsid w:val="000E1358"/>
    <w:rsid w:val="000E1654"/>
    <w:rsid w:val="000E25CB"/>
    <w:rsid w:val="000E3BEC"/>
    <w:rsid w:val="000E5777"/>
    <w:rsid w:val="000E70CE"/>
    <w:rsid w:val="000E7834"/>
    <w:rsid w:val="000E7B27"/>
    <w:rsid w:val="000E7BCB"/>
    <w:rsid w:val="000F0B06"/>
    <w:rsid w:val="000F12B3"/>
    <w:rsid w:val="000F23D6"/>
    <w:rsid w:val="000F2B1C"/>
    <w:rsid w:val="000F37C8"/>
    <w:rsid w:val="000F4330"/>
    <w:rsid w:val="000F6F5D"/>
    <w:rsid w:val="0010093A"/>
    <w:rsid w:val="00100DB9"/>
    <w:rsid w:val="00102756"/>
    <w:rsid w:val="00102BEA"/>
    <w:rsid w:val="0010366B"/>
    <w:rsid w:val="001048D6"/>
    <w:rsid w:val="0010507E"/>
    <w:rsid w:val="00105A87"/>
    <w:rsid w:val="00105D95"/>
    <w:rsid w:val="00106AEB"/>
    <w:rsid w:val="00106B4D"/>
    <w:rsid w:val="00106BE5"/>
    <w:rsid w:val="00107A6B"/>
    <w:rsid w:val="00107A7C"/>
    <w:rsid w:val="00110C49"/>
    <w:rsid w:val="00110FEB"/>
    <w:rsid w:val="00112635"/>
    <w:rsid w:val="00114277"/>
    <w:rsid w:val="00115051"/>
    <w:rsid w:val="001153EC"/>
    <w:rsid w:val="0011551D"/>
    <w:rsid w:val="001170C5"/>
    <w:rsid w:val="00117115"/>
    <w:rsid w:val="00117342"/>
    <w:rsid w:val="0011783D"/>
    <w:rsid w:val="001206F6"/>
    <w:rsid w:val="00121772"/>
    <w:rsid w:val="0012413A"/>
    <w:rsid w:val="001241D3"/>
    <w:rsid w:val="00124C6A"/>
    <w:rsid w:val="00124C9D"/>
    <w:rsid w:val="00126BDF"/>
    <w:rsid w:val="00127B1E"/>
    <w:rsid w:val="00127F1B"/>
    <w:rsid w:val="00130A1A"/>
    <w:rsid w:val="00130C2A"/>
    <w:rsid w:val="001329C7"/>
    <w:rsid w:val="00132A59"/>
    <w:rsid w:val="0013312D"/>
    <w:rsid w:val="0013374E"/>
    <w:rsid w:val="001350B6"/>
    <w:rsid w:val="0013548A"/>
    <w:rsid w:val="00135CF8"/>
    <w:rsid w:val="00136186"/>
    <w:rsid w:val="00137AB5"/>
    <w:rsid w:val="001406F5"/>
    <w:rsid w:val="00140706"/>
    <w:rsid w:val="0014176A"/>
    <w:rsid w:val="00141E1A"/>
    <w:rsid w:val="00143E7F"/>
    <w:rsid w:val="00144BCE"/>
    <w:rsid w:val="00145323"/>
    <w:rsid w:val="001455D8"/>
    <w:rsid w:val="0015080F"/>
    <w:rsid w:val="00150E9F"/>
    <w:rsid w:val="001513C3"/>
    <w:rsid w:val="0015219C"/>
    <w:rsid w:val="00152BD9"/>
    <w:rsid w:val="00152C1B"/>
    <w:rsid w:val="00154BDF"/>
    <w:rsid w:val="0015528E"/>
    <w:rsid w:val="001554D5"/>
    <w:rsid w:val="00157C8A"/>
    <w:rsid w:val="00161445"/>
    <w:rsid w:val="00161611"/>
    <w:rsid w:val="0016173F"/>
    <w:rsid w:val="00162561"/>
    <w:rsid w:val="0016394D"/>
    <w:rsid w:val="00165810"/>
    <w:rsid w:val="00166305"/>
    <w:rsid w:val="001673B5"/>
    <w:rsid w:val="001673FC"/>
    <w:rsid w:val="001709CB"/>
    <w:rsid w:val="00173AAE"/>
    <w:rsid w:val="0017411F"/>
    <w:rsid w:val="00175219"/>
    <w:rsid w:val="00175D93"/>
    <w:rsid w:val="001764AB"/>
    <w:rsid w:val="001770F0"/>
    <w:rsid w:val="00177732"/>
    <w:rsid w:val="00177F70"/>
    <w:rsid w:val="001800CD"/>
    <w:rsid w:val="00181502"/>
    <w:rsid w:val="00181CCA"/>
    <w:rsid w:val="001828D6"/>
    <w:rsid w:val="0018519C"/>
    <w:rsid w:val="001858EC"/>
    <w:rsid w:val="0018603A"/>
    <w:rsid w:val="00186DC8"/>
    <w:rsid w:val="001874B9"/>
    <w:rsid w:val="00187581"/>
    <w:rsid w:val="0019054C"/>
    <w:rsid w:val="001908FD"/>
    <w:rsid w:val="00190CDE"/>
    <w:rsid w:val="001910C2"/>
    <w:rsid w:val="001917B6"/>
    <w:rsid w:val="00192DEB"/>
    <w:rsid w:val="0019334D"/>
    <w:rsid w:val="00193789"/>
    <w:rsid w:val="00194A2C"/>
    <w:rsid w:val="001957D0"/>
    <w:rsid w:val="00195F97"/>
    <w:rsid w:val="0019720D"/>
    <w:rsid w:val="00197C1E"/>
    <w:rsid w:val="001A0885"/>
    <w:rsid w:val="001A1629"/>
    <w:rsid w:val="001A2035"/>
    <w:rsid w:val="001A2214"/>
    <w:rsid w:val="001A2F26"/>
    <w:rsid w:val="001A5E72"/>
    <w:rsid w:val="001A6125"/>
    <w:rsid w:val="001A65E5"/>
    <w:rsid w:val="001B0816"/>
    <w:rsid w:val="001B1862"/>
    <w:rsid w:val="001B1C81"/>
    <w:rsid w:val="001B2F40"/>
    <w:rsid w:val="001B5E5C"/>
    <w:rsid w:val="001B6398"/>
    <w:rsid w:val="001C1A0F"/>
    <w:rsid w:val="001C20B3"/>
    <w:rsid w:val="001C2233"/>
    <w:rsid w:val="001C3A0A"/>
    <w:rsid w:val="001C487D"/>
    <w:rsid w:val="001C4D46"/>
    <w:rsid w:val="001C5AF2"/>
    <w:rsid w:val="001C683C"/>
    <w:rsid w:val="001C6A33"/>
    <w:rsid w:val="001D0642"/>
    <w:rsid w:val="001D0A6E"/>
    <w:rsid w:val="001D0B2F"/>
    <w:rsid w:val="001D1834"/>
    <w:rsid w:val="001D2EEB"/>
    <w:rsid w:val="001D3A3F"/>
    <w:rsid w:val="001D40CE"/>
    <w:rsid w:val="001D63B1"/>
    <w:rsid w:val="001D65E7"/>
    <w:rsid w:val="001D663D"/>
    <w:rsid w:val="001D7563"/>
    <w:rsid w:val="001E07FD"/>
    <w:rsid w:val="001E0960"/>
    <w:rsid w:val="001E1F88"/>
    <w:rsid w:val="001E2C7B"/>
    <w:rsid w:val="001E3891"/>
    <w:rsid w:val="001E3BED"/>
    <w:rsid w:val="001E5715"/>
    <w:rsid w:val="001E5E38"/>
    <w:rsid w:val="001E6765"/>
    <w:rsid w:val="001E7BEE"/>
    <w:rsid w:val="001F0482"/>
    <w:rsid w:val="001F1537"/>
    <w:rsid w:val="001F166C"/>
    <w:rsid w:val="001F1F26"/>
    <w:rsid w:val="001F379C"/>
    <w:rsid w:val="001F3BAC"/>
    <w:rsid w:val="001F483F"/>
    <w:rsid w:val="001F4893"/>
    <w:rsid w:val="001F60CF"/>
    <w:rsid w:val="001F62CF"/>
    <w:rsid w:val="00200AB9"/>
    <w:rsid w:val="00202CCF"/>
    <w:rsid w:val="00202ED1"/>
    <w:rsid w:val="00203819"/>
    <w:rsid w:val="00203C04"/>
    <w:rsid w:val="00204185"/>
    <w:rsid w:val="002048C7"/>
    <w:rsid w:val="00205616"/>
    <w:rsid w:val="00206FBD"/>
    <w:rsid w:val="002074D9"/>
    <w:rsid w:val="00210E92"/>
    <w:rsid w:val="002111FC"/>
    <w:rsid w:val="00212697"/>
    <w:rsid w:val="002131E1"/>
    <w:rsid w:val="00214084"/>
    <w:rsid w:val="00214A8B"/>
    <w:rsid w:val="00214D59"/>
    <w:rsid w:val="00216C85"/>
    <w:rsid w:val="00216E1F"/>
    <w:rsid w:val="00216FE5"/>
    <w:rsid w:val="00217E32"/>
    <w:rsid w:val="00220A86"/>
    <w:rsid w:val="00220E84"/>
    <w:rsid w:val="002212C5"/>
    <w:rsid w:val="002225D3"/>
    <w:rsid w:val="002238B3"/>
    <w:rsid w:val="00223E55"/>
    <w:rsid w:val="00225170"/>
    <w:rsid w:val="0022533F"/>
    <w:rsid w:val="002257A9"/>
    <w:rsid w:val="0022671A"/>
    <w:rsid w:val="00226C5A"/>
    <w:rsid w:val="00227572"/>
    <w:rsid w:val="00227FB2"/>
    <w:rsid w:val="0023014C"/>
    <w:rsid w:val="002307C4"/>
    <w:rsid w:val="002309B4"/>
    <w:rsid w:val="00230DE5"/>
    <w:rsid w:val="00232BBE"/>
    <w:rsid w:val="0023391F"/>
    <w:rsid w:val="0023463D"/>
    <w:rsid w:val="00234DFD"/>
    <w:rsid w:val="00235E12"/>
    <w:rsid w:val="00240339"/>
    <w:rsid w:val="0024045A"/>
    <w:rsid w:val="00240E5E"/>
    <w:rsid w:val="002416E4"/>
    <w:rsid w:val="00242872"/>
    <w:rsid w:val="00243D25"/>
    <w:rsid w:val="0024422E"/>
    <w:rsid w:val="00244E0B"/>
    <w:rsid w:val="00245FF0"/>
    <w:rsid w:val="00246623"/>
    <w:rsid w:val="00250B99"/>
    <w:rsid w:val="00252660"/>
    <w:rsid w:val="00252F81"/>
    <w:rsid w:val="002531D4"/>
    <w:rsid w:val="00253567"/>
    <w:rsid w:val="002536BE"/>
    <w:rsid w:val="00256363"/>
    <w:rsid w:val="00256A2D"/>
    <w:rsid w:val="002572F0"/>
    <w:rsid w:val="002577FF"/>
    <w:rsid w:val="00260617"/>
    <w:rsid w:val="002628DA"/>
    <w:rsid w:val="00263E3D"/>
    <w:rsid w:val="0026487E"/>
    <w:rsid w:val="00265B02"/>
    <w:rsid w:val="00265E7B"/>
    <w:rsid w:val="00266B89"/>
    <w:rsid w:val="00267477"/>
    <w:rsid w:val="00267A72"/>
    <w:rsid w:val="00270F9D"/>
    <w:rsid w:val="00271BCF"/>
    <w:rsid w:val="00272852"/>
    <w:rsid w:val="00272C68"/>
    <w:rsid w:val="00274A6B"/>
    <w:rsid w:val="002750B5"/>
    <w:rsid w:val="00275C9C"/>
    <w:rsid w:val="00275CAC"/>
    <w:rsid w:val="002800D2"/>
    <w:rsid w:val="00280B77"/>
    <w:rsid w:val="00281355"/>
    <w:rsid w:val="00282A01"/>
    <w:rsid w:val="00284F14"/>
    <w:rsid w:val="002871CD"/>
    <w:rsid w:val="00287C4E"/>
    <w:rsid w:val="002901C9"/>
    <w:rsid w:val="00291052"/>
    <w:rsid w:val="00291205"/>
    <w:rsid w:val="00291B55"/>
    <w:rsid w:val="0029204B"/>
    <w:rsid w:val="00292528"/>
    <w:rsid w:val="0029270E"/>
    <w:rsid w:val="002927CC"/>
    <w:rsid w:val="00292889"/>
    <w:rsid w:val="0029296C"/>
    <w:rsid w:val="002942DB"/>
    <w:rsid w:val="0029461C"/>
    <w:rsid w:val="00294E71"/>
    <w:rsid w:val="00294FA5"/>
    <w:rsid w:val="00295489"/>
    <w:rsid w:val="00295F86"/>
    <w:rsid w:val="00296655"/>
    <w:rsid w:val="00296ADF"/>
    <w:rsid w:val="00296B59"/>
    <w:rsid w:val="002979FF"/>
    <w:rsid w:val="002A0E59"/>
    <w:rsid w:val="002A1218"/>
    <w:rsid w:val="002A1940"/>
    <w:rsid w:val="002A27D3"/>
    <w:rsid w:val="002A368E"/>
    <w:rsid w:val="002A3EA9"/>
    <w:rsid w:val="002A410B"/>
    <w:rsid w:val="002A489C"/>
    <w:rsid w:val="002A5A95"/>
    <w:rsid w:val="002A5B83"/>
    <w:rsid w:val="002A6C97"/>
    <w:rsid w:val="002A70D4"/>
    <w:rsid w:val="002A7EF2"/>
    <w:rsid w:val="002B06FB"/>
    <w:rsid w:val="002B2843"/>
    <w:rsid w:val="002B3773"/>
    <w:rsid w:val="002B3890"/>
    <w:rsid w:val="002B3FA8"/>
    <w:rsid w:val="002B550C"/>
    <w:rsid w:val="002B5546"/>
    <w:rsid w:val="002B5771"/>
    <w:rsid w:val="002B5937"/>
    <w:rsid w:val="002B5D48"/>
    <w:rsid w:val="002B631F"/>
    <w:rsid w:val="002C0769"/>
    <w:rsid w:val="002C0D76"/>
    <w:rsid w:val="002C35BC"/>
    <w:rsid w:val="002C3668"/>
    <w:rsid w:val="002C42D3"/>
    <w:rsid w:val="002C450B"/>
    <w:rsid w:val="002C5109"/>
    <w:rsid w:val="002C551E"/>
    <w:rsid w:val="002C6D49"/>
    <w:rsid w:val="002D0D1B"/>
    <w:rsid w:val="002D1AD7"/>
    <w:rsid w:val="002D1D30"/>
    <w:rsid w:val="002D1D84"/>
    <w:rsid w:val="002D30C0"/>
    <w:rsid w:val="002D3375"/>
    <w:rsid w:val="002D4281"/>
    <w:rsid w:val="002D460E"/>
    <w:rsid w:val="002D4C0D"/>
    <w:rsid w:val="002D5102"/>
    <w:rsid w:val="002D528E"/>
    <w:rsid w:val="002D64EA"/>
    <w:rsid w:val="002D7840"/>
    <w:rsid w:val="002E032A"/>
    <w:rsid w:val="002E0618"/>
    <w:rsid w:val="002E1F2B"/>
    <w:rsid w:val="002E2FA4"/>
    <w:rsid w:val="002E35C8"/>
    <w:rsid w:val="002E37AA"/>
    <w:rsid w:val="002E45C6"/>
    <w:rsid w:val="002E5907"/>
    <w:rsid w:val="002E5E23"/>
    <w:rsid w:val="002F36AC"/>
    <w:rsid w:val="002F4C2F"/>
    <w:rsid w:val="002F4D6C"/>
    <w:rsid w:val="002F5D0F"/>
    <w:rsid w:val="002F5EE5"/>
    <w:rsid w:val="002F61FF"/>
    <w:rsid w:val="002F62CB"/>
    <w:rsid w:val="002F7147"/>
    <w:rsid w:val="002F7708"/>
    <w:rsid w:val="002F77EF"/>
    <w:rsid w:val="0030011D"/>
    <w:rsid w:val="003012E7"/>
    <w:rsid w:val="003014DC"/>
    <w:rsid w:val="003036A7"/>
    <w:rsid w:val="00303817"/>
    <w:rsid w:val="00305924"/>
    <w:rsid w:val="00306706"/>
    <w:rsid w:val="00306DBF"/>
    <w:rsid w:val="00307C24"/>
    <w:rsid w:val="003119D2"/>
    <w:rsid w:val="00312B23"/>
    <w:rsid w:val="003134B5"/>
    <w:rsid w:val="00313F47"/>
    <w:rsid w:val="00315406"/>
    <w:rsid w:val="0031550F"/>
    <w:rsid w:val="0031554C"/>
    <w:rsid w:val="00316A98"/>
    <w:rsid w:val="00324F45"/>
    <w:rsid w:val="003253F6"/>
    <w:rsid w:val="00326620"/>
    <w:rsid w:val="00327B96"/>
    <w:rsid w:val="00330829"/>
    <w:rsid w:val="0033107B"/>
    <w:rsid w:val="003312A2"/>
    <w:rsid w:val="00331380"/>
    <w:rsid w:val="00334607"/>
    <w:rsid w:val="00336899"/>
    <w:rsid w:val="00336A07"/>
    <w:rsid w:val="0033734A"/>
    <w:rsid w:val="003378AD"/>
    <w:rsid w:val="00340546"/>
    <w:rsid w:val="0034152B"/>
    <w:rsid w:val="00341C2C"/>
    <w:rsid w:val="00341E37"/>
    <w:rsid w:val="00341EEF"/>
    <w:rsid w:val="00343039"/>
    <w:rsid w:val="00344940"/>
    <w:rsid w:val="00344FE4"/>
    <w:rsid w:val="00345603"/>
    <w:rsid w:val="003468B7"/>
    <w:rsid w:val="00347510"/>
    <w:rsid w:val="00347515"/>
    <w:rsid w:val="003478D9"/>
    <w:rsid w:val="0035126D"/>
    <w:rsid w:val="00351BD0"/>
    <w:rsid w:val="003529F5"/>
    <w:rsid w:val="00352A65"/>
    <w:rsid w:val="00353175"/>
    <w:rsid w:val="0035382D"/>
    <w:rsid w:val="00353B44"/>
    <w:rsid w:val="00353D73"/>
    <w:rsid w:val="00354A68"/>
    <w:rsid w:val="00355D20"/>
    <w:rsid w:val="00355F20"/>
    <w:rsid w:val="00361F24"/>
    <w:rsid w:val="00362BC9"/>
    <w:rsid w:val="00363A1A"/>
    <w:rsid w:val="00364CEA"/>
    <w:rsid w:val="00365008"/>
    <w:rsid w:val="003651A0"/>
    <w:rsid w:val="003656BC"/>
    <w:rsid w:val="00365B36"/>
    <w:rsid w:val="00365CA9"/>
    <w:rsid w:val="003663C9"/>
    <w:rsid w:val="003672B4"/>
    <w:rsid w:val="00367549"/>
    <w:rsid w:val="00367B09"/>
    <w:rsid w:val="00371D88"/>
    <w:rsid w:val="00371E64"/>
    <w:rsid w:val="00373951"/>
    <w:rsid w:val="00373E63"/>
    <w:rsid w:val="00374268"/>
    <w:rsid w:val="003743DD"/>
    <w:rsid w:val="0037476D"/>
    <w:rsid w:val="00374A64"/>
    <w:rsid w:val="00374B26"/>
    <w:rsid w:val="00375C3D"/>
    <w:rsid w:val="00376234"/>
    <w:rsid w:val="00377C62"/>
    <w:rsid w:val="00377DE9"/>
    <w:rsid w:val="00380375"/>
    <w:rsid w:val="00380DEB"/>
    <w:rsid w:val="003819F5"/>
    <w:rsid w:val="00381EEC"/>
    <w:rsid w:val="00382212"/>
    <w:rsid w:val="00382733"/>
    <w:rsid w:val="00382C4A"/>
    <w:rsid w:val="00383F11"/>
    <w:rsid w:val="003844E5"/>
    <w:rsid w:val="00385490"/>
    <w:rsid w:val="00385729"/>
    <w:rsid w:val="00385DE5"/>
    <w:rsid w:val="00386ACD"/>
    <w:rsid w:val="00386F59"/>
    <w:rsid w:val="0038783C"/>
    <w:rsid w:val="00387C7D"/>
    <w:rsid w:val="00390A78"/>
    <w:rsid w:val="00391645"/>
    <w:rsid w:val="00391FB9"/>
    <w:rsid w:val="003926AD"/>
    <w:rsid w:val="003936E4"/>
    <w:rsid w:val="00394200"/>
    <w:rsid w:val="003944B6"/>
    <w:rsid w:val="0039491A"/>
    <w:rsid w:val="00394B17"/>
    <w:rsid w:val="00395593"/>
    <w:rsid w:val="003965C6"/>
    <w:rsid w:val="00396660"/>
    <w:rsid w:val="003A110C"/>
    <w:rsid w:val="003A130C"/>
    <w:rsid w:val="003A1CC3"/>
    <w:rsid w:val="003A2C11"/>
    <w:rsid w:val="003A2EB1"/>
    <w:rsid w:val="003A44FF"/>
    <w:rsid w:val="003A4B98"/>
    <w:rsid w:val="003A4C58"/>
    <w:rsid w:val="003A5537"/>
    <w:rsid w:val="003A5848"/>
    <w:rsid w:val="003A6C2F"/>
    <w:rsid w:val="003A716E"/>
    <w:rsid w:val="003A7D45"/>
    <w:rsid w:val="003A7F44"/>
    <w:rsid w:val="003B1B5B"/>
    <w:rsid w:val="003B1BDA"/>
    <w:rsid w:val="003B208C"/>
    <w:rsid w:val="003B2E0E"/>
    <w:rsid w:val="003B30E3"/>
    <w:rsid w:val="003B3D3D"/>
    <w:rsid w:val="003B495C"/>
    <w:rsid w:val="003B4CCC"/>
    <w:rsid w:val="003B5450"/>
    <w:rsid w:val="003B5F73"/>
    <w:rsid w:val="003B6254"/>
    <w:rsid w:val="003B64A5"/>
    <w:rsid w:val="003B7CD1"/>
    <w:rsid w:val="003C3E4B"/>
    <w:rsid w:val="003C4521"/>
    <w:rsid w:val="003C46D6"/>
    <w:rsid w:val="003C4984"/>
    <w:rsid w:val="003C4D02"/>
    <w:rsid w:val="003D17C5"/>
    <w:rsid w:val="003D2EFD"/>
    <w:rsid w:val="003D39EE"/>
    <w:rsid w:val="003D431F"/>
    <w:rsid w:val="003D4882"/>
    <w:rsid w:val="003D65E1"/>
    <w:rsid w:val="003D7EE3"/>
    <w:rsid w:val="003E005A"/>
    <w:rsid w:val="003E0B22"/>
    <w:rsid w:val="003E193D"/>
    <w:rsid w:val="003E1D01"/>
    <w:rsid w:val="003E2BA4"/>
    <w:rsid w:val="003E31F6"/>
    <w:rsid w:val="003E3739"/>
    <w:rsid w:val="003E3A2D"/>
    <w:rsid w:val="003E4462"/>
    <w:rsid w:val="003E48E7"/>
    <w:rsid w:val="003E4990"/>
    <w:rsid w:val="003E5C63"/>
    <w:rsid w:val="003F058C"/>
    <w:rsid w:val="003F090C"/>
    <w:rsid w:val="003F0F27"/>
    <w:rsid w:val="003F18D2"/>
    <w:rsid w:val="003F1B14"/>
    <w:rsid w:val="003F1D22"/>
    <w:rsid w:val="003F26A8"/>
    <w:rsid w:val="003F33CD"/>
    <w:rsid w:val="003F4231"/>
    <w:rsid w:val="003F5FD3"/>
    <w:rsid w:val="003F6AB1"/>
    <w:rsid w:val="003F71AC"/>
    <w:rsid w:val="003F73BF"/>
    <w:rsid w:val="00400465"/>
    <w:rsid w:val="00400DE5"/>
    <w:rsid w:val="004016AB"/>
    <w:rsid w:val="00402400"/>
    <w:rsid w:val="0040242E"/>
    <w:rsid w:val="004029BB"/>
    <w:rsid w:val="00402AF9"/>
    <w:rsid w:val="00402B00"/>
    <w:rsid w:val="00403A79"/>
    <w:rsid w:val="00404473"/>
    <w:rsid w:val="00404841"/>
    <w:rsid w:val="004049B7"/>
    <w:rsid w:val="0040550A"/>
    <w:rsid w:val="00407C0D"/>
    <w:rsid w:val="00407D7E"/>
    <w:rsid w:val="00407E3C"/>
    <w:rsid w:val="004110B8"/>
    <w:rsid w:val="00411FE9"/>
    <w:rsid w:val="00413392"/>
    <w:rsid w:val="00413A61"/>
    <w:rsid w:val="004155C8"/>
    <w:rsid w:val="00415D75"/>
    <w:rsid w:val="00416D9C"/>
    <w:rsid w:val="004178E0"/>
    <w:rsid w:val="00422C41"/>
    <w:rsid w:val="0042350D"/>
    <w:rsid w:val="00423D6C"/>
    <w:rsid w:val="004248C0"/>
    <w:rsid w:val="0042499E"/>
    <w:rsid w:val="0042577D"/>
    <w:rsid w:val="00427357"/>
    <w:rsid w:val="00427E7B"/>
    <w:rsid w:val="00430947"/>
    <w:rsid w:val="004312E1"/>
    <w:rsid w:val="004316F7"/>
    <w:rsid w:val="00431FB3"/>
    <w:rsid w:val="004338E5"/>
    <w:rsid w:val="00433DB0"/>
    <w:rsid w:val="00433EC8"/>
    <w:rsid w:val="00435423"/>
    <w:rsid w:val="00437CB6"/>
    <w:rsid w:val="00440FB2"/>
    <w:rsid w:val="004410A9"/>
    <w:rsid w:val="00441504"/>
    <w:rsid w:val="004423CC"/>
    <w:rsid w:val="0044242E"/>
    <w:rsid w:val="00443516"/>
    <w:rsid w:val="0044421E"/>
    <w:rsid w:val="004448D1"/>
    <w:rsid w:val="00446186"/>
    <w:rsid w:val="004462CC"/>
    <w:rsid w:val="0044754D"/>
    <w:rsid w:val="00447A71"/>
    <w:rsid w:val="00450EA6"/>
    <w:rsid w:val="0045125E"/>
    <w:rsid w:val="00452B84"/>
    <w:rsid w:val="00452E83"/>
    <w:rsid w:val="00453958"/>
    <w:rsid w:val="00454751"/>
    <w:rsid w:val="00457C59"/>
    <w:rsid w:val="00457F81"/>
    <w:rsid w:val="004610CF"/>
    <w:rsid w:val="0046114D"/>
    <w:rsid w:val="00461535"/>
    <w:rsid w:val="00461840"/>
    <w:rsid w:val="00462EDA"/>
    <w:rsid w:val="00463654"/>
    <w:rsid w:val="0046366D"/>
    <w:rsid w:val="004655B9"/>
    <w:rsid w:val="00466AA3"/>
    <w:rsid w:val="00466C5F"/>
    <w:rsid w:val="00467B42"/>
    <w:rsid w:val="00467CD9"/>
    <w:rsid w:val="00467D8A"/>
    <w:rsid w:val="00470031"/>
    <w:rsid w:val="00471237"/>
    <w:rsid w:val="00471568"/>
    <w:rsid w:val="00471713"/>
    <w:rsid w:val="00471C63"/>
    <w:rsid w:val="00471D85"/>
    <w:rsid w:val="004730B8"/>
    <w:rsid w:val="00474258"/>
    <w:rsid w:val="00474F4F"/>
    <w:rsid w:val="0047533F"/>
    <w:rsid w:val="0047635E"/>
    <w:rsid w:val="00476A88"/>
    <w:rsid w:val="004774EA"/>
    <w:rsid w:val="004774F9"/>
    <w:rsid w:val="00477DBE"/>
    <w:rsid w:val="00481B30"/>
    <w:rsid w:val="00481E14"/>
    <w:rsid w:val="0048345E"/>
    <w:rsid w:val="00483922"/>
    <w:rsid w:val="00483A88"/>
    <w:rsid w:val="00483B0E"/>
    <w:rsid w:val="00484DF1"/>
    <w:rsid w:val="00484EB8"/>
    <w:rsid w:val="00485096"/>
    <w:rsid w:val="00485174"/>
    <w:rsid w:val="004856A5"/>
    <w:rsid w:val="0048594C"/>
    <w:rsid w:val="0048599C"/>
    <w:rsid w:val="00487357"/>
    <w:rsid w:val="00487AA0"/>
    <w:rsid w:val="00487D9F"/>
    <w:rsid w:val="00487DB9"/>
    <w:rsid w:val="00487FA1"/>
    <w:rsid w:val="004901C2"/>
    <w:rsid w:val="00491D8D"/>
    <w:rsid w:val="00491DF7"/>
    <w:rsid w:val="00491F0F"/>
    <w:rsid w:val="00492534"/>
    <w:rsid w:val="0049286E"/>
    <w:rsid w:val="0049345B"/>
    <w:rsid w:val="0049356B"/>
    <w:rsid w:val="00493C5B"/>
    <w:rsid w:val="004945BD"/>
    <w:rsid w:val="0049481F"/>
    <w:rsid w:val="00495854"/>
    <w:rsid w:val="00495889"/>
    <w:rsid w:val="00495DC4"/>
    <w:rsid w:val="00496165"/>
    <w:rsid w:val="004964EE"/>
    <w:rsid w:val="004966FB"/>
    <w:rsid w:val="004977CC"/>
    <w:rsid w:val="00497805"/>
    <w:rsid w:val="004A1088"/>
    <w:rsid w:val="004A276B"/>
    <w:rsid w:val="004A318E"/>
    <w:rsid w:val="004A3312"/>
    <w:rsid w:val="004A454B"/>
    <w:rsid w:val="004A45DA"/>
    <w:rsid w:val="004A4EC5"/>
    <w:rsid w:val="004B275E"/>
    <w:rsid w:val="004B3384"/>
    <w:rsid w:val="004B39ED"/>
    <w:rsid w:val="004B3B2E"/>
    <w:rsid w:val="004B4B54"/>
    <w:rsid w:val="004B59A6"/>
    <w:rsid w:val="004B5B4C"/>
    <w:rsid w:val="004C0235"/>
    <w:rsid w:val="004C1588"/>
    <w:rsid w:val="004C1673"/>
    <w:rsid w:val="004C200D"/>
    <w:rsid w:val="004C22C6"/>
    <w:rsid w:val="004C297D"/>
    <w:rsid w:val="004C3776"/>
    <w:rsid w:val="004C3F1A"/>
    <w:rsid w:val="004C4982"/>
    <w:rsid w:val="004C53F1"/>
    <w:rsid w:val="004C5AD3"/>
    <w:rsid w:val="004C689A"/>
    <w:rsid w:val="004C6B99"/>
    <w:rsid w:val="004C7DC1"/>
    <w:rsid w:val="004D1933"/>
    <w:rsid w:val="004D1C81"/>
    <w:rsid w:val="004D22FB"/>
    <w:rsid w:val="004D2B31"/>
    <w:rsid w:val="004D33D1"/>
    <w:rsid w:val="004D372F"/>
    <w:rsid w:val="004D429B"/>
    <w:rsid w:val="004D51EA"/>
    <w:rsid w:val="004D5670"/>
    <w:rsid w:val="004D65B6"/>
    <w:rsid w:val="004D6D6F"/>
    <w:rsid w:val="004D6E67"/>
    <w:rsid w:val="004D78A9"/>
    <w:rsid w:val="004E0DE6"/>
    <w:rsid w:val="004E17F8"/>
    <w:rsid w:val="004E26C0"/>
    <w:rsid w:val="004E2862"/>
    <w:rsid w:val="004E481C"/>
    <w:rsid w:val="004E538D"/>
    <w:rsid w:val="004E5F9D"/>
    <w:rsid w:val="004E5FAD"/>
    <w:rsid w:val="004E6E8D"/>
    <w:rsid w:val="004E6EFF"/>
    <w:rsid w:val="004F09ED"/>
    <w:rsid w:val="004F0F3E"/>
    <w:rsid w:val="004F1872"/>
    <w:rsid w:val="004F25F6"/>
    <w:rsid w:val="004F2BE3"/>
    <w:rsid w:val="004F3403"/>
    <w:rsid w:val="004F38EB"/>
    <w:rsid w:val="004F38FC"/>
    <w:rsid w:val="004F3C08"/>
    <w:rsid w:val="004F47DC"/>
    <w:rsid w:val="004F496D"/>
    <w:rsid w:val="004F4CC1"/>
    <w:rsid w:val="004F4FBD"/>
    <w:rsid w:val="004F54A2"/>
    <w:rsid w:val="004F62F9"/>
    <w:rsid w:val="004F6889"/>
    <w:rsid w:val="0050010C"/>
    <w:rsid w:val="00500B8F"/>
    <w:rsid w:val="00501B23"/>
    <w:rsid w:val="00501BD9"/>
    <w:rsid w:val="00502FA8"/>
    <w:rsid w:val="00503BAB"/>
    <w:rsid w:val="0050539D"/>
    <w:rsid w:val="0050550D"/>
    <w:rsid w:val="0050616E"/>
    <w:rsid w:val="005067DA"/>
    <w:rsid w:val="00507498"/>
    <w:rsid w:val="00507640"/>
    <w:rsid w:val="0050798F"/>
    <w:rsid w:val="00510461"/>
    <w:rsid w:val="00511F3E"/>
    <w:rsid w:val="0051231B"/>
    <w:rsid w:val="005123D3"/>
    <w:rsid w:val="00512B8C"/>
    <w:rsid w:val="005139FA"/>
    <w:rsid w:val="00513F8E"/>
    <w:rsid w:val="0051582D"/>
    <w:rsid w:val="00515BA5"/>
    <w:rsid w:val="0051702C"/>
    <w:rsid w:val="0051766C"/>
    <w:rsid w:val="00517B41"/>
    <w:rsid w:val="00517C85"/>
    <w:rsid w:val="00517FCC"/>
    <w:rsid w:val="00520E00"/>
    <w:rsid w:val="005222CB"/>
    <w:rsid w:val="005237FD"/>
    <w:rsid w:val="005239C1"/>
    <w:rsid w:val="00524EBC"/>
    <w:rsid w:val="0052552A"/>
    <w:rsid w:val="00525FE4"/>
    <w:rsid w:val="0052706E"/>
    <w:rsid w:val="0052743B"/>
    <w:rsid w:val="00527D55"/>
    <w:rsid w:val="00527DEB"/>
    <w:rsid w:val="00530590"/>
    <w:rsid w:val="00531979"/>
    <w:rsid w:val="00531E5E"/>
    <w:rsid w:val="0053228F"/>
    <w:rsid w:val="00532FEB"/>
    <w:rsid w:val="005331FB"/>
    <w:rsid w:val="00534995"/>
    <w:rsid w:val="00537053"/>
    <w:rsid w:val="00537135"/>
    <w:rsid w:val="0053749A"/>
    <w:rsid w:val="00540387"/>
    <w:rsid w:val="0054083E"/>
    <w:rsid w:val="005411B0"/>
    <w:rsid w:val="0054235A"/>
    <w:rsid w:val="00543646"/>
    <w:rsid w:val="00543748"/>
    <w:rsid w:val="00544150"/>
    <w:rsid w:val="005461EB"/>
    <w:rsid w:val="0054632F"/>
    <w:rsid w:val="0054650F"/>
    <w:rsid w:val="00546BB0"/>
    <w:rsid w:val="00546BDD"/>
    <w:rsid w:val="005472C7"/>
    <w:rsid w:val="00550042"/>
    <w:rsid w:val="00550431"/>
    <w:rsid w:val="00550662"/>
    <w:rsid w:val="00551677"/>
    <w:rsid w:val="00552FD1"/>
    <w:rsid w:val="00554A45"/>
    <w:rsid w:val="00555663"/>
    <w:rsid w:val="00555B1E"/>
    <w:rsid w:val="005562FD"/>
    <w:rsid w:val="0055724C"/>
    <w:rsid w:val="005601C6"/>
    <w:rsid w:val="00560321"/>
    <w:rsid w:val="005604EC"/>
    <w:rsid w:val="0056113D"/>
    <w:rsid w:val="00562453"/>
    <w:rsid w:val="005633C7"/>
    <w:rsid w:val="00563A34"/>
    <w:rsid w:val="00564898"/>
    <w:rsid w:val="00564BF8"/>
    <w:rsid w:val="00564E06"/>
    <w:rsid w:val="00565A2A"/>
    <w:rsid w:val="00565AB0"/>
    <w:rsid w:val="00565E00"/>
    <w:rsid w:val="00566138"/>
    <w:rsid w:val="00567D5E"/>
    <w:rsid w:val="0057035C"/>
    <w:rsid w:val="00570725"/>
    <w:rsid w:val="00571842"/>
    <w:rsid w:val="005722CB"/>
    <w:rsid w:val="005727D4"/>
    <w:rsid w:val="00575C6D"/>
    <w:rsid w:val="00577D88"/>
    <w:rsid w:val="00585293"/>
    <w:rsid w:val="00585C7B"/>
    <w:rsid w:val="005861F1"/>
    <w:rsid w:val="0058622D"/>
    <w:rsid w:val="00586C8F"/>
    <w:rsid w:val="00587AA5"/>
    <w:rsid w:val="00590676"/>
    <w:rsid w:val="0059231A"/>
    <w:rsid w:val="00593328"/>
    <w:rsid w:val="00594ACA"/>
    <w:rsid w:val="00594B4F"/>
    <w:rsid w:val="00595582"/>
    <w:rsid w:val="005955CD"/>
    <w:rsid w:val="00596071"/>
    <w:rsid w:val="00596BFA"/>
    <w:rsid w:val="005A0953"/>
    <w:rsid w:val="005A0BF8"/>
    <w:rsid w:val="005A0E8F"/>
    <w:rsid w:val="005A1447"/>
    <w:rsid w:val="005A1D18"/>
    <w:rsid w:val="005A261E"/>
    <w:rsid w:val="005A265B"/>
    <w:rsid w:val="005A39AE"/>
    <w:rsid w:val="005A39D3"/>
    <w:rsid w:val="005A4724"/>
    <w:rsid w:val="005A4F69"/>
    <w:rsid w:val="005A58B0"/>
    <w:rsid w:val="005A6D55"/>
    <w:rsid w:val="005A6E51"/>
    <w:rsid w:val="005A74B4"/>
    <w:rsid w:val="005A7F55"/>
    <w:rsid w:val="005B0540"/>
    <w:rsid w:val="005B0D81"/>
    <w:rsid w:val="005B0D84"/>
    <w:rsid w:val="005B19BA"/>
    <w:rsid w:val="005B2828"/>
    <w:rsid w:val="005B3500"/>
    <w:rsid w:val="005B3B73"/>
    <w:rsid w:val="005B4654"/>
    <w:rsid w:val="005B6E4D"/>
    <w:rsid w:val="005C00FC"/>
    <w:rsid w:val="005C0C5B"/>
    <w:rsid w:val="005C0E47"/>
    <w:rsid w:val="005C0EAB"/>
    <w:rsid w:val="005C13BA"/>
    <w:rsid w:val="005C161F"/>
    <w:rsid w:val="005C2526"/>
    <w:rsid w:val="005C2CEA"/>
    <w:rsid w:val="005C441B"/>
    <w:rsid w:val="005C4A87"/>
    <w:rsid w:val="005C4D8C"/>
    <w:rsid w:val="005C5C18"/>
    <w:rsid w:val="005C60C3"/>
    <w:rsid w:val="005C6791"/>
    <w:rsid w:val="005C6830"/>
    <w:rsid w:val="005C772C"/>
    <w:rsid w:val="005D03BA"/>
    <w:rsid w:val="005D0DF9"/>
    <w:rsid w:val="005D1010"/>
    <w:rsid w:val="005D17C6"/>
    <w:rsid w:val="005D1D02"/>
    <w:rsid w:val="005D1FEF"/>
    <w:rsid w:val="005D3ACF"/>
    <w:rsid w:val="005D40BC"/>
    <w:rsid w:val="005D46FD"/>
    <w:rsid w:val="005D50A8"/>
    <w:rsid w:val="005D6200"/>
    <w:rsid w:val="005D6BEE"/>
    <w:rsid w:val="005D6EA1"/>
    <w:rsid w:val="005D6EE4"/>
    <w:rsid w:val="005D741E"/>
    <w:rsid w:val="005D7F86"/>
    <w:rsid w:val="005E0B82"/>
    <w:rsid w:val="005E2A7C"/>
    <w:rsid w:val="005E2EEB"/>
    <w:rsid w:val="005E3C5C"/>
    <w:rsid w:val="005E3DEA"/>
    <w:rsid w:val="005E4B82"/>
    <w:rsid w:val="005E539F"/>
    <w:rsid w:val="005E6119"/>
    <w:rsid w:val="005F02F1"/>
    <w:rsid w:val="005F0D5A"/>
    <w:rsid w:val="005F333F"/>
    <w:rsid w:val="005F3BD9"/>
    <w:rsid w:val="005F3C8A"/>
    <w:rsid w:val="005F4007"/>
    <w:rsid w:val="005F4578"/>
    <w:rsid w:val="005F4797"/>
    <w:rsid w:val="005F4B6E"/>
    <w:rsid w:val="005F52F4"/>
    <w:rsid w:val="005F75E5"/>
    <w:rsid w:val="005F7F5A"/>
    <w:rsid w:val="006000A1"/>
    <w:rsid w:val="006019C3"/>
    <w:rsid w:val="0060268E"/>
    <w:rsid w:val="00603A57"/>
    <w:rsid w:val="006040E6"/>
    <w:rsid w:val="00604372"/>
    <w:rsid w:val="00605B8A"/>
    <w:rsid w:val="00605F9A"/>
    <w:rsid w:val="00606B77"/>
    <w:rsid w:val="006075B0"/>
    <w:rsid w:val="006119CB"/>
    <w:rsid w:val="006134EC"/>
    <w:rsid w:val="0061384F"/>
    <w:rsid w:val="006146B9"/>
    <w:rsid w:val="006151CF"/>
    <w:rsid w:val="006152CF"/>
    <w:rsid w:val="0061586C"/>
    <w:rsid w:val="006170FF"/>
    <w:rsid w:val="006172FF"/>
    <w:rsid w:val="00617A5B"/>
    <w:rsid w:val="00617F94"/>
    <w:rsid w:val="006217FD"/>
    <w:rsid w:val="00621928"/>
    <w:rsid w:val="00622948"/>
    <w:rsid w:val="00622E86"/>
    <w:rsid w:val="0062397C"/>
    <w:rsid w:val="00623F38"/>
    <w:rsid w:val="00625131"/>
    <w:rsid w:val="00626525"/>
    <w:rsid w:val="006316FB"/>
    <w:rsid w:val="0063281E"/>
    <w:rsid w:val="00632C88"/>
    <w:rsid w:val="0063376E"/>
    <w:rsid w:val="00633AA6"/>
    <w:rsid w:val="00634D6B"/>
    <w:rsid w:val="00635C20"/>
    <w:rsid w:val="006360FC"/>
    <w:rsid w:val="0063764B"/>
    <w:rsid w:val="00637ECF"/>
    <w:rsid w:val="00641386"/>
    <w:rsid w:val="00641D14"/>
    <w:rsid w:val="006420B9"/>
    <w:rsid w:val="0064491A"/>
    <w:rsid w:val="00645B49"/>
    <w:rsid w:val="006465AF"/>
    <w:rsid w:val="006501DA"/>
    <w:rsid w:val="00651A6C"/>
    <w:rsid w:val="006528D6"/>
    <w:rsid w:val="006556AC"/>
    <w:rsid w:val="00655CD6"/>
    <w:rsid w:val="00656FEC"/>
    <w:rsid w:val="00661EA6"/>
    <w:rsid w:val="006624A2"/>
    <w:rsid w:val="0066357F"/>
    <w:rsid w:val="006635D7"/>
    <w:rsid w:val="00663920"/>
    <w:rsid w:val="00664261"/>
    <w:rsid w:val="0066575F"/>
    <w:rsid w:val="006658A7"/>
    <w:rsid w:val="006667FE"/>
    <w:rsid w:val="00666BE2"/>
    <w:rsid w:val="006674A7"/>
    <w:rsid w:val="0066780A"/>
    <w:rsid w:val="006710A4"/>
    <w:rsid w:val="00671173"/>
    <w:rsid w:val="00671908"/>
    <w:rsid w:val="0067192A"/>
    <w:rsid w:val="00671AA1"/>
    <w:rsid w:val="00672275"/>
    <w:rsid w:val="0067227C"/>
    <w:rsid w:val="0067267D"/>
    <w:rsid w:val="006730C0"/>
    <w:rsid w:val="00673B2D"/>
    <w:rsid w:val="00673C07"/>
    <w:rsid w:val="00674080"/>
    <w:rsid w:val="00674223"/>
    <w:rsid w:val="00674599"/>
    <w:rsid w:val="0067505F"/>
    <w:rsid w:val="00677435"/>
    <w:rsid w:val="00677AC1"/>
    <w:rsid w:val="00680118"/>
    <w:rsid w:val="0068061D"/>
    <w:rsid w:val="006839FC"/>
    <w:rsid w:val="0068623B"/>
    <w:rsid w:val="00686D0F"/>
    <w:rsid w:val="00686F72"/>
    <w:rsid w:val="006909E4"/>
    <w:rsid w:val="006910BD"/>
    <w:rsid w:val="00691861"/>
    <w:rsid w:val="006936FB"/>
    <w:rsid w:val="00693AF7"/>
    <w:rsid w:val="00693BD3"/>
    <w:rsid w:val="00694CD4"/>
    <w:rsid w:val="006954CB"/>
    <w:rsid w:val="006966BC"/>
    <w:rsid w:val="006969C3"/>
    <w:rsid w:val="00696D3B"/>
    <w:rsid w:val="00697FF6"/>
    <w:rsid w:val="006A1918"/>
    <w:rsid w:val="006A2D0A"/>
    <w:rsid w:val="006A2EF0"/>
    <w:rsid w:val="006A3C17"/>
    <w:rsid w:val="006A529D"/>
    <w:rsid w:val="006A5F00"/>
    <w:rsid w:val="006B1D3D"/>
    <w:rsid w:val="006B20DE"/>
    <w:rsid w:val="006B2A0B"/>
    <w:rsid w:val="006B2E64"/>
    <w:rsid w:val="006B631C"/>
    <w:rsid w:val="006B7AE0"/>
    <w:rsid w:val="006C043C"/>
    <w:rsid w:val="006C05C7"/>
    <w:rsid w:val="006C086E"/>
    <w:rsid w:val="006C09F7"/>
    <w:rsid w:val="006C1815"/>
    <w:rsid w:val="006C39B1"/>
    <w:rsid w:val="006C403C"/>
    <w:rsid w:val="006C4B8D"/>
    <w:rsid w:val="006C4DBB"/>
    <w:rsid w:val="006C6647"/>
    <w:rsid w:val="006C680F"/>
    <w:rsid w:val="006C7E4C"/>
    <w:rsid w:val="006D0C34"/>
    <w:rsid w:val="006D1872"/>
    <w:rsid w:val="006D18CE"/>
    <w:rsid w:val="006D1AFD"/>
    <w:rsid w:val="006D3160"/>
    <w:rsid w:val="006D48B0"/>
    <w:rsid w:val="006D4C24"/>
    <w:rsid w:val="006D52AE"/>
    <w:rsid w:val="006D6AE3"/>
    <w:rsid w:val="006D7195"/>
    <w:rsid w:val="006D7925"/>
    <w:rsid w:val="006E0130"/>
    <w:rsid w:val="006E2BB1"/>
    <w:rsid w:val="006E2C8C"/>
    <w:rsid w:val="006E2CCE"/>
    <w:rsid w:val="006E4FDE"/>
    <w:rsid w:val="006E5BD4"/>
    <w:rsid w:val="006E6427"/>
    <w:rsid w:val="006E78F4"/>
    <w:rsid w:val="006E7DEF"/>
    <w:rsid w:val="006E7E41"/>
    <w:rsid w:val="006F00BF"/>
    <w:rsid w:val="006F0499"/>
    <w:rsid w:val="006F062B"/>
    <w:rsid w:val="006F11C6"/>
    <w:rsid w:val="006F1980"/>
    <w:rsid w:val="006F3432"/>
    <w:rsid w:val="006F412C"/>
    <w:rsid w:val="006F4BBF"/>
    <w:rsid w:val="006F4CF2"/>
    <w:rsid w:val="006F5351"/>
    <w:rsid w:val="006F5892"/>
    <w:rsid w:val="00701097"/>
    <w:rsid w:val="00701E95"/>
    <w:rsid w:val="007023A3"/>
    <w:rsid w:val="00703342"/>
    <w:rsid w:val="00703B89"/>
    <w:rsid w:val="0070405B"/>
    <w:rsid w:val="00704190"/>
    <w:rsid w:val="00704A07"/>
    <w:rsid w:val="00704B11"/>
    <w:rsid w:val="00705590"/>
    <w:rsid w:val="00705B6F"/>
    <w:rsid w:val="00706494"/>
    <w:rsid w:val="0070699D"/>
    <w:rsid w:val="0071002E"/>
    <w:rsid w:val="007123CD"/>
    <w:rsid w:val="0071240A"/>
    <w:rsid w:val="00712CB4"/>
    <w:rsid w:val="00713206"/>
    <w:rsid w:val="007138A8"/>
    <w:rsid w:val="0071423C"/>
    <w:rsid w:val="007149B8"/>
    <w:rsid w:val="00715E87"/>
    <w:rsid w:val="0071650C"/>
    <w:rsid w:val="007169F6"/>
    <w:rsid w:val="00716F8F"/>
    <w:rsid w:val="00717AD3"/>
    <w:rsid w:val="00717C1B"/>
    <w:rsid w:val="007209FA"/>
    <w:rsid w:val="00721A70"/>
    <w:rsid w:val="00722488"/>
    <w:rsid w:val="00723370"/>
    <w:rsid w:val="00724F4D"/>
    <w:rsid w:val="0072522B"/>
    <w:rsid w:val="00725D56"/>
    <w:rsid w:val="00726EE8"/>
    <w:rsid w:val="00727AA2"/>
    <w:rsid w:val="00731841"/>
    <w:rsid w:val="00732BAD"/>
    <w:rsid w:val="00732FA2"/>
    <w:rsid w:val="00733421"/>
    <w:rsid w:val="00733E66"/>
    <w:rsid w:val="007340C3"/>
    <w:rsid w:val="007342B4"/>
    <w:rsid w:val="007345C0"/>
    <w:rsid w:val="00735E8D"/>
    <w:rsid w:val="00736DB1"/>
    <w:rsid w:val="0073783D"/>
    <w:rsid w:val="00737A4C"/>
    <w:rsid w:val="007430CC"/>
    <w:rsid w:val="007439FD"/>
    <w:rsid w:val="00743B0A"/>
    <w:rsid w:val="007444E2"/>
    <w:rsid w:val="007444EC"/>
    <w:rsid w:val="007445E8"/>
    <w:rsid w:val="00744742"/>
    <w:rsid w:val="00744F0D"/>
    <w:rsid w:val="00746505"/>
    <w:rsid w:val="00747002"/>
    <w:rsid w:val="00747875"/>
    <w:rsid w:val="0075113D"/>
    <w:rsid w:val="00752E58"/>
    <w:rsid w:val="0075319C"/>
    <w:rsid w:val="007532FA"/>
    <w:rsid w:val="007538F0"/>
    <w:rsid w:val="007539EE"/>
    <w:rsid w:val="00753CE9"/>
    <w:rsid w:val="00753FFF"/>
    <w:rsid w:val="007544FA"/>
    <w:rsid w:val="00754964"/>
    <w:rsid w:val="00756DFB"/>
    <w:rsid w:val="007570AC"/>
    <w:rsid w:val="00757564"/>
    <w:rsid w:val="007579F3"/>
    <w:rsid w:val="00761994"/>
    <w:rsid w:val="00761FD7"/>
    <w:rsid w:val="00762F34"/>
    <w:rsid w:val="00763700"/>
    <w:rsid w:val="00763CDB"/>
    <w:rsid w:val="00764033"/>
    <w:rsid w:val="00765C58"/>
    <w:rsid w:val="007660A5"/>
    <w:rsid w:val="007661DC"/>
    <w:rsid w:val="00766FEC"/>
    <w:rsid w:val="00767854"/>
    <w:rsid w:val="00767C0F"/>
    <w:rsid w:val="00770703"/>
    <w:rsid w:val="00771744"/>
    <w:rsid w:val="00772268"/>
    <w:rsid w:val="00772B31"/>
    <w:rsid w:val="007731CD"/>
    <w:rsid w:val="007735DF"/>
    <w:rsid w:val="007736C3"/>
    <w:rsid w:val="00773D4A"/>
    <w:rsid w:val="007743B6"/>
    <w:rsid w:val="00774B58"/>
    <w:rsid w:val="00774D84"/>
    <w:rsid w:val="007759EA"/>
    <w:rsid w:val="00775AD2"/>
    <w:rsid w:val="007760FC"/>
    <w:rsid w:val="00776801"/>
    <w:rsid w:val="00777572"/>
    <w:rsid w:val="00781D29"/>
    <w:rsid w:val="00781F66"/>
    <w:rsid w:val="0078243B"/>
    <w:rsid w:val="0078248D"/>
    <w:rsid w:val="0078292C"/>
    <w:rsid w:val="00783B7D"/>
    <w:rsid w:val="00784074"/>
    <w:rsid w:val="00784670"/>
    <w:rsid w:val="00785127"/>
    <w:rsid w:val="0078597E"/>
    <w:rsid w:val="00785C12"/>
    <w:rsid w:val="007860F8"/>
    <w:rsid w:val="00787735"/>
    <w:rsid w:val="00787EC1"/>
    <w:rsid w:val="00787F5E"/>
    <w:rsid w:val="00790255"/>
    <w:rsid w:val="00790279"/>
    <w:rsid w:val="007915C0"/>
    <w:rsid w:val="00792BEF"/>
    <w:rsid w:val="00794018"/>
    <w:rsid w:val="00795A47"/>
    <w:rsid w:val="00795ED9"/>
    <w:rsid w:val="007960DF"/>
    <w:rsid w:val="00796692"/>
    <w:rsid w:val="00796DD1"/>
    <w:rsid w:val="00796FBE"/>
    <w:rsid w:val="007A2B84"/>
    <w:rsid w:val="007A3179"/>
    <w:rsid w:val="007A3C64"/>
    <w:rsid w:val="007A5347"/>
    <w:rsid w:val="007B0EEF"/>
    <w:rsid w:val="007B2B73"/>
    <w:rsid w:val="007B2D1C"/>
    <w:rsid w:val="007B307E"/>
    <w:rsid w:val="007B34D6"/>
    <w:rsid w:val="007B460A"/>
    <w:rsid w:val="007B6137"/>
    <w:rsid w:val="007B7666"/>
    <w:rsid w:val="007B7B07"/>
    <w:rsid w:val="007B7CC6"/>
    <w:rsid w:val="007C212A"/>
    <w:rsid w:val="007C26AB"/>
    <w:rsid w:val="007C3756"/>
    <w:rsid w:val="007C3A38"/>
    <w:rsid w:val="007C4D30"/>
    <w:rsid w:val="007C4DF7"/>
    <w:rsid w:val="007C542A"/>
    <w:rsid w:val="007C58E1"/>
    <w:rsid w:val="007C59E5"/>
    <w:rsid w:val="007C5ADD"/>
    <w:rsid w:val="007C6528"/>
    <w:rsid w:val="007D02D4"/>
    <w:rsid w:val="007D0B81"/>
    <w:rsid w:val="007D22BF"/>
    <w:rsid w:val="007D2F05"/>
    <w:rsid w:val="007D4FDE"/>
    <w:rsid w:val="007D507D"/>
    <w:rsid w:val="007D5FE5"/>
    <w:rsid w:val="007D6B1B"/>
    <w:rsid w:val="007E1030"/>
    <w:rsid w:val="007E18E5"/>
    <w:rsid w:val="007E2B35"/>
    <w:rsid w:val="007E56AE"/>
    <w:rsid w:val="007E572E"/>
    <w:rsid w:val="007E589B"/>
    <w:rsid w:val="007E5FB3"/>
    <w:rsid w:val="007E6A79"/>
    <w:rsid w:val="007E6C1A"/>
    <w:rsid w:val="007E7CA3"/>
    <w:rsid w:val="007E7E3B"/>
    <w:rsid w:val="007F1CC9"/>
    <w:rsid w:val="007F22C0"/>
    <w:rsid w:val="007F24FB"/>
    <w:rsid w:val="007F2D11"/>
    <w:rsid w:val="007F3981"/>
    <w:rsid w:val="007F3F14"/>
    <w:rsid w:val="007F4BE5"/>
    <w:rsid w:val="007F5A6A"/>
    <w:rsid w:val="007F7EA5"/>
    <w:rsid w:val="00800A0E"/>
    <w:rsid w:val="00802C8C"/>
    <w:rsid w:val="00803E1C"/>
    <w:rsid w:val="00804622"/>
    <w:rsid w:val="00805108"/>
    <w:rsid w:val="008059F7"/>
    <w:rsid w:val="00805A00"/>
    <w:rsid w:val="00805C98"/>
    <w:rsid w:val="00806AEE"/>
    <w:rsid w:val="00806D14"/>
    <w:rsid w:val="00806D72"/>
    <w:rsid w:val="008101ED"/>
    <w:rsid w:val="008118B7"/>
    <w:rsid w:val="00811F1B"/>
    <w:rsid w:val="00812202"/>
    <w:rsid w:val="008130D5"/>
    <w:rsid w:val="008135D9"/>
    <w:rsid w:val="008139D4"/>
    <w:rsid w:val="00813F73"/>
    <w:rsid w:val="00814309"/>
    <w:rsid w:val="00816849"/>
    <w:rsid w:val="00816CD8"/>
    <w:rsid w:val="00820AC8"/>
    <w:rsid w:val="008215D7"/>
    <w:rsid w:val="0082247E"/>
    <w:rsid w:val="008231CF"/>
    <w:rsid w:val="00823AC1"/>
    <w:rsid w:val="00823B4E"/>
    <w:rsid w:val="008240D2"/>
    <w:rsid w:val="00824448"/>
    <w:rsid w:val="00825445"/>
    <w:rsid w:val="00825C93"/>
    <w:rsid w:val="00825CC5"/>
    <w:rsid w:val="008261A9"/>
    <w:rsid w:val="00826216"/>
    <w:rsid w:val="00830962"/>
    <w:rsid w:val="0083280E"/>
    <w:rsid w:val="00833407"/>
    <w:rsid w:val="00833551"/>
    <w:rsid w:val="008336EA"/>
    <w:rsid w:val="00834F0E"/>
    <w:rsid w:val="0083552E"/>
    <w:rsid w:val="00835CBB"/>
    <w:rsid w:val="00835D43"/>
    <w:rsid w:val="00836FF8"/>
    <w:rsid w:val="00837151"/>
    <w:rsid w:val="008374A8"/>
    <w:rsid w:val="008374CD"/>
    <w:rsid w:val="00837DAC"/>
    <w:rsid w:val="008416E2"/>
    <w:rsid w:val="0084191B"/>
    <w:rsid w:val="00841F72"/>
    <w:rsid w:val="008450BA"/>
    <w:rsid w:val="0084587F"/>
    <w:rsid w:val="00846D8D"/>
    <w:rsid w:val="00847493"/>
    <w:rsid w:val="00847855"/>
    <w:rsid w:val="00847870"/>
    <w:rsid w:val="0085058C"/>
    <w:rsid w:val="008507C3"/>
    <w:rsid w:val="00851ABD"/>
    <w:rsid w:val="00851B4F"/>
    <w:rsid w:val="00852D36"/>
    <w:rsid w:val="008542A0"/>
    <w:rsid w:val="008544BC"/>
    <w:rsid w:val="008544ED"/>
    <w:rsid w:val="008562B5"/>
    <w:rsid w:val="00856B78"/>
    <w:rsid w:val="008577F4"/>
    <w:rsid w:val="0086024C"/>
    <w:rsid w:val="0086096B"/>
    <w:rsid w:val="008621D2"/>
    <w:rsid w:val="00863095"/>
    <w:rsid w:val="008639E8"/>
    <w:rsid w:val="008643C2"/>
    <w:rsid w:val="008657DE"/>
    <w:rsid w:val="00865904"/>
    <w:rsid w:val="00867CC9"/>
    <w:rsid w:val="00870882"/>
    <w:rsid w:val="00870DED"/>
    <w:rsid w:val="0087311A"/>
    <w:rsid w:val="008735F1"/>
    <w:rsid w:val="0087412B"/>
    <w:rsid w:val="0087451A"/>
    <w:rsid w:val="008747D0"/>
    <w:rsid w:val="0087606A"/>
    <w:rsid w:val="00876E3B"/>
    <w:rsid w:val="0087795F"/>
    <w:rsid w:val="00877D7C"/>
    <w:rsid w:val="00880D8D"/>
    <w:rsid w:val="00880DE7"/>
    <w:rsid w:val="00881457"/>
    <w:rsid w:val="00881E4E"/>
    <w:rsid w:val="00886E25"/>
    <w:rsid w:val="00887956"/>
    <w:rsid w:val="00887B64"/>
    <w:rsid w:val="00890C13"/>
    <w:rsid w:val="00890FA1"/>
    <w:rsid w:val="00891A1C"/>
    <w:rsid w:val="00891ADB"/>
    <w:rsid w:val="00891B01"/>
    <w:rsid w:val="008923A0"/>
    <w:rsid w:val="008944C1"/>
    <w:rsid w:val="00894DD2"/>
    <w:rsid w:val="00895565"/>
    <w:rsid w:val="00895A61"/>
    <w:rsid w:val="00895B4C"/>
    <w:rsid w:val="00896BD4"/>
    <w:rsid w:val="00897C32"/>
    <w:rsid w:val="00897D11"/>
    <w:rsid w:val="008A0B74"/>
    <w:rsid w:val="008A1DB8"/>
    <w:rsid w:val="008A326A"/>
    <w:rsid w:val="008A3347"/>
    <w:rsid w:val="008A5C0C"/>
    <w:rsid w:val="008A5FC7"/>
    <w:rsid w:val="008A605A"/>
    <w:rsid w:val="008A7ED6"/>
    <w:rsid w:val="008B068D"/>
    <w:rsid w:val="008B18F0"/>
    <w:rsid w:val="008B1ED9"/>
    <w:rsid w:val="008B3527"/>
    <w:rsid w:val="008B4AB1"/>
    <w:rsid w:val="008B547C"/>
    <w:rsid w:val="008B6393"/>
    <w:rsid w:val="008B6EC2"/>
    <w:rsid w:val="008B7525"/>
    <w:rsid w:val="008B7DBE"/>
    <w:rsid w:val="008C2631"/>
    <w:rsid w:val="008C2ADB"/>
    <w:rsid w:val="008C420C"/>
    <w:rsid w:val="008C4268"/>
    <w:rsid w:val="008C44ED"/>
    <w:rsid w:val="008C5461"/>
    <w:rsid w:val="008C6EC5"/>
    <w:rsid w:val="008D0E22"/>
    <w:rsid w:val="008D2B3B"/>
    <w:rsid w:val="008D3FAA"/>
    <w:rsid w:val="008D64B9"/>
    <w:rsid w:val="008E0C86"/>
    <w:rsid w:val="008E1911"/>
    <w:rsid w:val="008E1ECC"/>
    <w:rsid w:val="008E2858"/>
    <w:rsid w:val="008E32CA"/>
    <w:rsid w:val="008E4726"/>
    <w:rsid w:val="008E5BB6"/>
    <w:rsid w:val="008E7274"/>
    <w:rsid w:val="008E75BD"/>
    <w:rsid w:val="008E7D4B"/>
    <w:rsid w:val="008F0A30"/>
    <w:rsid w:val="008F0A52"/>
    <w:rsid w:val="008F1409"/>
    <w:rsid w:val="008F195C"/>
    <w:rsid w:val="008F19FA"/>
    <w:rsid w:val="008F27B7"/>
    <w:rsid w:val="008F3146"/>
    <w:rsid w:val="008F329B"/>
    <w:rsid w:val="008F35C6"/>
    <w:rsid w:val="008F4F89"/>
    <w:rsid w:val="008F5E24"/>
    <w:rsid w:val="00900064"/>
    <w:rsid w:val="00900651"/>
    <w:rsid w:val="00901025"/>
    <w:rsid w:val="0090185E"/>
    <w:rsid w:val="0090191D"/>
    <w:rsid w:val="00901ACE"/>
    <w:rsid w:val="00901F96"/>
    <w:rsid w:val="00902CA4"/>
    <w:rsid w:val="00903CCB"/>
    <w:rsid w:val="00907124"/>
    <w:rsid w:val="009104B9"/>
    <w:rsid w:val="00912B20"/>
    <w:rsid w:val="009138CB"/>
    <w:rsid w:val="00914772"/>
    <w:rsid w:val="00915777"/>
    <w:rsid w:val="00917409"/>
    <w:rsid w:val="009205D1"/>
    <w:rsid w:val="00921454"/>
    <w:rsid w:val="00921E98"/>
    <w:rsid w:val="00922D25"/>
    <w:rsid w:val="0092346F"/>
    <w:rsid w:val="00923AFA"/>
    <w:rsid w:val="00923B83"/>
    <w:rsid w:val="00924FB6"/>
    <w:rsid w:val="0092535E"/>
    <w:rsid w:val="00925373"/>
    <w:rsid w:val="0092656D"/>
    <w:rsid w:val="00926792"/>
    <w:rsid w:val="00930265"/>
    <w:rsid w:val="00930890"/>
    <w:rsid w:val="00931D2D"/>
    <w:rsid w:val="00932310"/>
    <w:rsid w:val="00932E92"/>
    <w:rsid w:val="00933E33"/>
    <w:rsid w:val="00934B1F"/>
    <w:rsid w:val="009354E5"/>
    <w:rsid w:val="00936DB4"/>
    <w:rsid w:val="00937695"/>
    <w:rsid w:val="009400F0"/>
    <w:rsid w:val="00941D0A"/>
    <w:rsid w:val="0094225F"/>
    <w:rsid w:val="009436C9"/>
    <w:rsid w:val="0094448C"/>
    <w:rsid w:val="009457C6"/>
    <w:rsid w:val="009467D5"/>
    <w:rsid w:val="00947E74"/>
    <w:rsid w:val="00951967"/>
    <w:rsid w:val="00952082"/>
    <w:rsid w:val="00952309"/>
    <w:rsid w:val="009525B3"/>
    <w:rsid w:val="00953A23"/>
    <w:rsid w:val="00953D69"/>
    <w:rsid w:val="00954BE4"/>
    <w:rsid w:val="00956337"/>
    <w:rsid w:val="00956B26"/>
    <w:rsid w:val="00957011"/>
    <w:rsid w:val="009627CD"/>
    <w:rsid w:val="00963048"/>
    <w:rsid w:val="0096329A"/>
    <w:rsid w:val="00965315"/>
    <w:rsid w:val="00966B9E"/>
    <w:rsid w:val="00967249"/>
    <w:rsid w:val="00967DEC"/>
    <w:rsid w:val="0097063C"/>
    <w:rsid w:val="0097070F"/>
    <w:rsid w:val="00970E39"/>
    <w:rsid w:val="00971367"/>
    <w:rsid w:val="00972E33"/>
    <w:rsid w:val="00973251"/>
    <w:rsid w:val="00973B3C"/>
    <w:rsid w:val="009748DB"/>
    <w:rsid w:val="00977D20"/>
    <w:rsid w:val="00977E7C"/>
    <w:rsid w:val="00980050"/>
    <w:rsid w:val="0098151F"/>
    <w:rsid w:val="00981EB2"/>
    <w:rsid w:val="00981FBA"/>
    <w:rsid w:val="00986CB8"/>
    <w:rsid w:val="00987422"/>
    <w:rsid w:val="00987E90"/>
    <w:rsid w:val="009902CB"/>
    <w:rsid w:val="00990547"/>
    <w:rsid w:val="00991BDB"/>
    <w:rsid w:val="00992A05"/>
    <w:rsid w:val="0099400D"/>
    <w:rsid w:val="009951C9"/>
    <w:rsid w:val="0099523F"/>
    <w:rsid w:val="0099612C"/>
    <w:rsid w:val="00996604"/>
    <w:rsid w:val="00996BF0"/>
    <w:rsid w:val="00997696"/>
    <w:rsid w:val="009A02AF"/>
    <w:rsid w:val="009A07D5"/>
    <w:rsid w:val="009A0AA1"/>
    <w:rsid w:val="009A1724"/>
    <w:rsid w:val="009A1D75"/>
    <w:rsid w:val="009A3A04"/>
    <w:rsid w:val="009A4E29"/>
    <w:rsid w:val="009A7C09"/>
    <w:rsid w:val="009A7FC8"/>
    <w:rsid w:val="009B0030"/>
    <w:rsid w:val="009B0A34"/>
    <w:rsid w:val="009B217B"/>
    <w:rsid w:val="009B2EF4"/>
    <w:rsid w:val="009B3549"/>
    <w:rsid w:val="009B3741"/>
    <w:rsid w:val="009B433C"/>
    <w:rsid w:val="009B469A"/>
    <w:rsid w:val="009B56EE"/>
    <w:rsid w:val="009B5D1A"/>
    <w:rsid w:val="009B5D75"/>
    <w:rsid w:val="009B661A"/>
    <w:rsid w:val="009B6F28"/>
    <w:rsid w:val="009B7BFB"/>
    <w:rsid w:val="009B7C4C"/>
    <w:rsid w:val="009C147D"/>
    <w:rsid w:val="009C1561"/>
    <w:rsid w:val="009C2471"/>
    <w:rsid w:val="009C2527"/>
    <w:rsid w:val="009C26C6"/>
    <w:rsid w:val="009C27DC"/>
    <w:rsid w:val="009C2A04"/>
    <w:rsid w:val="009C3479"/>
    <w:rsid w:val="009C4066"/>
    <w:rsid w:val="009C4DDF"/>
    <w:rsid w:val="009C5658"/>
    <w:rsid w:val="009C5BC4"/>
    <w:rsid w:val="009C6C12"/>
    <w:rsid w:val="009C6C39"/>
    <w:rsid w:val="009C79E5"/>
    <w:rsid w:val="009D02DD"/>
    <w:rsid w:val="009D0C14"/>
    <w:rsid w:val="009D0F39"/>
    <w:rsid w:val="009D1290"/>
    <w:rsid w:val="009D4A53"/>
    <w:rsid w:val="009D634C"/>
    <w:rsid w:val="009D6F28"/>
    <w:rsid w:val="009D702B"/>
    <w:rsid w:val="009D7471"/>
    <w:rsid w:val="009E1648"/>
    <w:rsid w:val="009E1DE3"/>
    <w:rsid w:val="009E2576"/>
    <w:rsid w:val="009E34A4"/>
    <w:rsid w:val="009E3791"/>
    <w:rsid w:val="009E4BF1"/>
    <w:rsid w:val="009E4C45"/>
    <w:rsid w:val="009E60E6"/>
    <w:rsid w:val="009E627A"/>
    <w:rsid w:val="009E660C"/>
    <w:rsid w:val="009E6EA1"/>
    <w:rsid w:val="009F0B69"/>
    <w:rsid w:val="009F174F"/>
    <w:rsid w:val="009F2785"/>
    <w:rsid w:val="009F2D3D"/>
    <w:rsid w:val="009F330F"/>
    <w:rsid w:val="009F3888"/>
    <w:rsid w:val="009F3AD0"/>
    <w:rsid w:val="009F5424"/>
    <w:rsid w:val="009F6408"/>
    <w:rsid w:val="00A0042E"/>
    <w:rsid w:val="00A00A07"/>
    <w:rsid w:val="00A00B82"/>
    <w:rsid w:val="00A01F8A"/>
    <w:rsid w:val="00A02853"/>
    <w:rsid w:val="00A02AF2"/>
    <w:rsid w:val="00A02FC4"/>
    <w:rsid w:val="00A030BA"/>
    <w:rsid w:val="00A0366E"/>
    <w:rsid w:val="00A03B90"/>
    <w:rsid w:val="00A03F4D"/>
    <w:rsid w:val="00A04510"/>
    <w:rsid w:val="00A0491D"/>
    <w:rsid w:val="00A04ED7"/>
    <w:rsid w:val="00A0523C"/>
    <w:rsid w:val="00A0586D"/>
    <w:rsid w:val="00A05A5C"/>
    <w:rsid w:val="00A05D92"/>
    <w:rsid w:val="00A10664"/>
    <w:rsid w:val="00A1240D"/>
    <w:rsid w:val="00A12E4C"/>
    <w:rsid w:val="00A14303"/>
    <w:rsid w:val="00A148E1"/>
    <w:rsid w:val="00A149C2"/>
    <w:rsid w:val="00A17B24"/>
    <w:rsid w:val="00A17F8E"/>
    <w:rsid w:val="00A20058"/>
    <w:rsid w:val="00A21F90"/>
    <w:rsid w:val="00A23281"/>
    <w:rsid w:val="00A242AE"/>
    <w:rsid w:val="00A248F0"/>
    <w:rsid w:val="00A271A3"/>
    <w:rsid w:val="00A30109"/>
    <w:rsid w:val="00A30C4A"/>
    <w:rsid w:val="00A30E4F"/>
    <w:rsid w:val="00A32666"/>
    <w:rsid w:val="00A33A1F"/>
    <w:rsid w:val="00A3547C"/>
    <w:rsid w:val="00A358BC"/>
    <w:rsid w:val="00A35AF0"/>
    <w:rsid w:val="00A36D01"/>
    <w:rsid w:val="00A4029A"/>
    <w:rsid w:val="00A40938"/>
    <w:rsid w:val="00A40EA8"/>
    <w:rsid w:val="00A42099"/>
    <w:rsid w:val="00A4374F"/>
    <w:rsid w:val="00A4521B"/>
    <w:rsid w:val="00A45E22"/>
    <w:rsid w:val="00A479C5"/>
    <w:rsid w:val="00A50610"/>
    <w:rsid w:val="00A512A4"/>
    <w:rsid w:val="00A51E1C"/>
    <w:rsid w:val="00A52DF1"/>
    <w:rsid w:val="00A53E2D"/>
    <w:rsid w:val="00A54085"/>
    <w:rsid w:val="00A540FA"/>
    <w:rsid w:val="00A54A39"/>
    <w:rsid w:val="00A56E31"/>
    <w:rsid w:val="00A57AE7"/>
    <w:rsid w:val="00A57D65"/>
    <w:rsid w:val="00A600FE"/>
    <w:rsid w:val="00A61130"/>
    <w:rsid w:val="00A62BAF"/>
    <w:rsid w:val="00A63099"/>
    <w:rsid w:val="00A637C9"/>
    <w:rsid w:val="00A6402E"/>
    <w:rsid w:val="00A647F3"/>
    <w:rsid w:val="00A65C05"/>
    <w:rsid w:val="00A7070D"/>
    <w:rsid w:val="00A70AED"/>
    <w:rsid w:val="00A716E2"/>
    <w:rsid w:val="00A71860"/>
    <w:rsid w:val="00A7193C"/>
    <w:rsid w:val="00A7408A"/>
    <w:rsid w:val="00A74277"/>
    <w:rsid w:val="00A74EFF"/>
    <w:rsid w:val="00A75698"/>
    <w:rsid w:val="00A75949"/>
    <w:rsid w:val="00A77D2B"/>
    <w:rsid w:val="00A80EF0"/>
    <w:rsid w:val="00A81144"/>
    <w:rsid w:val="00A81548"/>
    <w:rsid w:val="00A8210E"/>
    <w:rsid w:val="00A836E7"/>
    <w:rsid w:val="00A83835"/>
    <w:rsid w:val="00A841E1"/>
    <w:rsid w:val="00A8446A"/>
    <w:rsid w:val="00A84C7D"/>
    <w:rsid w:val="00A87994"/>
    <w:rsid w:val="00A9191A"/>
    <w:rsid w:val="00A91BE5"/>
    <w:rsid w:val="00A92748"/>
    <w:rsid w:val="00A92A65"/>
    <w:rsid w:val="00A9337D"/>
    <w:rsid w:val="00A93EB1"/>
    <w:rsid w:val="00A947DF"/>
    <w:rsid w:val="00A94888"/>
    <w:rsid w:val="00A957A0"/>
    <w:rsid w:val="00A95813"/>
    <w:rsid w:val="00A96A1A"/>
    <w:rsid w:val="00A96B57"/>
    <w:rsid w:val="00AA0164"/>
    <w:rsid w:val="00AA0F51"/>
    <w:rsid w:val="00AA13B7"/>
    <w:rsid w:val="00AA1566"/>
    <w:rsid w:val="00AA15AF"/>
    <w:rsid w:val="00AA1A80"/>
    <w:rsid w:val="00AA1D6E"/>
    <w:rsid w:val="00AA482C"/>
    <w:rsid w:val="00AA51A0"/>
    <w:rsid w:val="00AA5404"/>
    <w:rsid w:val="00AA59F9"/>
    <w:rsid w:val="00AA5A77"/>
    <w:rsid w:val="00AA5EF3"/>
    <w:rsid w:val="00AA6CC4"/>
    <w:rsid w:val="00AA6CE9"/>
    <w:rsid w:val="00AA796C"/>
    <w:rsid w:val="00AB09C9"/>
    <w:rsid w:val="00AB0CE5"/>
    <w:rsid w:val="00AB1E38"/>
    <w:rsid w:val="00AB276E"/>
    <w:rsid w:val="00AB2849"/>
    <w:rsid w:val="00AB2BDC"/>
    <w:rsid w:val="00AB2D21"/>
    <w:rsid w:val="00AB346B"/>
    <w:rsid w:val="00AB514D"/>
    <w:rsid w:val="00AB55DE"/>
    <w:rsid w:val="00AB5B7F"/>
    <w:rsid w:val="00AB6F1C"/>
    <w:rsid w:val="00AB770E"/>
    <w:rsid w:val="00AB7FF0"/>
    <w:rsid w:val="00AC0949"/>
    <w:rsid w:val="00AC1947"/>
    <w:rsid w:val="00AC2293"/>
    <w:rsid w:val="00AC23C3"/>
    <w:rsid w:val="00AC2CA3"/>
    <w:rsid w:val="00AC2FF4"/>
    <w:rsid w:val="00AC442C"/>
    <w:rsid w:val="00AC5AF3"/>
    <w:rsid w:val="00AC5F1D"/>
    <w:rsid w:val="00AC7416"/>
    <w:rsid w:val="00AD01A0"/>
    <w:rsid w:val="00AD0BB8"/>
    <w:rsid w:val="00AD1692"/>
    <w:rsid w:val="00AD1837"/>
    <w:rsid w:val="00AD1850"/>
    <w:rsid w:val="00AD208C"/>
    <w:rsid w:val="00AD2F31"/>
    <w:rsid w:val="00AD46D5"/>
    <w:rsid w:val="00AD492E"/>
    <w:rsid w:val="00AD49FB"/>
    <w:rsid w:val="00AD53FA"/>
    <w:rsid w:val="00AD553C"/>
    <w:rsid w:val="00AD6251"/>
    <w:rsid w:val="00AD78D7"/>
    <w:rsid w:val="00AD7EE1"/>
    <w:rsid w:val="00AE05FF"/>
    <w:rsid w:val="00AE0F24"/>
    <w:rsid w:val="00AE10D2"/>
    <w:rsid w:val="00AE1BB7"/>
    <w:rsid w:val="00AE2805"/>
    <w:rsid w:val="00AE3561"/>
    <w:rsid w:val="00AE35C2"/>
    <w:rsid w:val="00AE398A"/>
    <w:rsid w:val="00AE438F"/>
    <w:rsid w:val="00AE7140"/>
    <w:rsid w:val="00AF0164"/>
    <w:rsid w:val="00AF0374"/>
    <w:rsid w:val="00AF0A9A"/>
    <w:rsid w:val="00AF2776"/>
    <w:rsid w:val="00AF2E43"/>
    <w:rsid w:val="00AF30BC"/>
    <w:rsid w:val="00AF3AD4"/>
    <w:rsid w:val="00AF4BD4"/>
    <w:rsid w:val="00AF512B"/>
    <w:rsid w:val="00AF545A"/>
    <w:rsid w:val="00AF5825"/>
    <w:rsid w:val="00B00D38"/>
    <w:rsid w:val="00B012E6"/>
    <w:rsid w:val="00B0281B"/>
    <w:rsid w:val="00B04468"/>
    <w:rsid w:val="00B045D1"/>
    <w:rsid w:val="00B06651"/>
    <w:rsid w:val="00B06D4F"/>
    <w:rsid w:val="00B1008F"/>
    <w:rsid w:val="00B10528"/>
    <w:rsid w:val="00B107CA"/>
    <w:rsid w:val="00B109E7"/>
    <w:rsid w:val="00B10C74"/>
    <w:rsid w:val="00B11382"/>
    <w:rsid w:val="00B122B4"/>
    <w:rsid w:val="00B12FF0"/>
    <w:rsid w:val="00B14448"/>
    <w:rsid w:val="00B155DD"/>
    <w:rsid w:val="00B15C74"/>
    <w:rsid w:val="00B1676B"/>
    <w:rsid w:val="00B16F29"/>
    <w:rsid w:val="00B1716A"/>
    <w:rsid w:val="00B17CC4"/>
    <w:rsid w:val="00B201D8"/>
    <w:rsid w:val="00B2032D"/>
    <w:rsid w:val="00B20E02"/>
    <w:rsid w:val="00B21FA2"/>
    <w:rsid w:val="00B22F4C"/>
    <w:rsid w:val="00B23FD8"/>
    <w:rsid w:val="00B26254"/>
    <w:rsid w:val="00B274DA"/>
    <w:rsid w:val="00B27AAF"/>
    <w:rsid w:val="00B323B0"/>
    <w:rsid w:val="00B32A4D"/>
    <w:rsid w:val="00B33D2F"/>
    <w:rsid w:val="00B3466D"/>
    <w:rsid w:val="00B35647"/>
    <w:rsid w:val="00B3615D"/>
    <w:rsid w:val="00B36A91"/>
    <w:rsid w:val="00B3702F"/>
    <w:rsid w:val="00B371B2"/>
    <w:rsid w:val="00B372E6"/>
    <w:rsid w:val="00B37623"/>
    <w:rsid w:val="00B37B15"/>
    <w:rsid w:val="00B37E74"/>
    <w:rsid w:val="00B40F15"/>
    <w:rsid w:val="00B4173D"/>
    <w:rsid w:val="00B419C9"/>
    <w:rsid w:val="00B426E6"/>
    <w:rsid w:val="00B434E0"/>
    <w:rsid w:val="00B438C8"/>
    <w:rsid w:val="00B44E41"/>
    <w:rsid w:val="00B450F6"/>
    <w:rsid w:val="00B45979"/>
    <w:rsid w:val="00B46F20"/>
    <w:rsid w:val="00B51060"/>
    <w:rsid w:val="00B514FD"/>
    <w:rsid w:val="00B51AFF"/>
    <w:rsid w:val="00B53735"/>
    <w:rsid w:val="00B54069"/>
    <w:rsid w:val="00B5504B"/>
    <w:rsid w:val="00B550F2"/>
    <w:rsid w:val="00B560A6"/>
    <w:rsid w:val="00B607E3"/>
    <w:rsid w:val="00B60AB3"/>
    <w:rsid w:val="00B60F95"/>
    <w:rsid w:val="00B63373"/>
    <w:rsid w:val="00B63504"/>
    <w:rsid w:val="00B6359B"/>
    <w:rsid w:val="00B63B9D"/>
    <w:rsid w:val="00B64CD8"/>
    <w:rsid w:val="00B65FA9"/>
    <w:rsid w:val="00B6709B"/>
    <w:rsid w:val="00B71000"/>
    <w:rsid w:val="00B724BA"/>
    <w:rsid w:val="00B72583"/>
    <w:rsid w:val="00B727D5"/>
    <w:rsid w:val="00B72C16"/>
    <w:rsid w:val="00B72C2D"/>
    <w:rsid w:val="00B74B3D"/>
    <w:rsid w:val="00B74D09"/>
    <w:rsid w:val="00B75916"/>
    <w:rsid w:val="00B75EE2"/>
    <w:rsid w:val="00B7609F"/>
    <w:rsid w:val="00B767D7"/>
    <w:rsid w:val="00B77A5C"/>
    <w:rsid w:val="00B80CF5"/>
    <w:rsid w:val="00B81128"/>
    <w:rsid w:val="00B813D7"/>
    <w:rsid w:val="00B81785"/>
    <w:rsid w:val="00B81A22"/>
    <w:rsid w:val="00B82307"/>
    <w:rsid w:val="00B82E45"/>
    <w:rsid w:val="00B83BE7"/>
    <w:rsid w:val="00B83EB7"/>
    <w:rsid w:val="00B84351"/>
    <w:rsid w:val="00B85066"/>
    <w:rsid w:val="00B85FA5"/>
    <w:rsid w:val="00B86A3D"/>
    <w:rsid w:val="00B872EB"/>
    <w:rsid w:val="00B87576"/>
    <w:rsid w:val="00B904AA"/>
    <w:rsid w:val="00B91D24"/>
    <w:rsid w:val="00B92FB5"/>
    <w:rsid w:val="00B93C61"/>
    <w:rsid w:val="00B93F78"/>
    <w:rsid w:val="00B9438D"/>
    <w:rsid w:val="00B94B1F"/>
    <w:rsid w:val="00B951D5"/>
    <w:rsid w:val="00B95EA1"/>
    <w:rsid w:val="00B96F89"/>
    <w:rsid w:val="00BA0EC6"/>
    <w:rsid w:val="00BA13CB"/>
    <w:rsid w:val="00BA23F1"/>
    <w:rsid w:val="00BA3657"/>
    <w:rsid w:val="00BA3AE0"/>
    <w:rsid w:val="00BA3BAD"/>
    <w:rsid w:val="00BA4571"/>
    <w:rsid w:val="00BA4579"/>
    <w:rsid w:val="00BA4584"/>
    <w:rsid w:val="00BA4CEB"/>
    <w:rsid w:val="00BA5CD6"/>
    <w:rsid w:val="00BA6D9F"/>
    <w:rsid w:val="00BB0509"/>
    <w:rsid w:val="00BB1C7E"/>
    <w:rsid w:val="00BB213C"/>
    <w:rsid w:val="00BB247E"/>
    <w:rsid w:val="00BB2734"/>
    <w:rsid w:val="00BB3F75"/>
    <w:rsid w:val="00BB4F7E"/>
    <w:rsid w:val="00BB539F"/>
    <w:rsid w:val="00BB5712"/>
    <w:rsid w:val="00BB6382"/>
    <w:rsid w:val="00BC1755"/>
    <w:rsid w:val="00BC1C29"/>
    <w:rsid w:val="00BC30E5"/>
    <w:rsid w:val="00BC4138"/>
    <w:rsid w:val="00BC48DB"/>
    <w:rsid w:val="00BC4993"/>
    <w:rsid w:val="00BC4F2C"/>
    <w:rsid w:val="00BC52CE"/>
    <w:rsid w:val="00BD0D6E"/>
    <w:rsid w:val="00BD0FBD"/>
    <w:rsid w:val="00BD28A7"/>
    <w:rsid w:val="00BD4DE8"/>
    <w:rsid w:val="00BD4FA7"/>
    <w:rsid w:val="00BD53DF"/>
    <w:rsid w:val="00BD5C16"/>
    <w:rsid w:val="00BD690B"/>
    <w:rsid w:val="00BE0341"/>
    <w:rsid w:val="00BE037A"/>
    <w:rsid w:val="00BE03CF"/>
    <w:rsid w:val="00BE117F"/>
    <w:rsid w:val="00BE2751"/>
    <w:rsid w:val="00BE3464"/>
    <w:rsid w:val="00BE3732"/>
    <w:rsid w:val="00BE3DAE"/>
    <w:rsid w:val="00BE3E61"/>
    <w:rsid w:val="00BE4369"/>
    <w:rsid w:val="00BE4897"/>
    <w:rsid w:val="00BE49D4"/>
    <w:rsid w:val="00BE4FF6"/>
    <w:rsid w:val="00BE501B"/>
    <w:rsid w:val="00BE55C3"/>
    <w:rsid w:val="00BE5C15"/>
    <w:rsid w:val="00BE5E05"/>
    <w:rsid w:val="00BE672C"/>
    <w:rsid w:val="00BE68E7"/>
    <w:rsid w:val="00BF00D5"/>
    <w:rsid w:val="00BF12D1"/>
    <w:rsid w:val="00BF13A1"/>
    <w:rsid w:val="00BF26AF"/>
    <w:rsid w:val="00BF3456"/>
    <w:rsid w:val="00BF3CA1"/>
    <w:rsid w:val="00BF3D71"/>
    <w:rsid w:val="00BF4F39"/>
    <w:rsid w:val="00BF688F"/>
    <w:rsid w:val="00BF7667"/>
    <w:rsid w:val="00C0037D"/>
    <w:rsid w:val="00C0057E"/>
    <w:rsid w:val="00C0168C"/>
    <w:rsid w:val="00C02607"/>
    <w:rsid w:val="00C042D0"/>
    <w:rsid w:val="00C047F1"/>
    <w:rsid w:val="00C055A6"/>
    <w:rsid w:val="00C0565A"/>
    <w:rsid w:val="00C05AE5"/>
    <w:rsid w:val="00C06794"/>
    <w:rsid w:val="00C07CEA"/>
    <w:rsid w:val="00C10424"/>
    <w:rsid w:val="00C13672"/>
    <w:rsid w:val="00C166CD"/>
    <w:rsid w:val="00C200C8"/>
    <w:rsid w:val="00C202FB"/>
    <w:rsid w:val="00C2222C"/>
    <w:rsid w:val="00C22FFD"/>
    <w:rsid w:val="00C23231"/>
    <w:rsid w:val="00C23E2B"/>
    <w:rsid w:val="00C23EA9"/>
    <w:rsid w:val="00C2435B"/>
    <w:rsid w:val="00C24C39"/>
    <w:rsid w:val="00C24E64"/>
    <w:rsid w:val="00C26576"/>
    <w:rsid w:val="00C30182"/>
    <w:rsid w:val="00C327A2"/>
    <w:rsid w:val="00C32C57"/>
    <w:rsid w:val="00C33442"/>
    <w:rsid w:val="00C34379"/>
    <w:rsid w:val="00C3472F"/>
    <w:rsid w:val="00C35550"/>
    <w:rsid w:val="00C35B0A"/>
    <w:rsid w:val="00C36A26"/>
    <w:rsid w:val="00C36BAB"/>
    <w:rsid w:val="00C378C7"/>
    <w:rsid w:val="00C40038"/>
    <w:rsid w:val="00C40E92"/>
    <w:rsid w:val="00C41181"/>
    <w:rsid w:val="00C41C5B"/>
    <w:rsid w:val="00C42146"/>
    <w:rsid w:val="00C43BBD"/>
    <w:rsid w:val="00C453A8"/>
    <w:rsid w:val="00C45A63"/>
    <w:rsid w:val="00C45DE6"/>
    <w:rsid w:val="00C47425"/>
    <w:rsid w:val="00C475AF"/>
    <w:rsid w:val="00C500CC"/>
    <w:rsid w:val="00C50BE0"/>
    <w:rsid w:val="00C50DFE"/>
    <w:rsid w:val="00C52E05"/>
    <w:rsid w:val="00C52E1F"/>
    <w:rsid w:val="00C52FC3"/>
    <w:rsid w:val="00C53539"/>
    <w:rsid w:val="00C53A5D"/>
    <w:rsid w:val="00C54592"/>
    <w:rsid w:val="00C54E4F"/>
    <w:rsid w:val="00C55114"/>
    <w:rsid w:val="00C56118"/>
    <w:rsid w:val="00C5680B"/>
    <w:rsid w:val="00C56B2A"/>
    <w:rsid w:val="00C5740D"/>
    <w:rsid w:val="00C5748F"/>
    <w:rsid w:val="00C57A0D"/>
    <w:rsid w:val="00C57DED"/>
    <w:rsid w:val="00C60027"/>
    <w:rsid w:val="00C60C99"/>
    <w:rsid w:val="00C61198"/>
    <w:rsid w:val="00C62336"/>
    <w:rsid w:val="00C62F35"/>
    <w:rsid w:val="00C63E97"/>
    <w:rsid w:val="00C6431B"/>
    <w:rsid w:val="00C643CA"/>
    <w:rsid w:val="00C64AD2"/>
    <w:rsid w:val="00C66804"/>
    <w:rsid w:val="00C669FB"/>
    <w:rsid w:val="00C67146"/>
    <w:rsid w:val="00C70492"/>
    <w:rsid w:val="00C718C9"/>
    <w:rsid w:val="00C71B4C"/>
    <w:rsid w:val="00C71EFC"/>
    <w:rsid w:val="00C72360"/>
    <w:rsid w:val="00C72C7B"/>
    <w:rsid w:val="00C73240"/>
    <w:rsid w:val="00C73CE9"/>
    <w:rsid w:val="00C74072"/>
    <w:rsid w:val="00C76268"/>
    <w:rsid w:val="00C76472"/>
    <w:rsid w:val="00C76913"/>
    <w:rsid w:val="00C7748A"/>
    <w:rsid w:val="00C7765B"/>
    <w:rsid w:val="00C7779E"/>
    <w:rsid w:val="00C77FD3"/>
    <w:rsid w:val="00C81E2B"/>
    <w:rsid w:val="00C824F7"/>
    <w:rsid w:val="00C841D3"/>
    <w:rsid w:val="00C84388"/>
    <w:rsid w:val="00C857F9"/>
    <w:rsid w:val="00C85824"/>
    <w:rsid w:val="00C85995"/>
    <w:rsid w:val="00C85BD5"/>
    <w:rsid w:val="00C85C37"/>
    <w:rsid w:val="00C86814"/>
    <w:rsid w:val="00C86A24"/>
    <w:rsid w:val="00C91041"/>
    <w:rsid w:val="00C91E48"/>
    <w:rsid w:val="00C92340"/>
    <w:rsid w:val="00C9246C"/>
    <w:rsid w:val="00C92F5E"/>
    <w:rsid w:val="00C93B11"/>
    <w:rsid w:val="00C93D87"/>
    <w:rsid w:val="00C94362"/>
    <w:rsid w:val="00C94B97"/>
    <w:rsid w:val="00C963F3"/>
    <w:rsid w:val="00C96648"/>
    <w:rsid w:val="00C97AC0"/>
    <w:rsid w:val="00CA0210"/>
    <w:rsid w:val="00CA1D5E"/>
    <w:rsid w:val="00CA37B1"/>
    <w:rsid w:val="00CA387F"/>
    <w:rsid w:val="00CA4C1C"/>
    <w:rsid w:val="00CA4D1F"/>
    <w:rsid w:val="00CA6C96"/>
    <w:rsid w:val="00CA6D82"/>
    <w:rsid w:val="00CA70E5"/>
    <w:rsid w:val="00CA7529"/>
    <w:rsid w:val="00CB06BD"/>
    <w:rsid w:val="00CB36AD"/>
    <w:rsid w:val="00CB4E86"/>
    <w:rsid w:val="00CB560C"/>
    <w:rsid w:val="00CB5C21"/>
    <w:rsid w:val="00CB6664"/>
    <w:rsid w:val="00CB6DA3"/>
    <w:rsid w:val="00CB7058"/>
    <w:rsid w:val="00CC0051"/>
    <w:rsid w:val="00CC1DD1"/>
    <w:rsid w:val="00CC2626"/>
    <w:rsid w:val="00CC28D2"/>
    <w:rsid w:val="00CC3514"/>
    <w:rsid w:val="00CC5F73"/>
    <w:rsid w:val="00CC6BE4"/>
    <w:rsid w:val="00CC715B"/>
    <w:rsid w:val="00CC7CC0"/>
    <w:rsid w:val="00CC7E33"/>
    <w:rsid w:val="00CD090A"/>
    <w:rsid w:val="00CD0EE4"/>
    <w:rsid w:val="00CD1C52"/>
    <w:rsid w:val="00CD37AD"/>
    <w:rsid w:val="00CD3804"/>
    <w:rsid w:val="00CD40DF"/>
    <w:rsid w:val="00CD432D"/>
    <w:rsid w:val="00CD605E"/>
    <w:rsid w:val="00CE03CD"/>
    <w:rsid w:val="00CE03EE"/>
    <w:rsid w:val="00CE0A6D"/>
    <w:rsid w:val="00CE0C27"/>
    <w:rsid w:val="00CE1396"/>
    <w:rsid w:val="00CE2225"/>
    <w:rsid w:val="00CE471C"/>
    <w:rsid w:val="00CE5E57"/>
    <w:rsid w:val="00CE6D73"/>
    <w:rsid w:val="00CE7996"/>
    <w:rsid w:val="00CE7FD1"/>
    <w:rsid w:val="00CF1A94"/>
    <w:rsid w:val="00CF1CBE"/>
    <w:rsid w:val="00CF1E57"/>
    <w:rsid w:val="00CF24CE"/>
    <w:rsid w:val="00CF2F7F"/>
    <w:rsid w:val="00CF5DDE"/>
    <w:rsid w:val="00CF623C"/>
    <w:rsid w:val="00CF6466"/>
    <w:rsid w:val="00CF64DC"/>
    <w:rsid w:val="00D01AE0"/>
    <w:rsid w:val="00D01EB5"/>
    <w:rsid w:val="00D01F75"/>
    <w:rsid w:val="00D02F94"/>
    <w:rsid w:val="00D04336"/>
    <w:rsid w:val="00D045CF"/>
    <w:rsid w:val="00D04759"/>
    <w:rsid w:val="00D04DBE"/>
    <w:rsid w:val="00D05843"/>
    <w:rsid w:val="00D06B16"/>
    <w:rsid w:val="00D100FC"/>
    <w:rsid w:val="00D1060A"/>
    <w:rsid w:val="00D10D0B"/>
    <w:rsid w:val="00D11999"/>
    <w:rsid w:val="00D1212F"/>
    <w:rsid w:val="00D12B05"/>
    <w:rsid w:val="00D12E86"/>
    <w:rsid w:val="00D140A0"/>
    <w:rsid w:val="00D142E1"/>
    <w:rsid w:val="00D146D5"/>
    <w:rsid w:val="00D158DE"/>
    <w:rsid w:val="00D15EE0"/>
    <w:rsid w:val="00D165EF"/>
    <w:rsid w:val="00D17034"/>
    <w:rsid w:val="00D17988"/>
    <w:rsid w:val="00D17B74"/>
    <w:rsid w:val="00D17E64"/>
    <w:rsid w:val="00D21BD1"/>
    <w:rsid w:val="00D22DA7"/>
    <w:rsid w:val="00D26010"/>
    <w:rsid w:val="00D26069"/>
    <w:rsid w:val="00D2700A"/>
    <w:rsid w:val="00D302CC"/>
    <w:rsid w:val="00D30697"/>
    <w:rsid w:val="00D3263F"/>
    <w:rsid w:val="00D364AA"/>
    <w:rsid w:val="00D36977"/>
    <w:rsid w:val="00D36E92"/>
    <w:rsid w:val="00D37EFE"/>
    <w:rsid w:val="00D41181"/>
    <w:rsid w:val="00D4186C"/>
    <w:rsid w:val="00D41F08"/>
    <w:rsid w:val="00D42BC5"/>
    <w:rsid w:val="00D435A0"/>
    <w:rsid w:val="00D4386F"/>
    <w:rsid w:val="00D43A43"/>
    <w:rsid w:val="00D44FE5"/>
    <w:rsid w:val="00D46F54"/>
    <w:rsid w:val="00D50AB4"/>
    <w:rsid w:val="00D50BD1"/>
    <w:rsid w:val="00D52221"/>
    <w:rsid w:val="00D52C76"/>
    <w:rsid w:val="00D53E54"/>
    <w:rsid w:val="00D564EF"/>
    <w:rsid w:val="00D56DEC"/>
    <w:rsid w:val="00D602A0"/>
    <w:rsid w:val="00D60718"/>
    <w:rsid w:val="00D60A4F"/>
    <w:rsid w:val="00D61039"/>
    <w:rsid w:val="00D61D69"/>
    <w:rsid w:val="00D63900"/>
    <w:rsid w:val="00D63DB9"/>
    <w:rsid w:val="00D63EBF"/>
    <w:rsid w:val="00D63FDA"/>
    <w:rsid w:val="00D64796"/>
    <w:rsid w:val="00D64F40"/>
    <w:rsid w:val="00D6595C"/>
    <w:rsid w:val="00D66667"/>
    <w:rsid w:val="00D67382"/>
    <w:rsid w:val="00D71159"/>
    <w:rsid w:val="00D71312"/>
    <w:rsid w:val="00D72482"/>
    <w:rsid w:val="00D75C8C"/>
    <w:rsid w:val="00D76676"/>
    <w:rsid w:val="00D76C29"/>
    <w:rsid w:val="00D771AA"/>
    <w:rsid w:val="00D77D88"/>
    <w:rsid w:val="00D80508"/>
    <w:rsid w:val="00D80AE5"/>
    <w:rsid w:val="00D82C2A"/>
    <w:rsid w:val="00D837E3"/>
    <w:rsid w:val="00D83D84"/>
    <w:rsid w:val="00D841BF"/>
    <w:rsid w:val="00D844CB"/>
    <w:rsid w:val="00D8529D"/>
    <w:rsid w:val="00D85442"/>
    <w:rsid w:val="00D85C86"/>
    <w:rsid w:val="00D8611F"/>
    <w:rsid w:val="00D86267"/>
    <w:rsid w:val="00D862F1"/>
    <w:rsid w:val="00D86C63"/>
    <w:rsid w:val="00D90D0F"/>
    <w:rsid w:val="00D9216E"/>
    <w:rsid w:val="00D92B68"/>
    <w:rsid w:val="00D92C0C"/>
    <w:rsid w:val="00D9474C"/>
    <w:rsid w:val="00D950F8"/>
    <w:rsid w:val="00D95305"/>
    <w:rsid w:val="00D95965"/>
    <w:rsid w:val="00D95BEF"/>
    <w:rsid w:val="00D963ED"/>
    <w:rsid w:val="00DA02F7"/>
    <w:rsid w:val="00DA0E69"/>
    <w:rsid w:val="00DA1F19"/>
    <w:rsid w:val="00DA2EAA"/>
    <w:rsid w:val="00DA3018"/>
    <w:rsid w:val="00DA33E3"/>
    <w:rsid w:val="00DA3486"/>
    <w:rsid w:val="00DA58A8"/>
    <w:rsid w:val="00DA7D75"/>
    <w:rsid w:val="00DB1C17"/>
    <w:rsid w:val="00DB2577"/>
    <w:rsid w:val="00DB29D8"/>
    <w:rsid w:val="00DB2A47"/>
    <w:rsid w:val="00DB2B9E"/>
    <w:rsid w:val="00DB30AC"/>
    <w:rsid w:val="00DB32CD"/>
    <w:rsid w:val="00DB3B7F"/>
    <w:rsid w:val="00DB3F24"/>
    <w:rsid w:val="00DB5113"/>
    <w:rsid w:val="00DB7FD3"/>
    <w:rsid w:val="00DC0834"/>
    <w:rsid w:val="00DC0F61"/>
    <w:rsid w:val="00DC1380"/>
    <w:rsid w:val="00DC18EF"/>
    <w:rsid w:val="00DC1B9A"/>
    <w:rsid w:val="00DC26E4"/>
    <w:rsid w:val="00DC26F6"/>
    <w:rsid w:val="00DC2848"/>
    <w:rsid w:val="00DC305D"/>
    <w:rsid w:val="00DC3100"/>
    <w:rsid w:val="00DC3449"/>
    <w:rsid w:val="00DC3EBB"/>
    <w:rsid w:val="00DC4347"/>
    <w:rsid w:val="00DC7DF8"/>
    <w:rsid w:val="00DD402D"/>
    <w:rsid w:val="00DD4080"/>
    <w:rsid w:val="00DD5CE1"/>
    <w:rsid w:val="00DE09B5"/>
    <w:rsid w:val="00DE26F9"/>
    <w:rsid w:val="00DE30A1"/>
    <w:rsid w:val="00DE3607"/>
    <w:rsid w:val="00DE3B0D"/>
    <w:rsid w:val="00DE4807"/>
    <w:rsid w:val="00DE5022"/>
    <w:rsid w:val="00DE5F43"/>
    <w:rsid w:val="00DE6415"/>
    <w:rsid w:val="00DE6D08"/>
    <w:rsid w:val="00DE7C2E"/>
    <w:rsid w:val="00DF0AE9"/>
    <w:rsid w:val="00DF0D30"/>
    <w:rsid w:val="00DF0F9B"/>
    <w:rsid w:val="00DF1FEA"/>
    <w:rsid w:val="00DF3078"/>
    <w:rsid w:val="00DF313F"/>
    <w:rsid w:val="00DF368E"/>
    <w:rsid w:val="00DF477E"/>
    <w:rsid w:val="00DF567A"/>
    <w:rsid w:val="00DF59F8"/>
    <w:rsid w:val="00DF627F"/>
    <w:rsid w:val="00DF709F"/>
    <w:rsid w:val="00DF777C"/>
    <w:rsid w:val="00E00431"/>
    <w:rsid w:val="00E01653"/>
    <w:rsid w:val="00E039BA"/>
    <w:rsid w:val="00E04354"/>
    <w:rsid w:val="00E0656E"/>
    <w:rsid w:val="00E0717A"/>
    <w:rsid w:val="00E0799A"/>
    <w:rsid w:val="00E100BA"/>
    <w:rsid w:val="00E12BBC"/>
    <w:rsid w:val="00E1338F"/>
    <w:rsid w:val="00E14771"/>
    <w:rsid w:val="00E14C31"/>
    <w:rsid w:val="00E1598D"/>
    <w:rsid w:val="00E162C5"/>
    <w:rsid w:val="00E171D2"/>
    <w:rsid w:val="00E178A3"/>
    <w:rsid w:val="00E211D2"/>
    <w:rsid w:val="00E213EF"/>
    <w:rsid w:val="00E2161E"/>
    <w:rsid w:val="00E22787"/>
    <w:rsid w:val="00E233BD"/>
    <w:rsid w:val="00E2567D"/>
    <w:rsid w:val="00E25EB3"/>
    <w:rsid w:val="00E30C65"/>
    <w:rsid w:val="00E30E55"/>
    <w:rsid w:val="00E32A17"/>
    <w:rsid w:val="00E35522"/>
    <w:rsid w:val="00E3622A"/>
    <w:rsid w:val="00E37F34"/>
    <w:rsid w:val="00E402B8"/>
    <w:rsid w:val="00E404F3"/>
    <w:rsid w:val="00E4053F"/>
    <w:rsid w:val="00E41539"/>
    <w:rsid w:val="00E41A80"/>
    <w:rsid w:val="00E421A8"/>
    <w:rsid w:val="00E42EFE"/>
    <w:rsid w:val="00E43059"/>
    <w:rsid w:val="00E43F74"/>
    <w:rsid w:val="00E444CE"/>
    <w:rsid w:val="00E4547C"/>
    <w:rsid w:val="00E470F1"/>
    <w:rsid w:val="00E47687"/>
    <w:rsid w:val="00E47F60"/>
    <w:rsid w:val="00E47F9F"/>
    <w:rsid w:val="00E52BD4"/>
    <w:rsid w:val="00E52CA4"/>
    <w:rsid w:val="00E52D30"/>
    <w:rsid w:val="00E54C8A"/>
    <w:rsid w:val="00E552B3"/>
    <w:rsid w:val="00E5584A"/>
    <w:rsid w:val="00E5633B"/>
    <w:rsid w:val="00E56AB8"/>
    <w:rsid w:val="00E56D8D"/>
    <w:rsid w:val="00E56ECC"/>
    <w:rsid w:val="00E56FBC"/>
    <w:rsid w:val="00E571AD"/>
    <w:rsid w:val="00E57AD2"/>
    <w:rsid w:val="00E60966"/>
    <w:rsid w:val="00E61509"/>
    <w:rsid w:val="00E62AA7"/>
    <w:rsid w:val="00E6405A"/>
    <w:rsid w:val="00E71624"/>
    <w:rsid w:val="00E71E41"/>
    <w:rsid w:val="00E72123"/>
    <w:rsid w:val="00E725CA"/>
    <w:rsid w:val="00E72ACF"/>
    <w:rsid w:val="00E7465A"/>
    <w:rsid w:val="00E751FD"/>
    <w:rsid w:val="00E76B70"/>
    <w:rsid w:val="00E77317"/>
    <w:rsid w:val="00E80545"/>
    <w:rsid w:val="00E814E7"/>
    <w:rsid w:val="00E81B75"/>
    <w:rsid w:val="00E81D39"/>
    <w:rsid w:val="00E8317D"/>
    <w:rsid w:val="00E83301"/>
    <w:rsid w:val="00E83849"/>
    <w:rsid w:val="00E838DA"/>
    <w:rsid w:val="00E855DE"/>
    <w:rsid w:val="00E8561C"/>
    <w:rsid w:val="00E86430"/>
    <w:rsid w:val="00E87633"/>
    <w:rsid w:val="00E8774C"/>
    <w:rsid w:val="00E8780A"/>
    <w:rsid w:val="00E90954"/>
    <w:rsid w:val="00E914B7"/>
    <w:rsid w:val="00E92639"/>
    <w:rsid w:val="00E9270C"/>
    <w:rsid w:val="00E92CD3"/>
    <w:rsid w:val="00E92F17"/>
    <w:rsid w:val="00E94CD2"/>
    <w:rsid w:val="00E95014"/>
    <w:rsid w:val="00E96096"/>
    <w:rsid w:val="00E96D74"/>
    <w:rsid w:val="00E975C1"/>
    <w:rsid w:val="00EA0B3A"/>
    <w:rsid w:val="00EA0B8A"/>
    <w:rsid w:val="00EA1B99"/>
    <w:rsid w:val="00EA2C3C"/>
    <w:rsid w:val="00EA4CE7"/>
    <w:rsid w:val="00EA536F"/>
    <w:rsid w:val="00EA61C6"/>
    <w:rsid w:val="00EA61C7"/>
    <w:rsid w:val="00EA6342"/>
    <w:rsid w:val="00EA69D9"/>
    <w:rsid w:val="00EA6C84"/>
    <w:rsid w:val="00EA7277"/>
    <w:rsid w:val="00EB071D"/>
    <w:rsid w:val="00EB364B"/>
    <w:rsid w:val="00EB3FCA"/>
    <w:rsid w:val="00EB5559"/>
    <w:rsid w:val="00EB5B82"/>
    <w:rsid w:val="00EB5C23"/>
    <w:rsid w:val="00EB67A4"/>
    <w:rsid w:val="00EB7FDA"/>
    <w:rsid w:val="00EC02BB"/>
    <w:rsid w:val="00EC09DD"/>
    <w:rsid w:val="00EC0DF4"/>
    <w:rsid w:val="00EC1366"/>
    <w:rsid w:val="00EC293E"/>
    <w:rsid w:val="00EC2E5D"/>
    <w:rsid w:val="00EC35DA"/>
    <w:rsid w:val="00EC3F6C"/>
    <w:rsid w:val="00EC4098"/>
    <w:rsid w:val="00EC5840"/>
    <w:rsid w:val="00EC6D1A"/>
    <w:rsid w:val="00EC78CF"/>
    <w:rsid w:val="00EC7E96"/>
    <w:rsid w:val="00EC7FAD"/>
    <w:rsid w:val="00ED0B4D"/>
    <w:rsid w:val="00ED121A"/>
    <w:rsid w:val="00ED12FD"/>
    <w:rsid w:val="00ED1C7D"/>
    <w:rsid w:val="00ED1EFE"/>
    <w:rsid w:val="00ED222C"/>
    <w:rsid w:val="00ED53E3"/>
    <w:rsid w:val="00ED6923"/>
    <w:rsid w:val="00ED6EDF"/>
    <w:rsid w:val="00ED71F8"/>
    <w:rsid w:val="00ED7E59"/>
    <w:rsid w:val="00EE022B"/>
    <w:rsid w:val="00EE10DE"/>
    <w:rsid w:val="00EE12C5"/>
    <w:rsid w:val="00EE316D"/>
    <w:rsid w:val="00EE49FA"/>
    <w:rsid w:val="00EE5402"/>
    <w:rsid w:val="00EE54BC"/>
    <w:rsid w:val="00EE54C8"/>
    <w:rsid w:val="00EE6BD9"/>
    <w:rsid w:val="00EE6DFB"/>
    <w:rsid w:val="00EE7B76"/>
    <w:rsid w:val="00EF00FF"/>
    <w:rsid w:val="00EF158C"/>
    <w:rsid w:val="00EF1B35"/>
    <w:rsid w:val="00EF1FAC"/>
    <w:rsid w:val="00EF351C"/>
    <w:rsid w:val="00EF4A8B"/>
    <w:rsid w:val="00EF4ABE"/>
    <w:rsid w:val="00EF4C70"/>
    <w:rsid w:val="00EF4DF5"/>
    <w:rsid w:val="00EF5913"/>
    <w:rsid w:val="00EF6D2F"/>
    <w:rsid w:val="00EF6F9E"/>
    <w:rsid w:val="00F00ABA"/>
    <w:rsid w:val="00F00DBD"/>
    <w:rsid w:val="00F01102"/>
    <w:rsid w:val="00F0136B"/>
    <w:rsid w:val="00F0161D"/>
    <w:rsid w:val="00F02AD4"/>
    <w:rsid w:val="00F02E77"/>
    <w:rsid w:val="00F02E9A"/>
    <w:rsid w:val="00F03528"/>
    <w:rsid w:val="00F03784"/>
    <w:rsid w:val="00F044BD"/>
    <w:rsid w:val="00F04AA9"/>
    <w:rsid w:val="00F04C07"/>
    <w:rsid w:val="00F04C77"/>
    <w:rsid w:val="00F067C5"/>
    <w:rsid w:val="00F073F9"/>
    <w:rsid w:val="00F12988"/>
    <w:rsid w:val="00F135AC"/>
    <w:rsid w:val="00F142A0"/>
    <w:rsid w:val="00F146F6"/>
    <w:rsid w:val="00F14BD4"/>
    <w:rsid w:val="00F14D2B"/>
    <w:rsid w:val="00F14F84"/>
    <w:rsid w:val="00F167FD"/>
    <w:rsid w:val="00F168D8"/>
    <w:rsid w:val="00F16C4C"/>
    <w:rsid w:val="00F17129"/>
    <w:rsid w:val="00F17EC1"/>
    <w:rsid w:val="00F203D2"/>
    <w:rsid w:val="00F20854"/>
    <w:rsid w:val="00F20BAD"/>
    <w:rsid w:val="00F21006"/>
    <w:rsid w:val="00F21F08"/>
    <w:rsid w:val="00F22E73"/>
    <w:rsid w:val="00F252B9"/>
    <w:rsid w:val="00F266D5"/>
    <w:rsid w:val="00F267DB"/>
    <w:rsid w:val="00F26DDE"/>
    <w:rsid w:val="00F314E4"/>
    <w:rsid w:val="00F326B5"/>
    <w:rsid w:val="00F32F09"/>
    <w:rsid w:val="00F3345C"/>
    <w:rsid w:val="00F34E4E"/>
    <w:rsid w:val="00F356EA"/>
    <w:rsid w:val="00F35792"/>
    <w:rsid w:val="00F358A3"/>
    <w:rsid w:val="00F371DB"/>
    <w:rsid w:val="00F37B0C"/>
    <w:rsid w:val="00F40719"/>
    <w:rsid w:val="00F41E4C"/>
    <w:rsid w:val="00F420B7"/>
    <w:rsid w:val="00F420F5"/>
    <w:rsid w:val="00F433BD"/>
    <w:rsid w:val="00F43CB0"/>
    <w:rsid w:val="00F45182"/>
    <w:rsid w:val="00F45418"/>
    <w:rsid w:val="00F45625"/>
    <w:rsid w:val="00F45B55"/>
    <w:rsid w:val="00F45BA7"/>
    <w:rsid w:val="00F462BC"/>
    <w:rsid w:val="00F463C0"/>
    <w:rsid w:val="00F468ED"/>
    <w:rsid w:val="00F47618"/>
    <w:rsid w:val="00F47EDC"/>
    <w:rsid w:val="00F50628"/>
    <w:rsid w:val="00F5067D"/>
    <w:rsid w:val="00F50D6E"/>
    <w:rsid w:val="00F519A1"/>
    <w:rsid w:val="00F531C2"/>
    <w:rsid w:val="00F54777"/>
    <w:rsid w:val="00F54E0F"/>
    <w:rsid w:val="00F556F0"/>
    <w:rsid w:val="00F56F61"/>
    <w:rsid w:val="00F57891"/>
    <w:rsid w:val="00F57AF8"/>
    <w:rsid w:val="00F57C55"/>
    <w:rsid w:val="00F6163A"/>
    <w:rsid w:val="00F61B4E"/>
    <w:rsid w:val="00F61C64"/>
    <w:rsid w:val="00F620E1"/>
    <w:rsid w:val="00F6642F"/>
    <w:rsid w:val="00F6783F"/>
    <w:rsid w:val="00F67C6A"/>
    <w:rsid w:val="00F7040B"/>
    <w:rsid w:val="00F70E22"/>
    <w:rsid w:val="00F72346"/>
    <w:rsid w:val="00F72CEB"/>
    <w:rsid w:val="00F758B8"/>
    <w:rsid w:val="00F76729"/>
    <w:rsid w:val="00F76910"/>
    <w:rsid w:val="00F76BF2"/>
    <w:rsid w:val="00F76F39"/>
    <w:rsid w:val="00F802DB"/>
    <w:rsid w:val="00F8044E"/>
    <w:rsid w:val="00F80B42"/>
    <w:rsid w:val="00F8107B"/>
    <w:rsid w:val="00F81107"/>
    <w:rsid w:val="00F81B2B"/>
    <w:rsid w:val="00F81F7D"/>
    <w:rsid w:val="00F823A4"/>
    <w:rsid w:val="00F82AAA"/>
    <w:rsid w:val="00F8318F"/>
    <w:rsid w:val="00F83532"/>
    <w:rsid w:val="00F838A6"/>
    <w:rsid w:val="00F85D25"/>
    <w:rsid w:val="00F86AD3"/>
    <w:rsid w:val="00F900D6"/>
    <w:rsid w:val="00F90623"/>
    <w:rsid w:val="00F907EB"/>
    <w:rsid w:val="00F91B32"/>
    <w:rsid w:val="00F92118"/>
    <w:rsid w:val="00F92DA9"/>
    <w:rsid w:val="00F935C1"/>
    <w:rsid w:val="00F938A5"/>
    <w:rsid w:val="00F94399"/>
    <w:rsid w:val="00F944CB"/>
    <w:rsid w:val="00F94EB1"/>
    <w:rsid w:val="00F964E9"/>
    <w:rsid w:val="00F96ED1"/>
    <w:rsid w:val="00F9728B"/>
    <w:rsid w:val="00F97FF3"/>
    <w:rsid w:val="00FA02D9"/>
    <w:rsid w:val="00FA0EA3"/>
    <w:rsid w:val="00FA1299"/>
    <w:rsid w:val="00FA2BC2"/>
    <w:rsid w:val="00FA352F"/>
    <w:rsid w:val="00FA3974"/>
    <w:rsid w:val="00FA50E3"/>
    <w:rsid w:val="00FA51E5"/>
    <w:rsid w:val="00FA565B"/>
    <w:rsid w:val="00FA61DC"/>
    <w:rsid w:val="00FA6FE2"/>
    <w:rsid w:val="00FA703B"/>
    <w:rsid w:val="00FA77B5"/>
    <w:rsid w:val="00FB09EC"/>
    <w:rsid w:val="00FB14A7"/>
    <w:rsid w:val="00FB1AC1"/>
    <w:rsid w:val="00FB1CA4"/>
    <w:rsid w:val="00FB366E"/>
    <w:rsid w:val="00FB4023"/>
    <w:rsid w:val="00FB5F5D"/>
    <w:rsid w:val="00FB63FA"/>
    <w:rsid w:val="00FB6825"/>
    <w:rsid w:val="00FB6FB0"/>
    <w:rsid w:val="00FB7A1E"/>
    <w:rsid w:val="00FC01D8"/>
    <w:rsid w:val="00FC04A8"/>
    <w:rsid w:val="00FC0D8E"/>
    <w:rsid w:val="00FC15F9"/>
    <w:rsid w:val="00FC17BD"/>
    <w:rsid w:val="00FC225E"/>
    <w:rsid w:val="00FC2624"/>
    <w:rsid w:val="00FC27DC"/>
    <w:rsid w:val="00FC2D5D"/>
    <w:rsid w:val="00FC2E12"/>
    <w:rsid w:val="00FC2FDB"/>
    <w:rsid w:val="00FC3024"/>
    <w:rsid w:val="00FC4A55"/>
    <w:rsid w:val="00FC51F2"/>
    <w:rsid w:val="00FC6826"/>
    <w:rsid w:val="00FC69C8"/>
    <w:rsid w:val="00FC7274"/>
    <w:rsid w:val="00FD013A"/>
    <w:rsid w:val="00FD0484"/>
    <w:rsid w:val="00FD10AF"/>
    <w:rsid w:val="00FD227E"/>
    <w:rsid w:val="00FD2392"/>
    <w:rsid w:val="00FD2422"/>
    <w:rsid w:val="00FD44E0"/>
    <w:rsid w:val="00FD5276"/>
    <w:rsid w:val="00FD686F"/>
    <w:rsid w:val="00FD6A49"/>
    <w:rsid w:val="00FE0769"/>
    <w:rsid w:val="00FE1C72"/>
    <w:rsid w:val="00FE334C"/>
    <w:rsid w:val="00FE374D"/>
    <w:rsid w:val="00FE3914"/>
    <w:rsid w:val="00FE463B"/>
    <w:rsid w:val="00FE4644"/>
    <w:rsid w:val="00FE4B4C"/>
    <w:rsid w:val="00FE5F07"/>
    <w:rsid w:val="00FE6508"/>
    <w:rsid w:val="00FE68EF"/>
    <w:rsid w:val="00FE7266"/>
    <w:rsid w:val="00FF044B"/>
    <w:rsid w:val="00FF2D03"/>
    <w:rsid w:val="00FF3013"/>
    <w:rsid w:val="00FF3635"/>
    <w:rsid w:val="00FF3D5A"/>
    <w:rsid w:val="00FF5B7E"/>
    <w:rsid w:val="00FF6180"/>
    <w:rsid w:val="00FF695F"/>
    <w:rsid w:val="00FF759C"/>
    <w:rsid w:val="00FF7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98F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uiPriority="3" w:qFormat="1"/>
    <w:lsdException w:name="heading 4" w:uiPriority="8"/>
    <w:lsdException w:name="heading 5" w:uiPriority="8"/>
    <w:lsdException w:name="heading 6" w:uiPriority="8"/>
    <w:lsdException w:name="heading 7" w:semiHidden="1" w:uiPriority="8" w:unhideWhenUsed="1"/>
    <w:lsdException w:name="heading 8" w:semiHidden="1" w:uiPriority="8" w:unhideWhenUsed="1"/>
    <w:lsdException w:name="heading 9" w:semiHidden="1" w:uiPriority="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7EA5"/>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_UMAR"/>
    <w:next w:val="BesediloUMAR"/>
    <w:link w:val="Heading1Char"/>
    <w:uiPriority w:val="1"/>
    <w:qFormat/>
    <w:rsid w:val="00AD49FB"/>
    <w:pPr>
      <w:keepNext/>
      <w:keepLines/>
      <w:pageBreakBefore/>
      <w:numPr>
        <w:numId w:val="2"/>
      </w:numPr>
      <w:spacing w:before="200" w:after="100" w:line="288" w:lineRule="auto"/>
      <w:ind w:left="357" w:hanging="357"/>
      <w:outlineLvl w:val="0"/>
    </w:pPr>
    <w:rPr>
      <w:rFonts w:ascii="Myriad Pro" w:eastAsiaTheme="minorHAnsi" w:hAnsi="Myriad Pro" w:cs="Arial"/>
      <w:b/>
      <w:bCs/>
      <w:color w:val="9E001A" w:themeColor="accent1"/>
      <w:kern w:val="32"/>
      <w:sz w:val="28"/>
      <w:szCs w:val="22"/>
      <w:lang w:eastAsia="en-US"/>
    </w:rPr>
  </w:style>
  <w:style w:type="paragraph" w:styleId="Heading2">
    <w:name w:val="heading 2"/>
    <w:aliases w:val="Heading 2_UMAR"/>
    <w:next w:val="BesediloUMAR"/>
    <w:link w:val="Heading2Char"/>
    <w:uiPriority w:val="2"/>
    <w:qFormat/>
    <w:rsid w:val="00AD49FB"/>
    <w:pPr>
      <w:keepNext/>
      <w:keepLines/>
      <w:numPr>
        <w:ilvl w:val="1"/>
        <w:numId w:val="2"/>
      </w:numPr>
      <w:spacing w:before="200" w:after="100" w:line="288" w:lineRule="auto"/>
      <w:contextualSpacing/>
      <w:outlineLvl w:val="1"/>
    </w:pPr>
    <w:rPr>
      <w:rFonts w:ascii="Myriad Pro" w:eastAsiaTheme="minorHAnsi" w:hAnsi="Myriad Pro" w:cstheme="minorBidi"/>
      <w:b/>
      <w:color w:val="9E001A" w:themeColor="accent1"/>
      <w:sz w:val="24"/>
      <w:szCs w:val="22"/>
      <w:lang w:eastAsia="en-US"/>
    </w:rPr>
  </w:style>
  <w:style w:type="paragraph" w:styleId="Heading3">
    <w:name w:val="heading 3"/>
    <w:aliases w:val="Heading 3_UMAR"/>
    <w:next w:val="BesediloUMAR"/>
    <w:link w:val="Heading3Char"/>
    <w:uiPriority w:val="3"/>
    <w:qFormat/>
    <w:rsid w:val="00AD49FB"/>
    <w:pPr>
      <w:keepNext/>
      <w:keepLines/>
      <w:numPr>
        <w:ilvl w:val="2"/>
        <w:numId w:val="2"/>
      </w:numPr>
      <w:spacing w:before="200" w:after="100" w:line="288" w:lineRule="auto"/>
      <w:contextualSpacing/>
      <w:outlineLvl w:val="2"/>
    </w:pPr>
    <w:rPr>
      <w:rFonts w:ascii="Myriad Pro" w:eastAsiaTheme="minorHAnsi" w:hAnsi="Myriad Pro" w:cs="Arial"/>
      <w:b/>
      <w:bCs/>
      <w:color w:val="9E001A" w:themeColor="accent1"/>
      <w:sz w:val="24"/>
      <w:szCs w:val="26"/>
      <w:lang w:eastAsia="en-US"/>
    </w:rPr>
  </w:style>
  <w:style w:type="paragraph" w:styleId="Heading4">
    <w:name w:val="heading 4"/>
    <w:basedOn w:val="Normal"/>
    <w:next w:val="Normal"/>
    <w:uiPriority w:val="8"/>
    <w:unhideWhenUsed/>
    <w:rsid w:val="00AD49FB"/>
    <w:pPr>
      <w:keepNext/>
      <w:numPr>
        <w:ilvl w:val="3"/>
        <w:numId w:val="2"/>
      </w:numPr>
      <w:spacing w:before="360" w:after="240"/>
      <w:outlineLvl w:val="3"/>
    </w:pPr>
    <w:rPr>
      <w:b/>
      <w:bCs/>
    </w:rPr>
  </w:style>
  <w:style w:type="paragraph" w:styleId="Heading5">
    <w:name w:val="heading 5"/>
    <w:basedOn w:val="Normal"/>
    <w:next w:val="Normal"/>
    <w:uiPriority w:val="8"/>
    <w:unhideWhenUsed/>
    <w:rsid w:val="00AD49FB"/>
    <w:pPr>
      <w:numPr>
        <w:ilvl w:val="4"/>
        <w:numId w:val="2"/>
      </w:numPr>
      <w:spacing w:before="240" w:after="60"/>
      <w:outlineLvl w:val="4"/>
    </w:pPr>
    <w:rPr>
      <w:b/>
      <w:bCs/>
      <w:iCs/>
      <w:szCs w:val="26"/>
    </w:rPr>
  </w:style>
  <w:style w:type="paragraph" w:styleId="Heading6">
    <w:name w:val="heading 6"/>
    <w:basedOn w:val="Normal"/>
    <w:next w:val="Normal"/>
    <w:uiPriority w:val="8"/>
    <w:unhideWhenUsed/>
    <w:rsid w:val="00AD49FB"/>
    <w:pPr>
      <w:numPr>
        <w:ilvl w:val="5"/>
        <w:numId w:val="2"/>
      </w:numPr>
      <w:spacing w:before="240" w:after="60"/>
      <w:outlineLvl w:val="5"/>
    </w:pPr>
    <w:rPr>
      <w:b/>
      <w:bCs/>
    </w:rPr>
  </w:style>
  <w:style w:type="paragraph" w:styleId="Heading7">
    <w:name w:val="heading 7"/>
    <w:basedOn w:val="Normal"/>
    <w:next w:val="Normal"/>
    <w:uiPriority w:val="8"/>
    <w:unhideWhenUsed/>
    <w:rsid w:val="00AD49FB"/>
    <w:pPr>
      <w:numPr>
        <w:ilvl w:val="6"/>
        <w:numId w:val="2"/>
      </w:numPr>
      <w:spacing w:before="240" w:after="60"/>
      <w:outlineLvl w:val="6"/>
    </w:pPr>
  </w:style>
  <w:style w:type="paragraph" w:styleId="Heading8">
    <w:name w:val="heading 8"/>
    <w:basedOn w:val="Normal"/>
    <w:next w:val="Normal"/>
    <w:uiPriority w:val="8"/>
    <w:unhideWhenUsed/>
    <w:rsid w:val="00AD49FB"/>
    <w:pPr>
      <w:numPr>
        <w:ilvl w:val="7"/>
        <w:numId w:val="2"/>
      </w:numPr>
      <w:spacing w:before="240" w:after="60"/>
      <w:outlineLvl w:val="7"/>
    </w:pPr>
    <w:rPr>
      <w:i/>
      <w:iCs/>
    </w:rPr>
  </w:style>
  <w:style w:type="paragraph" w:styleId="Heading9">
    <w:name w:val="heading 9"/>
    <w:basedOn w:val="Normal"/>
    <w:next w:val="Normal"/>
    <w:uiPriority w:val="8"/>
    <w:unhideWhenUsed/>
    <w:rsid w:val="00AD49FB"/>
    <w:pPr>
      <w:numPr>
        <w:ilvl w:val="8"/>
        <w:numId w:val="2"/>
      </w:numPr>
      <w:spacing w:before="240" w:after="60"/>
      <w:outlineLvl w:val="8"/>
    </w:pPr>
  </w:style>
  <w:style w:type="character" w:default="1" w:styleId="DefaultParagraphFont">
    <w:name w:val="Default Paragraph Font"/>
    <w:uiPriority w:val="1"/>
    <w:semiHidden/>
    <w:unhideWhenUsed/>
    <w:rsid w:val="007F7E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7EA5"/>
  </w:style>
  <w:style w:type="paragraph" w:styleId="FootnoteText">
    <w:name w:val="footnote text"/>
    <w:aliases w:val="Sprotna opomba-besedilo,Char Char,Char Char Char Char,Char Char Char,Sprotna opomba - besedilo Znak1,Sprotna opomba - besedilo Znak Znak2,Sprotna opomba - besedilo Znak1 Znak Znak1,Sprotna opomba - besedilo Znak1 Znak Znak Znak"/>
    <w:basedOn w:val="BesediloUMAR"/>
    <w:link w:val="FootnoteTextChar"/>
    <w:autoRedefine/>
    <w:uiPriority w:val="99"/>
    <w:qFormat/>
    <w:rsid w:val="00677AC1"/>
    <w:rPr>
      <w:szCs w:val="20"/>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basedOn w:val="DefaultParagraphFont"/>
    <w:link w:val="FootnoteText"/>
    <w:uiPriority w:val="99"/>
    <w:rsid w:val="00677AC1"/>
    <w:rPr>
      <w:rFonts w:ascii="Myriad Pro" w:eastAsiaTheme="minorHAnsi" w:hAnsi="Myriad Pro" w:cstheme="minorBidi"/>
      <w:lang w:eastAsia="en-US"/>
    </w:rPr>
  </w:style>
  <w:style w:type="character" w:styleId="FootnoteReference">
    <w:name w:val="footnote reference"/>
    <w:aliases w:val="Footnote symbol,Fussnota,Footnote,Footnote reference number,note TESI,SUPERS,EN Footnote Reference,-E Fußnotenzeichen,Times 10 Point,Exposant 3 Point,E...,nota de rodapé,Footnote Reference_LVL6,Footnote Reference_LVL61,Footnot"/>
    <w:basedOn w:val="DefaultParagraphFont"/>
    <w:uiPriority w:val="99"/>
    <w:qFormat/>
    <w:rsid w:val="00AD49FB"/>
    <w:rPr>
      <w:rFonts w:ascii="Myriad Pro" w:hAnsi="Myriad Pro"/>
      <w:sz w:val="18"/>
      <w:vertAlign w:val="superscript"/>
    </w:rPr>
  </w:style>
  <w:style w:type="paragraph" w:styleId="Caption">
    <w:name w:val="caption"/>
    <w:aliases w:val="Okvir/Slika/Tabela_UMAR"/>
    <w:basedOn w:val="TableofFigures"/>
    <w:next w:val="BesediloUMAR"/>
    <w:link w:val="CaptionChar"/>
    <w:uiPriority w:val="4"/>
    <w:qFormat/>
    <w:rsid w:val="00AD49FB"/>
    <w:pPr>
      <w:keepNext/>
      <w:keepLines/>
      <w:spacing w:before="240" w:after="60"/>
      <w:contextualSpacing/>
    </w:pPr>
    <w:rPr>
      <w:b/>
      <w:bCs/>
    </w:rPr>
  </w:style>
  <w:style w:type="paragraph" w:styleId="Footer">
    <w:name w:val="footer"/>
    <w:basedOn w:val="Normal"/>
    <w:next w:val="Normal"/>
    <w:link w:val="FooterChar"/>
    <w:autoRedefine/>
    <w:uiPriority w:val="99"/>
    <w:rsid w:val="00AD49FB"/>
    <w:pPr>
      <w:framePr w:wrap="around" w:vAnchor="text" w:hAnchor="margin" w:xAlign="center" w:y="1"/>
      <w:tabs>
        <w:tab w:val="center" w:pos="4536"/>
        <w:tab w:val="right" w:pos="9072"/>
      </w:tabs>
      <w:jc w:val="center"/>
    </w:pPr>
    <w:rPr>
      <w:sz w:val="16"/>
      <w:szCs w:val="16"/>
    </w:rPr>
  </w:style>
  <w:style w:type="paragraph" w:styleId="TableofFigures">
    <w:name w:val="table of figures"/>
    <w:basedOn w:val="BesediloUMAR"/>
    <w:next w:val="BesediloUMAR"/>
    <w:autoRedefine/>
    <w:uiPriority w:val="99"/>
    <w:rsid w:val="00AD49FB"/>
    <w:pPr>
      <w:tabs>
        <w:tab w:val="right" w:leader="dot" w:pos="9070"/>
      </w:tabs>
    </w:pPr>
    <w:rPr>
      <w:noProof/>
      <w:szCs w:val="20"/>
    </w:rPr>
  </w:style>
  <w:style w:type="paragraph" w:styleId="TableofAuthorities">
    <w:name w:val="table of authorities"/>
    <w:basedOn w:val="Normal"/>
    <w:next w:val="Normal"/>
    <w:semiHidden/>
    <w:rsid w:val="00AD49FB"/>
    <w:pPr>
      <w:ind w:left="220" w:hanging="220"/>
    </w:pPr>
  </w:style>
  <w:style w:type="paragraph" w:styleId="TOAHeading">
    <w:name w:val="toa heading"/>
    <w:basedOn w:val="Normal"/>
    <w:next w:val="Normal"/>
    <w:semiHidden/>
    <w:rsid w:val="00AD49FB"/>
    <w:pPr>
      <w:spacing w:before="120"/>
    </w:pPr>
    <w:rPr>
      <w:b/>
      <w:bCs/>
    </w:rPr>
  </w:style>
  <w:style w:type="paragraph" w:styleId="TOC1">
    <w:name w:val="toc 1"/>
    <w:basedOn w:val="BesediloUMAR"/>
    <w:next w:val="BesediloUMAR"/>
    <w:autoRedefine/>
    <w:uiPriority w:val="39"/>
    <w:rsid w:val="00AD49FB"/>
    <w:pPr>
      <w:tabs>
        <w:tab w:val="left" w:pos="340"/>
        <w:tab w:val="right" w:leader="dot" w:pos="9070"/>
      </w:tabs>
      <w:spacing w:before="100" w:after="100"/>
    </w:pPr>
    <w:rPr>
      <w:rFonts w:cs="Arial"/>
      <w:noProof/>
      <w:szCs w:val="20"/>
    </w:rPr>
  </w:style>
  <w:style w:type="paragraph" w:styleId="TOC2">
    <w:name w:val="toc 2"/>
    <w:basedOn w:val="BesediloUMAR"/>
    <w:next w:val="BesediloUMAR"/>
    <w:autoRedefine/>
    <w:uiPriority w:val="39"/>
    <w:rsid w:val="00AD49FB"/>
    <w:pPr>
      <w:tabs>
        <w:tab w:val="right" w:leader="dot" w:pos="9070"/>
      </w:tabs>
      <w:spacing w:before="100" w:after="100"/>
      <w:ind w:left="340"/>
    </w:pPr>
    <w:rPr>
      <w:noProof/>
    </w:rPr>
  </w:style>
  <w:style w:type="paragraph" w:styleId="TOC3">
    <w:name w:val="toc 3"/>
    <w:next w:val="BesediloUMAR"/>
    <w:autoRedefine/>
    <w:uiPriority w:val="39"/>
    <w:rsid w:val="00AD49FB"/>
    <w:pPr>
      <w:tabs>
        <w:tab w:val="right" w:leader="dot" w:pos="9070"/>
      </w:tabs>
      <w:spacing w:after="100" w:line="288" w:lineRule="auto"/>
      <w:ind w:left="680"/>
      <w:jc w:val="both"/>
    </w:pPr>
    <w:rPr>
      <w:rFonts w:ascii="Myriad Pro" w:eastAsiaTheme="minorHAnsi" w:hAnsi="Myriad Pro" w:cstheme="minorBidi"/>
      <w:szCs w:val="22"/>
      <w:lang w:eastAsia="en-US"/>
    </w:rPr>
  </w:style>
  <w:style w:type="paragraph" w:styleId="TOC4">
    <w:name w:val="toc 4"/>
    <w:basedOn w:val="Normal"/>
    <w:autoRedefine/>
    <w:semiHidden/>
    <w:rsid w:val="00AD49FB"/>
    <w:pPr>
      <w:spacing w:after="20"/>
      <w:ind w:left="340"/>
      <w:contextualSpacing/>
    </w:pPr>
  </w:style>
  <w:style w:type="paragraph" w:styleId="TOC5">
    <w:name w:val="toc 5"/>
    <w:basedOn w:val="Normal"/>
    <w:autoRedefine/>
    <w:semiHidden/>
    <w:rsid w:val="00AD49FB"/>
    <w:pPr>
      <w:spacing w:after="20"/>
      <w:contextualSpacing/>
    </w:pPr>
  </w:style>
  <w:style w:type="paragraph" w:styleId="TOC6">
    <w:name w:val="toc 6"/>
    <w:basedOn w:val="Normal"/>
    <w:next w:val="Normal"/>
    <w:autoRedefine/>
    <w:semiHidden/>
    <w:rsid w:val="00AD49FB"/>
    <w:pPr>
      <w:ind w:left="1100"/>
    </w:pPr>
  </w:style>
  <w:style w:type="paragraph" w:styleId="TOC7">
    <w:name w:val="toc 7"/>
    <w:basedOn w:val="Normal"/>
    <w:next w:val="Normal"/>
    <w:autoRedefine/>
    <w:semiHidden/>
    <w:rsid w:val="00AD49FB"/>
    <w:pPr>
      <w:ind w:left="1320"/>
    </w:pPr>
  </w:style>
  <w:style w:type="paragraph" w:styleId="TOC8">
    <w:name w:val="toc 8"/>
    <w:basedOn w:val="Normal"/>
    <w:next w:val="Normal"/>
    <w:autoRedefine/>
    <w:semiHidden/>
    <w:rsid w:val="00AD49FB"/>
    <w:pPr>
      <w:ind w:left="1540"/>
    </w:pPr>
  </w:style>
  <w:style w:type="paragraph" w:styleId="TOC9">
    <w:name w:val="toc 9"/>
    <w:basedOn w:val="Normal"/>
    <w:next w:val="Normal"/>
    <w:autoRedefine/>
    <w:semiHidden/>
    <w:rsid w:val="00AD49FB"/>
    <w:pPr>
      <w:ind w:left="1760"/>
    </w:pPr>
  </w:style>
  <w:style w:type="paragraph" w:styleId="CommentText">
    <w:name w:val="annotation text"/>
    <w:basedOn w:val="Normal"/>
    <w:link w:val="CommentTextChar"/>
    <w:semiHidden/>
    <w:rsid w:val="00AD49FB"/>
  </w:style>
  <w:style w:type="character" w:styleId="CommentReference">
    <w:name w:val="annotation reference"/>
    <w:basedOn w:val="DefaultParagraphFont"/>
    <w:semiHidden/>
    <w:rsid w:val="00AD49FB"/>
    <w:rPr>
      <w:sz w:val="16"/>
      <w:szCs w:val="16"/>
    </w:rPr>
  </w:style>
  <w:style w:type="paragraph" w:styleId="EndnoteText">
    <w:name w:val="endnote text"/>
    <w:basedOn w:val="Normal"/>
    <w:autoRedefine/>
    <w:semiHidden/>
    <w:rsid w:val="00AD49FB"/>
  </w:style>
  <w:style w:type="character" w:styleId="EndnoteReference">
    <w:name w:val="endnote reference"/>
    <w:basedOn w:val="DefaultParagraphFont"/>
    <w:semiHidden/>
    <w:rsid w:val="00AD49FB"/>
    <w:rPr>
      <w:vertAlign w:val="superscript"/>
    </w:rPr>
  </w:style>
  <w:style w:type="paragraph" w:styleId="MacroText">
    <w:name w:val="macro"/>
    <w:semiHidden/>
    <w:rsid w:val="00AD49FB"/>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Index1">
    <w:name w:val="index 1"/>
    <w:basedOn w:val="Normal"/>
    <w:next w:val="Normal"/>
    <w:autoRedefine/>
    <w:semiHidden/>
    <w:rsid w:val="00AD49FB"/>
    <w:pPr>
      <w:ind w:left="220" w:hanging="220"/>
    </w:pPr>
  </w:style>
  <w:style w:type="paragraph" w:styleId="IndexHeading">
    <w:name w:val="index heading"/>
    <w:basedOn w:val="Normal"/>
    <w:next w:val="Index1"/>
    <w:semiHidden/>
    <w:rsid w:val="00AD49FB"/>
    <w:rPr>
      <w:b/>
      <w:bCs/>
    </w:rPr>
  </w:style>
  <w:style w:type="paragraph" w:styleId="Index2">
    <w:name w:val="index 2"/>
    <w:basedOn w:val="Normal"/>
    <w:next w:val="Normal"/>
    <w:autoRedefine/>
    <w:semiHidden/>
    <w:rsid w:val="00AD49FB"/>
    <w:pPr>
      <w:ind w:left="440" w:hanging="220"/>
    </w:pPr>
  </w:style>
  <w:style w:type="paragraph" w:styleId="Index3">
    <w:name w:val="index 3"/>
    <w:basedOn w:val="Normal"/>
    <w:next w:val="Normal"/>
    <w:autoRedefine/>
    <w:semiHidden/>
    <w:rsid w:val="00AD49FB"/>
    <w:pPr>
      <w:ind w:left="660" w:hanging="220"/>
    </w:pPr>
  </w:style>
  <w:style w:type="paragraph" w:styleId="Index4">
    <w:name w:val="index 4"/>
    <w:basedOn w:val="Normal"/>
    <w:next w:val="Normal"/>
    <w:autoRedefine/>
    <w:semiHidden/>
    <w:rsid w:val="00AD49FB"/>
    <w:pPr>
      <w:ind w:left="880" w:hanging="220"/>
    </w:pPr>
  </w:style>
  <w:style w:type="paragraph" w:styleId="Index5">
    <w:name w:val="index 5"/>
    <w:basedOn w:val="Normal"/>
    <w:next w:val="Normal"/>
    <w:autoRedefine/>
    <w:semiHidden/>
    <w:rsid w:val="00AD49FB"/>
    <w:pPr>
      <w:ind w:left="1100" w:hanging="220"/>
    </w:pPr>
  </w:style>
  <w:style w:type="paragraph" w:styleId="Index6">
    <w:name w:val="index 6"/>
    <w:basedOn w:val="Normal"/>
    <w:next w:val="Normal"/>
    <w:autoRedefine/>
    <w:semiHidden/>
    <w:rsid w:val="00AD49FB"/>
    <w:pPr>
      <w:ind w:left="1320" w:hanging="220"/>
    </w:pPr>
  </w:style>
  <w:style w:type="paragraph" w:styleId="Index7">
    <w:name w:val="index 7"/>
    <w:basedOn w:val="Normal"/>
    <w:next w:val="Normal"/>
    <w:autoRedefine/>
    <w:semiHidden/>
    <w:rsid w:val="00AD49FB"/>
    <w:pPr>
      <w:ind w:left="1540" w:hanging="220"/>
    </w:pPr>
  </w:style>
  <w:style w:type="paragraph" w:styleId="Index8">
    <w:name w:val="index 8"/>
    <w:basedOn w:val="Normal"/>
    <w:next w:val="Normal"/>
    <w:autoRedefine/>
    <w:semiHidden/>
    <w:rsid w:val="00AD49FB"/>
    <w:pPr>
      <w:ind w:left="1760" w:hanging="220"/>
    </w:pPr>
  </w:style>
  <w:style w:type="paragraph" w:styleId="Index9">
    <w:name w:val="index 9"/>
    <w:basedOn w:val="Normal"/>
    <w:next w:val="Normal"/>
    <w:autoRedefine/>
    <w:semiHidden/>
    <w:rsid w:val="00AD49FB"/>
    <w:pPr>
      <w:ind w:left="1980" w:hanging="220"/>
    </w:pPr>
  </w:style>
  <w:style w:type="paragraph" w:styleId="DocumentMap">
    <w:name w:val="Document Map"/>
    <w:basedOn w:val="Normal"/>
    <w:semiHidden/>
    <w:rsid w:val="00AD49FB"/>
    <w:pPr>
      <w:shd w:val="clear" w:color="auto" w:fill="000080"/>
    </w:pPr>
    <w:rPr>
      <w:rFonts w:ascii="Tahoma" w:hAnsi="Tahoma" w:cs="Tahoma"/>
    </w:rPr>
  </w:style>
  <w:style w:type="character" w:customStyle="1" w:styleId="VodilnistavekUMAR">
    <w:name w:val="Vodilni stavek_UMAR"/>
    <w:basedOn w:val="DefaultParagraphFont"/>
    <w:qFormat/>
    <w:rsid w:val="00AD49FB"/>
    <w:rPr>
      <w:b/>
    </w:rPr>
  </w:style>
  <w:style w:type="paragraph" w:styleId="BalloonText">
    <w:name w:val="Balloon Text"/>
    <w:basedOn w:val="Normal"/>
    <w:semiHidden/>
    <w:rsid w:val="00AD49FB"/>
    <w:rPr>
      <w:rFonts w:ascii="Tahoma" w:hAnsi="Tahoma" w:cs="Tahoma"/>
      <w:sz w:val="16"/>
      <w:szCs w:val="16"/>
    </w:rPr>
  </w:style>
  <w:style w:type="character" w:customStyle="1" w:styleId="HeaderChar">
    <w:name w:val="Header Char"/>
    <w:basedOn w:val="DefaultParagraphFont"/>
    <w:link w:val="Header"/>
    <w:uiPriority w:val="99"/>
    <w:rsid w:val="00AD49FB"/>
    <w:rPr>
      <w:rFonts w:ascii="Myriad Pro" w:eastAsiaTheme="minorHAnsi" w:hAnsi="Myriad Pro" w:cstheme="minorBidi"/>
      <w:sz w:val="22"/>
      <w:szCs w:val="22"/>
      <w:lang w:eastAsia="en-US"/>
    </w:rPr>
  </w:style>
  <w:style w:type="table" w:styleId="TableGrid">
    <w:name w:val="Table Grid"/>
    <w:basedOn w:val="TableNormal"/>
    <w:uiPriority w:val="59"/>
    <w:rsid w:val="00AD49FB"/>
    <w:rPr>
      <w:rFonts w:ascii="Myriad Pro" w:eastAsia="Calibri" w:hAnsi="Myriad Pr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D49FB"/>
    <w:pPr>
      <w:tabs>
        <w:tab w:val="center" w:pos="4536"/>
        <w:tab w:val="right" w:pos="9072"/>
      </w:tabs>
    </w:pPr>
  </w:style>
  <w:style w:type="character" w:styleId="Hyperlink">
    <w:name w:val="Hyperlink"/>
    <w:basedOn w:val="BesediloUMARChar"/>
    <w:uiPriority w:val="99"/>
    <w:rsid w:val="00AD49FB"/>
    <w:rPr>
      <w:rFonts w:ascii="Myriad Pro" w:eastAsiaTheme="minorHAnsi" w:hAnsi="Myriad Pro" w:cstheme="minorBidi"/>
      <w:color w:val="0000FF"/>
      <w:szCs w:val="22"/>
      <w:u w:val="single"/>
      <w:lang w:eastAsia="en-US"/>
    </w:rPr>
  </w:style>
  <w:style w:type="character" w:styleId="Emphasis">
    <w:name w:val="Emphasis"/>
    <w:aliases w:val="Italic poudarek_UMAR"/>
    <w:basedOn w:val="BesediloUMARChar"/>
    <w:qFormat/>
    <w:rsid w:val="00AD49FB"/>
    <w:rPr>
      <w:rFonts w:ascii="Myriad Pro" w:eastAsiaTheme="minorHAnsi" w:hAnsi="Myriad Pro" w:cstheme="minorBidi"/>
      <w:i/>
      <w:iCs/>
      <w:szCs w:val="22"/>
      <w:lang w:eastAsia="en-US"/>
    </w:rPr>
  </w:style>
  <w:style w:type="character" w:customStyle="1" w:styleId="Heading3Char">
    <w:name w:val="Heading 3 Char"/>
    <w:aliases w:val="Heading 3_UMAR Char"/>
    <w:basedOn w:val="DefaultParagraphFont"/>
    <w:link w:val="Heading3"/>
    <w:uiPriority w:val="3"/>
    <w:rsid w:val="00AD49FB"/>
    <w:rPr>
      <w:rFonts w:ascii="Myriad Pro" w:eastAsiaTheme="minorHAnsi" w:hAnsi="Myriad Pro" w:cs="Arial"/>
      <w:b/>
      <w:bCs/>
      <w:color w:val="9E001A" w:themeColor="accent1"/>
      <w:sz w:val="24"/>
      <w:szCs w:val="26"/>
      <w:lang w:eastAsia="en-US"/>
    </w:rPr>
  </w:style>
  <w:style w:type="character" w:customStyle="1" w:styleId="Heading2Char">
    <w:name w:val="Heading 2 Char"/>
    <w:aliases w:val="Heading 2_UMAR Char"/>
    <w:basedOn w:val="DefaultParagraphFont"/>
    <w:link w:val="Heading2"/>
    <w:uiPriority w:val="2"/>
    <w:rsid w:val="00AD49FB"/>
    <w:rPr>
      <w:rFonts w:ascii="Myriad Pro" w:eastAsiaTheme="minorHAnsi" w:hAnsi="Myriad Pro" w:cstheme="minorBidi"/>
      <w:b/>
      <w:color w:val="9E001A" w:themeColor="accent1"/>
      <w:sz w:val="24"/>
      <w:szCs w:val="22"/>
      <w:lang w:eastAsia="en-US"/>
    </w:rPr>
  </w:style>
  <w:style w:type="character" w:customStyle="1" w:styleId="Heading1Char">
    <w:name w:val="Heading 1 Char"/>
    <w:aliases w:val="Heading 1_UMAR Char"/>
    <w:basedOn w:val="DefaultParagraphFont"/>
    <w:link w:val="Heading1"/>
    <w:uiPriority w:val="1"/>
    <w:rsid w:val="00AD49FB"/>
    <w:rPr>
      <w:rFonts w:ascii="Myriad Pro" w:eastAsiaTheme="minorHAnsi" w:hAnsi="Myriad Pro" w:cs="Arial"/>
      <w:b/>
      <w:bCs/>
      <w:color w:val="9E001A" w:themeColor="accent1"/>
      <w:kern w:val="32"/>
      <w:sz w:val="28"/>
      <w:szCs w:val="22"/>
      <w:lang w:eastAsia="en-US"/>
    </w:rPr>
  </w:style>
  <w:style w:type="character" w:styleId="PlaceholderText">
    <w:name w:val="Placeholder Text"/>
    <w:basedOn w:val="DefaultParagraphFont"/>
    <w:uiPriority w:val="99"/>
    <w:semiHidden/>
    <w:rsid w:val="00AD49FB"/>
    <w:rPr>
      <w:color w:val="808080"/>
    </w:rPr>
  </w:style>
  <w:style w:type="character" w:customStyle="1" w:styleId="FooterChar">
    <w:name w:val="Footer Char"/>
    <w:basedOn w:val="DefaultParagraphFont"/>
    <w:link w:val="Footer"/>
    <w:uiPriority w:val="99"/>
    <w:rsid w:val="00AD49FB"/>
    <w:rPr>
      <w:rFonts w:ascii="Myriad Pro" w:eastAsiaTheme="minorHAnsi" w:hAnsi="Myriad Pro" w:cstheme="minorBidi"/>
      <w:noProof/>
      <w:sz w:val="16"/>
      <w:szCs w:val="16"/>
      <w:lang w:eastAsia="en-US"/>
    </w:rPr>
  </w:style>
  <w:style w:type="paragraph" w:customStyle="1" w:styleId="BesediloUMAR">
    <w:name w:val="Besedilo_UMAR"/>
    <w:link w:val="BesediloUMARChar"/>
    <w:qFormat/>
    <w:rsid w:val="00AD49FB"/>
    <w:pPr>
      <w:spacing w:line="288" w:lineRule="auto"/>
      <w:jc w:val="both"/>
    </w:pPr>
    <w:rPr>
      <w:rFonts w:ascii="Myriad Pro" w:eastAsiaTheme="minorHAnsi" w:hAnsi="Myriad Pro" w:cstheme="minorBidi"/>
      <w:szCs w:val="22"/>
      <w:lang w:eastAsia="en-US"/>
    </w:rPr>
  </w:style>
  <w:style w:type="character" w:customStyle="1" w:styleId="BesediloUMARChar">
    <w:name w:val="Besedilo_UMAR Char"/>
    <w:basedOn w:val="DefaultParagraphFont"/>
    <w:link w:val="BesediloUMAR"/>
    <w:rsid w:val="00AD49FB"/>
    <w:rPr>
      <w:rFonts w:ascii="Myriad Pro" w:eastAsiaTheme="minorHAnsi" w:hAnsi="Myriad Pro" w:cstheme="minorBidi"/>
      <w:szCs w:val="22"/>
      <w:lang w:eastAsia="en-US"/>
    </w:rPr>
  </w:style>
  <w:style w:type="paragraph" w:customStyle="1" w:styleId="VirUMAR">
    <w:name w:val="Vir_UMAR"/>
    <w:basedOn w:val="BesediloUMAR"/>
    <w:link w:val="VirUMARChar"/>
    <w:uiPriority w:val="6"/>
    <w:qFormat/>
    <w:rsid w:val="00AD49FB"/>
    <w:pPr>
      <w:spacing w:before="40" w:line="240" w:lineRule="auto"/>
    </w:pPr>
    <w:rPr>
      <w:sz w:val="16"/>
    </w:rPr>
  </w:style>
  <w:style w:type="character" w:customStyle="1" w:styleId="VirUMARChar">
    <w:name w:val="Vir_UMAR Char"/>
    <w:basedOn w:val="DefaultParagraphFont"/>
    <w:link w:val="VirUMAR"/>
    <w:uiPriority w:val="6"/>
    <w:rsid w:val="00AD49FB"/>
    <w:rPr>
      <w:rFonts w:ascii="Myriad Pro" w:eastAsiaTheme="minorHAnsi" w:hAnsi="Myriad Pro" w:cstheme="minorBidi"/>
      <w:sz w:val="16"/>
      <w:szCs w:val="22"/>
      <w:lang w:eastAsia="en-US"/>
    </w:rPr>
  </w:style>
  <w:style w:type="character" w:customStyle="1" w:styleId="CaptionChar">
    <w:name w:val="Caption Char"/>
    <w:aliases w:val="Okvir/Slika/Tabela_UMAR Char"/>
    <w:basedOn w:val="DefaultParagraphFont"/>
    <w:link w:val="Caption"/>
    <w:uiPriority w:val="4"/>
    <w:rsid w:val="00AD49FB"/>
    <w:rPr>
      <w:rFonts w:ascii="Myriad Pro" w:eastAsiaTheme="minorHAnsi" w:hAnsi="Myriad Pro" w:cstheme="minorBidi"/>
      <w:b/>
      <w:bCs/>
      <w:noProof/>
      <w:lang w:eastAsia="en-US"/>
    </w:rPr>
  </w:style>
  <w:style w:type="paragraph" w:customStyle="1" w:styleId="TabelaglavadesnoUMAR">
    <w:name w:val="Tabela glava desno_UMAR"/>
    <w:link w:val="TabelaglavadesnoUMARChar"/>
    <w:uiPriority w:val="5"/>
    <w:qFormat/>
    <w:rsid w:val="00AD49FB"/>
    <w:pPr>
      <w:spacing w:before="10" w:after="10" w:line="220" w:lineRule="atLeast"/>
      <w:jc w:val="right"/>
    </w:pPr>
    <w:rPr>
      <w:rFonts w:ascii="Myriad Pro" w:eastAsiaTheme="minorHAnsi" w:hAnsi="Myriad Pro" w:cs="Calibri"/>
      <w:b/>
      <w:bCs/>
      <w:sz w:val="18"/>
      <w:szCs w:val="18"/>
      <w:lang w:eastAsia="en-US"/>
    </w:rPr>
  </w:style>
  <w:style w:type="character" w:customStyle="1" w:styleId="TabelaglavadesnoUMARChar">
    <w:name w:val="Tabela glava desno_UMAR Char"/>
    <w:basedOn w:val="DefaultParagraphFont"/>
    <w:link w:val="TabelaglavadesnoUMAR"/>
    <w:uiPriority w:val="5"/>
    <w:rsid w:val="00AD49FB"/>
    <w:rPr>
      <w:rFonts w:ascii="Myriad Pro" w:eastAsiaTheme="minorHAnsi" w:hAnsi="Myriad Pro" w:cs="Calibri"/>
      <w:b/>
      <w:bCs/>
      <w:sz w:val="18"/>
      <w:szCs w:val="18"/>
      <w:lang w:eastAsia="en-US"/>
    </w:rPr>
  </w:style>
  <w:style w:type="paragraph" w:customStyle="1" w:styleId="TabelaglavalevoUMAR">
    <w:name w:val="Tabela glava levo_UMAR"/>
    <w:basedOn w:val="TabelaglavadesnoUMAR"/>
    <w:link w:val="TabelaglavalevoUMARChar"/>
    <w:uiPriority w:val="5"/>
    <w:qFormat/>
    <w:rsid w:val="00AD49FB"/>
    <w:pPr>
      <w:jc w:val="left"/>
    </w:pPr>
  </w:style>
  <w:style w:type="paragraph" w:customStyle="1" w:styleId="TabelalevoUMAR">
    <w:name w:val="Tabela levo_UMAR"/>
    <w:basedOn w:val="TabelaglavalevoUMAR"/>
    <w:link w:val="TabelalevoUMARChar"/>
    <w:uiPriority w:val="5"/>
    <w:qFormat/>
    <w:rsid w:val="00AD49FB"/>
    <w:rPr>
      <w:b w:val="0"/>
    </w:rPr>
  </w:style>
  <w:style w:type="character" w:customStyle="1" w:styleId="TabelaglavalevoUMARChar">
    <w:name w:val="Tabela glava levo_UMAR Char"/>
    <w:basedOn w:val="TabelaglavadesnoUMARChar"/>
    <w:link w:val="TabelaglavalevoUMAR"/>
    <w:uiPriority w:val="5"/>
    <w:rsid w:val="00AD49FB"/>
    <w:rPr>
      <w:rFonts w:ascii="Myriad Pro" w:eastAsiaTheme="minorHAnsi" w:hAnsi="Myriad Pro" w:cs="Calibri"/>
      <w:b/>
      <w:bCs/>
      <w:sz w:val="18"/>
      <w:szCs w:val="18"/>
      <w:lang w:eastAsia="en-US"/>
    </w:rPr>
  </w:style>
  <w:style w:type="paragraph" w:customStyle="1" w:styleId="TabeladesnoUMAR">
    <w:name w:val="Tabela desno_UMAR"/>
    <w:basedOn w:val="TabelaglavadesnoUMAR"/>
    <w:link w:val="TabeladesnoUMARChar"/>
    <w:uiPriority w:val="5"/>
    <w:qFormat/>
    <w:rsid w:val="00AD49FB"/>
    <w:rPr>
      <w:b w:val="0"/>
    </w:rPr>
  </w:style>
  <w:style w:type="character" w:customStyle="1" w:styleId="TabelalevoUMARChar">
    <w:name w:val="Tabela levo_UMAR Char"/>
    <w:basedOn w:val="TabelaglavalevoUMARChar"/>
    <w:link w:val="TabelalevoUMAR"/>
    <w:uiPriority w:val="5"/>
    <w:rsid w:val="00AD49FB"/>
    <w:rPr>
      <w:rFonts w:ascii="Myriad Pro" w:eastAsiaTheme="minorHAnsi" w:hAnsi="Myriad Pro" w:cs="Calibri"/>
      <w:b w:val="0"/>
      <w:bCs/>
      <w:sz w:val="18"/>
      <w:szCs w:val="18"/>
      <w:lang w:eastAsia="en-US"/>
    </w:rPr>
  </w:style>
  <w:style w:type="character" w:customStyle="1" w:styleId="TabeladesnoUMARChar">
    <w:name w:val="Tabela desno_UMAR Char"/>
    <w:basedOn w:val="TabelaglavadesnoUMARChar"/>
    <w:link w:val="TabeladesnoUMAR"/>
    <w:uiPriority w:val="5"/>
    <w:rsid w:val="00AD49FB"/>
    <w:rPr>
      <w:rFonts w:ascii="Myriad Pro" w:eastAsiaTheme="minorHAnsi" w:hAnsi="Myriad Pro" w:cs="Calibri"/>
      <w:b w:val="0"/>
      <w:bCs/>
      <w:sz w:val="18"/>
      <w:szCs w:val="18"/>
      <w:lang w:eastAsia="en-US"/>
    </w:rPr>
  </w:style>
  <w:style w:type="character" w:customStyle="1" w:styleId="BoldpoudarekUMAR">
    <w:name w:val="Bold poudarek_UMAR"/>
    <w:basedOn w:val="BesediloUMARChar"/>
    <w:qFormat/>
    <w:rsid w:val="00AD49FB"/>
    <w:rPr>
      <w:rFonts w:ascii="Myriad Pro" w:eastAsiaTheme="minorHAnsi" w:hAnsi="Myriad Pro" w:cstheme="minorBidi"/>
      <w:b/>
      <w:szCs w:val="22"/>
      <w:lang w:eastAsia="en-US"/>
    </w:rPr>
  </w:style>
  <w:style w:type="paragraph" w:customStyle="1" w:styleId="NaslovnicanaslovUMAR">
    <w:name w:val="Naslovnica_naslov_UMAR"/>
    <w:basedOn w:val="Heading2"/>
    <w:link w:val="NaslovnicanaslovUMARChar"/>
    <w:uiPriority w:val="99"/>
    <w:qFormat/>
    <w:rsid w:val="00AD49FB"/>
  </w:style>
  <w:style w:type="character" w:customStyle="1" w:styleId="NaslovnicanaslovUMARChar">
    <w:name w:val="Naslovnica_naslov_UMAR Char"/>
    <w:basedOn w:val="DefaultParagraphFont"/>
    <w:link w:val="NaslovnicanaslovUMAR"/>
    <w:uiPriority w:val="99"/>
    <w:rsid w:val="00AD49FB"/>
    <w:rPr>
      <w:rFonts w:ascii="Myriad Pro" w:eastAsiaTheme="minorHAnsi" w:hAnsi="Myriad Pro" w:cstheme="minorBidi"/>
      <w:b/>
      <w:color w:val="9E001A" w:themeColor="accent1"/>
      <w:sz w:val="24"/>
      <w:szCs w:val="22"/>
      <w:lang w:eastAsia="en-US"/>
    </w:rPr>
  </w:style>
  <w:style w:type="table" w:styleId="TableGridLight">
    <w:name w:val="Grid Table Light"/>
    <w:aliases w:val="UMAR tabela"/>
    <w:basedOn w:val="TableNormal"/>
    <w:uiPriority w:val="40"/>
    <w:rsid w:val="00AD49FB"/>
    <w:rPr>
      <w:rFonts w:ascii="Myriad Pro" w:hAnsi="Myriad Pro"/>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left w:w="57" w:type="dxa"/>
        <w:right w:w="57" w:type="dxa"/>
      </w:tblCellMar>
    </w:tblPr>
    <w:tcPr>
      <w:vAlign w:val="center"/>
    </w:tcPr>
    <w:tblStylePr w:type="firstRow">
      <w:pPr>
        <w:jc w:val="right"/>
      </w:pPr>
      <w:rPr>
        <w:b w:val="0"/>
      </w:rPr>
      <w:tblPr/>
      <w:tcPr>
        <w:shd w:val="clear" w:color="auto" w:fill="DBDBDB" w:themeFill="background2"/>
      </w:tcPr>
    </w:tblStylePr>
    <w:tblStylePr w:type="firstCol">
      <w:pPr>
        <w:jc w:val="left"/>
      </w:pPr>
    </w:tblStylePr>
    <w:tblStylePr w:type="lastCol">
      <w:pPr>
        <w:jc w:val="right"/>
      </w:pPr>
    </w:tblStylePr>
    <w:tblStylePr w:type="band1Vert">
      <w:pPr>
        <w:jc w:val="right"/>
      </w:pPr>
    </w:tblStylePr>
    <w:tblStylePr w:type="band2Vert">
      <w:pPr>
        <w:jc w:val="right"/>
      </w:pPr>
    </w:tblStylePr>
  </w:style>
  <w:style w:type="table" w:styleId="PlainTable1">
    <w:name w:val="Plain Table 1"/>
    <w:basedOn w:val="TableNormal"/>
    <w:uiPriority w:val="41"/>
    <w:rsid w:val="00AD49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49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49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9F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49F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D49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D49FB"/>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semiHidden/>
    <w:unhideWhenUsed/>
    <w:rsid w:val="00AD49FB"/>
    <w:pPr>
      <w:spacing w:line="240" w:lineRule="auto"/>
    </w:pPr>
    <w:rPr>
      <w:b/>
      <w:bCs/>
    </w:rPr>
  </w:style>
  <w:style w:type="character" w:customStyle="1" w:styleId="CommentTextChar">
    <w:name w:val="Comment Text Char"/>
    <w:basedOn w:val="DefaultParagraphFont"/>
    <w:link w:val="CommentText"/>
    <w:semiHidden/>
    <w:rsid w:val="00AD49FB"/>
    <w:rPr>
      <w:rFonts w:asciiTheme="minorHAnsi" w:eastAsiaTheme="minorHAnsi" w:hAnsiTheme="minorHAnsi" w:cstheme="minorBidi"/>
      <w:sz w:val="22"/>
      <w:lang w:eastAsia="en-US"/>
    </w:rPr>
  </w:style>
  <w:style w:type="character" w:customStyle="1" w:styleId="CommentSubjectChar">
    <w:name w:val="Comment Subject Char"/>
    <w:basedOn w:val="CommentTextChar"/>
    <w:link w:val="CommentSubject"/>
    <w:semiHidden/>
    <w:rsid w:val="00AD49FB"/>
    <w:rPr>
      <w:rFonts w:asciiTheme="minorHAnsi" w:eastAsiaTheme="minorHAnsi" w:hAnsiTheme="minorHAnsi" w:cstheme="minorBidi"/>
      <w:b/>
      <w:bCs/>
      <w:sz w:val="22"/>
      <w:lang w:eastAsia="en-US"/>
    </w:rPr>
  </w:style>
  <w:style w:type="table" w:customStyle="1" w:styleId="UMARokvir">
    <w:name w:val="UMAR okvir"/>
    <w:basedOn w:val="TableNormal"/>
    <w:uiPriority w:val="99"/>
    <w:rsid w:val="00AD49FB"/>
    <w:rPr>
      <w:rFonts w:ascii="Myriad Pro" w:hAnsi="Myriad Pro"/>
    </w:rPr>
    <w:tblPr>
      <w:tblBorders>
        <w:top w:val="single" w:sz="4" w:space="0" w:color="auto"/>
        <w:left w:val="single" w:sz="4" w:space="0" w:color="auto"/>
        <w:bottom w:val="single" w:sz="4" w:space="0" w:color="auto"/>
        <w:right w:val="single" w:sz="4" w:space="0" w:color="auto"/>
      </w:tblBorders>
      <w:tblCellMar>
        <w:left w:w="227" w:type="dxa"/>
        <w:right w:w="227" w:type="dxa"/>
      </w:tblCellMar>
    </w:tblPr>
    <w:tcPr>
      <w:shd w:val="clear" w:color="auto" w:fill="DBDBDB" w:themeFill="background2"/>
    </w:tcPr>
  </w:style>
  <w:style w:type="table" w:customStyle="1" w:styleId="UMARenaba">
    <w:name w:val="UMAR enačba"/>
    <w:basedOn w:val="TableNormal"/>
    <w:uiPriority w:val="99"/>
    <w:rsid w:val="00AD49FB"/>
    <w:pPr>
      <w:jc w:val="center"/>
    </w:pPr>
    <w:rPr>
      <w:rFonts w:ascii="Myriad Pro" w:hAnsi="Myriad Pro"/>
    </w:rPr>
    <w:tblPr/>
    <w:tcPr>
      <w:vAlign w:val="center"/>
    </w:tcPr>
    <w:tblStylePr w:type="lastCol">
      <w:pPr>
        <w:jc w:val="right"/>
      </w:pPr>
    </w:tblStylePr>
  </w:style>
  <w:style w:type="paragraph" w:styleId="TOCHeading">
    <w:name w:val="TOC Heading"/>
    <w:basedOn w:val="Heading1"/>
    <w:next w:val="Normal"/>
    <w:uiPriority w:val="39"/>
    <w:unhideWhenUsed/>
    <w:rsid w:val="00AD49FB"/>
    <w:pPr>
      <w:numPr>
        <w:numId w:val="0"/>
      </w:numPr>
      <w:spacing w:before="240" w:after="0" w:line="259" w:lineRule="auto"/>
      <w:outlineLvl w:val="9"/>
    </w:pPr>
    <w:rPr>
      <w:rFonts w:eastAsiaTheme="majorEastAsia" w:cstheme="majorBidi"/>
      <w:b w:val="0"/>
      <w:bCs w:val="0"/>
      <w:color w:val="760013" w:themeColor="accent1" w:themeShade="BF"/>
      <w:kern w:val="0"/>
      <w:sz w:val="32"/>
      <w:szCs w:val="32"/>
      <w:lang w:val="en-US"/>
    </w:rPr>
  </w:style>
  <w:style w:type="paragraph" w:styleId="ListParagraph">
    <w:name w:val="List Paragraph"/>
    <w:basedOn w:val="Normal"/>
    <w:uiPriority w:val="34"/>
    <w:rsid w:val="00AD49FB"/>
    <w:pPr>
      <w:ind w:left="720"/>
      <w:contextualSpacing/>
    </w:pPr>
  </w:style>
  <w:style w:type="paragraph" w:customStyle="1" w:styleId="LiteraturaUMAR">
    <w:name w:val="Literatura_UMAR"/>
    <w:basedOn w:val="BesediloUMAR"/>
    <w:link w:val="LiteraturaUMARChar"/>
    <w:uiPriority w:val="7"/>
    <w:qFormat/>
    <w:rsid w:val="00AD49FB"/>
    <w:pPr>
      <w:numPr>
        <w:numId w:val="1"/>
      </w:numPr>
      <w:jc w:val="left"/>
    </w:pPr>
  </w:style>
  <w:style w:type="character" w:customStyle="1" w:styleId="LiteraturaUMARChar">
    <w:name w:val="Literatura_UMAR Char"/>
    <w:basedOn w:val="BesediloUMARChar"/>
    <w:link w:val="LiteraturaUMAR"/>
    <w:uiPriority w:val="7"/>
    <w:rsid w:val="00AD49FB"/>
    <w:rPr>
      <w:rFonts w:ascii="Myriad Pro" w:eastAsiaTheme="minorHAnsi" w:hAnsi="Myriad Pro" w:cstheme="minorBidi"/>
      <w:szCs w:val="22"/>
      <w:lang w:eastAsia="en-US"/>
    </w:rPr>
  </w:style>
  <w:style w:type="character" w:styleId="UnresolvedMention">
    <w:name w:val="Unresolved Mention"/>
    <w:basedOn w:val="DefaultParagraphFont"/>
    <w:uiPriority w:val="99"/>
    <w:semiHidden/>
    <w:unhideWhenUsed/>
    <w:rsid w:val="00F252B9"/>
    <w:rPr>
      <w:color w:val="605E5C"/>
      <w:shd w:val="clear" w:color="auto" w:fill="E1DFDD"/>
    </w:rPr>
  </w:style>
  <w:style w:type="paragraph" w:styleId="BodyText">
    <w:name w:val="Body Text"/>
    <w:basedOn w:val="Normal"/>
    <w:link w:val="BodyTextChar"/>
    <w:semiHidden/>
    <w:rsid w:val="00386F59"/>
    <w:pPr>
      <w:spacing w:line="240" w:lineRule="auto"/>
    </w:pPr>
    <w:rPr>
      <w:rFonts w:ascii="Times New Roman" w:hAnsi="Times New Roman" w:cs="Times New Roman"/>
      <w:sz w:val="24"/>
      <w:lang w:val="en-US"/>
    </w:rPr>
  </w:style>
  <w:style w:type="character" w:customStyle="1" w:styleId="BodyTextChar">
    <w:name w:val="Body Text Char"/>
    <w:basedOn w:val="DefaultParagraphFont"/>
    <w:link w:val="BodyText"/>
    <w:semiHidden/>
    <w:rsid w:val="00386F59"/>
    <w:rPr>
      <w:noProof/>
      <w:sz w:val="24"/>
      <w:lang w:val="en-US"/>
    </w:rPr>
  </w:style>
  <w:style w:type="paragraph" w:customStyle="1" w:styleId="TekstPOR">
    <w:name w:val="Tekst_POR"/>
    <w:basedOn w:val="Normal"/>
    <w:link w:val="TekstPORChar"/>
    <w:qFormat/>
    <w:rsid w:val="002A5A95"/>
    <w:pPr>
      <w:spacing w:before="20" w:after="20" w:line="240" w:lineRule="auto"/>
    </w:pPr>
    <w:rPr>
      <w:rFonts w:ascii="Arial" w:eastAsia="Calibri" w:hAnsi="Arial" w:cs="Times New Roman"/>
      <w:sz w:val="19"/>
    </w:rPr>
  </w:style>
  <w:style w:type="character" w:customStyle="1" w:styleId="TekstPORChar">
    <w:name w:val="Tekst_POR Char"/>
    <w:basedOn w:val="DefaultParagraphFont"/>
    <w:link w:val="TekstPOR"/>
    <w:rsid w:val="002A5A95"/>
    <w:rPr>
      <w:rFonts w:ascii="Arial" w:eastAsia="Calibri" w:hAnsi="Arial"/>
      <w:noProof/>
      <w:sz w:val="19"/>
      <w:szCs w:val="22"/>
      <w:lang w:eastAsia="en-US"/>
    </w:rPr>
  </w:style>
  <w:style w:type="character" w:styleId="Strong">
    <w:name w:val="Strong"/>
    <w:basedOn w:val="DefaultParagraphFont"/>
    <w:uiPriority w:val="22"/>
    <w:qFormat/>
    <w:rsid w:val="002A5B83"/>
    <w:rPr>
      <w:b/>
      <w:bCs/>
    </w:rPr>
  </w:style>
  <w:style w:type="paragraph" w:customStyle="1" w:styleId="vstavek">
    <w:name w:val="vstavek"/>
    <w:basedOn w:val="Normal"/>
    <w:link w:val="vstavekChar"/>
    <w:qFormat/>
    <w:rsid w:val="00A95813"/>
    <w:pPr>
      <w:spacing w:before="20" w:after="20" w:line="240" w:lineRule="auto"/>
    </w:pPr>
    <w:rPr>
      <w:rFonts w:ascii="Arial" w:eastAsia="Calibri" w:hAnsi="Arial" w:cs="Times New Roman"/>
      <w:b/>
      <w:i/>
      <w:sz w:val="19"/>
    </w:rPr>
  </w:style>
  <w:style w:type="character" w:customStyle="1" w:styleId="vstavekChar">
    <w:name w:val="vstavek Char"/>
    <w:link w:val="vstavek"/>
    <w:rsid w:val="00A95813"/>
    <w:rPr>
      <w:rFonts w:ascii="Arial" w:eastAsia="Calibri" w:hAnsi="Arial"/>
      <w:b/>
      <w:i/>
      <w:noProof/>
      <w:sz w:val="19"/>
      <w:szCs w:val="22"/>
      <w:lang w:eastAsia="en-US"/>
    </w:rPr>
  </w:style>
  <w:style w:type="paragraph" w:customStyle="1" w:styleId="Vodilnistavki">
    <w:name w:val="Vodilni stavki"/>
    <w:basedOn w:val="Normal"/>
    <w:next w:val="Normal"/>
    <w:link w:val="VodilnistavkiChar"/>
    <w:autoRedefine/>
    <w:rsid w:val="004462CC"/>
    <w:rPr>
      <w:rFonts w:ascii="Arial Narrow" w:eastAsia="Calibri" w:hAnsi="Arial Narrow" w:cs="Times New Roman"/>
      <w:b/>
      <w:i/>
      <w:szCs w:val="24"/>
    </w:rPr>
  </w:style>
  <w:style w:type="character" w:customStyle="1" w:styleId="VodilnistavkiChar">
    <w:name w:val="Vodilni stavki Char"/>
    <w:link w:val="Vodilnistavki"/>
    <w:rsid w:val="004462CC"/>
    <w:rPr>
      <w:rFonts w:ascii="Arial Narrow" w:eastAsia="Calibri" w:hAnsi="Arial Narrow"/>
      <w:b/>
      <w:i/>
      <w:noProof/>
      <w:sz w:val="22"/>
      <w:szCs w:val="24"/>
    </w:rPr>
  </w:style>
  <w:style w:type="paragraph" w:customStyle="1" w:styleId="Napispodslikotabelo">
    <w:name w:val="Napis pod sliko/tabelo"/>
    <w:basedOn w:val="Normal"/>
    <w:next w:val="Normal"/>
    <w:link w:val="NapispodslikotabeloChar"/>
    <w:autoRedefine/>
    <w:rsid w:val="00F94399"/>
    <w:pPr>
      <w:spacing w:line="240" w:lineRule="auto"/>
      <w:contextualSpacing/>
    </w:pPr>
    <w:rPr>
      <w:rFonts w:ascii="Myriad Pro" w:hAnsi="Myriad Pro" w:cs="Times New Roman"/>
      <w:sz w:val="16"/>
      <w:szCs w:val="16"/>
    </w:rPr>
  </w:style>
  <w:style w:type="character" w:customStyle="1" w:styleId="NapispodslikotabeloChar">
    <w:name w:val="Napis pod sliko/tabelo Char"/>
    <w:link w:val="Napispodslikotabelo"/>
    <w:rsid w:val="00F94399"/>
    <w:rPr>
      <w:rFonts w:ascii="Myriad Pro" w:eastAsiaTheme="minorHAnsi" w:hAnsi="Myriad Pro"/>
      <w:noProof/>
      <w:sz w:val="16"/>
      <w:szCs w:val="16"/>
      <w:lang w:eastAsia="en-US"/>
    </w:rPr>
  </w:style>
  <w:style w:type="paragraph" w:customStyle="1" w:styleId="StyleHeading1NotBold">
    <w:name w:val="Style Heading 1 + Not Bold"/>
    <w:basedOn w:val="Heading1"/>
    <w:link w:val="StyleHeading1NotBoldChar"/>
    <w:rsid w:val="004462CC"/>
    <w:pPr>
      <w:keepLines w:val="0"/>
      <w:pageBreakBefore w:val="0"/>
      <w:widowControl w:val="0"/>
      <w:numPr>
        <w:numId w:val="0"/>
      </w:numPr>
      <w:tabs>
        <w:tab w:val="left" w:pos="1134"/>
      </w:tabs>
      <w:spacing w:before="0" w:after="0" w:line="240" w:lineRule="auto"/>
      <w:jc w:val="both"/>
    </w:pPr>
    <w:rPr>
      <w:rFonts w:ascii="Times New Roman" w:eastAsia="Times New Roman" w:hAnsi="Times New Roman" w:cs="Times New Roman"/>
      <w:b w:val="0"/>
      <w:bCs w:val="0"/>
      <w:color w:val="auto"/>
      <w:kern w:val="0"/>
      <w:sz w:val="18"/>
      <w:szCs w:val="20"/>
      <w:lang w:val="en-GB" w:eastAsia="sl-SI"/>
    </w:rPr>
  </w:style>
  <w:style w:type="character" w:customStyle="1" w:styleId="StyleHeading1NotBoldChar">
    <w:name w:val="Style Heading 1 + Not Bold Char"/>
    <w:link w:val="StyleHeading1NotBold"/>
    <w:rsid w:val="004462CC"/>
    <w:rPr>
      <w:sz w:val="18"/>
      <w:lang w:val="en-GB"/>
    </w:rPr>
  </w:style>
  <w:style w:type="paragraph" w:styleId="NormalWeb">
    <w:name w:val="Normal (Web)"/>
    <w:basedOn w:val="Normal"/>
    <w:uiPriority w:val="99"/>
    <w:unhideWhenUsed/>
    <w:rsid w:val="00327B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aden9-tabela">
    <w:name w:val="Navaden 9 - tabela"/>
    <w:basedOn w:val="Normal"/>
    <w:next w:val="Normal"/>
    <w:link w:val="Navaden9-tabelaCharChar"/>
    <w:autoRedefine/>
    <w:rsid w:val="0033734A"/>
    <w:pPr>
      <w:spacing w:after="0" w:line="288" w:lineRule="auto"/>
    </w:pPr>
    <w:rPr>
      <w:rFonts w:ascii="Myriad Pro" w:eastAsia="Times New Roman" w:hAnsi="Myriad Pro" w:cs="Times New Roman"/>
      <w:sz w:val="18"/>
      <w:szCs w:val="18"/>
      <w:lang w:eastAsia="sl-SI"/>
    </w:rPr>
  </w:style>
  <w:style w:type="character" w:customStyle="1" w:styleId="Navaden9-tabelaCharChar">
    <w:name w:val="Navaden 9 - tabela Char Char"/>
    <w:link w:val="Navaden9-tabela"/>
    <w:rsid w:val="0033734A"/>
    <w:rPr>
      <w:rFonts w:ascii="Myriad Pro" w:hAnsi="Myriad Pro"/>
      <w:sz w:val="18"/>
      <w:szCs w:val="18"/>
    </w:rPr>
  </w:style>
  <w:style w:type="paragraph" w:customStyle="1" w:styleId="Navaden9krepkocenter">
    <w:name w:val="Navaden 9 krepko center"/>
    <w:basedOn w:val="Normal"/>
    <w:next w:val="Normal"/>
    <w:autoRedefine/>
    <w:rsid w:val="0033734A"/>
    <w:pPr>
      <w:spacing w:after="0" w:line="288" w:lineRule="auto"/>
      <w:jc w:val="center"/>
    </w:pPr>
    <w:rPr>
      <w:rFonts w:ascii="Arial Narrow" w:eastAsia="Times New Roman" w:hAnsi="Arial Narrow" w:cs="Times New Roman"/>
      <w:b/>
      <w:bCs/>
      <w:sz w:val="18"/>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1523">
      <w:bodyDiv w:val="1"/>
      <w:marLeft w:val="0"/>
      <w:marRight w:val="0"/>
      <w:marTop w:val="0"/>
      <w:marBottom w:val="0"/>
      <w:divBdr>
        <w:top w:val="none" w:sz="0" w:space="0" w:color="auto"/>
        <w:left w:val="none" w:sz="0" w:space="0" w:color="auto"/>
        <w:bottom w:val="none" w:sz="0" w:space="0" w:color="auto"/>
        <w:right w:val="none" w:sz="0" w:space="0" w:color="auto"/>
      </w:divBdr>
    </w:div>
    <w:div w:id="203097806">
      <w:bodyDiv w:val="1"/>
      <w:marLeft w:val="0"/>
      <w:marRight w:val="0"/>
      <w:marTop w:val="0"/>
      <w:marBottom w:val="0"/>
      <w:divBdr>
        <w:top w:val="none" w:sz="0" w:space="0" w:color="auto"/>
        <w:left w:val="none" w:sz="0" w:space="0" w:color="auto"/>
        <w:bottom w:val="none" w:sz="0" w:space="0" w:color="auto"/>
        <w:right w:val="none" w:sz="0" w:space="0" w:color="auto"/>
      </w:divBdr>
    </w:div>
    <w:div w:id="322244856">
      <w:bodyDiv w:val="1"/>
      <w:marLeft w:val="0"/>
      <w:marRight w:val="0"/>
      <w:marTop w:val="0"/>
      <w:marBottom w:val="0"/>
      <w:divBdr>
        <w:top w:val="none" w:sz="0" w:space="0" w:color="auto"/>
        <w:left w:val="none" w:sz="0" w:space="0" w:color="auto"/>
        <w:bottom w:val="none" w:sz="0" w:space="0" w:color="auto"/>
        <w:right w:val="none" w:sz="0" w:space="0" w:color="auto"/>
      </w:divBdr>
    </w:div>
    <w:div w:id="335618318">
      <w:bodyDiv w:val="1"/>
      <w:marLeft w:val="0"/>
      <w:marRight w:val="0"/>
      <w:marTop w:val="0"/>
      <w:marBottom w:val="0"/>
      <w:divBdr>
        <w:top w:val="none" w:sz="0" w:space="0" w:color="auto"/>
        <w:left w:val="none" w:sz="0" w:space="0" w:color="auto"/>
        <w:bottom w:val="none" w:sz="0" w:space="0" w:color="auto"/>
        <w:right w:val="none" w:sz="0" w:space="0" w:color="auto"/>
      </w:divBdr>
    </w:div>
    <w:div w:id="513955789">
      <w:bodyDiv w:val="1"/>
      <w:marLeft w:val="0"/>
      <w:marRight w:val="0"/>
      <w:marTop w:val="0"/>
      <w:marBottom w:val="0"/>
      <w:divBdr>
        <w:top w:val="none" w:sz="0" w:space="0" w:color="auto"/>
        <w:left w:val="none" w:sz="0" w:space="0" w:color="auto"/>
        <w:bottom w:val="none" w:sz="0" w:space="0" w:color="auto"/>
        <w:right w:val="none" w:sz="0" w:space="0" w:color="auto"/>
      </w:divBdr>
    </w:div>
    <w:div w:id="620844841">
      <w:bodyDiv w:val="1"/>
      <w:marLeft w:val="0"/>
      <w:marRight w:val="0"/>
      <w:marTop w:val="0"/>
      <w:marBottom w:val="0"/>
      <w:divBdr>
        <w:top w:val="none" w:sz="0" w:space="0" w:color="auto"/>
        <w:left w:val="none" w:sz="0" w:space="0" w:color="auto"/>
        <w:bottom w:val="none" w:sz="0" w:space="0" w:color="auto"/>
        <w:right w:val="none" w:sz="0" w:space="0" w:color="auto"/>
      </w:divBdr>
    </w:div>
    <w:div w:id="883758017">
      <w:bodyDiv w:val="1"/>
      <w:marLeft w:val="0"/>
      <w:marRight w:val="0"/>
      <w:marTop w:val="0"/>
      <w:marBottom w:val="0"/>
      <w:divBdr>
        <w:top w:val="none" w:sz="0" w:space="0" w:color="auto"/>
        <w:left w:val="none" w:sz="0" w:space="0" w:color="auto"/>
        <w:bottom w:val="none" w:sz="0" w:space="0" w:color="auto"/>
        <w:right w:val="none" w:sz="0" w:space="0" w:color="auto"/>
      </w:divBdr>
    </w:div>
    <w:div w:id="971401465">
      <w:bodyDiv w:val="1"/>
      <w:marLeft w:val="0"/>
      <w:marRight w:val="0"/>
      <w:marTop w:val="0"/>
      <w:marBottom w:val="0"/>
      <w:divBdr>
        <w:top w:val="none" w:sz="0" w:space="0" w:color="auto"/>
        <w:left w:val="none" w:sz="0" w:space="0" w:color="auto"/>
        <w:bottom w:val="none" w:sz="0" w:space="0" w:color="auto"/>
        <w:right w:val="none" w:sz="0" w:space="0" w:color="auto"/>
      </w:divBdr>
    </w:div>
    <w:div w:id="986321285">
      <w:bodyDiv w:val="1"/>
      <w:marLeft w:val="0"/>
      <w:marRight w:val="0"/>
      <w:marTop w:val="0"/>
      <w:marBottom w:val="0"/>
      <w:divBdr>
        <w:top w:val="none" w:sz="0" w:space="0" w:color="auto"/>
        <w:left w:val="none" w:sz="0" w:space="0" w:color="auto"/>
        <w:bottom w:val="none" w:sz="0" w:space="0" w:color="auto"/>
        <w:right w:val="none" w:sz="0" w:space="0" w:color="auto"/>
      </w:divBdr>
    </w:div>
    <w:div w:id="1031109431">
      <w:bodyDiv w:val="1"/>
      <w:marLeft w:val="0"/>
      <w:marRight w:val="0"/>
      <w:marTop w:val="0"/>
      <w:marBottom w:val="0"/>
      <w:divBdr>
        <w:top w:val="none" w:sz="0" w:space="0" w:color="auto"/>
        <w:left w:val="none" w:sz="0" w:space="0" w:color="auto"/>
        <w:bottom w:val="none" w:sz="0" w:space="0" w:color="auto"/>
        <w:right w:val="none" w:sz="0" w:space="0" w:color="auto"/>
      </w:divBdr>
      <w:divsChild>
        <w:div w:id="1237864819">
          <w:marLeft w:val="0"/>
          <w:marRight w:val="0"/>
          <w:marTop w:val="0"/>
          <w:marBottom w:val="0"/>
          <w:divBdr>
            <w:top w:val="none" w:sz="0" w:space="0" w:color="auto"/>
            <w:left w:val="none" w:sz="0" w:space="0" w:color="auto"/>
            <w:bottom w:val="none" w:sz="0" w:space="0" w:color="auto"/>
            <w:right w:val="none" w:sz="0" w:space="0" w:color="auto"/>
          </w:divBdr>
        </w:div>
      </w:divsChild>
    </w:div>
    <w:div w:id="1121262158">
      <w:bodyDiv w:val="1"/>
      <w:marLeft w:val="0"/>
      <w:marRight w:val="0"/>
      <w:marTop w:val="0"/>
      <w:marBottom w:val="0"/>
      <w:divBdr>
        <w:top w:val="none" w:sz="0" w:space="0" w:color="auto"/>
        <w:left w:val="none" w:sz="0" w:space="0" w:color="auto"/>
        <w:bottom w:val="none" w:sz="0" w:space="0" w:color="auto"/>
        <w:right w:val="none" w:sz="0" w:space="0" w:color="auto"/>
      </w:divBdr>
    </w:div>
    <w:div w:id="1330863317">
      <w:bodyDiv w:val="1"/>
      <w:marLeft w:val="0"/>
      <w:marRight w:val="0"/>
      <w:marTop w:val="0"/>
      <w:marBottom w:val="0"/>
      <w:divBdr>
        <w:top w:val="none" w:sz="0" w:space="0" w:color="auto"/>
        <w:left w:val="none" w:sz="0" w:space="0" w:color="auto"/>
        <w:bottom w:val="none" w:sz="0" w:space="0" w:color="auto"/>
        <w:right w:val="none" w:sz="0" w:space="0" w:color="auto"/>
      </w:divBdr>
    </w:div>
    <w:div w:id="1406731354">
      <w:bodyDiv w:val="1"/>
      <w:marLeft w:val="0"/>
      <w:marRight w:val="0"/>
      <w:marTop w:val="0"/>
      <w:marBottom w:val="0"/>
      <w:divBdr>
        <w:top w:val="none" w:sz="0" w:space="0" w:color="auto"/>
        <w:left w:val="none" w:sz="0" w:space="0" w:color="auto"/>
        <w:bottom w:val="none" w:sz="0" w:space="0" w:color="auto"/>
        <w:right w:val="none" w:sz="0" w:space="0" w:color="auto"/>
      </w:divBdr>
    </w:div>
    <w:div w:id="150038754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99">
          <w:marLeft w:val="0"/>
          <w:marRight w:val="0"/>
          <w:marTop w:val="0"/>
          <w:marBottom w:val="0"/>
          <w:divBdr>
            <w:top w:val="none" w:sz="0" w:space="0" w:color="auto"/>
            <w:left w:val="none" w:sz="0" w:space="0" w:color="auto"/>
            <w:bottom w:val="none" w:sz="0" w:space="0" w:color="auto"/>
            <w:right w:val="none" w:sz="0" w:space="0" w:color="auto"/>
          </w:divBdr>
        </w:div>
      </w:divsChild>
    </w:div>
    <w:div w:id="1595475221">
      <w:bodyDiv w:val="1"/>
      <w:marLeft w:val="0"/>
      <w:marRight w:val="0"/>
      <w:marTop w:val="0"/>
      <w:marBottom w:val="0"/>
      <w:divBdr>
        <w:top w:val="none" w:sz="0" w:space="0" w:color="auto"/>
        <w:left w:val="none" w:sz="0" w:space="0" w:color="auto"/>
        <w:bottom w:val="none" w:sz="0" w:space="0" w:color="auto"/>
        <w:right w:val="none" w:sz="0" w:space="0" w:color="auto"/>
      </w:divBdr>
    </w:div>
    <w:div w:id="175461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hyperlink" Target="https://www.umar.gov.si/"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4.png"/><Relationship Id="rId33" Type="http://schemas.openxmlformats.org/officeDocument/2006/relationships/hyperlink" Target="https://www.umar.gov.s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3.png"/><Relationship Id="rId32" Type="http://schemas.openxmlformats.org/officeDocument/2006/relationships/hyperlink" Target="https://pxweb.stat.si/pxweb/Database/Ekonomsko/Ekonomsko.asp" TargetMode="External"/><Relationship Id="rId37" Type="http://schemas.openxmlformats.org/officeDocument/2006/relationships/image" Target="media/image19.jp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www.wto.org/english/res_e/statis_e/merch_trade_stat_e.htm" TargetMode="Externa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hyperlink" Target="http://ec.europa.eu/eurostat/data/databa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www.bsi.si/statistika/podatkovne-serije/podatkovne-serije" TargetMode="External"/><Relationship Id="rId35" Type="http://schemas.openxmlformats.org/officeDocument/2006/relationships/hyperlink" Target="https://www.umar.gov.si/"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UMAR tema">
  <a:themeElements>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8A91-A14C-4690-9AF4-5F8E5EE0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5170</Words>
  <Characters>29939</Characters>
  <Application>Microsoft Office Word</Application>
  <DocSecurity>0</DocSecurity>
  <Lines>965</Lines>
  <Paragraphs>595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34514</CharactersWithSpaces>
  <SharedDoc>false</SharedDoc>
  <HLinks>
    <vt:vector size="18" baseType="variant">
      <vt:variant>
        <vt:i4>2031671</vt:i4>
      </vt:variant>
      <vt:variant>
        <vt:i4>47</vt:i4>
      </vt:variant>
      <vt:variant>
        <vt:i4>0</vt:i4>
      </vt:variant>
      <vt:variant>
        <vt:i4>5</vt:i4>
      </vt:variant>
      <vt:variant>
        <vt:lpwstr/>
      </vt:variant>
      <vt:variant>
        <vt:lpwstr>_Toc164759707</vt:lpwstr>
      </vt:variant>
      <vt:variant>
        <vt:i4>2031671</vt:i4>
      </vt:variant>
      <vt:variant>
        <vt:i4>38</vt:i4>
      </vt:variant>
      <vt:variant>
        <vt:i4>0</vt:i4>
      </vt:variant>
      <vt:variant>
        <vt:i4>5</vt:i4>
      </vt:variant>
      <vt:variant>
        <vt:lpwstr/>
      </vt:variant>
      <vt:variant>
        <vt:lpwstr>_Toc164759700</vt:lpwstr>
      </vt:variant>
      <vt:variant>
        <vt:i4>1441846</vt:i4>
      </vt:variant>
      <vt:variant>
        <vt:i4>29</vt:i4>
      </vt:variant>
      <vt:variant>
        <vt:i4>0</vt:i4>
      </vt:variant>
      <vt:variant>
        <vt:i4>5</vt:i4>
      </vt:variant>
      <vt:variant>
        <vt:lpwstr/>
      </vt:variant>
      <vt:variant>
        <vt:lpwstr>_Toc164759693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2021-09-10T09:07:00Z</dcterms:created>
  <dcterms:modified xsi:type="dcterms:W3CDTF">2021-09-10T09:16:00Z</dcterms:modified>
</cp:coreProperties>
</file>