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50F05" w14:textId="19E85466" w:rsidR="001D6793" w:rsidRPr="00BB220F" w:rsidRDefault="004B235F" w:rsidP="001D6793">
      <w:pPr>
        <w:pStyle w:val="Naslov11"/>
      </w:pPr>
      <w:r w:rsidRPr="00BB220F">
        <w:t>CHARTS OF THE WEEK</w:t>
      </w:r>
    </w:p>
    <w:p w14:paraId="636DFC9E" w14:textId="56AC3375" w:rsidR="001D6793" w:rsidRPr="00BB220F" w:rsidRDefault="00A910E7" w:rsidP="001D6793">
      <w:pPr>
        <w:pStyle w:val="Naslov21"/>
      </w:pPr>
      <w:r w:rsidRPr="00BB220F">
        <w:t xml:space="preserve">29 April–3 May 2024 </w:t>
      </w:r>
    </w:p>
    <w:p w14:paraId="0D813662" w14:textId="62600A0A" w:rsidR="00DF4F0B" w:rsidRPr="00BB220F" w:rsidRDefault="00DF4F0B"/>
    <w:p w14:paraId="196DFF85" w14:textId="77777777" w:rsidR="00916FC4" w:rsidRPr="00BB220F" w:rsidRDefault="00916FC4"/>
    <w:p w14:paraId="5F9F3DE1" w14:textId="77777777" w:rsidR="00366EB0" w:rsidRPr="00BB220F" w:rsidRDefault="00366EB0" w:rsidP="00366EB0">
      <w:pPr>
        <w:spacing w:line="240" w:lineRule="atLeast"/>
        <w:rPr>
          <w:rFonts w:cs="Myriad Pro"/>
        </w:rPr>
      </w:pPr>
      <w:r w:rsidRPr="00BB220F">
        <w:t>In April, year-on-year inflation dropped to 3%, the lowest level since October 2021. The slowdown was mainly due to less pronounced seasonal rises in prices of package holidays and clothing and footwear. Prices of food remained unchanged year-on-year, while prices of durable goods continued to fall. In the second half of April, the nominal value of fiscally verified invoices increased by 3% year-on-year, similar to the previous periods of this year. Imports and exports increased month-on-month in the first quarter but remained lower than a year ago. Sentiment in the export oriented part of the economy remained low in April. Total real turnover in market services decreased significantly in February and the year-on-year growth declined.</w:t>
      </w:r>
    </w:p>
    <w:p w14:paraId="0E8EEFD1" w14:textId="77777777" w:rsidR="00366EB0" w:rsidRPr="00BB220F" w:rsidRDefault="00366EB0" w:rsidP="00366EB0">
      <w:pPr>
        <w:tabs>
          <w:tab w:val="left" w:pos="580"/>
        </w:tabs>
      </w:pPr>
    </w:p>
    <w:p w14:paraId="1C92DACD" w14:textId="77777777" w:rsidR="00366EB0" w:rsidRPr="00BB220F" w:rsidRDefault="00366EB0" w:rsidP="00366EB0">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114"/>
        <w:gridCol w:w="3543"/>
      </w:tblGrid>
      <w:tr w:rsidR="00366EB0" w:rsidRPr="00BB220F" w14:paraId="388AF41A" w14:textId="77777777" w:rsidTr="008C664C">
        <w:trPr>
          <w:trHeight w:val="207"/>
        </w:trPr>
        <w:tc>
          <w:tcPr>
            <w:tcW w:w="6096" w:type="dxa"/>
            <w:gridSpan w:val="2"/>
            <w:tcBorders>
              <w:bottom w:val="single" w:sz="4" w:space="0" w:color="auto"/>
            </w:tcBorders>
            <w:tcMar>
              <w:left w:w="0" w:type="dxa"/>
            </w:tcMar>
          </w:tcPr>
          <w:p w14:paraId="48E0B4F3" w14:textId="77777777" w:rsidR="00366EB0" w:rsidRPr="00BB220F" w:rsidRDefault="00366EB0" w:rsidP="008C664C">
            <w:pPr>
              <w:pStyle w:val="Naslov31"/>
              <w:jc w:val="left"/>
            </w:pPr>
            <w:r w:rsidRPr="00BB220F">
              <w:t>Consumer prices, April 2024</w:t>
            </w:r>
          </w:p>
        </w:tc>
        <w:tc>
          <w:tcPr>
            <w:tcW w:w="3543" w:type="dxa"/>
            <w:tcBorders>
              <w:bottom w:val="single" w:sz="4" w:space="0" w:color="auto"/>
            </w:tcBorders>
          </w:tcPr>
          <w:p w14:paraId="6F8ABD3E" w14:textId="77777777" w:rsidR="00366EB0" w:rsidRPr="00BB220F" w:rsidRDefault="00366EB0" w:rsidP="008C664C">
            <w:pPr>
              <w:pStyle w:val="Naslov31"/>
            </w:pPr>
          </w:p>
        </w:tc>
      </w:tr>
      <w:tr w:rsidR="00366EB0" w:rsidRPr="00BB220F" w14:paraId="17395479" w14:textId="77777777" w:rsidTr="008C664C">
        <w:trPr>
          <w:trHeight w:val="1134"/>
        </w:trPr>
        <w:tc>
          <w:tcPr>
            <w:tcW w:w="4982" w:type="dxa"/>
            <w:tcBorders>
              <w:top w:val="single" w:sz="4" w:space="0" w:color="auto"/>
            </w:tcBorders>
            <w:tcMar>
              <w:left w:w="0" w:type="dxa"/>
            </w:tcMar>
          </w:tcPr>
          <w:p w14:paraId="45C35798" w14:textId="7BE0B26B" w:rsidR="00366EB0" w:rsidRPr="00BB220F" w:rsidRDefault="00F0352C" w:rsidP="008C664C">
            <w:pPr>
              <w:pStyle w:val="Odstavekseznama"/>
              <w:ind w:left="0"/>
            </w:pPr>
            <w:r w:rsidRPr="00BB220F">
              <w:rPr>
                <w:noProof/>
              </w:rPr>
              <w:drawing>
                <wp:inline distT="0" distB="0" distL="0" distR="0" wp14:anchorId="4254D2E4" wp14:editId="76299B51">
                  <wp:extent cx="3099600" cy="2548800"/>
                  <wp:effectExtent l="0" t="0" r="5715" b="444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9600" cy="2548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72044D5D" w14:textId="1905FFAC" w:rsidR="00366EB0" w:rsidRPr="00BB220F" w:rsidRDefault="00366EB0" w:rsidP="008C664C">
            <w:pPr>
              <w:rPr>
                <w:rFonts w:eastAsia="Myriad Pro" w:cs="Myriad Pro"/>
              </w:rPr>
            </w:pPr>
            <w:r w:rsidRPr="00BB220F">
              <w:rPr>
                <w:b/>
              </w:rPr>
              <w:t xml:space="preserve">After a slight increase in the preceding two months, year-on-year growth of consumer prices fell to 3% in April, marking the lowest level since October 2021. </w:t>
            </w:r>
            <w:r w:rsidRPr="00BB220F">
              <w:t>The slowdown in year-on-year growth was primarily driven by a less pronounced seasonal increase in prices of package holidays (rising by 13.8% month-on-month). The year-on-year price increase in the recreation and culture group nearly halved compared to March (3.2%), while the growth in service prices decreased by around one-quarter to 4.5%. Similarly, the seasonal price hike in the clothing and footwear group was less pronounced (4.2%), contributing to a lower price growth in semi-durable goods, which increased by 1.8% year-on-year. Prices in the food and non-alcoholic beverages group fell by 1% month-on-month but remained stable year-on-year. The prices of durable goods fell year-on-year (-0.7%). Among the twelve groups of goods and services, the most significant price increases were observed in the restaurants and hotels group (7.3% year-on-year), where growth accelerated again after a slowdown at the beginning of the year. Prices in the education and health groups are also rising rapidly (by 6.6% and 6.1% respectively).</w:t>
            </w:r>
          </w:p>
          <w:p w14:paraId="2A18DF40" w14:textId="77777777" w:rsidR="00366EB0" w:rsidRPr="00BB220F" w:rsidRDefault="00366EB0" w:rsidP="008C664C">
            <w:pPr>
              <w:rPr>
                <w:rFonts w:eastAsia="Myriad Pro" w:cs="Myriad Pro"/>
              </w:rPr>
            </w:pPr>
          </w:p>
        </w:tc>
      </w:tr>
    </w:tbl>
    <w:p w14:paraId="0D6A5E9B" w14:textId="77777777" w:rsidR="00366EB0" w:rsidRPr="00BB220F" w:rsidRDefault="00366EB0" w:rsidP="00366EB0">
      <w:pPr>
        <w:tabs>
          <w:tab w:val="left" w:pos="580"/>
        </w:tabs>
      </w:pPr>
      <w:r w:rsidRPr="00BB220F">
        <w:br w:type="page"/>
      </w: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2106"/>
        <w:gridCol w:w="2551"/>
      </w:tblGrid>
      <w:tr w:rsidR="00366EB0" w:rsidRPr="00BB220F" w14:paraId="74DD07C7" w14:textId="77777777" w:rsidTr="008C664C">
        <w:trPr>
          <w:trHeight w:val="207"/>
        </w:trPr>
        <w:tc>
          <w:tcPr>
            <w:tcW w:w="7088" w:type="dxa"/>
            <w:gridSpan w:val="2"/>
            <w:tcBorders>
              <w:bottom w:val="single" w:sz="4" w:space="0" w:color="auto"/>
            </w:tcBorders>
            <w:tcMar>
              <w:left w:w="0" w:type="dxa"/>
            </w:tcMar>
          </w:tcPr>
          <w:p w14:paraId="0027427C" w14:textId="77777777" w:rsidR="00366EB0" w:rsidRPr="00BB220F" w:rsidRDefault="00366EB0" w:rsidP="008C664C">
            <w:pPr>
              <w:pStyle w:val="Naslov31"/>
              <w:jc w:val="left"/>
            </w:pPr>
            <w:r w:rsidRPr="00BB220F">
              <w:lastRenderedPageBreak/>
              <w:t>Value of fiscally verified invoices, in nominal terms, 14–27 April 2024</w:t>
            </w:r>
          </w:p>
        </w:tc>
        <w:tc>
          <w:tcPr>
            <w:tcW w:w="2551" w:type="dxa"/>
            <w:tcBorders>
              <w:bottom w:val="single" w:sz="4" w:space="0" w:color="auto"/>
            </w:tcBorders>
          </w:tcPr>
          <w:p w14:paraId="7D2E50C1" w14:textId="77777777" w:rsidR="00366EB0" w:rsidRPr="00BB220F" w:rsidRDefault="00366EB0" w:rsidP="008C664C">
            <w:pPr>
              <w:pStyle w:val="Naslov31"/>
            </w:pPr>
          </w:p>
        </w:tc>
      </w:tr>
      <w:tr w:rsidR="00366EB0" w:rsidRPr="00BB220F" w14:paraId="33CEAB16" w14:textId="77777777" w:rsidTr="008C664C">
        <w:trPr>
          <w:trHeight w:val="1134"/>
        </w:trPr>
        <w:tc>
          <w:tcPr>
            <w:tcW w:w="4982" w:type="dxa"/>
            <w:tcBorders>
              <w:top w:val="single" w:sz="4" w:space="0" w:color="auto"/>
            </w:tcBorders>
            <w:tcMar>
              <w:left w:w="0" w:type="dxa"/>
            </w:tcMar>
          </w:tcPr>
          <w:p w14:paraId="5E805BB2" w14:textId="2D1FB328" w:rsidR="00366EB0" w:rsidRPr="00BB220F" w:rsidRDefault="00F0352C" w:rsidP="008C664C">
            <w:pPr>
              <w:pStyle w:val="Odstavekseznama"/>
              <w:ind w:left="0"/>
            </w:pPr>
            <w:r w:rsidRPr="00BB220F">
              <w:rPr>
                <w:noProof/>
              </w:rPr>
              <w:drawing>
                <wp:inline distT="0" distB="0" distL="0" distR="0" wp14:anchorId="3715C234" wp14:editId="3428BDE1">
                  <wp:extent cx="3110400" cy="257760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0400" cy="25776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7D4AA5FC" w14:textId="432BAD2D" w:rsidR="00366EB0" w:rsidRPr="00BB220F" w:rsidRDefault="00366EB0" w:rsidP="008C664C">
            <w:pPr>
              <w:rPr>
                <w:color w:val="000000"/>
                <w:shd w:val="clear" w:color="auto" w:fill="FFFFFF"/>
              </w:rPr>
            </w:pPr>
            <w:r w:rsidRPr="00BB220F">
              <w:rPr>
                <w:b/>
                <w:color w:val="000000"/>
                <w:shd w:val="clear" w:color="auto" w:fill="FFFFFF"/>
              </w:rPr>
              <w:t xml:space="preserve">The nominal value of fiscally verified invoices between 14 and 27 April was 3% higher year-on-year. </w:t>
            </w:r>
            <w:r w:rsidRPr="00BB220F">
              <w:t>Growth was similar to previous periods of this year, with the exception of fluctuations in the last two 14-day periods related to the timing of the Easter holidays.</w:t>
            </w:r>
            <w:r w:rsidRPr="00BB220F">
              <w:rPr>
                <w:color w:val="000000"/>
                <w:shd w:val="clear" w:color="auto" w:fill="FFFFFF"/>
              </w:rPr>
              <w:t xml:space="preserve"> Turnover in trade, which accounted for almost 80% of the total value of fiscally verified invoices, increased by 2% year-on-year. </w:t>
            </w:r>
            <w:r w:rsidRPr="00BB220F">
              <w:t>The highest growth was still recorded in the sale of motor vehicles (11%). Turnover in wholesale trade remained lower year-on-year. Year-on-year turnover growth in accommodation and food service activities, certain creative, arts, entertainment, and sports services, and betting and gambling weakened (overall growth in accommodation and food service activities and in other service activities</w:t>
            </w:r>
            <w:r w:rsidRPr="00BB220F">
              <w:rPr>
                <w:color w:val="000000"/>
                <w:shd w:val="clear" w:color="auto" w:fill="FFFFFF"/>
                <w:vertAlign w:val="superscript"/>
              </w:rPr>
              <w:footnoteReference w:id="2"/>
            </w:r>
            <w:r w:rsidRPr="00BB220F">
              <w:t xml:space="preserve"> was 4%, compared with an average of 8% in the previous periods of the year).</w:t>
            </w:r>
          </w:p>
        </w:tc>
      </w:tr>
    </w:tbl>
    <w:p w14:paraId="03C52CFB" w14:textId="77777777" w:rsidR="00366EB0" w:rsidRPr="00BB220F" w:rsidRDefault="00366EB0" w:rsidP="00366EB0"/>
    <w:tbl>
      <w:tblPr>
        <w:tblStyle w:val="Tabelamrea"/>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5"/>
        <w:gridCol w:w="1115"/>
        <w:gridCol w:w="3545"/>
      </w:tblGrid>
      <w:tr w:rsidR="00366EB0" w:rsidRPr="00BB220F" w14:paraId="20F660E3" w14:textId="77777777" w:rsidTr="008C664C">
        <w:trPr>
          <w:trHeight w:val="207"/>
        </w:trPr>
        <w:tc>
          <w:tcPr>
            <w:tcW w:w="6100" w:type="dxa"/>
            <w:gridSpan w:val="2"/>
            <w:tcBorders>
              <w:top w:val="nil"/>
              <w:left w:val="nil"/>
              <w:bottom w:val="single" w:sz="4" w:space="0" w:color="auto"/>
              <w:right w:val="nil"/>
            </w:tcBorders>
            <w:hideMark/>
          </w:tcPr>
          <w:p w14:paraId="3E5B3941" w14:textId="77777777" w:rsidR="00366EB0" w:rsidRPr="00BB220F" w:rsidRDefault="00366EB0" w:rsidP="008C664C">
            <w:pPr>
              <w:pStyle w:val="Naslov31"/>
              <w:jc w:val="left"/>
            </w:pPr>
            <w:r w:rsidRPr="00BB220F">
              <w:t>Trade in goods – in real terms, March 2024</w:t>
            </w:r>
          </w:p>
        </w:tc>
        <w:tc>
          <w:tcPr>
            <w:tcW w:w="3545" w:type="dxa"/>
            <w:tcBorders>
              <w:top w:val="nil"/>
              <w:left w:val="nil"/>
              <w:bottom w:val="single" w:sz="4" w:space="0" w:color="auto"/>
              <w:right w:val="nil"/>
            </w:tcBorders>
          </w:tcPr>
          <w:p w14:paraId="4CB04290" w14:textId="77777777" w:rsidR="00366EB0" w:rsidRPr="00BB220F" w:rsidRDefault="00366EB0" w:rsidP="008C664C">
            <w:pPr>
              <w:pStyle w:val="Naslov31"/>
            </w:pPr>
          </w:p>
        </w:tc>
      </w:tr>
      <w:tr w:rsidR="00366EB0" w:rsidRPr="00BB220F" w14:paraId="18B9AB30" w14:textId="77777777" w:rsidTr="008C664C">
        <w:trPr>
          <w:trHeight w:val="1134"/>
        </w:trPr>
        <w:tc>
          <w:tcPr>
            <w:tcW w:w="4985" w:type="dxa"/>
            <w:tcBorders>
              <w:top w:val="single" w:sz="4" w:space="0" w:color="auto"/>
              <w:left w:val="nil"/>
              <w:bottom w:val="nil"/>
              <w:right w:val="nil"/>
            </w:tcBorders>
          </w:tcPr>
          <w:p w14:paraId="26EF9E63" w14:textId="2D03C382" w:rsidR="00366EB0" w:rsidRPr="00BB220F" w:rsidRDefault="001E75BF" w:rsidP="008C664C">
            <w:pPr>
              <w:pStyle w:val="Odstavekseznama"/>
              <w:ind w:left="0"/>
            </w:pPr>
            <w:r w:rsidRPr="00BB220F">
              <w:rPr>
                <w:noProof/>
              </w:rPr>
              <w:drawing>
                <wp:inline distT="0" distB="0" distL="0" distR="0" wp14:anchorId="21F83730" wp14:editId="047018E3">
                  <wp:extent cx="3096000" cy="2530800"/>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6000" cy="2530800"/>
                          </a:xfrm>
                          <a:prstGeom prst="rect">
                            <a:avLst/>
                          </a:prstGeom>
                          <a:noFill/>
                        </pic:spPr>
                      </pic:pic>
                    </a:graphicData>
                  </a:graphic>
                </wp:inline>
              </w:drawing>
            </w:r>
          </w:p>
          <w:p w14:paraId="519BFF1A" w14:textId="77777777" w:rsidR="00366EB0" w:rsidRPr="00BB220F" w:rsidRDefault="00366EB0" w:rsidP="008C664C">
            <w:pPr>
              <w:pStyle w:val="Odstavekseznama"/>
              <w:ind w:left="0"/>
            </w:pPr>
          </w:p>
          <w:p w14:paraId="689658B1" w14:textId="77777777" w:rsidR="00366EB0" w:rsidRPr="00BB220F" w:rsidRDefault="00366EB0" w:rsidP="008C664C">
            <w:pPr>
              <w:pStyle w:val="Odstavekseznama"/>
              <w:ind w:left="0"/>
            </w:pPr>
          </w:p>
        </w:tc>
        <w:tc>
          <w:tcPr>
            <w:tcW w:w="4660" w:type="dxa"/>
            <w:gridSpan w:val="2"/>
            <w:tcBorders>
              <w:top w:val="single" w:sz="4" w:space="0" w:color="auto"/>
              <w:left w:val="nil"/>
              <w:bottom w:val="nil"/>
              <w:right w:val="nil"/>
            </w:tcBorders>
            <w:tcMar>
              <w:top w:w="113" w:type="dxa"/>
              <w:left w:w="284" w:type="dxa"/>
              <w:bottom w:w="113" w:type="dxa"/>
              <w:right w:w="0" w:type="dxa"/>
            </w:tcMar>
          </w:tcPr>
          <w:p w14:paraId="6AD56CBE" w14:textId="7F4DEE47" w:rsidR="00366EB0" w:rsidRPr="00BB220F" w:rsidRDefault="00366EB0" w:rsidP="008C664C">
            <w:r w:rsidRPr="00BB220F">
              <w:rPr>
                <w:b/>
              </w:rPr>
              <w:t>Trade in goods increased month-on-month in the first quarter of this year (seasonally adjusted) but was still lower than a year ago.</w:t>
            </w:r>
            <w:r w:rsidRPr="00BB220F">
              <w:rPr>
                <w:rStyle w:val="Sprotnaopomba-sklic"/>
                <w:b/>
                <w:bCs/>
              </w:rPr>
              <w:footnoteReference w:id="3"/>
            </w:r>
            <w:r w:rsidRPr="00BB220F">
              <w:t xml:space="preserve"> Real exports of goods declined by 2.1% compared to the previous quarter, while imports fell by 1%, marked by significant monthly fluctuations. Exports of vehicles rose sharply (which also contributed to the sharp increase in exports to France) and exports of chemical products also increased. Imports of intermediate goods and consumer goods contributed to the increase in imports of goods, while imports of capital goods fell (seasonally adjusted). Compared to the same period last year, both exports and imports continued to decline in the first quarter of this year, with exports to non-EU countries and imports from EU countries experiencing particularly steep declines. In April, sentiment in export-oriented industries remained subdued, and export orders remained at very low levels. In the second quarter, companies continued to cite uncertain economic conditions, weak foreign demand, and a shortage of skilled labour as the main limiting factors to business operations.</w:t>
            </w:r>
          </w:p>
        </w:tc>
      </w:tr>
    </w:tbl>
    <w:p w14:paraId="25E91526" w14:textId="77777777" w:rsidR="00366EB0" w:rsidRPr="00BB220F" w:rsidRDefault="00366EB0" w:rsidP="00366EB0"/>
    <w:p w14:paraId="79DD1BEE" w14:textId="77777777" w:rsidR="00366EB0" w:rsidRPr="00BB220F" w:rsidRDefault="00366EB0" w:rsidP="00366EB0">
      <w:pPr>
        <w:spacing w:after="160" w:line="259" w:lineRule="auto"/>
        <w:jc w:val="left"/>
      </w:pPr>
      <w:r w:rsidRPr="00BB220F">
        <w:br w:type="page"/>
      </w: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114"/>
        <w:gridCol w:w="3543"/>
      </w:tblGrid>
      <w:tr w:rsidR="00366EB0" w:rsidRPr="00BB220F" w14:paraId="2AE8057A" w14:textId="77777777" w:rsidTr="008C664C">
        <w:trPr>
          <w:trHeight w:val="207"/>
        </w:trPr>
        <w:tc>
          <w:tcPr>
            <w:tcW w:w="6096" w:type="dxa"/>
            <w:gridSpan w:val="2"/>
            <w:tcBorders>
              <w:bottom w:val="single" w:sz="4" w:space="0" w:color="auto"/>
            </w:tcBorders>
            <w:tcMar>
              <w:left w:w="0" w:type="dxa"/>
            </w:tcMar>
          </w:tcPr>
          <w:p w14:paraId="32858474" w14:textId="77777777" w:rsidR="00366EB0" w:rsidRPr="00BB220F" w:rsidRDefault="00366EB0" w:rsidP="008C664C">
            <w:pPr>
              <w:pStyle w:val="Naslov31"/>
              <w:jc w:val="left"/>
            </w:pPr>
            <w:r w:rsidRPr="00BB220F">
              <w:lastRenderedPageBreak/>
              <w:t>Turnover in market services, February 2024</w:t>
            </w:r>
          </w:p>
        </w:tc>
        <w:tc>
          <w:tcPr>
            <w:tcW w:w="3543" w:type="dxa"/>
            <w:tcBorders>
              <w:bottom w:val="single" w:sz="4" w:space="0" w:color="auto"/>
            </w:tcBorders>
          </w:tcPr>
          <w:p w14:paraId="47372DE2" w14:textId="77777777" w:rsidR="00366EB0" w:rsidRPr="00BB220F" w:rsidRDefault="00366EB0" w:rsidP="008C664C">
            <w:pPr>
              <w:pStyle w:val="Naslov31"/>
            </w:pPr>
          </w:p>
        </w:tc>
      </w:tr>
      <w:tr w:rsidR="00366EB0" w:rsidRPr="00BB220F" w14:paraId="3F1A62FF" w14:textId="77777777" w:rsidTr="008C664C">
        <w:trPr>
          <w:trHeight w:val="1134"/>
        </w:trPr>
        <w:tc>
          <w:tcPr>
            <w:tcW w:w="4982" w:type="dxa"/>
            <w:tcBorders>
              <w:top w:val="single" w:sz="4" w:space="0" w:color="auto"/>
            </w:tcBorders>
            <w:tcMar>
              <w:left w:w="0" w:type="dxa"/>
            </w:tcMar>
          </w:tcPr>
          <w:p w14:paraId="2226F303" w14:textId="034F8584" w:rsidR="00366EB0" w:rsidRPr="00BB220F" w:rsidRDefault="00F0352C" w:rsidP="008C664C">
            <w:pPr>
              <w:pStyle w:val="Odstavekseznama"/>
              <w:ind w:left="0"/>
            </w:pPr>
            <w:r w:rsidRPr="00BB220F">
              <w:rPr>
                <w:noProof/>
              </w:rPr>
              <w:drawing>
                <wp:inline distT="0" distB="0" distL="0" distR="0" wp14:anchorId="1688C5D2" wp14:editId="1CC1C889">
                  <wp:extent cx="3092400" cy="253440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2400" cy="25344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4B457DD3" w14:textId="42E42259" w:rsidR="00366EB0" w:rsidRPr="00BB220F" w:rsidRDefault="00366EB0" w:rsidP="008C664C">
            <w:r w:rsidRPr="00BB220F">
              <w:rPr>
                <w:b/>
              </w:rPr>
              <w:t>In February, total real turnover in market services fell significantly (by 1.8%), while it was 1.8% higher year-on-year in real terms.</w:t>
            </w:r>
            <w:r w:rsidRPr="00BB220F">
              <w:t xml:space="preserve"> Following robust growth in January, the most significant downturn occurred in information and communication. Additionally, a sharp decline in turnover was recorded in professional and technical activities, where only one sector, a small one in terms of turnover, recorded growth. In accommodation and food service activities, turnover fell for the second month in a row, following a period of relatively strong growth in the fourth quarter of last year. Turnover continued to decline in administrative and support service activities, with further decreases noted in employment services.</w:t>
            </w:r>
            <w:r w:rsidRPr="00BB220F">
              <w:rPr>
                <w:color w:val="000000" w:themeColor="text1"/>
              </w:rPr>
              <w:t xml:space="preserve"> Only transportation and storage recorded a slight increase in turnover, with both land transport and warehousing and storage contributing to this growth. </w:t>
            </w:r>
            <w:r w:rsidRPr="00BB220F">
              <w:t>Year-on-year growth in total turnover of market services slowed significantly in February (from 5.8% in January to 1.8%), and a marked decline was recorded in real estate activities.</w:t>
            </w:r>
          </w:p>
          <w:p w14:paraId="43F8E949" w14:textId="77777777" w:rsidR="00366EB0" w:rsidRPr="00BB220F" w:rsidRDefault="00366EB0" w:rsidP="008C664C">
            <w:pPr>
              <w:autoSpaceDE w:val="0"/>
              <w:autoSpaceDN w:val="0"/>
              <w:adjustRightInd w:val="0"/>
              <w:spacing w:line="240" w:lineRule="auto"/>
            </w:pPr>
          </w:p>
        </w:tc>
      </w:tr>
    </w:tbl>
    <w:p w14:paraId="7254A36E" w14:textId="77777777" w:rsidR="00366EB0" w:rsidRPr="00BB220F" w:rsidRDefault="00366EB0" w:rsidP="00366EB0">
      <w:pPr>
        <w:spacing w:line="259" w:lineRule="auto"/>
        <w:jc w:val="left"/>
      </w:pPr>
    </w:p>
    <w:p w14:paraId="58BDC278" w14:textId="77777777" w:rsidR="00236970" w:rsidRPr="00BB220F" w:rsidRDefault="00236970" w:rsidP="00670EF5">
      <w:pPr>
        <w:spacing w:after="160" w:line="259" w:lineRule="auto"/>
        <w:jc w:val="left"/>
      </w:pPr>
    </w:p>
    <w:p w14:paraId="09FA934F" w14:textId="6CF1E9FB" w:rsidR="007F0DED" w:rsidRPr="00BB220F" w:rsidRDefault="007F0DED" w:rsidP="00FE7254"/>
    <w:p w14:paraId="22475C0D" w14:textId="10995B66" w:rsidR="007F0DED" w:rsidRPr="00BB220F" w:rsidRDefault="007F0DED" w:rsidP="00FE7254">
      <w:pPr>
        <w:sectPr w:rsidR="007F0DED" w:rsidRPr="00BB220F" w:rsidSect="00363E63">
          <w:footerReference w:type="default" r:id="rId12"/>
          <w:headerReference w:type="first" r:id="rId13"/>
          <w:footerReference w:type="first" r:id="rId14"/>
          <w:type w:val="continuous"/>
          <w:pgSz w:w="11906" w:h="16838"/>
          <w:pgMar w:top="1134" w:right="1134" w:bottom="1021" w:left="1134" w:header="709" w:footer="397" w:gutter="0"/>
          <w:cols w:space="708"/>
          <w:titlePg/>
          <w:docGrid w:linePitch="360"/>
        </w:sectPr>
      </w:pPr>
    </w:p>
    <w:p w14:paraId="515F4F7F" w14:textId="69EAAE9B" w:rsidR="00A03401" w:rsidRPr="00BB220F" w:rsidRDefault="00BA173F" w:rsidP="00176F2E">
      <w:pPr>
        <w:tabs>
          <w:tab w:val="left" w:pos="580"/>
        </w:tabs>
        <w:ind w:left="-142"/>
      </w:pPr>
      <w:r w:rsidRPr="00BB220F">
        <w:rPr>
          <w:noProof/>
        </w:rPr>
        <w:lastRenderedPageBreak/>
        <w:drawing>
          <wp:inline distT="0" distB="0" distL="0" distR="0" wp14:anchorId="156941B7" wp14:editId="713E1066">
            <wp:extent cx="6120130" cy="848423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8484235"/>
                    </a:xfrm>
                    <a:prstGeom prst="rect">
                      <a:avLst/>
                    </a:prstGeom>
                    <a:noFill/>
                    <a:ln>
                      <a:noFill/>
                    </a:ln>
                  </pic:spPr>
                </pic:pic>
              </a:graphicData>
            </a:graphic>
          </wp:inline>
        </w:drawing>
      </w:r>
    </w:p>
    <w:p w14:paraId="26A312A6" w14:textId="41A5F6ED" w:rsidR="002E69B6" w:rsidRPr="00BB220F" w:rsidRDefault="002E69B6" w:rsidP="00C26C8D">
      <w:pPr>
        <w:tabs>
          <w:tab w:val="left" w:pos="580"/>
        </w:tabs>
      </w:pPr>
    </w:p>
    <w:sectPr w:rsidR="002E69B6" w:rsidRPr="00BB220F" w:rsidSect="00363E63">
      <w:headerReference w:type="default" r:id="rId16"/>
      <w:footerReference w:type="default" r:id="rId17"/>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22B0A" w14:textId="77777777" w:rsidR="00E77240" w:rsidRDefault="00E77240" w:rsidP="0063497B">
      <w:pPr>
        <w:spacing w:line="240" w:lineRule="auto"/>
      </w:pPr>
      <w:r>
        <w:separator/>
      </w:r>
    </w:p>
  </w:endnote>
  <w:endnote w:type="continuationSeparator" w:id="0">
    <w:p w14:paraId="7691AE57" w14:textId="77777777" w:rsidR="00E77240" w:rsidRDefault="00E77240" w:rsidP="0063497B">
      <w:pPr>
        <w:spacing w:line="240" w:lineRule="auto"/>
      </w:pPr>
      <w:r>
        <w:continuationSeparator/>
      </w:r>
    </w:p>
  </w:endnote>
  <w:endnote w:type="continuationNotice" w:id="1">
    <w:p w14:paraId="4A38E9A7" w14:textId="77777777" w:rsidR="00E77240" w:rsidRDefault="00E772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242D" w14:textId="532304C9"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9913" w14:textId="017B7F72"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BB8D" w14:textId="77777777" w:rsidR="009A0978" w:rsidRPr="00C26C8D" w:rsidRDefault="009A0978"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9A0978" w:rsidRPr="00C26C8D" w:rsidRDefault="009A0978" w:rsidP="00C26C8D">
    <w:pPr>
      <w:pStyle w:val="Naslov31"/>
      <w:tabs>
        <w:tab w:val="right" w:pos="9638"/>
      </w:tabs>
      <w:jc w:val="left"/>
      <w:rPr>
        <w:b w:val="0"/>
        <w:sz w:val="18"/>
        <w:szCs w:val="18"/>
      </w:rPr>
    </w:pPr>
  </w:p>
  <w:p w14:paraId="6B87A005" w14:textId="77777777" w:rsidR="009A0978" w:rsidRPr="00363E63" w:rsidRDefault="009A0978"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EDC50" w14:textId="77777777" w:rsidR="00E77240" w:rsidRDefault="00E77240" w:rsidP="0063497B">
      <w:pPr>
        <w:spacing w:line="240" w:lineRule="auto"/>
      </w:pPr>
      <w:r>
        <w:separator/>
      </w:r>
    </w:p>
  </w:footnote>
  <w:footnote w:type="continuationSeparator" w:id="0">
    <w:p w14:paraId="46D945E5" w14:textId="77777777" w:rsidR="00E77240" w:rsidRDefault="00E77240" w:rsidP="0063497B">
      <w:pPr>
        <w:spacing w:line="240" w:lineRule="auto"/>
      </w:pPr>
      <w:r>
        <w:continuationSeparator/>
      </w:r>
    </w:p>
  </w:footnote>
  <w:footnote w:type="continuationNotice" w:id="1">
    <w:p w14:paraId="010EFA14" w14:textId="77777777" w:rsidR="00E77240" w:rsidRDefault="00E77240">
      <w:pPr>
        <w:spacing w:line="240" w:lineRule="auto"/>
      </w:pPr>
    </w:p>
  </w:footnote>
  <w:footnote w:id="2">
    <w:p w14:paraId="0F2F893D" w14:textId="77777777" w:rsidR="00366EB0" w:rsidRPr="00E81E0B" w:rsidRDefault="00366EB0" w:rsidP="00366EB0">
      <w:pPr>
        <w:pStyle w:val="Sprotnaopomba-besedilo"/>
        <w:rPr>
          <w:rFonts w:eastAsia="Myriad Pro" w:cs="Myriad Pro"/>
          <w:color w:val="000000" w:themeColor="text1"/>
          <w:szCs w:val="16"/>
        </w:rPr>
      </w:pPr>
      <w:r>
        <w:rPr>
          <w:rStyle w:val="Sprotnaopomba-sklic"/>
          <w:szCs w:val="16"/>
        </w:rPr>
        <w:footnoteRef/>
      </w:r>
      <w:r>
        <w:t xml:space="preserve"> Activities R, S and T according to NACE classification</w:t>
      </w:r>
      <w:r>
        <w:rPr>
          <w:color w:val="000000" w:themeColor="text1"/>
        </w:rPr>
        <w:t xml:space="preserve">. </w:t>
      </w:r>
    </w:p>
  </w:footnote>
  <w:footnote w:id="3">
    <w:p w14:paraId="2DB0A4A8" w14:textId="77777777" w:rsidR="00366EB0" w:rsidRDefault="00366EB0" w:rsidP="00366EB0">
      <w:pPr>
        <w:pStyle w:val="Sprotnaopomba-besedilo"/>
      </w:pPr>
      <w:r>
        <w:rPr>
          <w:rStyle w:val="Sprotnaopomba-sklic"/>
        </w:rPr>
        <w:footnoteRef/>
      </w:r>
      <w:r>
        <w:t xml:space="preserve"> According to the external trade statistics by SURS. Deflation and seasonal adjustment by IMAD. Total exports and imports adjusted for the estimate of goods processing in connection with the trade in pharmaceutical products with Switzerland.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A66C" w14:textId="02F88B65" w:rsidR="009A0978" w:rsidRDefault="009A0978" w:rsidP="00652795">
    <w:pPr>
      <w:jc w:val="right"/>
    </w:pPr>
    <w:r>
      <w:rPr>
        <w:noProof/>
      </w:rPr>
      <w:drawing>
        <wp:anchor distT="0" distB="0" distL="114300" distR="114300" simplePos="0" relativeHeight="251658240" behindDoc="0" locked="0" layoutInCell="1" allowOverlap="1" wp14:anchorId="254C5F65" wp14:editId="4ADD8BF1">
          <wp:simplePos x="0" y="0"/>
          <wp:positionH relativeFrom="column">
            <wp:posOffset>-313690</wp:posOffset>
          </wp:positionH>
          <wp:positionV relativeFrom="paragraph">
            <wp:posOffset>60960</wp:posOffset>
          </wp:positionV>
          <wp:extent cx="1155700" cy="1002030"/>
          <wp:effectExtent l="0" t="0" r="6350" b="7620"/>
          <wp:wrapTopAndBottom/>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7 May 2024</w:t>
    </w:r>
  </w:p>
  <w:p w14:paraId="4BCD6FCD" w14:textId="77777777" w:rsidR="009A0978" w:rsidRDefault="009A0978" w:rsidP="00FE7254">
    <w:pPr>
      <w:jc w:val="right"/>
    </w:pPr>
  </w:p>
  <w:p w14:paraId="2346E65D" w14:textId="77777777" w:rsidR="009A0978" w:rsidRDefault="009A0978" w:rsidP="00FE7254">
    <w:pPr>
      <w:jc w:val="right"/>
    </w:pPr>
  </w:p>
  <w:p w14:paraId="72003DEC" w14:textId="77777777" w:rsidR="009A0978" w:rsidRDefault="009A0978"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F943" w14:textId="77777777" w:rsidR="009A0978" w:rsidRPr="00C26C8D" w:rsidRDefault="009A0978" w:rsidP="00C26C8D">
    <w:pPr>
      <w:pStyle w:val="Glava"/>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16cid:durableId="1725837968">
    <w:abstractNumId w:val="0"/>
  </w:num>
  <w:num w:numId="2" w16cid:durableId="2078896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70"/>
  <w:hyphenationZone w:val="425"/>
  <w:drawingGridHorizontalSpacing w:val="4933"/>
  <w:drawingGridVerticalSpacing w:val="3118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3C90"/>
    <w:rsid w:val="00004D56"/>
    <w:rsid w:val="00005E4B"/>
    <w:rsid w:val="00006CDC"/>
    <w:rsid w:val="00014A64"/>
    <w:rsid w:val="00016923"/>
    <w:rsid w:val="00021B8C"/>
    <w:rsid w:val="00022B08"/>
    <w:rsid w:val="0002391A"/>
    <w:rsid w:val="00024EF0"/>
    <w:rsid w:val="000257A3"/>
    <w:rsid w:val="00026AAA"/>
    <w:rsid w:val="0003025F"/>
    <w:rsid w:val="000407E8"/>
    <w:rsid w:val="00041021"/>
    <w:rsid w:val="0004116E"/>
    <w:rsid w:val="000425EA"/>
    <w:rsid w:val="0004410D"/>
    <w:rsid w:val="0004734E"/>
    <w:rsid w:val="00050078"/>
    <w:rsid w:val="0005322C"/>
    <w:rsid w:val="00054458"/>
    <w:rsid w:val="00054692"/>
    <w:rsid w:val="00054B17"/>
    <w:rsid w:val="00055BD4"/>
    <w:rsid w:val="00060808"/>
    <w:rsid w:val="00061F03"/>
    <w:rsid w:val="00062E0D"/>
    <w:rsid w:val="00063EB4"/>
    <w:rsid w:val="00064E87"/>
    <w:rsid w:val="00065B72"/>
    <w:rsid w:val="00066060"/>
    <w:rsid w:val="00070313"/>
    <w:rsid w:val="000703C7"/>
    <w:rsid w:val="00070B6E"/>
    <w:rsid w:val="00071007"/>
    <w:rsid w:val="00073C2B"/>
    <w:rsid w:val="00077F13"/>
    <w:rsid w:val="000802F5"/>
    <w:rsid w:val="00083B7F"/>
    <w:rsid w:val="00087E6A"/>
    <w:rsid w:val="00092592"/>
    <w:rsid w:val="00092E40"/>
    <w:rsid w:val="00093214"/>
    <w:rsid w:val="00096101"/>
    <w:rsid w:val="00097DD5"/>
    <w:rsid w:val="000A4C85"/>
    <w:rsid w:val="000A5A42"/>
    <w:rsid w:val="000A6A64"/>
    <w:rsid w:val="000A7BDC"/>
    <w:rsid w:val="000B2332"/>
    <w:rsid w:val="000B2627"/>
    <w:rsid w:val="000B5B96"/>
    <w:rsid w:val="000C450B"/>
    <w:rsid w:val="000C529C"/>
    <w:rsid w:val="000C5DFC"/>
    <w:rsid w:val="000D3F8B"/>
    <w:rsid w:val="000D4661"/>
    <w:rsid w:val="000D5FF8"/>
    <w:rsid w:val="000D7845"/>
    <w:rsid w:val="000E0101"/>
    <w:rsid w:val="000E0B03"/>
    <w:rsid w:val="000E0C96"/>
    <w:rsid w:val="000E78BA"/>
    <w:rsid w:val="000F18E2"/>
    <w:rsid w:val="000F2B8F"/>
    <w:rsid w:val="000F2E14"/>
    <w:rsid w:val="000F5315"/>
    <w:rsid w:val="00101E8B"/>
    <w:rsid w:val="00107088"/>
    <w:rsid w:val="00110B3C"/>
    <w:rsid w:val="00111DFE"/>
    <w:rsid w:val="00112B3E"/>
    <w:rsid w:val="00115501"/>
    <w:rsid w:val="00115E8D"/>
    <w:rsid w:val="00116668"/>
    <w:rsid w:val="00120162"/>
    <w:rsid w:val="00121D90"/>
    <w:rsid w:val="00123A5A"/>
    <w:rsid w:val="00123D52"/>
    <w:rsid w:val="001255CD"/>
    <w:rsid w:val="0012725B"/>
    <w:rsid w:val="00127822"/>
    <w:rsid w:val="00133E20"/>
    <w:rsid w:val="0014161A"/>
    <w:rsid w:val="00150890"/>
    <w:rsid w:val="00150D0F"/>
    <w:rsid w:val="001557F1"/>
    <w:rsid w:val="0016111E"/>
    <w:rsid w:val="00161807"/>
    <w:rsid w:val="00162E99"/>
    <w:rsid w:val="00164543"/>
    <w:rsid w:val="00167096"/>
    <w:rsid w:val="00170703"/>
    <w:rsid w:val="0017386C"/>
    <w:rsid w:val="00175B27"/>
    <w:rsid w:val="00176407"/>
    <w:rsid w:val="00176F2E"/>
    <w:rsid w:val="0018081D"/>
    <w:rsid w:val="00181CF5"/>
    <w:rsid w:val="00182319"/>
    <w:rsid w:val="001847BE"/>
    <w:rsid w:val="00187DC1"/>
    <w:rsid w:val="00190B5F"/>
    <w:rsid w:val="0019138D"/>
    <w:rsid w:val="00191F0E"/>
    <w:rsid w:val="00192B58"/>
    <w:rsid w:val="001A0B7D"/>
    <w:rsid w:val="001A0C6A"/>
    <w:rsid w:val="001A0C98"/>
    <w:rsid w:val="001A3E47"/>
    <w:rsid w:val="001A656B"/>
    <w:rsid w:val="001B475E"/>
    <w:rsid w:val="001B6AE7"/>
    <w:rsid w:val="001B6FAE"/>
    <w:rsid w:val="001B7402"/>
    <w:rsid w:val="001C03A0"/>
    <w:rsid w:val="001C2D69"/>
    <w:rsid w:val="001C3E55"/>
    <w:rsid w:val="001D1DF5"/>
    <w:rsid w:val="001D2917"/>
    <w:rsid w:val="001D3E77"/>
    <w:rsid w:val="001D6793"/>
    <w:rsid w:val="001D76BE"/>
    <w:rsid w:val="001E3587"/>
    <w:rsid w:val="001E3956"/>
    <w:rsid w:val="001E66B1"/>
    <w:rsid w:val="001E75BF"/>
    <w:rsid w:val="001F4E8F"/>
    <w:rsid w:val="001F4EE0"/>
    <w:rsid w:val="001F51CD"/>
    <w:rsid w:val="001F5764"/>
    <w:rsid w:val="002040EA"/>
    <w:rsid w:val="0020683D"/>
    <w:rsid w:val="00213015"/>
    <w:rsid w:val="00215DA0"/>
    <w:rsid w:val="002220F4"/>
    <w:rsid w:val="0022245A"/>
    <w:rsid w:val="002229E0"/>
    <w:rsid w:val="00222F75"/>
    <w:rsid w:val="0022644C"/>
    <w:rsid w:val="00226C04"/>
    <w:rsid w:val="002362D3"/>
    <w:rsid w:val="00236656"/>
    <w:rsid w:val="00236970"/>
    <w:rsid w:val="002374F8"/>
    <w:rsid w:val="0024091B"/>
    <w:rsid w:val="0024119A"/>
    <w:rsid w:val="00242C71"/>
    <w:rsid w:val="0024323E"/>
    <w:rsid w:val="00243593"/>
    <w:rsid w:val="0024378B"/>
    <w:rsid w:val="00243C84"/>
    <w:rsid w:val="002461D2"/>
    <w:rsid w:val="00246CF1"/>
    <w:rsid w:val="002511CF"/>
    <w:rsid w:val="00252E25"/>
    <w:rsid w:val="00253AF0"/>
    <w:rsid w:val="002540FD"/>
    <w:rsid w:val="002551D9"/>
    <w:rsid w:val="00255F95"/>
    <w:rsid w:val="0026341B"/>
    <w:rsid w:val="00263CDF"/>
    <w:rsid w:val="0026509A"/>
    <w:rsid w:val="00271747"/>
    <w:rsid w:val="0027286B"/>
    <w:rsid w:val="00274D3F"/>
    <w:rsid w:val="00283763"/>
    <w:rsid w:val="0028665C"/>
    <w:rsid w:val="00290CA7"/>
    <w:rsid w:val="00291679"/>
    <w:rsid w:val="0029405F"/>
    <w:rsid w:val="00296BEC"/>
    <w:rsid w:val="002A62E5"/>
    <w:rsid w:val="002B025E"/>
    <w:rsid w:val="002B058F"/>
    <w:rsid w:val="002B113D"/>
    <w:rsid w:val="002B4319"/>
    <w:rsid w:val="002B4C3A"/>
    <w:rsid w:val="002B5361"/>
    <w:rsid w:val="002B617D"/>
    <w:rsid w:val="002B67C9"/>
    <w:rsid w:val="002C5AFE"/>
    <w:rsid w:val="002C75CC"/>
    <w:rsid w:val="002D46EF"/>
    <w:rsid w:val="002D753B"/>
    <w:rsid w:val="002D77C5"/>
    <w:rsid w:val="002E20DD"/>
    <w:rsid w:val="002E64A4"/>
    <w:rsid w:val="002E655C"/>
    <w:rsid w:val="002E69B6"/>
    <w:rsid w:val="002E6F0D"/>
    <w:rsid w:val="002E6FAD"/>
    <w:rsid w:val="002E7284"/>
    <w:rsid w:val="002F00BB"/>
    <w:rsid w:val="002F0448"/>
    <w:rsid w:val="002F45CB"/>
    <w:rsid w:val="00301B51"/>
    <w:rsid w:val="00302FFB"/>
    <w:rsid w:val="00305883"/>
    <w:rsid w:val="00306767"/>
    <w:rsid w:val="00312D09"/>
    <w:rsid w:val="003159CC"/>
    <w:rsid w:val="00325655"/>
    <w:rsid w:val="0032707E"/>
    <w:rsid w:val="00327AF7"/>
    <w:rsid w:val="0033042F"/>
    <w:rsid w:val="003305D2"/>
    <w:rsid w:val="00330DEB"/>
    <w:rsid w:val="00331DD6"/>
    <w:rsid w:val="00333B2F"/>
    <w:rsid w:val="0034156F"/>
    <w:rsid w:val="00342C48"/>
    <w:rsid w:val="00342F7A"/>
    <w:rsid w:val="0034385F"/>
    <w:rsid w:val="003443B1"/>
    <w:rsid w:val="00345706"/>
    <w:rsid w:val="00346E79"/>
    <w:rsid w:val="00350999"/>
    <w:rsid w:val="00350A64"/>
    <w:rsid w:val="00350EC8"/>
    <w:rsid w:val="003524EB"/>
    <w:rsid w:val="00355359"/>
    <w:rsid w:val="0035658B"/>
    <w:rsid w:val="00356832"/>
    <w:rsid w:val="00363E63"/>
    <w:rsid w:val="003640E5"/>
    <w:rsid w:val="00364A8F"/>
    <w:rsid w:val="00365D68"/>
    <w:rsid w:val="00366D68"/>
    <w:rsid w:val="00366EB0"/>
    <w:rsid w:val="00371828"/>
    <w:rsid w:val="00374467"/>
    <w:rsid w:val="00374B90"/>
    <w:rsid w:val="0037709E"/>
    <w:rsid w:val="00380056"/>
    <w:rsid w:val="00381BE5"/>
    <w:rsid w:val="00381F22"/>
    <w:rsid w:val="00381F6A"/>
    <w:rsid w:val="003831A6"/>
    <w:rsid w:val="0038500A"/>
    <w:rsid w:val="00386C31"/>
    <w:rsid w:val="00390947"/>
    <w:rsid w:val="00394109"/>
    <w:rsid w:val="00394FBC"/>
    <w:rsid w:val="00396859"/>
    <w:rsid w:val="003974F8"/>
    <w:rsid w:val="003A180E"/>
    <w:rsid w:val="003A1B12"/>
    <w:rsid w:val="003A23E4"/>
    <w:rsid w:val="003A26B5"/>
    <w:rsid w:val="003A49D8"/>
    <w:rsid w:val="003A50F3"/>
    <w:rsid w:val="003B14A1"/>
    <w:rsid w:val="003B55C2"/>
    <w:rsid w:val="003B76CF"/>
    <w:rsid w:val="003B7B25"/>
    <w:rsid w:val="003C0556"/>
    <w:rsid w:val="003C1005"/>
    <w:rsid w:val="003C2454"/>
    <w:rsid w:val="003C3C52"/>
    <w:rsid w:val="003C44D9"/>
    <w:rsid w:val="003C4E6F"/>
    <w:rsid w:val="003C614E"/>
    <w:rsid w:val="003C6951"/>
    <w:rsid w:val="003D0FA7"/>
    <w:rsid w:val="003D1203"/>
    <w:rsid w:val="003D2CFA"/>
    <w:rsid w:val="003D3D5B"/>
    <w:rsid w:val="003D58DF"/>
    <w:rsid w:val="003D697A"/>
    <w:rsid w:val="003E0230"/>
    <w:rsid w:val="003E5239"/>
    <w:rsid w:val="003E5ADA"/>
    <w:rsid w:val="003E5C15"/>
    <w:rsid w:val="003E64D6"/>
    <w:rsid w:val="003E6BD7"/>
    <w:rsid w:val="003F30E4"/>
    <w:rsid w:val="003F4C1B"/>
    <w:rsid w:val="004041D4"/>
    <w:rsid w:val="0040719E"/>
    <w:rsid w:val="004079CD"/>
    <w:rsid w:val="004123A3"/>
    <w:rsid w:val="00415098"/>
    <w:rsid w:val="00416E12"/>
    <w:rsid w:val="004204B9"/>
    <w:rsid w:val="0042504D"/>
    <w:rsid w:val="004255B4"/>
    <w:rsid w:val="004271E0"/>
    <w:rsid w:val="00431E69"/>
    <w:rsid w:val="00431EDD"/>
    <w:rsid w:val="00434D49"/>
    <w:rsid w:val="004351F9"/>
    <w:rsid w:val="004368FB"/>
    <w:rsid w:val="00444120"/>
    <w:rsid w:val="00445954"/>
    <w:rsid w:val="00446303"/>
    <w:rsid w:val="0044650F"/>
    <w:rsid w:val="0045024D"/>
    <w:rsid w:val="00452589"/>
    <w:rsid w:val="00452804"/>
    <w:rsid w:val="004533D3"/>
    <w:rsid w:val="0045444B"/>
    <w:rsid w:val="00454E68"/>
    <w:rsid w:val="00455141"/>
    <w:rsid w:val="00461BCB"/>
    <w:rsid w:val="00462BA6"/>
    <w:rsid w:val="004636A5"/>
    <w:rsid w:val="00464D01"/>
    <w:rsid w:val="00466595"/>
    <w:rsid w:val="00466EBD"/>
    <w:rsid w:val="00467144"/>
    <w:rsid w:val="0046726B"/>
    <w:rsid w:val="00467D2C"/>
    <w:rsid w:val="004712B8"/>
    <w:rsid w:val="004729A1"/>
    <w:rsid w:val="00472EF9"/>
    <w:rsid w:val="0047514E"/>
    <w:rsid w:val="00477274"/>
    <w:rsid w:val="0048123F"/>
    <w:rsid w:val="00485BB1"/>
    <w:rsid w:val="0049501B"/>
    <w:rsid w:val="00496E7F"/>
    <w:rsid w:val="004970E5"/>
    <w:rsid w:val="00497D53"/>
    <w:rsid w:val="004A37A6"/>
    <w:rsid w:val="004A574A"/>
    <w:rsid w:val="004A6A8D"/>
    <w:rsid w:val="004B013F"/>
    <w:rsid w:val="004B235F"/>
    <w:rsid w:val="004B2A84"/>
    <w:rsid w:val="004B402C"/>
    <w:rsid w:val="004B49B6"/>
    <w:rsid w:val="004C0A16"/>
    <w:rsid w:val="004C278D"/>
    <w:rsid w:val="004C2835"/>
    <w:rsid w:val="004C30D1"/>
    <w:rsid w:val="004C4D7C"/>
    <w:rsid w:val="004D0C06"/>
    <w:rsid w:val="004D1C88"/>
    <w:rsid w:val="004D2BC3"/>
    <w:rsid w:val="004D2D1C"/>
    <w:rsid w:val="004D4230"/>
    <w:rsid w:val="004D5D4E"/>
    <w:rsid w:val="004D63EF"/>
    <w:rsid w:val="004E107A"/>
    <w:rsid w:val="004E1AF2"/>
    <w:rsid w:val="004E1F41"/>
    <w:rsid w:val="004E2181"/>
    <w:rsid w:val="004E3231"/>
    <w:rsid w:val="004F320B"/>
    <w:rsid w:val="004F3835"/>
    <w:rsid w:val="004F4E7E"/>
    <w:rsid w:val="004F61F1"/>
    <w:rsid w:val="004F72E3"/>
    <w:rsid w:val="00506505"/>
    <w:rsid w:val="00506E6D"/>
    <w:rsid w:val="00520115"/>
    <w:rsid w:val="005224F3"/>
    <w:rsid w:val="005237A1"/>
    <w:rsid w:val="0052505D"/>
    <w:rsid w:val="00525F2B"/>
    <w:rsid w:val="0053059D"/>
    <w:rsid w:val="005321D5"/>
    <w:rsid w:val="005326CC"/>
    <w:rsid w:val="00533109"/>
    <w:rsid w:val="00534457"/>
    <w:rsid w:val="005361E9"/>
    <w:rsid w:val="0054158F"/>
    <w:rsid w:val="00543B6F"/>
    <w:rsid w:val="005468A2"/>
    <w:rsid w:val="00546DBF"/>
    <w:rsid w:val="0055126B"/>
    <w:rsid w:val="00555A80"/>
    <w:rsid w:val="00560CB1"/>
    <w:rsid w:val="00561C9A"/>
    <w:rsid w:val="00564C4A"/>
    <w:rsid w:val="0056680E"/>
    <w:rsid w:val="00566D6E"/>
    <w:rsid w:val="00573CF2"/>
    <w:rsid w:val="00575AF2"/>
    <w:rsid w:val="0058006D"/>
    <w:rsid w:val="0058052D"/>
    <w:rsid w:val="005806D5"/>
    <w:rsid w:val="005965AF"/>
    <w:rsid w:val="00596B4C"/>
    <w:rsid w:val="005977D2"/>
    <w:rsid w:val="005A2EF5"/>
    <w:rsid w:val="005A70C8"/>
    <w:rsid w:val="005A7DEB"/>
    <w:rsid w:val="005B0C7D"/>
    <w:rsid w:val="005B14DE"/>
    <w:rsid w:val="005B4C57"/>
    <w:rsid w:val="005B6317"/>
    <w:rsid w:val="005B6FC5"/>
    <w:rsid w:val="005C2106"/>
    <w:rsid w:val="005C2C5C"/>
    <w:rsid w:val="005C3B6F"/>
    <w:rsid w:val="005C489E"/>
    <w:rsid w:val="005C4D2E"/>
    <w:rsid w:val="005D285A"/>
    <w:rsid w:val="005D3726"/>
    <w:rsid w:val="005D7020"/>
    <w:rsid w:val="005D7078"/>
    <w:rsid w:val="005D71A4"/>
    <w:rsid w:val="005E0019"/>
    <w:rsid w:val="005E6F08"/>
    <w:rsid w:val="005F0D7D"/>
    <w:rsid w:val="005F2004"/>
    <w:rsid w:val="005F5C51"/>
    <w:rsid w:val="00600E28"/>
    <w:rsid w:val="0060240D"/>
    <w:rsid w:val="0060300C"/>
    <w:rsid w:val="0060578A"/>
    <w:rsid w:val="0060627C"/>
    <w:rsid w:val="00611EF0"/>
    <w:rsid w:val="00612374"/>
    <w:rsid w:val="00613F54"/>
    <w:rsid w:val="00613F73"/>
    <w:rsid w:val="00614A02"/>
    <w:rsid w:val="00623BBE"/>
    <w:rsid w:val="006269CE"/>
    <w:rsid w:val="00632222"/>
    <w:rsid w:val="0063497B"/>
    <w:rsid w:val="00637D5B"/>
    <w:rsid w:val="006421BC"/>
    <w:rsid w:val="00643ACC"/>
    <w:rsid w:val="00650921"/>
    <w:rsid w:val="00652795"/>
    <w:rsid w:val="00653A02"/>
    <w:rsid w:val="0065447B"/>
    <w:rsid w:val="00654FA7"/>
    <w:rsid w:val="006571E5"/>
    <w:rsid w:val="00657585"/>
    <w:rsid w:val="00662E1E"/>
    <w:rsid w:val="0066322D"/>
    <w:rsid w:val="0067095F"/>
    <w:rsid w:val="00670EF5"/>
    <w:rsid w:val="00671853"/>
    <w:rsid w:val="00675AAB"/>
    <w:rsid w:val="00681569"/>
    <w:rsid w:val="006851CA"/>
    <w:rsid w:val="006875F1"/>
    <w:rsid w:val="00687A6B"/>
    <w:rsid w:val="00692347"/>
    <w:rsid w:val="006923E4"/>
    <w:rsid w:val="00693635"/>
    <w:rsid w:val="006965FC"/>
    <w:rsid w:val="006979EF"/>
    <w:rsid w:val="006A15CC"/>
    <w:rsid w:val="006A2CFB"/>
    <w:rsid w:val="006A2E83"/>
    <w:rsid w:val="006A595B"/>
    <w:rsid w:val="006A6820"/>
    <w:rsid w:val="006A7079"/>
    <w:rsid w:val="006B1CDC"/>
    <w:rsid w:val="006B3D3D"/>
    <w:rsid w:val="006B60A0"/>
    <w:rsid w:val="006B7430"/>
    <w:rsid w:val="006B7DA3"/>
    <w:rsid w:val="006C2117"/>
    <w:rsid w:val="006C27F8"/>
    <w:rsid w:val="006C2E31"/>
    <w:rsid w:val="006C6361"/>
    <w:rsid w:val="006C64CD"/>
    <w:rsid w:val="006C6657"/>
    <w:rsid w:val="006C66CB"/>
    <w:rsid w:val="006C6FC9"/>
    <w:rsid w:val="006C7DB4"/>
    <w:rsid w:val="006D11B5"/>
    <w:rsid w:val="006D3EED"/>
    <w:rsid w:val="006E1C81"/>
    <w:rsid w:val="006E339A"/>
    <w:rsid w:val="006E51E3"/>
    <w:rsid w:val="006E6B3C"/>
    <w:rsid w:val="006F3B53"/>
    <w:rsid w:val="00700737"/>
    <w:rsid w:val="007016EF"/>
    <w:rsid w:val="007121F2"/>
    <w:rsid w:val="00714319"/>
    <w:rsid w:val="00722B61"/>
    <w:rsid w:val="00723863"/>
    <w:rsid w:val="00731125"/>
    <w:rsid w:val="00731B6F"/>
    <w:rsid w:val="00737361"/>
    <w:rsid w:val="0074452D"/>
    <w:rsid w:val="0074466E"/>
    <w:rsid w:val="00744E82"/>
    <w:rsid w:val="007454DD"/>
    <w:rsid w:val="00750B0D"/>
    <w:rsid w:val="007511AD"/>
    <w:rsid w:val="00751346"/>
    <w:rsid w:val="00754C65"/>
    <w:rsid w:val="00760562"/>
    <w:rsid w:val="00762194"/>
    <w:rsid w:val="00766241"/>
    <w:rsid w:val="00770372"/>
    <w:rsid w:val="00771468"/>
    <w:rsid w:val="00771D42"/>
    <w:rsid w:val="007761B2"/>
    <w:rsid w:val="00777337"/>
    <w:rsid w:val="00777442"/>
    <w:rsid w:val="0078321F"/>
    <w:rsid w:val="007835C9"/>
    <w:rsid w:val="00783A59"/>
    <w:rsid w:val="00786303"/>
    <w:rsid w:val="0079410F"/>
    <w:rsid w:val="00795200"/>
    <w:rsid w:val="00796A71"/>
    <w:rsid w:val="007971E2"/>
    <w:rsid w:val="007A0B59"/>
    <w:rsid w:val="007A1CD0"/>
    <w:rsid w:val="007A3A82"/>
    <w:rsid w:val="007A414F"/>
    <w:rsid w:val="007A49D6"/>
    <w:rsid w:val="007A5BDF"/>
    <w:rsid w:val="007A79D4"/>
    <w:rsid w:val="007B189A"/>
    <w:rsid w:val="007B5787"/>
    <w:rsid w:val="007B5AB8"/>
    <w:rsid w:val="007B6C89"/>
    <w:rsid w:val="007B7110"/>
    <w:rsid w:val="007C26AA"/>
    <w:rsid w:val="007C4123"/>
    <w:rsid w:val="007C47C4"/>
    <w:rsid w:val="007C48CF"/>
    <w:rsid w:val="007D0791"/>
    <w:rsid w:val="007D164F"/>
    <w:rsid w:val="007D1929"/>
    <w:rsid w:val="007D3896"/>
    <w:rsid w:val="007D4A37"/>
    <w:rsid w:val="007E659C"/>
    <w:rsid w:val="007F0DED"/>
    <w:rsid w:val="007F1307"/>
    <w:rsid w:val="007F6069"/>
    <w:rsid w:val="007F78A3"/>
    <w:rsid w:val="00800BCD"/>
    <w:rsid w:val="00801D7A"/>
    <w:rsid w:val="00803C56"/>
    <w:rsid w:val="0080541B"/>
    <w:rsid w:val="00805D7C"/>
    <w:rsid w:val="00807ACA"/>
    <w:rsid w:val="00812D81"/>
    <w:rsid w:val="00813357"/>
    <w:rsid w:val="00820AB1"/>
    <w:rsid w:val="00827252"/>
    <w:rsid w:val="00827BAD"/>
    <w:rsid w:val="0083025B"/>
    <w:rsid w:val="0083204F"/>
    <w:rsid w:val="00833C7F"/>
    <w:rsid w:val="00835A2A"/>
    <w:rsid w:val="00840074"/>
    <w:rsid w:val="0084043E"/>
    <w:rsid w:val="0084348E"/>
    <w:rsid w:val="008442F2"/>
    <w:rsid w:val="00852E3D"/>
    <w:rsid w:val="00856375"/>
    <w:rsid w:val="00860582"/>
    <w:rsid w:val="008649A7"/>
    <w:rsid w:val="008666F9"/>
    <w:rsid w:val="00874615"/>
    <w:rsid w:val="008752A0"/>
    <w:rsid w:val="00877AB3"/>
    <w:rsid w:val="00881B9A"/>
    <w:rsid w:val="00882BE5"/>
    <w:rsid w:val="00883786"/>
    <w:rsid w:val="00884A45"/>
    <w:rsid w:val="00885878"/>
    <w:rsid w:val="00886885"/>
    <w:rsid w:val="00886AD3"/>
    <w:rsid w:val="00887D7E"/>
    <w:rsid w:val="00890A09"/>
    <w:rsid w:val="00890AE9"/>
    <w:rsid w:val="0089259B"/>
    <w:rsid w:val="00895556"/>
    <w:rsid w:val="00896CDC"/>
    <w:rsid w:val="0089770B"/>
    <w:rsid w:val="008A0844"/>
    <w:rsid w:val="008A14E9"/>
    <w:rsid w:val="008A2E00"/>
    <w:rsid w:val="008A3BAE"/>
    <w:rsid w:val="008A60FC"/>
    <w:rsid w:val="008A7049"/>
    <w:rsid w:val="008B1DC9"/>
    <w:rsid w:val="008B53C7"/>
    <w:rsid w:val="008B7326"/>
    <w:rsid w:val="008C04C4"/>
    <w:rsid w:val="008C32FE"/>
    <w:rsid w:val="008C5025"/>
    <w:rsid w:val="008D03DA"/>
    <w:rsid w:val="008D3A98"/>
    <w:rsid w:val="008D52F1"/>
    <w:rsid w:val="008E245D"/>
    <w:rsid w:val="008E4669"/>
    <w:rsid w:val="008E65B2"/>
    <w:rsid w:val="008F2C7A"/>
    <w:rsid w:val="00902C77"/>
    <w:rsid w:val="00903DE5"/>
    <w:rsid w:val="0090688B"/>
    <w:rsid w:val="00910265"/>
    <w:rsid w:val="00910A6B"/>
    <w:rsid w:val="0091385F"/>
    <w:rsid w:val="00916FC4"/>
    <w:rsid w:val="0091753E"/>
    <w:rsid w:val="00926E02"/>
    <w:rsid w:val="0093604B"/>
    <w:rsid w:val="00936BD2"/>
    <w:rsid w:val="00942927"/>
    <w:rsid w:val="00943A1A"/>
    <w:rsid w:val="009446E5"/>
    <w:rsid w:val="00944DCF"/>
    <w:rsid w:val="00946C4C"/>
    <w:rsid w:val="009470CD"/>
    <w:rsid w:val="00947144"/>
    <w:rsid w:val="0095229A"/>
    <w:rsid w:val="00957866"/>
    <w:rsid w:val="00957EAF"/>
    <w:rsid w:val="00962B9A"/>
    <w:rsid w:val="00971564"/>
    <w:rsid w:val="009724B4"/>
    <w:rsid w:val="0097375C"/>
    <w:rsid w:val="009740C1"/>
    <w:rsid w:val="0097488C"/>
    <w:rsid w:val="00974CB2"/>
    <w:rsid w:val="009759C5"/>
    <w:rsid w:val="00977C31"/>
    <w:rsid w:val="00982A57"/>
    <w:rsid w:val="009840A7"/>
    <w:rsid w:val="00985EE4"/>
    <w:rsid w:val="009908D8"/>
    <w:rsid w:val="009918B9"/>
    <w:rsid w:val="009930B0"/>
    <w:rsid w:val="00993218"/>
    <w:rsid w:val="009934E3"/>
    <w:rsid w:val="0099530C"/>
    <w:rsid w:val="009A0978"/>
    <w:rsid w:val="009A1E12"/>
    <w:rsid w:val="009A3C7B"/>
    <w:rsid w:val="009A7163"/>
    <w:rsid w:val="009B0041"/>
    <w:rsid w:val="009B1E15"/>
    <w:rsid w:val="009B5675"/>
    <w:rsid w:val="009B6E8F"/>
    <w:rsid w:val="009C1BE7"/>
    <w:rsid w:val="009C23B2"/>
    <w:rsid w:val="009C337E"/>
    <w:rsid w:val="009C3DB0"/>
    <w:rsid w:val="009C4C87"/>
    <w:rsid w:val="009C71C1"/>
    <w:rsid w:val="009D0E1C"/>
    <w:rsid w:val="009D311B"/>
    <w:rsid w:val="009D4435"/>
    <w:rsid w:val="009E45E5"/>
    <w:rsid w:val="009E520E"/>
    <w:rsid w:val="009E540B"/>
    <w:rsid w:val="009F074F"/>
    <w:rsid w:val="009F100D"/>
    <w:rsid w:val="009F2107"/>
    <w:rsid w:val="009F3678"/>
    <w:rsid w:val="009F41FB"/>
    <w:rsid w:val="009F6F44"/>
    <w:rsid w:val="009F75CB"/>
    <w:rsid w:val="00A00655"/>
    <w:rsid w:val="00A0261E"/>
    <w:rsid w:val="00A03401"/>
    <w:rsid w:val="00A03639"/>
    <w:rsid w:val="00A05383"/>
    <w:rsid w:val="00A06312"/>
    <w:rsid w:val="00A072AA"/>
    <w:rsid w:val="00A07777"/>
    <w:rsid w:val="00A107AD"/>
    <w:rsid w:val="00A129FF"/>
    <w:rsid w:val="00A15DA9"/>
    <w:rsid w:val="00A21B66"/>
    <w:rsid w:val="00A22817"/>
    <w:rsid w:val="00A236E8"/>
    <w:rsid w:val="00A242E2"/>
    <w:rsid w:val="00A30DB1"/>
    <w:rsid w:val="00A31A3F"/>
    <w:rsid w:val="00A35FCE"/>
    <w:rsid w:val="00A42839"/>
    <w:rsid w:val="00A438E1"/>
    <w:rsid w:val="00A44699"/>
    <w:rsid w:val="00A47428"/>
    <w:rsid w:val="00A51BB9"/>
    <w:rsid w:val="00A549BD"/>
    <w:rsid w:val="00A554F6"/>
    <w:rsid w:val="00A5668B"/>
    <w:rsid w:val="00A62351"/>
    <w:rsid w:val="00A62CC0"/>
    <w:rsid w:val="00A63AAD"/>
    <w:rsid w:val="00A703DF"/>
    <w:rsid w:val="00A7050D"/>
    <w:rsid w:val="00A72977"/>
    <w:rsid w:val="00A736A0"/>
    <w:rsid w:val="00A75761"/>
    <w:rsid w:val="00A76391"/>
    <w:rsid w:val="00A77C5D"/>
    <w:rsid w:val="00A8004F"/>
    <w:rsid w:val="00A807D0"/>
    <w:rsid w:val="00A8329F"/>
    <w:rsid w:val="00A8549D"/>
    <w:rsid w:val="00A87E78"/>
    <w:rsid w:val="00A910E7"/>
    <w:rsid w:val="00A91FD7"/>
    <w:rsid w:val="00A93BFF"/>
    <w:rsid w:val="00A95572"/>
    <w:rsid w:val="00A96032"/>
    <w:rsid w:val="00AA0B7E"/>
    <w:rsid w:val="00AA1F25"/>
    <w:rsid w:val="00AA3703"/>
    <w:rsid w:val="00AA633F"/>
    <w:rsid w:val="00AA6CDE"/>
    <w:rsid w:val="00AB0C65"/>
    <w:rsid w:val="00AB6034"/>
    <w:rsid w:val="00AB6C3C"/>
    <w:rsid w:val="00AB78C2"/>
    <w:rsid w:val="00AC328B"/>
    <w:rsid w:val="00AC3A8F"/>
    <w:rsid w:val="00AC6654"/>
    <w:rsid w:val="00AD1B23"/>
    <w:rsid w:val="00AD3040"/>
    <w:rsid w:val="00AD62C9"/>
    <w:rsid w:val="00AD675D"/>
    <w:rsid w:val="00AD6EFF"/>
    <w:rsid w:val="00AE2753"/>
    <w:rsid w:val="00AE3184"/>
    <w:rsid w:val="00AE3298"/>
    <w:rsid w:val="00AE3A0D"/>
    <w:rsid w:val="00AE4AFE"/>
    <w:rsid w:val="00AE5CA1"/>
    <w:rsid w:val="00AE6F57"/>
    <w:rsid w:val="00AE74D8"/>
    <w:rsid w:val="00AF17FE"/>
    <w:rsid w:val="00AF1FB6"/>
    <w:rsid w:val="00AF3058"/>
    <w:rsid w:val="00AF4DD8"/>
    <w:rsid w:val="00AF5265"/>
    <w:rsid w:val="00AF5EE3"/>
    <w:rsid w:val="00AF6CE4"/>
    <w:rsid w:val="00AF7D8F"/>
    <w:rsid w:val="00B00E5E"/>
    <w:rsid w:val="00B069D8"/>
    <w:rsid w:val="00B10FE7"/>
    <w:rsid w:val="00B11BB6"/>
    <w:rsid w:val="00B125C9"/>
    <w:rsid w:val="00B12AB7"/>
    <w:rsid w:val="00B144A1"/>
    <w:rsid w:val="00B20B53"/>
    <w:rsid w:val="00B21996"/>
    <w:rsid w:val="00B220A3"/>
    <w:rsid w:val="00B226C8"/>
    <w:rsid w:val="00B2692B"/>
    <w:rsid w:val="00B30231"/>
    <w:rsid w:val="00B32724"/>
    <w:rsid w:val="00B356B6"/>
    <w:rsid w:val="00B3704F"/>
    <w:rsid w:val="00B37413"/>
    <w:rsid w:val="00B37AF5"/>
    <w:rsid w:val="00B40FC8"/>
    <w:rsid w:val="00B451B6"/>
    <w:rsid w:val="00B451BA"/>
    <w:rsid w:val="00B52F7E"/>
    <w:rsid w:val="00B545B7"/>
    <w:rsid w:val="00B56388"/>
    <w:rsid w:val="00B614F9"/>
    <w:rsid w:val="00B615A1"/>
    <w:rsid w:val="00B61616"/>
    <w:rsid w:val="00B725B0"/>
    <w:rsid w:val="00B738F6"/>
    <w:rsid w:val="00B76526"/>
    <w:rsid w:val="00B77F96"/>
    <w:rsid w:val="00B8133E"/>
    <w:rsid w:val="00B82B15"/>
    <w:rsid w:val="00B8300F"/>
    <w:rsid w:val="00B83DDB"/>
    <w:rsid w:val="00B85D09"/>
    <w:rsid w:val="00B92DA1"/>
    <w:rsid w:val="00B9429F"/>
    <w:rsid w:val="00B95E76"/>
    <w:rsid w:val="00BA06C6"/>
    <w:rsid w:val="00BA0F00"/>
    <w:rsid w:val="00BA173F"/>
    <w:rsid w:val="00BA17CB"/>
    <w:rsid w:val="00BA1DBC"/>
    <w:rsid w:val="00BA206E"/>
    <w:rsid w:val="00BA4013"/>
    <w:rsid w:val="00BA4836"/>
    <w:rsid w:val="00BA51FC"/>
    <w:rsid w:val="00BA5775"/>
    <w:rsid w:val="00BB220F"/>
    <w:rsid w:val="00BB361C"/>
    <w:rsid w:val="00BB57FF"/>
    <w:rsid w:val="00BB596B"/>
    <w:rsid w:val="00BB6063"/>
    <w:rsid w:val="00BB6DF6"/>
    <w:rsid w:val="00BB73B2"/>
    <w:rsid w:val="00BC08EA"/>
    <w:rsid w:val="00BC41EA"/>
    <w:rsid w:val="00BC7B39"/>
    <w:rsid w:val="00BD11DE"/>
    <w:rsid w:val="00BD270C"/>
    <w:rsid w:val="00BD6B2F"/>
    <w:rsid w:val="00BE692D"/>
    <w:rsid w:val="00BF2574"/>
    <w:rsid w:val="00BF2667"/>
    <w:rsid w:val="00BF2BFC"/>
    <w:rsid w:val="00BF2D20"/>
    <w:rsid w:val="00BF2F81"/>
    <w:rsid w:val="00BF39BE"/>
    <w:rsid w:val="00BF615A"/>
    <w:rsid w:val="00BF64FF"/>
    <w:rsid w:val="00C0394F"/>
    <w:rsid w:val="00C065C3"/>
    <w:rsid w:val="00C101AE"/>
    <w:rsid w:val="00C11346"/>
    <w:rsid w:val="00C11F86"/>
    <w:rsid w:val="00C15F4B"/>
    <w:rsid w:val="00C170D6"/>
    <w:rsid w:val="00C2693E"/>
    <w:rsid w:val="00C26C8D"/>
    <w:rsid w:val="00C31DD3"/>
    <w:rsid w:val="00C45012"/>
    <w:rsid w:val="00C54755"/>
    <w:rsid w:val="00C57605"/>
    <w:rsid w:val="00C62501"/>
    <w:rsid w:val="00C65B2C"/>
    <w:rsid w:val="00C70AD6"/>
    <w:rsid w:val="00C73E30"/>
    <w:rsid w:val="00C74201"/>
    <w:rsid w:val="00C75108"/>
    <w:rsid w:val="00C75FAF"/>
    <w:rsid w:val="00C765E5"/>
    <w:rsid w:val="00C80811"/>
    <w:rsid w:val="00C811BD"/>
    <w:rsid w:val="00C8316C"/>
    <w:rsid w:val="00C926E8"/>
    <w:rsid w:val="00C92B01"/>
    <w:rsid w:val="00C96FE7"/>
    <w:rsid w:val="00CA01EE"/>
    <w:rsid w:val="00CA6734"/>
    <w:rsid w:val="00CB185C"/>
    <w:rsid w:val="00CB2C49"/>
    <w:rsid w:val="00CB6AC7"/>
    <w:rsid w:val="00CC5FD8"/>
    <w:rsid w:val="00CC6016"/>
    <w:rsid w:val="00CC6777"/>
    <w:rsid w:val="00CD4149"/>
    <w:rsid w:val="00CE3753"/>
    <w:rsid w:val="00CE5C98"/>
    <w:rsid w:val="00CF4288"/>
    <w:rsid w:val="00CF5F66"/>
    <w:rsid w:val="00CF6407"/>
    <w:rsid w:val="00D002F9"/>
    <w:rsid w:val="00D04063"/>
    <w:rsid w:val="00D04ECC"/>
    <w:rsid w:val="00D1159C"/>
    <w:rsid w:val="00D127B3"/>
    <w:rsid w:val="00D149C7"/>
    <w:rsid w:val="00D21920"/>
    <w:rsid w:val="00D232D1"/>
    <w:rsid w:val="00D23B40"/>
    <w:rsid w:val="00D24CD5"/>
    <w:rsid w:val="00D25360"/>
    <w:rsid w:val="00D269D1"/>
    <w:rsid w:val="00D2766A"/>
    <w:rsid w:val="00D27BDB"/>
    <w:rsid w:val="00D312B6"/>
    <w:rsid w:val="00D314BE"/>
    <w:rsid w:val="00D33C9A"/>
    <w:rsid w:val="00D33D88"/>
    <w:rsid w:val="00D35253"/>
    <w:rsid w:val="00D41ECD"/>
    <w:rsid w:val="00D44A56"/>
    <w:rsid w:val="00D455E8"/>
    <w:rsid w:val="00D459DF"/>
    <w:rsid w:val="00D46AC2"/>
    <w:rsid w:val="00D47930"/>
    <w:rsid w:val="00D569EB"/>
    <w:rsid w:val="00D6286F"/>
    <w:rsid w:val="00D63CDD"/>
    <w:rsid w:val="00D63F14"/>
    <w:rsid w:val="00D64755"/>
    <w:rsid w:val="00D6735E"/>
    <w:rsid w:val="00D67FB0"/>
    <w:rsid w:val="00D71373"/>
    <w:rsid w:val="00D7306E"/>
    <w:rsid w:val="00D7442E"/>
    <w:rsid w:val="00D76360"/>
    <w:rsid w:val="00D804B1"/>
    <w:rsid w:val="00D80CC5"/>
    <w:rsid w:val="00D8114D"/>
    <w:rsid w:val="00D8684F"/>
    <w:rsid w:val="00D86A89"/>
    <w:rsid w:val="00D87533"/>
    <w:rsid w:val="00D90505"/>
    <w:rsid w:val="00D92F22"/>
    <w:rsid w:val="00D95B56"/>
    <w:rsid w:val="00DA3067"/>
    <w:rsid w:val="00DA559C"/>
    <w:rsid w:val="00DA570E"/>
    <w:rsid w:val="00DA6949"/>
    <w:rsid w:val="00DA75E9"/>
    <w:rsid w:val="00DB13A7"/>
    <w:rsid w:val="00DB1C32"/>
    <w:rsid w:val="00DC022D"/>
    <w:rsid w:val="00DC04EF"/>
    <w:rsid w:val="00DC2376"/>
    <w:rsid w:val="00DC23A5"/>
    <w:rsid w:val="00DC5019"/>
    <w:rsid w:val="00DD1910"/>
    <w:rsid w:val="00DD7AAE"/>
    <w:rsid w:val="00DE2568"/>
    <w:rsid w:val="00DE2EA9"/>
    <w:rsid w:val="00DE4ACB"/>
    <w:rsid w:val="00DE5B2B"/>
    <w:rsid w:val="00DE60F9"/>
    <w:rsid w:val="00DE72F6"/>
    <w:rsid w:val="00DF1DFE"/>
    <w:rsid w:val="00DF3707"/>
    <w:rsid w:val="00DF4F0B"/>
    <w:rsid w:val="00DF67EB"/>
    <w:rsid w:val="00DF7AA6"/>
    <w:rsid w:val="00E00D93"/>
    <w:rsid w:val="00E02608"/>
    <w:rsid w:val="00E02749"/>
    <w:rsid w:val="00E11672"/>
    <w:rsid w:val="00E1314C"/>
    <w:rsid w:val="00E1322D"/>
    <w:rsid w:val="00E1638D"/>
    <w:rsid w:val="00E1644B"/>
    <w:rsid w:val="00E2081C"/>
    <w:rsid w:val="00E27D5E"/>
    <w:rsid w:val="00E31B72"/>
    <w:rsid w:val="00E3247B"/>
    <w:rsid w:val="00E32672"/>
    <w:rsid w:val="00E33404"/>
    <w:rsid w:val="00E344CB"/>
    <w:rsid w:val="00E37D62"/>
    <w:rsid w:val="00E4211E"/>
    <w:rsid w:val="00E422FE"/>
    <w:rsid w:val="00E42A69"/>
    <w:rsid w:val="00E44048"/>
    <w:rsid w:val="00E44B6A"/>
    <w:rsid w:val="00E50887"/>
    <w:rsid w:val="00E518F8"/>
    <w:rsid w:val="00E52510"/>
    <w:rsid w:val="00E56CF8"/>
    <w:rsid w:val="00E62157"/>
    <w:rsid w:val="00E666CD"/>
    <w:rsid w:val="00E7094F"/>
    <w:rsid w:val="00E7484B"/>
    <w:rsid w:val="00E74996"/>
    <w:rsid w:val="00E75E61"/>
    <w:rsid w:val="00E77240"/>
    <w:rsid w:val="00E7791D"/>
    <w:rsid w:val="00E814D0"/>
    <w:rsid w:val="00E81806"/>
    <w:rsid w:val="00E84707"/>
    <w:rsid w:val="00E861F4"/>
    <w:rsid w:val="00E86721"/>
    <w:rsid w:val="00E8794E"/>
    <w:rsid w:val="00E915A6"/>
    <w:rsid w:val="00E919F2"/>
    <w:rsid w:val="00EA0317"/>
    <w:rsid w:val="00EA2B3C"/>
    <w:rsid w:val="00EA30CD"/>
    <w:rsid w:val="00EA421C"/>
    <w:rsid w:val="00EA4574"/>
    <w:rsid w:val="00EA6A7B"/>
    <w:rsid w:val="00EA7D9D"/>
    <w:rsid w:val="00EB0817"/>
    <w:rsid w:val="00EB0C64"/>
    <w:rsid w:val="00EB5F8A"/>
    <w:rsid w:val="00EC03BE"/>
    <w:rsid w:val="00EC10EA"/>
    <w:rsid w:val="00EC32EE"/>
    <w:rsid w:val="00EC57D6"/>
    <w:rsid w:val="00EC7207"/>
    <w:rsid w:val="00EC7394"/>
    <w:rsid w:val="00EC7F28"/>
    <w:rsid w:val="00ED158E"/>
    <w:rsid w:val="00ED4168"/>
    <w:rsid w:val="00ED5889"/>
    <w:rsid w:val="00ED591A"/>
    <w:rsid w:val="00EE0806"/>
    <w:rsid w:val="00EE4CF6"/>
    <w:rsid w:val="00EE6669"/>
    <w:rsid w:val="00EE6D25"/>
    <w:rsid w:val="00EE7E6E"/>
    <w:rsid w:val="00EF1EC5"/>
    <w:rsid w:val="00EF299D"/>
    <w:rsid w:val="00EF5D58"/>
    <w:rsid w:val="00EF672E"/>
    <w:rsid w:val="00F0352C"/>
    <w:rsid w:val="00F04564"/>
    <w:rsid w:val="00F05302"/>
    <w:rsid w:val="00F06812"/>
    <w:rsid w:val="00F071DA"/>
    <w:rsid w:val="00F12BD0"/>
    <w:rsid w:val="00F212CA"/>
    <w:rsid w:val="00F21549"/>
    <w:rsid w:val="00F22F14"/>
    <w:rsid w:val="00F24029"/>
    <w:rsid w:val="00F24273"/>
    <w:rsid w:val="00F2726D"/>
    <w:rsid w:val="00F2747A"/>
    <w:rsid w:val="00F304EF"/>
    <w:rsid w:val="00F31CA1"/>
    <w:rsid w:val="00F326C9"/>
    <w:rsid w:val="00F326CE"/>
    <w:rsid w:val="00F32C57"/>
    <w:rsid w:val="00F35718"/>
    <w:rsid w:val="00F409C1"/>
    <w:rsid w:val="00F41187"/>
    <w:rsid w:val="00F41E1A"/>
    <w:rsid w:val="00F43D0E"/>
    <w:rsid w:val="00F43F6C"/>
    <w:rsid w:val="00F45E68"/>
    <w:rsid w:val="00F47B15"/>
    <w:rsid w:val="00F51CEE"/>
    <w:rsid w:val="00F545EF"/>
    <w:rsid w:val="00F549BE"/>
    <w:rsid w:val="00F55E33"/>
    <w:rsid w:val="00F567E2"/>
    <w:rsid w:val="00F57C31"/>
    <w:rsid w:val="00F60147"/>
    <w:rsid w:val="00F65156"/>
    <w:rsid w:val="00F66E1B"/>
    <w:rsid w:val="00F66FE5"/>
    <w:rsid w:val="00F70A74"/>
    <w:rsid w:val="00F7118E"/>
    <w:rsid w:val="00F75751"/>
    <w:rsid w:val="00F759C1"/>
    <w:rsid w:val="00F8294E"/>
    <w:rsid w:val="00F8388D"/>
    <w:rsid w:val="00F90823"/>
    <w:rsid w:val="00F91FE1"/>
    <w:rsid w:val="00F930F6"/>
    <w:rsid w:val="00F931DB"/>
    <w:rsid w:val="00FA45E3"/>
    <w:rsid w:val="00FA4C4B"/>
    <w:rsid w:val="00FA7397"/>
    <w:rsid w:val="00FB24ED"/>
    <w:rsid w:val="00FB2DCD"/>
    <w:rsid w:val="00FB5533"/>
    <w:rsid w:val="00FB6F03"/>
    <w:rsid w:val="00FC12D6"/>
    <w:rsid w:val="00FC2954"/>
    <w:rsid w:val="00FC42A6"/>
    <w:rsid w:val="00FC4E13"/>
    <w:rsid w:val="00FC639A"/>
    <w:rsid w:val="00FD01CA"/>
    <w:rsid w:val="00FD1641"/>
    <w:rsid w:val="00FD3751"/>
    <w:rsid w:val="00FD51D8"/>
    <w:rsid w:val="00FD6B74"/>
    <w:rsid w:val="00FE12B1"/>
    <w:rsid w:val="00FE625D"/>
    <w:rsid w:val="00FE7254"/>
    <w:rsid w:val="00FF0BCD"/>
    <w:rsid w:val="00FF187C"/>
    <w:rsid w:val="00FF40A6"/>
    <w:rsid w:val="00FF4415"/>
    <w:rsid w:val="00FF5CF4"/>
    <w:rsid w:val="0161D57A"/>
    <w:rsid w:val="0187B876"/>
    <w:rsid w:val="0242521C"/>
    <w:rsid w:val="035D91B3"/>
    <w:rsid w:val="036EAB16"/>
    <w:rsid w:val="03E5D857"/>
    <w:rsid w:val="0411597F"/>
    <w:rsid w:val="05175898"/>
    <w:rsid w:val="06A0D8CF"/>
    <w:rsid w:val="0879C2C3"/>
    <w:rsid w:val="0A22FA7C"/>
    <w:rsid w:val="0A85B0C2"/>
    <w:rsid w:val="0B8BA41C"/>
    <w:rsid w:val="0C2FAB6C"/>
    <w:rsid w:val="0CA2C3CC"/>
    <w:rsid w:val="0DBC376B"/>
    <w:rsid w:val="0ECFDBEA"/>
    <w:rsid w:val="0F2DFF10"/>
    <w:rsid w:val="104BF435"/>
    <w:rsid w:val="12C59ED2"/>
    <w:rsid w:val="14D773A8"/>
    <w:rsid w:val="1527146A"/>
    <w:rsid w:val="15648222"/>
    <w:rsid w:val="161A47A2"/>
    <w:rsid w:val="16D7EF1A"/>
    <w:rsid w:val="1A6010B3"/>
    <w:rsid w:val="1EAB80BA"/>
    <w:rsid w:val="1F7749D5"/>
    <w:rsid w:val="1F8EE846"/>
    <w:rsid w:val="20B5DC81"/>
    <w:rsid w:val="20DCB61A"/>
    <w:rsid w:val="20FFA904"/>
    <w:rsid w:val="21F19F53"/>
    <w:rsid w:val="24B2AF4A"/>
    <w:rsid w:val="25AD6274"/>
    <w:rsid w:val="269637BF"/>
    <w:rsid w:val="2718FE7D"/>
    <w:rsid w:val="29418CB0"/>
    <w:rsid w:val="295213D4"/>
    <w:rsid w:val="2C239232"/>
    <w:rsid w:val="2C9C4664"/>
    <w:rsid w:val="2CBA2D16"/>
    <w:rsid w:val="2CE1AD55"/>
    <w:rsid w:val="2D6C1016"/>
    <w:rsid w:val="2EDD5153"/>
    <w:rsid w:val="2F11B8C3"/>
    <w:rsid w:val="2FE10101"/>
    <w:rsid w:val="302CF70A"/>
    <w:rsid w:val="3114DAE0"/>
    <w:rsid w:val="312594C6"/>
    <w:rsid w:val="316DABEB"/>
    <w:rsid w:val="323F8139"/>
    <w:rsid w:val="3250E8AC"/>
    <w:rsid w:val="357D5926"/>
    <w:rsid w:val="35ED4FA4"/>
    <w:rsid w:val="36A91F9E"/>
    <w:rsid w:val="37357142"/>
    <w:rsid w:val="378A9F6A"/>
    <w:rsid w:val="3922BE47"/>
    <w:rsid w:val="3937B379"/>
    <w:rsid w:val="39D0784F"/>
    <w:rsid w:val="3B3F86CB"/>
    <w:rsid w:val="3B4DCA80"/>
    <w:rsid w:val="3BB8CE85"/>
    <w:rsid w:val="3C773F3A"/>
    <w:rsid w:val="3E75F6D3"/>
    <w:rsid w:val="3EB1AAAD"/>
    <w:rsid w:val="3EF8B526"/>
    <w:rsid w:val="3F164357"/>
    <w:rsid w:val="3FF4CF64"/>
    <w:rsid w:val="40744006"/>
    <w:rsid w:val="411F72FE"/>
    <w:rsid w:val="411F74E2"/>
    <w:rsid w:val="414C2577"/>
    <w:rsid w:val="42F9848C"/>
    <w:rsid w:val="42F98632"/>
    <w:rsid w:val="43D1A6BA"/>
    <w:rsid w:val="4419D94E"/>
    <w:rsid w:val="4482A7C8"/>
    <w:rsid w:val="45F4638A"/>
    <w:rsid w:val="46B97D34"/>
    <w:rsid w:val="47E1DCDE"/>
    <w:rsid w:val="47EE5EC8"/>
    <w:rsid w:val="481F72C6"/>
    <w:rsid w:val="48FD4927"/>
    <w:rsid w:val="4904A5F1"/>
    <w:rsid w:val="49F83CA4"/>
    <w:rsid w:val="4A5B5AB9"/>
    <w:rsid w:val="4B7CDE3D"/>
    <w:rsid w:val="4BD44F24"/>
    <w:rsid w:val="4C85C691"/>
    <w:rsid w:val="4D493203"/>
    <w:rsid w:val="4EA37C92"/>
    <w:rsid w:val="4EB6BA3F"/>
    <w:rsid w:val="5112C08A"/>
    <w:rsid w:val="512B9E57"/>
    <w:rsid w:val="513F19C9"/>
    <w:rsid w:val="527F3DC7"/>
    <w:rsid w:val="53CA7002"/>
    <w:rsid w:val="562B79E7"/>
    <w:rsid w:val="566D5039"/>
    <w:rsid w:val="571BE96C"/>
    <w:rsid w:val="57C914CA"/>
    <w:rsid w:val="5823843A"/>
    <w:rsid w:val="5A136CE7"/>
    <w:rsid w:val="5A3D49DC"/>
    <w:rsid w:val="5A95B96C"/>
    <w:rsid w:val="5AC3467A"/>
    <w:rsid w:val="5B6E5ACE"/>
    <w:rsid w:val="5BEE6921"/>
    <w:rsid w:val="5C6F4CE4"/>
    <w:rsid w:val="5D407D35"/>
    <w:rsid w:val="600C1C4A"/>
    <w:rsid w:val="60224628"/>
    <w:rsid w:val="61085E36"/>
    <w:rsid w:val="6175F98D"/>
    <w:rsid w:val="62C72026"/>
    <w:rsid w:val="63D1D961"/>
    <w:rsid w:val="649F18FF"/>
    <w:rsid w:val="651FFC22"/>
    <w:rsid w:val="671D19AE"/>
    <w:rsid w:val="68679EEF"/>
    <w:rsid w:val="68F4E630"/>
    <w:rsid w:val="6925969B"/>
    <w:rsid w:val="694F8E51"/>
    <w:rsid w:val="69C76206"/>
    <w:rsid w:val="69E525D3"/>
    <w:rsid w:val="6A6A88CE"/>
    <w:rsid w:val="6B41F19E"/>
    <w:rsid w:val="6B63BEAE"/>
    <w:rsid w:val="6CC40164"/>
    <w:rsid w:val="6D05E979"/>
    <w:rsid w:val="6E6BAAF4"/>
    <w:rsid w:val="6EF97F23"/>
    <w:rsid w:val="6F51BE89"/>
    <w:rsid w:val="70E89612"/>
    <w:rsid w:val="7118C660"/>
    <w:rsid w:val="712D06C0"/>
    <w:rsid w:val="7136474C"/>
    <w:rsid w:val="71980AC5"/>
    <w:rsid w:val="73BC9E90"/>
    <w:rsid w:val="746275F1"/>
    <w:rsid w:val="74C197DE"/>
    <w:rsid w:val="75652413"/>
    <w:rsid w:val="7573E9C2"/>
    <w:rsid w:val="76BA40C8"/>
    <w:rsid w:val="7770123F"/>
    <w:rsid w:val="786D1FB6"/>
    <w:rsid w:val="78BA9E44"/>
    <w:rsid w:val="7C209A51"/>
    <w:rsid w:val="7C5CE89E"/>
    <w:rsid w:val="7DA0C8D2"/>
    <w:rsid w:val="7DC82E2C"/>
    <w:rsid w:val="7E22E588"/>
    <w:rsid w:val="7F11A989"/>
    <w:rsid w:val="7F77A668"/>
    <w:rsid w:val="7F878FE4"/>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Besedilo"/>
    <w:qFormat/>
    <w:rsid w:val="00363E63"/>
    <w:pPr>
      <w:spacing w:after="0" w:line="250" w:lineRule="atLeast"/>
      <w:jc w:val="both"/>
    </w:pPr>
    <w:rPr>
      <w:rFonts w:ascii="Myriad Pro" w:hAnsi="Myriad Pro"/>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3497B"/>
    <w:pPr>
      <w:tabs>
        <w:tab w:val="center" w:pos="4536"/>
        <w:tab w:val="right" w:pos="9072"/>
      </w:tabs>
      <w:spacing w:line="240" w:lineRule="auto"/>
    </w:pPr>
  </w:style>
  <w:style w:type="character" w:customStyle="1" w:styleId="GlavaZnak">
    <w:name w:val="Glava Znak"/>
    <w:basedOn w:val="Privzetapisavaodstavka"/>
    <w:link w:val="Glava"/>
    <w:uiPriority w:val="99"/>
    <w:rsid w:val="0063497B"/>
  </w:style>
  <w:style w:type="paragraph" w:styleId="Noga">
    <w:name w:val="footer"/>
    <w:basedOn w:val="Navaden"/>
    <w:link w:val="NogaZnak"/>
    <w:uiPriority w:val="99"/>
    <w:unhideWhenUsed/>
    <w:rsid w:val="0063497B"/>
    <w:pPr>
      <w:tabs>
        <w:tab w:val="center" w:pos="4536"/>
        <w:tab w:val="right" w:pos="9072"/>
      </w:tabs>
      <w:spacing w:line="240" w:lineRule="auto"/>
    </w:pPr>
  </w:style>
  <w:style w:type="character" w:customStyle="1" w:styleId="NogaZnak">
    <w:name w:val="Noga Znak"/>
    <w:basedOn w:val="Privzetapisavaodstavka"/>
    <w:link w:val="Noga"/>
    <w:uiPriority w:val="99"/>
    <w:rsid w:val="0063497B"/>
  </w:style>
  <w:style w:type="paragraph" w:styleId="Brezrazmikov">
    <w:name w:val="No Spacing"/>
    <w:uiPriority w:val="1"/>
    <w:qFormat/>
    <w:rsid w:val="00887D7E"/>
    <w:pPr>
      <w:spacing w:after="0" w:line="240" w:lineRule="auto"/>
    </w:pPr>
    <w:rPr>
      <w:rFonts w:ascii="Myriad Pro" w:hAnsi="Myriad Pro"/>
    </w:rPr>
  </w:style>
  <w:style w:type="paragraph" w:customStyle="1" w:styleId="Naslov11">
    <w:name w:val="Naslov 11"/>
    <w:basedOn w:val="Navaden"/>
    <w:link w:val="Naslov1Char"/>
    <w:qFormat/>
    <w:rsid w:val="00812D81"/>
    <w:pPr>
      <w:spacing w:line="360" w:lineRule="exact"/>
    </w:pPr>
    <w:rPr>
      <w:b/>
      <w:sz w:val="32"/>
      <w:szCs w:val="36"/>
    </w:rPr>
  </w:style>
  <w:style w:type="paragraph" w:customStyle="1" w:styleId="Naslov21">
    <w:name w:val="Naslov 21"/>
    <w:basedOn w:val="Navaden"/>
    <w:link w:val="Naslov2Char"/>
    <w:qFormat/>
    <w:rsid w:val="00812D81"/>
    <w:pPr>
      <w:spacing w:line="360" w:lineRule="exact"/>
    </w:pPr>
    <w:rPr>
      <w:sz w:val="32"/>
      <w:szCs w:val="36"/>
    </w:rPr>
  </w:style>
  <w:style w:type="character" w:customStyle="1" w:styleId="Naslov1Char">
    <w:name w:val="Naslov 1 Char"/>
    <w:basedOn w:val="Privzetapisavaodstavka"/>
    <w:link w:val="Naslov11"/>
    <w:rsid w:val="00812D81"/>
    <w:rPr>
      <w:rFonts w:ascii="Myriad Pro" w:hAnsi="Myriad Pro"/>
      <w:b/>
      <w:sz w:val="32"/>
      <w:szCs w:val="36"/>
    </w:rPr>
  </w:style>
  <w:style w:type="paragraph" w:customStyle="1" w:styleId="Naslov31">
    <w:name w:val="Naslov 31"/>
    <w:basedOn w:val="Navaden"/>
    <w:link w:val="Naslov3Char"/>
    <w:qFormat/>
    <w:rsid w:val="00671853"/>
    <w:rPr>
      <w:b/>
    </w:rPr>
  </w:style>
  <w:style w:type="character" w:customStyle="1" w:styleId="Naslov2Char">
    <w:name w:val="Naslov 2 Char"/>
    <w:basedOn w:val="Privzetapisavaodstavka"/>
    <w:link w:val="Naslov21"/>
    <w:rsid w:val="00812D81"/>
    <w:rPr>
      <w:rFonts w:ascii="Myriad Pro" w:hAnsi="Myriad Pro"/>
      <w:sz w:val="32"/>
      <w:szCs w:val="36"/>
    </w:rPr>
  </w:style>
  <w:style w:type="paragraph" w:customStyle="1" w:styleId="Dodatneinformacije">
    <w:name w:val="Dodatne informacije"/>
    <w:basedOn w:val="Navaden"/>
    <w:link w:val="DodatneinformacijeChar"/>
    <w:qFormat/>
    <w:rsid w:val="00F41E1A"/>
  </w:style>
  <w:style w:type="character" w:customStyle="1" w:styleId="Naslov3Char">
    <w:name w:val="Naslov 3 Char"/>
    <w:basedOn w:val="Privzetapisavaodstavka"/>
    <w:link w:val="Naslov31"/>
    <w:rsid w:val="00671853"/>
    <w:rPr>
      <w:rFonts w:ascii="Myriad Pro" w:hAnsi="Myriad Pro"/>
      <w:b/>
      <w:sz w:val="21"/>
    </w:rPr>
  </w:style>
  <w:style w:type="paragraph" w:styleId="Besedilooblaka">
    <w:name w:val="Balloon Text"/>
    <w:basedOn w:val="Navaden"/>
    <w:link w:val="BesedilooblakaZnak"/>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Privzetapisavaodstavka"/>
    <w:link w:val="Dodatneinformacije"/>
    <w:rsid w:val="00F41E1A"/>
    <w:rPr>
      <w:rFonts w:ascii="Myriad Pro" w:hAnsi="Myriad Pro"/>
      <w:sz w:val="21"/>
    </w:rPr>
  </w:style>
  <w:style w:type="character" w:customStyle="1" w:styleId="BesedilooblakaZnak">
    <w:name w:val="Besedilo oblačka Znak"/>
    <w:basedOn w:val="Privzetapisavaodstavka"/>
    <w:link w:val="Besedilooblaka"/>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elamrea">
    <w:name w:val="Table Grid"/>
    <w:basedOn w:val="Navadnatabela"/>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F4F0B"/>
    <w:pPr>
      <w:ind w:left="720"/>
      <w:contextualSpacing/>
    </w:pPr>
  </w:style>
  <w:style w:type="paragraph" w:customStyle="1" w:styleId="Besedilomanjealineje">
    <w:name w:val="Besedilo manjše_alineje"/>
    <w:basedOn w:val="Odstavekseznama"/>
    <w:link w:val="BesedilomanjealinejeChar"/>
    <w:rsid w:val="00F545EF"/>
    <w:pPr>
      <w:numPr>
        <w:numId w:val="1"/>
      </w:numPr>
      <w:spacing w:line="220" w:lineRule="exact"/>
      <w:ind w:left="170" w:hanging="170"/>
      <w:jc w:val="left"/>
    </w:pPr>
    <w:rPr>
      <w:sz w:val="16"/>
      <w:szCs w:val="16"/>
    </w:rPr>
  </w:style>
  <w:style w:type="character" w:customStyle="1" w:styleId="OdstavekseznamaZnak">
    <w:name w:val="Odstavek seznama Znak"/>
    <w:basedOn w:val="Privzetapisavaodstavka"/>
    <w:link w:val="Odstavekseznama"/>
    <w:uiPriority w:val="34"/>
    <w:rsid w:val="00133E20"/>
    <w:rPr>
      <w:rFonts w:ascii="Myriad Pro" w:hAnsi="Myriad Pro"/>
      <w:sz w:val="21"/>
    </w:rPr>
  </w:style>
  <w:style w:type="character" w:customStyle="1" w:styleId="BesedilomanjealinejeChar">
    <w:name w:val="Besedilo manjše_alineje Char"/>
    <w:basedOn w:val="OdstavekseznamaZnak"/>
    <w:link w:val="Besedilomanjealineje"/>
    <w:rsid w:val="00F545EF"/>
    <w:rPr>
      <w:rFonts w:ascii="Myriad Pro" w:hAnsi="Myriad Pro"/>
      <w:sz w:val="16"/>
      <w:szCs w:val="16"/>
    </w:rPr>
  </w:style>
  <w:style w:type="character" w:styleId="Hiperpovezava">
    <w:name w:val="Hyperlink"/>
    <w:basedOn w:val="Privzetapisavaodstavka"/>
    <w:uiPriority w:val="99"/>
    <w:unhideWhenUsed/>
    <w:rsid w:val="00363E63"/>
    <w:rPr>
      <w:color w:val="0563C1" w:themeColor="hyperlink"/>
      <w:u w:val="single"/>
    </w:rPr>
  </w:style>
  <w:style w:type="paragraph" w:styleId="Sprotnaopomba-besedilo">
    <w:name w:val="footnote text"/>
    <w:aliases w:val="Sprotna opomba_EO, Char Char,Char Char,Sprotna opomba-besedilo,Char Char Char Char,Sprotna opomba - besedilo Znak1,Sprotna opomba - besedilo Znak Znak2,Sprotna opomba - besedilo Znak1 Znak Znak1,fn,Char Ch,o"/>
    <w:basedOn w:val="Navaden"/>
    <w:link w:val="Sprotnaopomba-besediloZnak"/>
    <w:uiPriority w:val="99"/>
    <w:unhideWhenUsed/>
    <w:qFormat/>
    <w:rsid w:val="00FE7254"/>
    <w:pPr>
      <w:spacing w:line="240" w:lineRule="auto"/>
    </w:pPr>
    <w:rPr>
      <w:sz w:val="16"/>
      <w:szCs w:val="20"/>
    </w:rPr>
  </w:style>
  <w:style w:type="character" w:customStyle="1" w:styleId="Sprotnaopomba-besediloZnak">
    <w:name w:val="Sprotna opomba - besedilo Znak"/>
    <w:aliases w:val="Sprotna opomba_EO Znak, Char Char Znak,Char Char Znak,Sprotna opomba-besedilo Znak,Char Char Char Char Znak,Sprotna opomba - besedilo Znak1 Znak,Sprotna opomba - besedilo Znak Znak2 Znak,fn Znak,Char Ch Znak,o Znak"/>
    <w:basedOn w:val="Privzetapisavaodstavka"/>
    <w:link w:val="Sprotnaopomba-besedilo"/>
    <w:uiPriority w:val="99"/>
    <w:rsid w:val="00FE7254"/>
    <w:rPr>
      <w:rFonts w:ascii="Myriad Pro" w:hAnsi="Myriad Pro"/>
      <w:sz w:val="16"/>
      <w:szCs w:val="20"/>
    </w:rPr>
  </w:style>
  <w:style w:type="character" w:styleId="Sprotnaopomba-sklic">
    <w:name w:val="footnote reference"/>
    <w:aliases w:val="footnote_EO,Footnote symbol,Fussnota,Footnote,Footnote reference number,note TESI,SUPERS,EN Footnote Reference,-E Fußnotenzeichen,Times 10 Point,Exposant 3 Point,E...,nota de rodapé,Footnote Reference_LVL6,Footnote Reference_LVL61"/>
    <w:basedOn w:val="Privzetapisavaodstavka"/>
    <w:uiPriority w:val="99"/>
    <w:unhideWhenUsed/>
    <w:qFormat/>
    <w:rsid w:val="00FE7254"/>
    <w:rPr>
      <w:vertAlign w:val="superscript"/>
    </w:rPr>
  </w:style>
  <w:style w:type="character" w:styleId="Nerazreenaomemba">
    <w:name w:val="Unresolved Mention"/>
    <w:basedOn w:val="Privzetapisavaodstavka"/>
    <w:uiPriority w:val="99"/>
    <w:semiHidden/>
    <w:unhideWhenUsed/>
    <w:rsid w:val="003A49D8"/>
    <w:rPr>
      <w:color w:val="605E5C"/>
      <w:shd w:val="clear" w:color="auto" w:fill="E1DFDD"/>
    </w:rPr>
  </w:style>
  <w:style w:type="paragraph" w:customStyle="1" w:styleId="Naslov310">
    <w:name w:val="Naslov 310"/>
    <w:basedOn w:val="Navaden"/>
    <w:qFormat/>
    <w:rsid w:val="00120162"/>
    <w:rPr>
      <w:b/>
    </w:rPr>
  </w:style>
  <w:style w:type="character" w:styleId="Pripombasklic">
    <w:name w:val="annotation reference"/>
    <w:basedOn w:val="Privzetapisavaodstavka"/>
    <w:uiPriority w:val="99"/>
    <w:semiHidden/>
    <w:unhideWhenUsed/>
    <w:rsid w:val="002B67C9"/>
    <w:rPr>
      <w:sz w:val="16"/>
      <w:szCs w:val="16"/>
    </w:rPr>
  </w:style>
  <w:style w:type="paragraph" w:styleId="Pripombabesedilo">
    <w:name w:val="annotation text"/>
    <w:basedOn w:val="Navaden"/>
    <w:link w:val="PripombabesediloZnak"/>
    <w:uiPriority w:val="99"/>
    <w:unhideWhenUsed/>
    <w:rsid w:val="002B67C9"/>
    <w:pPr>
      <w:spacing w:line="240" w:lineRule="auto"/>
    </w:pPr>
    <w:rPr>
      <w:szCs w:val="20"/>
    </w:rPr>
  </w:style>
  <w:style w:type="character" w:customStyle="1" w:styleId="PripombabesediloZnak">
    <w:name w:val="Pripomba – besedilo Znak"/>
    <w:basedOn w:val="Privzetapisavaodstavka"/>
    <w:link w:val="Pripombabesedilo"/>
    <w:uiPriority w:val="99"/>
    <w:rsid w:val="002B67C9"/>
    <w:rPr>
      <w:rFonts w:ascii="Myriad Pro" w:hAnsi="Myriad Pro"/>
      <w:sz w:val="20"/>
      <w:szCs w:val="20"/>
    </w:rPr>
  </w:style>
  <w:style w:type="paragraph" w:styleId="Zadevapripombe">
    <w:name w:val="annotation subject"/>
    <w:basedOn w:val="Pripombabesedilo"/>
    <w:next w:val="Pripombabesedilo"/>
    <w:link w:val="ZadevapripombeZnak"/>
    <w:uiPriority w:val="99"/>
    <w:semiHidden/>
    <w:unhideWhenUsed/>
    <w:rsid w:val="002B67C9"/>
    <w:rPr>
      <w:b/>
      <w:bCs/>
    </w:rPr>
  </w:style>
  <w:style w:type="character" w:customStyle="1" w:styleId="ZadevapripombeZnak">
    <w:name w:val="Zadeva pripombe Znak"/>
    <w:basedOn w:val="PripombabesediloZnak"/>
    <w:link w:val="Zadevapripombe"/>
    <w:uiPriority w:val="99"/>
    <w:semiHidden/>
    <w:rsid w:val="002B67C9"/>
    <w:rPr>
      <w:rFonts w:ascii="Myriad Pro" w:hAnsi="Myriad Pro"/>
      <w:b/>
      <w:bCs/>
      <w:sz w:val="20"/>
      <w:szCs w:val="20"/>
    </w:rPr>
  </w:style>
  <w:style w:type="paragraph" w:styleId="Revizija">
    <w:name w:val="Revision"/>
    <w:hidden/>
    <w:uiPriority w:val="99"/>
    <w:semiHidden/>
    <w:rsid w:val="003D0FA7"/>
    <w:pPr>
      <w:spacing w:after="0" w:line="240" w:lineRule="auto"/>
    </w:pPr>
    <w:rPr>
      <w:rFonts w:ascii="Myriad Pro" w:hAnsi="Myriad Pro"/>
      <w:sz w:val="20"/>
    </w:rPr>
  </w:style>
  <w:style w:type="character" w:styleId="Konnaopomba-sklic">
    <w:name w:val="endnote reference"/>
    <w:basedOn w:val="Privzetapisavaodstavka"/>
    <w:uiPriority w:val="99"/>
    <w:semiHidden/>
    <w:unhideWhenUsed/>
    <w:rsid w:val="000C5DFC"/>
    <w:rPr>
      <w:vertAlign w:val="superscript"/>
    </w:rPr>
  </w:style>
  <w:style w:type="paragraph" w:customStyle="1" w:styleId="Naslov32">
    <w:name w:val="Naslov 32"/>
    <w:basedOn w:val="Navaden"/>
    <w:qFormat/>
    <w:rsid w:val="0078321F"/>
    <w:rPr>
      <w:b/>
    </w:rPr>
  </w:style>
  <w:style w:type="character" w:styleId="Krepko">
    <w:name w:val="Strong"/>
    <w:basedOn w:val="Privzetapisavaodstavka"/>
    <w:uiPriority w:val="22"/>
    <w:qFormat/>
    <w:rsid w:val="00BA0F00"/>
    <w:rPr>
      <w:b/>
      <w:bCs/>
    </w:rPr>
  </w:style>
  <w:style w:type="character" w:customStyle="1" w:styleId="normaltextrun">
    <w:name w:val="normaltextrun"/>
    <w:basedOn w:val="Privzetapisavaodstavka"/>
    <w:rsid w:val="00670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81EA1-D1C7-43DE-9EA1-16A0A81D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4466</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5239</CharactersWithSpaces>
  <SharedDoc>false</SharedDoc>
  <HLinks>
    <vt:vector size="12" baseType="variant">
      <vt:variant>
        <vt:i4>4915252</vt:i4>
      </vt:variant>
      <vt:variant>
        <vt:i4>6</vt:i4>
      </vt:variant>
      <vt:variant>
        <vt:i4>0</vt:i4>
      </vt:variant>
      <vt:variant>
        <vt:i4>5</vt:i4>
      </vt:variant>
      <vt:variant>
        <vt:lpwstr>mailto:polona.osrajnik@gov.si</vt:lpwstr>
      </vt:variant>
      <vt:variant>
        <vt:lpwstr/>
      </vt:variant>
      <vt:variant>
        <vt:i4>4915252</vt:i4>
      </vt:variant>
      <vt:variant>
        <vt:i4>0</vt:i4>
      </vt:variant>
      <vt:variant>
        <vt:i4>0</vt:i4>
      </vt:variant>
      <vt:variant>
        <vt:i4>5</vt:i4>
      </vt:variant>
      <vt:variant>
        <vt:lpwstr>mailto:polona.osrajnik@gov.si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2024-05-07T07:31:00Z</dcterms:created>
  <dcterms:modified xsi:type="dcterms:W3CDTF">2024-05-07T07:31:00Z</dcterms:modified>
</cp:coreProperties>
</file>