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0F05" w14:textId="47D70E9F" w:rsidR="001D6793" w:rsidRPr="00740343" w:rsidRDefault="004B235F" w:rsidP="001D6793">
      <w:pPr>
        <w:pStyle w:val="Naslov11"/>
      </w:pPr>
      <w:r w:rsidRPr="00740343">
        <w:t>CHARTS OF THE WEEK</w:t>
      </w:r>
    </w:p>
    <w:p w14:paraId="068F7778" w14:textId="77777777" w:rsidR="00CC7000" w:rsidRPr="002B26F9" w:rsidRDefault="00CC7000" w:rsidP="00CC7000">
      <w:pPr>
        <w:rPr>
          <w:sz w:val="32"/>
          <w:szCs w:val="36"/>
        </w:rPr>
      </w:pPr>
      <w:r>
        <w:rPr>
          <w:sz w:val="32"/>
        </w:rPr>
        <w:t>22–26 January 2024</w:t>
      </w:r>
    </w:p>
    <w:p w14:paraId="196DFF85" w14:textId="77777777" w:rsidR="00916FC4" w:rsidRPr="00740343" w:rsidRDefault="00916FC4"/>
    <w:p w14:paraId="0503BB47" w14:textId="77777777" w:rsidR="00CC7000" w:rsidRPr="0026694E" w:rsidRDefault="00CC7000" w:rsidP="00CC7000">
      <w:pPr>
        <w:tabs>
          <w:tab w:val="left" w:pos="580"/>
        </w:tabs>
      </w:pPr>
      <w:bookmarkStart w:id="0" w:name="_Hlk54096721"/>
      <w:r>
        <w:t xml:space="preserve">Economic sentiment continued to improve slightly month-on-month in </w:t>
      </w:r>
      <w:proofErr w:type="gramStart"/>
      <w:r>
        <w:t>January, but</w:t>
      </w:r>
      <w:proofErr w:type="gramEnd"/>
      <w:r>
        <w:t xml:space="preserve"> remained lower than a year ago and below the long-term average. In mid-January, the value of fiscally verified invoices was up 6% year-on-year in nominal terms. The largest contributions to growth came from the retail trade and the sales of motor vehicles. Year-on-year real growth in the average gross wage was slightly higher in November (3.1%) than in the previous months, which is attributable to higher growth in the private sector (4.2%). In the first eleven months, the average gross wage was 1.9% higher year-on-year in real terms (9.8% in nominal terms). The increase in the public sector was more pronounced than in the private sector.</w:t>
      </w:r>
    </w:p>
    <w:bookmarkEnd w:id="0"/>
    <w:p w14:paraId="7B3452DA" w14:textId="77777777" w:rsidR="00CC7000" w:rsidRDefault="00CC7000" w:rsidP="00CC7000">
      <w:pPr>
        <w:tabs>
          <w:tab w:val="left" w:pos="580"/>
        </w:tabs>
      </w:pPr>
    </w:p>
    <w:tbl>
      <w:tblPr>
        <w:tblW w:w="9639" w:type="dxa"/>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CC7000" w14:paraId="6611E4C0" w14:textId="77777777" w:rsidTr="0039380A">
        <w:trPr>
          <w:trHeight w:val="207"/>
        </w:trPr>
        <w:tc>
          <w:tcPr>
            <w:tcW w:w="4819" w:type="dxa"/>
            <w:tcBorders>
              <w:bottom w:val="single" w:sz="4" w:space="0" w:color="auto"/>
            </w:tcBorders>
            <w:tcMar>
              <w:left w:w="0" w:type="dxa"/>
            </w:tcMar>
          </w:tcPr>
          <w:p w14:paraId="215B8104" w14:textId="77777777" w:rsidR="00CC7000" w:rsidRPr="007A0B59" w:rsidRDefault="00CC7000" w:rsidP="0039380A">
            <w:pPr>
              <w:jc w:val="left"/>
            </w:pPr>
            <w:r>
              <w:rPr>
                <w:b/>
                <w:bCs/>
              </w:rPr>
              <w:t>Economic sentiment, January 2024</w:t>
            </w:r>
          </w:p>
        </w:tc>
        <w:tc>
          <w:tcPr>
            <w:tcW w:w="4820" w:type="dxa"/>
            <w:gridSpan w:val="2"/>
            <w:tcBorders>
              <w:bottom w:val="single" w:sz="4" w:space="0" w:color="auto"/>
            </w:tcBorders>
          </w:tcPr>
          <w:p w14:paraId="4E7127D5" w14:textId="77777777" w:rsidR="00CC7000" w:rsidRPr="007A0B59" w:rsidRDefault="00CC7000" w:rsidP="0039380A"/>
        </w:tc>
      </w:tr>
      <w:tr w:rsidR="00CC7000" w14:paraId="7DBEBDAB" w14:textId="77777777" w:rsidTr="0039380A">
        <w:trPr>
          <w:trHeight w:val="1134"/>
        </w:trPr>
        <w:tc>
          <w:tcPr>
            <w:tcW w:w="4982" w:type="dxa"/>
            <w:gridSpan w:val="2"/>
            <w:tcBorders>
              <w:top w:val="single" w:sz="4" w:space="0" w:color="auto"/>
            </w:tcBorders>
            <w:tcMar>
              <w:left w:w="0" w:type="dxa"/>
            </w:tcMar>
          </w:tcPr>
          <w:p w14:paraId="578199CD" w14:textId="5339F61F" w:rsidR="00CC7000" w:rsidRDefault="00CC7000" w:rsidP="0039380A">
            <w:pPr>
              <w:pStyle w:val="ListParagraph"/>
              <w:ind w:left="0"/>
            </w:pPr>
            <w:r>
              <w:rPr>
                <w:noProof/>
              </w:rPr>
              <w:drawing>
                <wp:inline distT="0" distB="0" distL="0" distR="0" wp14:anchorId="470D056D" wp14:editId="382F0B8E">
                  <wp:extent cx="3132000" cy="2419200"/>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2000" cy="2419200"/>
                          </a:xfrm>
                          <a:prstGeom prst="rect">
                            <a:avLst/>
                          </a:prstGeom>
                          <a:noFill/>
                        </pic:spPr>
                      </pic:pic>
                    </a:graphicData>
                  </a:graphic>
                </wp:inline>
              </w:drawing>
            </w:r>
          </w:p>
        </w:tc>
        <w:tc>
          <w:tcPr>
            <w:tcW w:w="4657" w:type="dxa"/>
            <w:tcBorders>
              <w:top w:val="single" w:sz="4" w:space="0" w:color="auto"/>
            </w:tcBorders>
            <w:tcMar>
              <w:left w:w="284" w:type="dxa"/>
            </w:tcMar>
          </w:tcPr>
          <w:p w14:paraId="21F63793" w14:textId="77777777" w:rsidR="00CC7000" w:rsidRPr="00DF4F0B" w:rsidRDefault="00CC7000" w:rsidP="0039380A">
            <w:r>
              <w:rPr>
                <w:b/>
              </w:rPr>
              <w:t xml:space="preserve">The economic sentiment indicator increased slightly month-on-month in January for the third month in a row, while it was still down year-on-year. </w:t>
            </w:r>
            <w:r>
              <w:t xml:space="preserve">Compared to the previous month, confidence rose in retail trade and among consumers, but fell in manufacturing, </w:t>
            </w:r>
            <w:proofErr w:type="gramStart"/>
            <w:r>
              <w:t>services</w:t>
            </w:r>
            <w:proofErr w:type="gramEnd"/>
            <w:r>
              <w:t xml:space="preserve"> and construction. This reflects a continued uncertain economic situation at the beginning of this year related to weak domestic and foreign demand and labour market slack. Compared to January 2023, confidence was down in all segments except among consumers, although here it is still significantly more below the long-term average than in the years before the epidemic.</w:t>
            </w:r>
          </w:p>
        </w:tc>
      </w:tr>
    </w:tbl>
    <w:p w14:paraId="197F3CF7" w14:textId="77777777" w:rsidR="00CC7000" w:rsidRDefault="00CC7000" w:rsidP="00CC7000">
      <w:pPr>
        <w:tabs>
          <w:tab w:val="left" w:pos="580"/>
        </w:tabs>
      </w:pPr>
    </w:p>
    <w:p w14:paraId="1B536FC5" w14:textId="541F3127" w:rsidR="002B0EA6" w:rsidRPr="00740343" w:rsidRDefault="002B0EA6" w:rsidP="002B0EA6">
      <w:pPr>
        <w:spacing w:after="160" w:line="259" w:lineRule="auto"/>
        <w:jc w:val="left"/>
        <w:rPr>
          <w:b/>
          <w:bCs/>
        </w:rPr>
      </w:pPr>
      <w:r w:rsidRPr="00740343">
        <w:br w:type="page"/>
      </w:r>
    </w:p>
    <w:tbl>
      <w:tblPr>
        <w:tblW w:w="9639" w:type="dxa"/>
        <w:tblLayout w:type="fixed"/>
        <w:tblCellMar>
          <w:top w:w="113" w:type="dxa"/>
          <w:left w:w="0" w:type="dxa"/>
          <w:bottom w:w="113" w:type="dxa"/>
          <w:right w:w="0" w:type="dxa"/>
        </w:tblCellMar>
        <w:tblLook w:val="04A0" w:firstRow="1" w:lastRow="0" w:firstColumn="1" w:lastColumn="0" w:noHBand="0" w:noVBand="1"/>
      </w:tblPr>
      <w:tblGrid>
        <w:gridCol w:w="4982"/>
        <w:gridCol w:w="1964"/>
        <w:gridCol w:w="2693"/>
      </w:tblGrid>
      <w:tr w:rsidR="00CC7000" w14:paraId="7B04CAEC" w14:textId="77777777" w:rsidTr="00B05047">
        <w:trPr>
          <w:trHeight w:val="207"/>
        </w:trPr>
        <w:tc>
          <w:tcPr>
            <w:tcW w:w="6946" w:type="dxa"/>
            <w:gridSpan w:val="2"/>
            <w:tcBorders>
              <w:bottom w:val="single" w:sz="4" w:space="0" w:color="auto"/>
            </w:tcBorders>
            <w:tcMar>
              <w:left w:w="0" w:type="dxa"/>
            </w:tcMar>
          </w:tcPr>
          <w:p w14:paraId="2C7DDD28" w14:textId="77777777" w:rsidR="00CC7000" w:rsidRPr="006C2117" w:rsidRDefault="00CC7000" w:rsidP="0039380A">
            <w:pPr>
              <w:jc w:val="left"/>
            </w:pPr>
            <w:r>
              <w:rPr>
                <w:b/>
              </w:rPr>
              <w:lastRenderedPageBreak/>
              <w:t>Value of fiscally verified invoices, in nominal terms, 7–20 January 2024</w:t>
            </w:r>
          </w:p>
        </w:tc>
        <w:tc>
          <w:tcPr>
            <w:tcW w:w="2693" w:type="dxa"/>
            <w:tcBorders>
              <w:bottom w:val="single" w:sz="4" w:space="0" w:color="auto"/>
            </w:tcBorders>
          </w:tcPr>
          <w:p w14:paraId="739A2184" w14:textId="77777777" w:rsidR="00CC7000" w:rsidRPr="006C2117" w:rsidRDefault="00CC7000" w:rsidP="0039380A"/>
        </w:tc>
      </w:tr>
      <w:tr w:rsidR="00CC7000" w14:paraId="6033A4BC" w14:textId="77777777" w:rsidTr="0039380A">
        <w:trPr>
          <w:trHeight w:val="1134"/>
        </w:trPr>
        <w:tc>
          <w:tcPr>
            <w:tcW w:w="4982" w:type="dxa"/>
            <w:tcBorders>
              <w:top w:val="single" w:sz="4" w:space="0" w:color="auto"/>
            </w:tcBorders>
            <w:tcMar>
              <w:left w:w="0" w:type="dxa"/>
            </w:tcMar>
          </w:tcPr>
          <w:p w14:paraId="01E9B740" w14:textId="48DF4CCF" w:rsidR="00CC7000" w:rsidRDefault="001C443A" w:rsidP="0039380A">
            <w:pPr>
              <w:pStyle w:val="ListParagraph"/>
              <w:ind w:left="0"/>
            </w:pPr>
            <w:r>
              <w:rPr>
                <w:noProof/>
              </w:rPr>
              <w:drawing>
                <wp:inline distT="0" distB="0" distL="0" distR="0" wp14:anchorId="2862073B" wp14:editId="458F48E6">
                  <wp:extent cx="3132000" cy="253080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20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E27BAEF" w14:textId="77777777" w:rsidR="00CC7000" w:rsidRPr="00FD713A" w:rsidRDefault="00CC7000" w:rsidP="0039380A">
            <w:pPr>
              <w:rPr>
                <w:color w:val="000000"/>
                <w:shd w:val="clear" w:color="auto" w:fill="FFFFFF"/>
              </w:rPr>
            </w:pPr>
            <w:r>
              <w:rPr>
                <w:b/>
                <w:color w:val="000000"/>
                <w:shd w:val="clear" w:color="auto" w:fill="FFFFFF"/>
              </w:rPr>
              <w:t>The nominal value of fiscally verified invoices between 7 and 20 January 2024 was 6% higher year-on-year.</w:t>
            </w:r>
            <w:r>
              <w:rPr>
                <w:color w:val="000000"/>
                <w:shd w:val="clear" w:color="auto" w:fill="FFFFFF"/>
              </w:rPr>
              <w:t xml:space="preserve"> </w:t>
            </w:r>
            <w:r>
              <w:t xml:space="preserve">Growth was </w:t>
            </w:r>
            <w:proofErr w:type="gramStart"/>
            <w:r>
              <w:t>similar to</w:t>
            </w:r>
            <w:proofErr w:type="gramEnd"/>
            <w:r>
              <w:t xml:space="preserve"> the average for the fourth quarter of last year, when it had increased compared to the second and third quarters.</w:t>
            </w:r>
            <w:r>
              <w:rPr>
                <w:color w:val="000000"/>
                <w:shd w:val="clear" w:color="auto" w:fill="FFFFFF"/>
              </w:rPr>
              <w:t xml:space="preserve"> Similar turnover growth was recorded in trade (5%); in retail trade it doubled to 8%, in the sales of motor vehicles it declined, although it remained strong (9%) and in wholesale trade it declined by 7% year-on-year (it was 1% higher year-on-year in the fourth quarter of last year on average). Year-on-year turnover growth in accommodation and food service activities, certain creative, arts, entertainment, and sports services, and betting and gambling was slightly lower than in the last quarter of 2023 (overall growth in accommodation and food service activities and in other service activities</w:t>
            </w:r>
            <w:r w:rsidRPr="00FD713A">
              <w:rPr>
                <w:color w:val="000000"/>
                <w:shd w:val="clear" w:color="auto" w:fill="FFFFFF"/>
                <w:vertAlign w:val="superscript"/>
              </w:rPr>
              <w:footnoteReference w:id="2"/>
            </w:r>
            <w:r>
              <w:rPr>
                <w:color w:val="000000"/>
                <w:shd w:val="clear" w:color="auto" w:fill="FFFFFF"/>
              </w:rPr>
              <w:t xml:space="preserve"> was 8%). </w:t>
            </w:r>
          </w:p>
          <w:p w14:paraId="553B54DE" w14:textId="77777777" w:rsidR="00CC7000" w:rsidRPr="00DF4F0B" w:rsidRDefault="00CC7000" w:rsidP="0039380A"/>
        </w:tc>
      </w:tr>
    </w:tbl>
    <w:p w14:paraId="3843A334" w14:textId="77777777" w:rsidR="00CC7000" w:rsidRDefault="00CC7000" w:rsidP="00CC7000">
      <w:pPr>
        <w:tabs>
          <w:tab w:val="left" w:pos="580"/>
        </w:tabs>
      </w:pPr>
    </w:p>
    <w:tbl>
      <w:tblPr>
        <w:tblW w:w="9639" w:type="dxa"/>
        <w:tblLayout w:type="fixed"/>
        <w:tblCellMar>
          <w:top w:w="113" w:type="dxa"/>
          <w:left w:w="0" w:type="dxa"/>
          <w:bottom w:w="113" w:type="dxa"/>
          <w:right w:w="0" w:type="dxa"/>
        </w:tblCellMar>
        <w:tblLook w:val="04A0" w:firstRow="1" w:lastRow="0" w:firstColumn="1" w:lastColumn="0" w:noHBand="0" w:noVBand="1"/>
      </w:tblPr>
      <w:tblGrid>
        <w:gridCol w:w="4982"/>
        <w:gridCol w:w="1964"/>
        <w:gridCol w:w="2693"/>
      </w:tblGrid>
      <w:tr w:rsidR="00CC7000" w14:paraId="7DD57ED1" w14:textId="77777777" w:rsidTr="0039380A">
        <w:trPr>
          <w:trHeight w:val="207"/>
        </w:trPr>
        <w:tc>
          <w:tcPr>
            <w:tcW w:w="6946" w:type="dxa"/>
            <w:gridSpan w:val="2"/>
            <w:tcBorders>
              <w:bottom w:val="single" w:sz="4" w:space="0" w:color="auto"/>
            </w:tcBorders>
            <w:tcMar>
              <w:left w:w="0" w:type="dxa"/>
            </w:tcMar>
          </w:tcPr>
          <w:p w14:paraId="15D8D2BE" w14:textId="77777777" w:rsidR="00CC7000" w:rsidRPr="006C2117" w:rsidRDefault="00CC7000" w:rsidP="0039380A">
            <w:pPr>
              <w:jc w:val="left"/>
            </w:pPr>
            <w:r>
              <w:rPr>
                <w:b/>
                <w:bCs/>
              </w:rPr>
              <w:t>Average gross wage per employee, November 2023</w:t>
            </w:r>
          </w:p>
        </w:tc>
        <w:tc>
          <w:tcPr>
            <w:tcW w:w="2693" w:type="dxa"/>
            <w:tcBorders>
              <w:bottom w:val="single" w:sz="4" w:space="0" w:color="auto"/>
            </w:tcBorders>
          </w:tcPr>
          <w:p w14:paraId="3A197620" w14:textId="77777777" w:rsidR="00CC7000" w:rsidRPr="006C2117" w:rsidRDefault="00CC7000" w:rsidP="0039380A"/>
        </w:tc>
      </w:tr>
      <w:tr w:rsidR="00CC7000" w14:paraId="3CA7585B" w14:textId="77777777" w:rsidTr="0039380A">
        <w:trPr>
          <w:trHeight w:val="1134"/>
        </w:trPr>
        <w:tc>
          <w:tcPr>
            <w:tcW w:w="4982" w:type="dxa"/>
            <w:tcBorders>
              <w:top w:val="single" w:sz="4" w:space="0" w:color="auto"/>
            </w:tcBorders>
            <w:tcMar>
              <w:left w:w="0" w:type="dxa"/>
            </w:tcMar>
          </w:tcPr>
          <w:p w14:paraId="026F05ED" w14:textId="25A52540" w:rsidR="00CC7000" w:rsidRDefault="00CC7000" w:rsidP="0039380A">
            <w:pPr>
              <w:pStyle w:val="ListParagraph"/>
              <w:ind w:left="0"/>
            </w:pPr>
            <w:r>
              <w:rPr>
                <w:noProof/>
              </w:rPr>
              <w:drawing>
                <wp:inline distT="0" distB="0" distL="0" distR="0" wp14:anchorId="017D747D" wp14:editId="4B92BFFF">
                  <wp:extent cx="3132000" cy="2372400"/>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2000" cy="23724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7842FB15" w14:textId="77777777" w:rsidR="00CC7000" w:rsidRPr="00DF4F0B" w:rsidRDefault="00CC7000" w:rsidP="0039380A">
            <w:r>
              <w:rPr>
                <w:b/>
              </w:rPr>
              <w:t xml:space="preserve">Year-on-year growth in the average gross wage was slightly higher in real terms in November (3.1%) than in the previous months, which is attributable to higher growth in the private sector (4.2%). </w:t>
            </w:r>
            <w:r>
              <w:t>In addition to lower inflation, the year-on-year increase in real wage growth was also influenced by payments in the private sector (13th month payments and Christmas bonuses), which were higher than in November 2022. Growth was highest in accommodation and food service activities, which (along with construction and administrative and support service activities) is one of the sectors with the greatest labour shortages. In the public sector, it was 1% and therefore lower than in previous months. The lower growth is linked to a higher base last year due to a wage increase in October 2022. At 8.1%, nominal year-on-year growth in the average gross wage in November was slightly lower than in previous months. Growth was 9.3% in the private sector and 5.9% in the public sector. In the first eleven months, year-on-year gross wage growth was 1.9% in real terms (1.7% in the private sector and 2.3% in the public sector). Year-on-year nominal growth in the same period was 9.8% (9.6% in the private sector and 10.3% in the public sector).</w:t>
            </w:r>
            <w:r>
              <w:rPr>
                <w:b/>
              </w:rPr>
              <w:t> </w:t>
            </w:r>
          </w:p>
        </w:tc>
      </w:tr>
    </w:tbl>
    <w:p w14:paraId="18A064BA" w14:textId="5C44FF8C" w:rsidR="00CC7000" w:rsidRDefault="00CC7000" w:rsidP="002B0EA6">
      <w:pPr>
        <w:spacing w:after="160" w:line="259" w:lineRule="auto"/>
        <w:jc w:val="left"/>
        <w:rPr>
          <w:b/>
          <w:bCs/>
        </w:rPr>
      </w:pPr>
    </w:p>
    <w:p w14:paraId="124687A3" w14:textId="77777777" w:rsidR="009C3DB0" w:rsidRPr="00740343" w:rsidRDefault="009C3DB0" w:rsidP="009C3DB0">
      <w:pPr>
        <w:tabs>
          <w:tab w:val="left" w:pos="580"/>
        </w:tabs>
      </w:pPr>
    </w:p>
    <w:p w14:paraId="22475C0D" w14:textId="77777777" w:rsidR="00FE7254" w:rsidRPr="00740343" w:rsidRDefault="00FE7254" w:rsidP="00FE7254">
      <w:pPr>
        <w:sectPr w:rsidR="00FE7254" w:rsidRPr="00740343" w:rsidSect="00363E63">
          <w:footerReference w:type="default" r:id="rId11"/>
          <w:headerReference w:type="first" r:id="rId12"/>
          <w:footerReference w:type="first" r:id="rId13"/>
          <w:type w:val="continuous"/>
          <w:pgSz w:w="11906" w:h="16838"/>
          <w:pgMar w:top="1134" w:right="1134" w:bottom="1021" w:left="1134" w:header="709" w:footer="397" w:gutter="0"/>
          <w:cols w:space="708"/>
          <w:titlePg/>
          <w:docGrid w:linePitch="360"/>
        </w:sectPr>
      </w:pPr>
    </w:p>
    <w:p w14:paraId="515F4F7F" w14:textId="77777777" w:rsidR="00A03401" w:rsidRPr="00740343" w:rsidRDefault="00A03401" w:rsidP="00C26C8D">
      <w:pPr>
        <w:tabs>
          <w:tab w:val="left" w:pos="580"/>
        </w:tabs>
      </w:pPr>
    </w:p>
    <w:p w14:paraId="26A312A6" w14:textId="205CCAF5" w:rsidR="002E69B6" w:rsidRPr="00740343" w:rsidRDefault="00CC7000" w:rsidP="00C26C8D">
      <w:pPr>
        <w:tabs>
          <w:tab w:val="left" w:pos="580"/>
        </w:tabs>
      </w:pPr>
      <w:r w:rsidRPr="00CC7000">
        <w:rPr>
          <w:noProof/>
        </w:rPr>
        <w:drawing>
          <wp:inline distT="0" distB="0" distL="0" distR="0" wp14:anchorId="104AC899" wp14:editId="0C8D1B71">
            <wp:extent cx="6304173" cy="874395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5860" cy="8746290"/>
                    </a:xfrm>
                    <a:prstGeom prst="rect">
                      <a:avLst/>
                    </a:prstGeom>
                    <a:noFill/>
                    <a:ln>
                      <a:noFill/>
                    </a:ln>
                  </pic:spPr>
                </pic:pic>
              </a:graphicData>
            </a:graphic>
          </wp:inline>
        </w:drawing>
      </w:r>
    </w:p>
    <w:sectPr w:rsidR="002E69B6" w:rsidRPr="00740343" w:rsidSect="00363E63">
      <w:headerReference w:type="default" r:id="rId15"/>
      <w:footerReference w:type="default" r:id="rId16"/>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A07B0" w14:textId="77777777" w:rsidR="00CB2908" w:rsidRDefault="00CB2908" w:rsidP="0063497B">
      <w:pPr>
        <w:spacing w:line="240" w:lineRule="auto"/>
      </w:pPr>
      <w:r>
        <w:separator/>
      </w:r>
    </w:p>
  </w:endnote>
  <w:endnote w:type="continuationSeparator" w:id="0">
    <w:p w14:paraId="25562BF1" w14:textId="77777777" w:rsidR="00CB2908" w:rsidRDefault="00CB2908" w:rsidP="0063497B">
      <w:pPr>
        <w:spacing w:line="240" w:lineRule="auto"/>
      </w:pPr>
      <w:r>
        <w:continuationSeparator/>
      </w:r>
    </w:p>
  </w:endnote>
  <w:endnote w:type="continuationNotice" w:id="1">
    <w:p w14:paraId="3E33AE58" w14:textId="77777777" w:rsidR="00CB2908" w:rsidRDefault="00CB29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F90E" w14:textId="77777777" w:rsidR="00CB2908" w:rsidRDefault="00CB2908" w:rsidP="0063497B">
      <w:pPr>
        <w:spacing w:line="240" w:lineRule="auto"/>
      </w:pPr>
      <w:r>
        <w:separator/>
      </w:r>
    </w:p>
  </w:footnote>
  <w:footnote w:type="continuationSeparator" w:id="0">
    <w:p w14:paraId="35344283" w14:textId="77777777" w:rsidR="00CB2908" w:rsidRDefault="00CB2908" w:rsidP="0063497B">
      <w:pPr>
        <w:spacing w:line="240" w:lineRule="auto"/>
      </w:pPr>
      <w:r>
        <w:continuationSeparator/>
      </w:r>
    </w:p>
  </w:footnote>
  <w:footnote w:type="continuationNotice" w:id="1">
    <w:p w14:paraId="5D6FD6DA" w14:textId="77777777" w:rsidR="00CB2908" w:rsidRDefault="00CB2908">
      <w:pPr>
        <w:spacing w:line="240" w:lineRule="auto"/>
      </w:pPr>
    </w:p>
  </w:footnote>
  <w:footnote w:id="2">
    <w:p w14:paraId="68A15099" w14:textId="77777777" w:rsidR="00CC7000" w:rsidRPr="00D249FB" w:rsidRDefault="00CC7000" w:rsidP="00CC7000">
      <w:pPr>
        <w:pStyle w:val="FootnoteText"/>
        <w:rPr>
          <w:rFonts w:eastAsia="Myriad Pro" w:cs="Myriad Pro"/>
          <w:color w:val="000000" w:themeColor="text1"/>
          <w:szCs w:val="16"/>
        </w:rPr>
      </w:pPr>
      <w:r>
        <w:rPr>
          <w:rStyle w:val="FootnoteReference"/>
          <w:szCs w:val="16"/>
        </w:rPr>
        <w:footnoteRef/>
      </w:r>
      <w:r>
        <w:t xml:space="preserve"> Activities R, S and T according to NACE classification.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A66C" w14:textId="6CB3E57F"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rsidR="00CC7000">
      <w:t>29</w:t>
    </w:r>
    <w:r>
      <w:t xml:space="preserve"> January 2024</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F943" w14:textId="77777777" w:rsidR="009A0978" w:rsidRPr="00C26C8D" w:rsidRDefault="009A0978"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16cid:durableId="555774954">
    <w:abstractNumId w:val="0"/>
  </w:num>
  <w:num w:numId="2" w16cid:durableId="2045405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170"/>
  <w:hyphenationZone w:val="425"/>
  <w:drawingGridHorizontalSpacing w:val="4933"/>
  <w:drawingGridVerticalSpacing w:val="3118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410D"/>
    <w:rsid w:val="0005322C"/>
    <w:rsid w:val="00054458"/>
    <w:rsid w:val="00054692"/>
    <w:rsid w:val="00055BD4"/>
    <w:rsid w:val="00060808"/>
    <w:rsid w:val="00061F03"/>
    <w:rsid w:val="00062E0D"/>
    <w:rsid w:val="00063EB4"/>
    <w:rsid w:val="00064E87"/>
    <w:rsid w:val="00065B72"/>
    <w:rsid w:val="00066060"/>
    <w:rsid w:val="00070313"/>
    <w:rsid w:val="000703C7"/>
    <w:rsid w:val="00070B6E"/>
    <w:rsid w:val="00071007"/>
    <w:rsid w:val="00073C2B"/>
    <w:rsid w:val="00077F13"/>
    <w:rsid w:val="000802F5"/>
    <w:rsid w:val="00083B7F"/>
    <w:rsid w:val="00085BD3"/>
    <w:rsid w:val="00087E6A"/>
    <w:rsid w:val="00092592"/>
    <w:rsid w:val="00092E40"/>
    <w:rsid w:val="00093214"/>
    <w:rsid w:val="00096101"/>
    <w:rsid w:val="00097DD5"/>
    <w:rsid w:val="000A5A42"/>
    <w:rsid w:val="000A6A64"/>
    <w:rsid w:val="000A7BDC"/>
    <w:rsid w:val="000B2332"/>
    <w:rsid w:val="000B2627"/>
    <w:rsid w:val="000B5B96"/>
    <w:rsid w:val="000B63F0"/>
    <w:rsid w:val="000C450B"/>
    <w:rsid w:val="000C5DFC"/>
    <w:rsid w:val="000D3F8B"/>
    <w:rsid w:val="000D4661"/>
    <w:rsid w:val="000D7845"/>
    <w:rsid w:val="000E0B03"/>
    <w:rsid w:val="000E0C96"/>
    <w:rsid w:val="000E2AA0"/>
    <w:rsid w:val="000E78BA"/>
    <w:rsid w:val="000F18E2"/>
    <w:rsid w:val="000F5315"/>
    <w:rsid w:val="00101E8B"/>
    <w:rsid w:val="00110B3C"/>
    <w:rsid w:val="00111DFE"/>
    <w:rsid w:val="00112B3E"/>
    <w:rsid w:val="00115501"/>
    <w:rsid w:val="00115E8D"/>
    <w:rsid w:val="00116668"/>
    <w:rsid w:val="00120162"/>
    <w:rsid w:val="00121D90"/>
    <w:rsid w:val="00123A5A"/>
    <w:rsid w:val="00123D52"/>
    <w:rsid w:val="001255CD"/>
    <w:rsid w:val="0012725B"/>
    <w:rsid w:val="00127822"/>
    <w:rsid w:val="00133E20"/>
    <w:rsid w:val="0014161A"/>
    <w:rsid w:val="00150890"/>
    <w:rsid w:val="00150D0F"/>
    <w:rsid w:val="001557F1"/>
    <w:rsid w:val="0016111E"/>
    <w:rsid w:val="00161807"/>
    <w:rsid w:val="00162E99"/>
    <w:rsid w:val="00164543"/>
    <w:rsid w:val="00167096"/>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065"/>
    <w:rsid w:val="001A3E47"/>
    <w:rsid w:val="001A656B"/>
    <w:rsid w:val="001B475E"/>
    <w:rsid w:val="001B6AE7"/>
    <w:rsid w:val="001B6FAE"/>
    <w:rsid w:val="001B7402"/>
    <w:rsid w:val="001C03A0"/>
    <w:rsid w:val="001C2D69"/>
    <w:rsid w:val="001C3E55"/>
    <w:rsid w:val="001C443A"/>
    <w:rsid w:val="001C7571"/>
    <w:rsid w:val="001D1DF5"/>
    <w:rsid w:val="001D2917"/>
    <w:rsid w:val="001D3E77"/>
    <w:rsid w:val="001D6793"/>
    <w:rsid w:val="001D76BE"/>
    <w:rsid w:val="001E3587"/>
    <w:rsid w:val="001E3956"/>
    <w:rsid w:val="001E66B1"/>
    <w:rsid w:val="001F4E8F"/>
    <w:rsid w:val="001F4EE0"/>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11CF"/>
    <w:rsid w:val="00252E25"/>
    <w:rsid w:val="00253AF0"/>
    <w:rsid w:val="002540FD"/>
    <w:rsid w:val="002551D9"/>
    <w:rsid w:val="00255F95"/>
    <w:rsid w:val="0026341B"/>
    <w:rsid w:val="00263CDF"/>
    <w:rsid w:val="00263EA7"/>
    <w:rsid w:val="0026509A"/>
    <w:rsid w:val="00271747"/>
    <w:rsid w:val="0027286B"/>
    <w:rsid w:val="00274D3F"/>
    <w:rsid w:val="0028665C"/>
    <w:rsid w:val="00290CA7"/>
    <w:rsid w:val="00291679"/>
    <w:rsid w:val="0029405F"/>
    <w:rsid w:val="00296BEC"/>
    <w:rsid w:val="002A62E5"/>
    <w:rsid w:val="002B025E"/>
    <w:rsid w:val="002B058F"/>
    <w:rsid w:val="002B0EA6"/>
    <w:rsid w:val="002B113D"/>
    <w:rsid w:val="002B4319"/>
    <w:rsid w:val="002B4C3A"/>
    <w:rsid w:val="002B5361"/>
    <w:rsid w:val="002B617D"/>
    <w:rsid w:val="002B67C9"/>
    <w:rsid w:val="002C5AFE"/>
    <w:rsid w:val="002C75CC"/>
    <w:rsid w:val="002D337D"/>
    <w:rsid w:val="002D46EF"/>
    <w:rsid w:val="002D753B"/>
    <w:rsid w:val="002D77C5"/>
    <w:rsid w:val="002E20DD"/>
    <w:rsid w:val="002E64A4"/>
    <w:rsid w:val="002E655C"/>
    <w:rsid w:val="002E69B6"/>
    <w:rsid w:val="002E6F0D"/>
    <w:rsid w:val="002E6FAD"/>
    <w:rsid w:val="002E7284"/>
    <w:rsid w:val="002F00BB"/>
    <w:rsid w:val="002F0448"/>
    <w:rsid w:val="002F45CB"/>
    <w:rsid w:val="00301B51"/>
    <w:rsid w:val="00305883"/>
    <w:rsid w:val="00306767"/>
    <w:rsid w:val="00312D09"/>
    <w:rsid w:val="003159CC"/>
    <w:rsid w:val="00324C22"/>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9AC"/>
    <w:rsid w:val="00364A8F"/>
    <w:rsid w:val="00365D68"/>
    <w:rsid w:val="00366D68"/>
    <w:rsid w:val="00371828"/>
    <w:rsid w:val="00374467"/>
    <w:rsid w:val="00374B90"/>
    <w:rsid w:val="0037709E"/>
    <w:rsid w:val="00380056"/>
    <w:rsid w:val="00381BE5"/>
    <w:rsid w:val="00381F22"/>
    <w:rsid w:val="003831A6"/>
    <w:rsid w:val="0038500A"/>
    <w:rsid w:val="00386C31"/>
    <w:rsid w:val="00390947"/>
    <w:rsid w:val="00394109"/>
    <w:rsid w:val="00394FBC"/>
    <w:rsid w:val="00396859"/>
    <w:rsid w:val="003974F8"/>
    <w:rsid w:val="003A1B12"/>
    <w:rsid w:val="003A23E4"/>
    <w:rsid w:val="003A26B5"/>
    <w:rsid w:val="003A49D8"/>
    <w:rsid w:val="003A50F3"/>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E0230"/>
    <w:rsid w:val="003E5239"/>
    <w:rsid w:val="003E5ADA"/>
    <w:rsid w:val="003E5C15"/>
    <w:rsid w:val="003E64D6"/>
    <w:rsid w:val="003F30E4"/>
    <w:rsid w:val="003F4C1B"/>
    <w:rsid w:val="004041D4"/>
    <w:rsid w:val="0040719E"/>
    <w:rsid w:val="004079CD"/>
    <w:rsid w:val="004123A3"/>
    <w:rsid w:val="00415098"/>
    <w:rsid w:val="00416E12"/>
    <w:rsid w:val="004204B9"/>
    <w:rsid w:val="004255B4"/>
    <w:rsid w:val="004271E0"/>
    <w:rsid w:val="00431E69"/>
    <w:rsid w:val="00431EDD"/>
    <w:rsid w:val="004351F9"/>
    <w:rsid w:val="004368FB"/>
    <w:rsid w:val="00444120"/>
    <w:rsid w:val="00445954"/>
    <w:rsid w:val="00445D45"/>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5BB1"/>
    <w:rsid w:val="0049501B"/>
    <w:rsid w:val="00496E7F"/>
    <w:rsid w:val="004970E5"/>
    <w:rsid w:val="00497D53"/>
    <w:rsid w:val="004A37A6"/>
    <w:rsid w:val="004A574A"/>
    <w:rsid w:val="004A6A8D"/>
    <w:rsid w:val="004B013F"/>
    <w:rsid w:val="004B235F"/>
    <w:rsid w:val="004B2A84"/>
    <w:rsid w:val="004B49B6"/>
    <w:rsid w:val="004C0A16"/>
    <w:rsid w:val="004C278D"/>
    <w:rsid w:val="004C2835"/>
    <w:rsid w:val="004C30D1"/>
    <w:rsid w:val="004C4D7C"/>
    <w:rsid w:val="004D0C06"/>
    <w:rsid w:val="004D1C88"/>
    <w:rsid w:val="004D2BC3"/>
    <w:rsid w:val="004D2D1C"/>
    <w:rsid w:val="004D4230"/>
    <w:rsid w:val="004D4C9E"/>
    <w:rsid w:val="004D5D4E"/>
    <w:rsid w:val="004D63EF"/>
    <w:rsid w:val="004E107A"/>
    <w:rsid w:val="004E1AF2"/>
    <w:rsid w:val="004E1F41"/>
    <w:rsid w:val="004E2181"/>
    <w:rsid w:val="004F320B"/>
    <w:rsid w:val="004F3835"/>
    <w:rsid w:val="004F61F1"/>
    <w:rsid w:val="004F72E3"/>
    <w:rsid w:val="004F776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126B"/>
    <w:rsid w:val="00555A80"/>
    <w:rsid w:val="00560CB1"/>
    <w:rsid w:val="00561C9A"/>
    <w:rsid w:val="0056680E"/>
    <w:rsid w:val="00566D6E"/>
    <w:rsid w:val="00573CF2"/>
    <w:rsid w:val="0058006D"/>
    <w:rsid w:val="0058052D"/>
    <w:rsid w:val="005806D5"/>
    <w:rsid w:val="00581396"/>
    <w:rsid w:val="00592C20"/>
    <w:rsid w:val="005965AF"/>
    <w:rsid w:val="005977D2"/>
    <w:rsid w:val="005A131A"/>
    <w:rsid w:val="005A2EF5"/>
    <w:rsid w:val="005A70C8"/>
    <w:rsid w:val="005A7DEB"/>
    <w:rsid w:val="005B0C7D"/>
    <w:rsid w:val="005B4C57"/>
    <w:rsid w:val="005B6FC5"/>
    <w:rsid w:val="005C2106"/>
    <w:rsid w:val="005C2C5C"/>
    <w:rsid w:val="005C3B6F"/>
    <w:rsid w:val="005C489E"/>
    <w:rsid w:val="005C4D2E"/>
    <w:rsid w:val="005D285A"/>
    <w:rsid w:val="005D3726"/>
    <w:rsid w:val="005D7078"/>
    <w:rsid w:val="005D71A4"/>
    <w:rsid w:val="005E6F08"/>
    <w:rsid w:val="005F0D7D"/>
    <w:rsid w:val="005F2004"/>
    <w:rsid w:val="005F5C51"/>
    <w:rsid w:val="00600E28"/>
    <w:rsid w:val="0060240D"/>
    <w:rsid w:val="0060300C"/>
    <w:rsid w:val="0060627C"/>
    <w:rsid w:val="00610CF5"/>
    <w:rsid w:val="00612374"/>
    <w:rsid w:val="00613F54"/>
    <w:rsid w:val="00613F73"/>
    <w:rsid w:val="00614A02"/>
    <w:rsid w:val="00623BBE"/>
    <w:rsid w:val="006269CE"/>
    <w:rsid w:val="00632222"/>
    <w:rsid w:val="0063497B"/>
    <w:rsid w:val="00637D5B"/>
    <w:rsid w:val="006421BC"/>
    <w:rsid w:val="00643984"/>
    <w:rsid w:val="00643ACC"/>
    <w:rsid w:val="00650921"/>
    <w:rsid w:val="00652795"/>
    <w:rsid w:val="00653A02"/>
    <w:rsid w:val="0065447B"/>
    <w:rsid w:val="00654FA7"/>
    <w:rsid w:val="006571E5"/>
    <w:rsid w:val="00657585"/>
    <w:rsid w:val="00662E1E"/>
    <w:rsid w:val="0066322D"/>
    <w:rsid w:val="0067095F"/>
    <w:rsid w:val="00670EF5"/>
    <w:rsid w:val="00671853"/>
    <w:rsid w:val="00681569"/>
    <w:rsid w:val="006851CA"/>
    <w:rsid w:val="006875F1"/>
    <w:rsid w:val="00687A6B"/>
    <w:rsid w:val="00692347"/>
    <w:rsid w:val="00693635"/>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3EED"/>
    <w:rsid w:val="006E1C81"/>
    <w:rsid w:val="006E6B3C"/>
    <w:rsid w:val="006F3B53"/>
    <w:rsid w:val="00700737"/>
    <w:rsid w:val="007007E9"/>
    <w:rsid w:val="007016EF"/>
    <w:rsid w:val="007121F2"/>
    <w:rsid w:val="00714319"/>
    <w:rsid w:val="00722B61"/>
    <w:rsid w:val="00723863"/>
    <w:rsid w:val="00731125"/>
    <w:rsid w:val="00731B6F"/>
    <w:rsid w:val="00737361"/>
    <w:rsid w:val="00740343"/>
    <w:rsid w:val="0074452D"/>
    <w:rsid w:val="0074466E"/>
    <w:rsid w:val="00744E82"/>
    <w:rsid w:val="007454DD"/>
    <w:rsid w:val="007457D4"/>
    <w:rsid w:val="00750B0D"/>
    <w:rsid w:val="007511AD"/>
    <w:rsid w:val="00751346"/>
    <w:rsid w:val="00756B89"/>
    <w:rsid w:val="00760562"/>
    <w:rsid w:val="00762194"/>
    <w:rsid w:val="00766241"/>
    <w:rsid w:val="00771468"/>
    <w:rsid w:val="00771D42"/>
    <w:rsid w:val="007761B2"/>
    <w:rsid w:val="00777337"/>
    <w:rsid w:val="0078321F"/>
    <w:rsid w:val="007835C9"/>
    <w:rsid w:val="00786303"/>
    <w:rsid w:val="0079410F"/>
    <w:rsid w:val="00795200"/>
    <w:rsid w:val="007971E2"/>
    <w:rsid w:val="007A0B59"/>
    <w:rsid w:val="007A1CD0"/>
    <w:rsid w:val="007A3A82"/>
    <w:rsid w:val="007A414F"/>
    <w:rsid w:val="007A49D6"/>
    <w:rsid w:val="007A5BDF"/>
    <w:rsid w:val="007A79D4"/>
    <w:rsid w:val="007B189A"/>
    <w:rsid w:val="007B5AB8"/>
    <w:rsid w:val="007B6C89"/>
    <w:rsid w:val="007B7110"/>
    <w:rsid w:val="007C26AA"/>
    <w:rsid w:val="007C47C4"/>
    <w:rsid w:val="007C48CF"/>
    <w:rsid w:val="007D0791"/>
    <w:rsid w:val="007D164F"/>
    <w:rsid w:val="007D1929"/>
    <w:rsid w:val="007D3896"/>
    <w:rsid w:val="007D4A37"/>
    <w:rsid w:val="007E659C"/>
    <w:rsid w:val="007F1307"/>
    <w:rsid w:val="007F2E3B"/>
    <w:rsid w:val="007F6069"/>
    <w:rsid w:val="00800BCD"/>
    <w:rsid w:val="00801D7A"/>
    <w:rsid w:val="00803C56"/>
    <w:rsid w:val="0080541B"/>
    <w:rsid w:val="00805D7C"/>
    <w:rsid w:val="00812D81"/>
    <w:rsid w:val="00820AB1"/>
    <w:rsid w:val="00827BAD"/>
    <w:rsid w:val="0083025B"/>
    <w:rsid w:val="0083204F"/>
    <w:rsid w:val="00833C7F"/>
    <w:rsid w:val="00835A2A"/>
    <w:rsid w:val="00840074"/>
    <w:rsid w:val="0084348E"/>
    <w:rsid w:val="008442F2"/>
    <w:rsid w:val="00852E3D"/>
    <w:rsid w:val="00856375"/>
    <w:rsid w:val="00860582"/>
    <w:rsid w:val="008649A7"/>
    <w:rsid w:val="008666F9"/>
    <w:rsid w:val="00874615"/>
    <w:rsid w:val="008752A0"/>
    <w:rsid w:val="00877AB3"/>
    <w:rsid w:val="00881B9A"/>
    <w:rsid w:val="00882BE5"/>
    <w:rsid w:val="00883786"/>
    <w:rsid w:val="00884A45"/>
    <w:rsid w:val="00886885"/>
    <w:rsid w:val="00886AD3"/>
    <w:rsid w:val="00887D7E"/>
    <w:rsid w:val="00890A09"/>
    <w:rsid w:val="00890AE9"/>
    <w:rsid w:val="0089259B"/>
    <w:rsid w:val="0089391E"/>
    <w:rsid w:val="00896CDC"/>
    <w:rsid w:val="0089770B"/>
    <w:rsid w:val="008A0844"/>
    <w:rsid w:val="008A14E9"/>
    <w:rsid w:val="008A2E00"/>
    <w:rsid w:val="008A3BAE"/>
    <w:rsid w:val="008A60FC"/>
    <w:rsid w:val="008A7049"/>
    <w:rsid w:val="008B1DC9"/>
    <w:rsid w:val="008B53C7"/>
    <w:rsid w:val="008B7326"/>
    <w:rsid w:val="008C04C4"/>
    <w:rsid w:val="008C32FE"/>
    <w:rsid w:val="008C4364"/>
    <w:rsid w:val="008C5025"/>
    <w:rsid w:val="008D03DA"/>
    <w:rsid w:val="008D3A98"/>
    <w:rsid w:val="008D52F1"/>
    <w:rsid w:val="008E245D"/>
    <w:rsid w:val="008E4669"/>
    <w:rsid w:val="008E65B2"/>
    <w:rsid w:val="008F2C7A"/>
    <w:rsid w:val="00902C77"/>
    <w:rsid w:val="0090688B"/>
    <w:rsid w:val="00910265"/>
    <w:rsid w:val="00910A6B"/>
    <w:rsid w:val="0091385F"/>
    <w:rsid w:val="00916FC4"/>
    <w:rsid w:val="0091753E"/>
    <w:rsid w:val="00926E02"/>
    <w:rsid w:val="00927BFD"/>
    <w:rsid w:val="0093604B"/>
    <w:rsid w:val="00936BD2"/>
    <w:rsid w:val="00942927"/>
    <w:rsid w:val="00943A1A"/>
    <w:rsid w:val="009446E5"/>
    <w:rsid w:val="00944DCF"/>
    <w:rsid w:val="00946C4C"/>
    <w:rsid w:val="009470CD"/>
    <w:rsid w:val="00947144"/>
    <w:rsid w:val="0095229A"/>
    <w:rsid w:val="00957866"/>
    <w:rsid w:val="00957EAF"/>
    <w:rsid w:val="00962B9A"/>
    <w:rsid w:val="00971564"/>
    <w:rsid w:val="0097375C"/>
    <w:rsid w:val="009740C1"/>
    <w:rsid w:val="0097488C"/>
    <w:rsid w:val="00974CB2"/>
    <w:rsid w:val="009759C5"/>
    <w:rsid w:val="00977C31"/>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41FB"/>
    <w:rsid w:val="009F6F44"/>
    <w:rsid w:val="009F75CB"/>
    <w:rsid w:val="00A00655"/>
    <w:rsid w:val="00A03401"/>
    <w:rsid w:val="00A03639"/>
    <w:rsid w:val="00A05383"/>
    <w:rsid w:val="00A06312"/>
    <w:rsid w:val="00A072AA"/>
    <w:rsid w:val="00A07777"/>
    <w:rsid w:val="00A107AD"/>
    <w:rsid w:val="00A129FF"/>
    <w:rsid w:val="00A15DA9"/>
    <w:rsid w:val="00A20501"/>
    <w:rsid w:val="00A21B66"/>
    <w:rsid w:val="00A22817"/>
    <w:rsid w:val="00A236E8"/>
    <w:rsid w:val="00A242E2"/>
    <w:rsid w:val="00A30DB1"/>
    <w:rsid w:val="00A35FCE"/>
    <w:rsid w:val="00A42839"/>
    <w:rsid w:val="00A438E1"/>
    <w:rsid w:val="00A44699"/>
    <w:rsid w:val="00A47428"/>
    <w:rsid w:val="00A51BB9"/>
    <w:rsid w:val="00A549BD"/>
    <w:rsid w:val="00A554F6"/>
    <w:rsid w:val="00A5668B"/>
    <w:rsid w:val="00A56E3D"/>
    <w:rsid w:val="00A62351"/>
    <w:rsid w:val="00A62CC0"/>
    <w:rsid w:val="00A703DF"/>
    <w:rsid w:val="00A7050D"/>
    <w:rsid w:val="00A72977"/>
    <w:rsid w:val="00A736A0"/>
    <w:rsid w:val="00A75761"/>
    <w:rsid w:val="00A76391"/>
    <w:rsid w:val="00A77C5D"/>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6C3C"/>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4DD8"/>
    <w:rsid w:val="00AF5265"/>
    <w:rsid w:val="00AF5EE3"/>
    <w:rsid w:val="00AF6CE4"/>
    <w:rsid w:val="00AF7D8F"/>
    <w:rsid w:val="00B00E5E"/>
    <w:rsid w:val="00B05047"/>
    <w:rsid w:val="00B069D8"/>
    <w:rsid w:val="00B10FE7"/>
    <w:rsid w:val="00B11BB6"/>
    <w:rsid w:val="00B125C9"/>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41EA"/>
    <w:rsid w:val="00BC4E7A"/>
    <w:rsid w:val="00BC7B39"/>
    <w:rsid w:val="00BD11DE"/>
    <w:rsid w:val="00BD270C"/>
    <w:rsid w:val="00BD6B2F"/>
    <w:rsid w:val="00BE692D"/>
    <w:rsid w:val="00BF2574"/>
    <w:rsid w:val="00BF2667"/>
    <w:rsid w:val="00BF2BFC"/>
    <w:rsid w:val="00BF2D20"/>
    <w:rsid w:val="00BF2F81"/>
    <w:rsid w:val="00BF39BE"/>
    <w:rsid w:val="00BF615A"/>
    <w:rsid w:val="00BF64FF"/>
    <w:rsid w:val="00C0394F"/>
    <w:rsid w:val="00C065C3"/>
    <w:rsid w:val="00C101AE"/>
    <w:rsid w:val="00C11346"/>
    <w:rsid w:val="00C11F86"/>
    <w:rsid w:val="00C15653"/>
    <w:rsid w:val="00C15F4B"/>
    <w:rsid w:val="00C170D6"/>
    <w:rsid w:val="00C26C8D"/>
    <w:rsid w:val="00C31DD3"/>
    <w:rsid w:val="00C45012"/>
    <w:rsid w:val="00C54755"/>
    <w:rsid w:val="00C57605"/>
    <w:rsid w:val="00C65B2C"/>
    <w:rsid w:val="00C70AD6"/>
    <w:rsid w:val="00C71230"/>
    <w:rsid w:val="00C73E30"/>
    <w:rsid w:val="00C74201"/>
    <w:rsid w:val="00C75108"/>
    <w:rsid w:val="00C75FAF"/>
    <w:rsid w:val="00C765E5"/>
    <w:rsid w:val="00C80811"/>
    <w:rsid w:val="00C8316C"/>
    <w:rsid w:val="00C926E8"/>
    <w:rsid w:val="00C92B01"/>
    <w:rsid w:val="00C930EB"/>
    <w:rsid w:val="00C96FE7"/>
    <w:rsid w:val="00CA6734"/>
    <w:rsid w:val="00CB185C"/>
    <w:rsid w:val="00CB2908"/>
    <w:rsid w:val="00CB2C49"/>
    <w:rsid w:val="00CB6AC7"/>
    <w:rsid w:val="00CC6016"/>
    <w:rsid w:val="00CC6777"/>
    <w:rsid w:val="00CC7000"/>
    <w:rsid w:val="00CD6FEA"/>
    <w:rsid w:val="00CE24AA"/>
    <w:rsid w:val="00CE3753"/>
    <w:rsid w:val="00CE5C98"/>
    <w:rsid w:val="00CF4288"/>
    <w:rsid w:val="00CF5F66"/>
    <w:rsid w:val="00CF6407"/>
    <w:rsid w:val="00D04063"/>
    <w:rsid w:val="00D04ECC"/>
    <w:rsid w:val="00D05AC7"/>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361AA"/>
    <w:rsid w:val="00D41ECD"/>
    <w:rsid w:val="00D44A56"/>
    <w:rsid w:val="00D455E8"/>
    <w:rsid w:val="00D459DF"/>
    <w:rsid w:val="00D46AC2"/>
    <w:rsid w:val="00D47930"/>
    <w:rsid w:val="00D47F53"/>
    <w:rsid w:val="00D569EB"/>
    <w:rsid w:val="00D6286F"/>
    <w:rsid w:val="00D63CDD"/>
    <w:rsid w:val="00D63F14"/>
    <w:rsid w:val="00D64755"/>
    <w:rsid w:val="00D6735E"/>
    <w:rsid w:val="00D67FB0"/>
    <w:rsid w:val="00D71373"/>
    <w:rsid w:val="00D7306E"/>
    <w:rsid w:val="00D7442E"/>
    <w:rsid w:val="00D76360"/>
    <w:rsid w:val="00D804B1"/>
    <w:rsid w:val="00D80CC5"/>
    <w:rsid w:val="00D8114D"/>
    <w:rsid w:val="00D82C97"/>
    <w:rsid w:val="00D8684F"/>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44AF"/>
    <w:rsid w:val="00E56CF8"/>
    <w:rsid w:val="00E62157"/>
    <w:rsid w:val="00E666CD"/>
    <w:rsid w:val="00E7094F"/>
    <w:rsid w:val="00E7484B"/>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32EE"/>
    <w:rsid w:val="00EC3EFB"/>
    <w:rsid w:val="00EC57D6"/>
    <w:rsid w:val="00EC7207"/>
    <w:rsid w:val="00EC7394"/>
    <w:rsid w:val="00EC7F28"/>
    <w:rsid w:val="00ED158E"/>
    <w:rsid w:val="00ED2045"/>
    <w:rsid w:val="00ED4168"/>
    <w:rsid w:val="00ED5889"/>
    <w:rsid w:val="00ED591A"/>
    <w:rsid w:val="00EE0806"/>
    <w:rsid w:val="00EE4CF6"/>
    <w:rsid w:val="00EE6669"/>
    <w:rsid w:val="00EE6D25"/>
    <w:rsid w:val="00EE7E6E"/>
    <w:rsid w:val="00EF1EC5"/>
    <w:rsid w:val="00EF299D"/>
    <w:rsid w:val="00EF3A48"/>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0632"/>
    <w:rsid w:val="00F31CA1"/>
    <w:rsid w:val="00F326C9"/>
    <w:rsid w:val="00F326CE"/>
    <w:rsid w:val="00F32C57"/>
    <w:rsid w:val="00F35718"/>
    <w:rsid w:val="00F409C1"/>
    <w:rsid w:val="00F41187"/>
    <w:rsid w:val="00F41550"/>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5648222"/>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11B8C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B1AAAD"/>
    <w:rsid w:val="3EF8B526"/>
    <w:rsid w:val="3F164357"/>
    <w:rsid w:val="3FF4CF64"/>
    <w:rsid w:val="40744006"/>
    <w:rsid w:val="411F72FE"/>
    <w:rsid w:val="411F74E2"/>
    <w:rsid w:val="414C2577"/>
    <w:rsid w:val="42F9848C"/>
    <w:rsid w:val="42F98632"/>
    <w:rsid w:val="43D1A6BA"/>
    <w:rsid w:val="4419D94E"/>
    <w:rsid w:val="4482A7C8"/>
    <w:rsid w:val="45F4638A"/>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EF97F23"/>
    <w:rsid w:val="6F51BE89"/>
    <w:rsid w:val="7118C660"/>
    <w:rsid w:val="712D06C0"/>
    <w:rsid w:val="7136474C"/>
    <w:rsid w:val="71980AC5"/>
    <w:rsid w:val="73BC9E90"/>
    <w:rsid w:val="746275F1"/>
    <w:rsid w:val="74C197DE"/>
    <w:rsid w:val="75652413"/>
    <w:rsid w:val="7573E9C2"/>
    <w:rsid w:val="76BA40C8"/>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link w:val="FootnotesymbolCarZchn"/>
    <w:uiPriority w:val="99"/>
    <w:unhideWhenUsed/>
    <w:qFormat/>
    <w:rsid w:val="00FE7254"/>
    <w:rPr>
      <w:vertAlign w:val="superscript"/>
    </w:rPr>
  </w:style>
  <w:style w:type="character" w:styleId="UnresolvedMention">
    <w:name w:val="Unresolved Mention"/>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unhideWhenUsed/>
    <w:rsid w:val="002B67C9"/>
    <w:pPr>
      <w:spacing w:line="240" w:lineRule="auto"/>
    </w:pPr>
    <w:rPr>
      <w:szCs w:val="20"/>
    </w:rPr>
  </w:style>
  <w:style w:type="character" w:customStyle="1" w:styleId="CommentTextChar">
    <w:name w:val="Comment Text Char"/>
    <w:basedOn w:val="DefaultParagraphFont"/>
    <w:link w:val="CommentText"/>
    <w:uiPriority w:val="99"/>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styleId="Strong">
    <w:name w:val="Strong"/>
    <w:basedOn w:val="DefaultParagraphFont"/>
    <w:uiPriority w:val="22"/>
    <w:qFormat/>
    <w:rsid w:val="00BA0F00"/>
    <w:rPr>
      <w:b/>
      <w:bCs/>
    </w:rPr>
  </w:style>
  <w:style w:type="character" w:customStyle="1" w:styleId="normaltextrun">
    <w:name w:val="normaltextrun"/>
    <w:basedOn w:val="DefaultParagraphFont"/>
    <w:rsid w:val="00670EF5"/>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2B0EA6"/>
    <w:pPr>
      <w:spacing w:after="160" w:line="240" w:lineRule="exact"/>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107C5-E1BF-4AC2-BDC5-AA8FEFC9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Links>
    <vt:vector size="12" baseType="variant">
      <vt:variant>
        <vt:i4>4915252</vt:i4>
      </vt:variant>
      <vt:variant>
        <vt:i4>6</vt:i4>
      </vt:variant>
      <vt:variant>
        <vt:i4>0</vt:i4>
      </vt:variant>
      <vt:variant>
        <vt:i4>5</vt:i4>
      </vt:variant>
      <vt:variant>
        <vt:lpwstr>mailto:polona.osrajnik@gov.si</vt:lpwstr>
      </vt:variant>
      <vt:variant>
        <vt:lpwstr/>
      </vt:variant>
      <vt:variant>
        <vt:i4>4915252</vt:i4>
      </vt:variant>
      <vt:variant>
        <vt:i4>0</vt:i4>
      </vt:variant>
      <vt:variant>
        <vt:i4>0</vt:i4>
      </vt:variant>
      <vt:variant>
        <vt:i4>5</vt:i4>
      </vt:variant>
      <vt:variant>
        <vt:lpwstr>mailto:polona.osrajnik@gov.si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2024-01-30T08:18:00Z</dcterms:created>
  <dcterms:modified xsi:type="dcterms:W3CDTF">2024-01-30T08:18:00Z</dcterms:modified>
</cp:coreProperties>
</file>