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0F05" w14:textId="19E85466" w:rsidR="001D6793" w:rsidRPr="000E78BA" w:rsidRDefault="004B235F" w:rsidP="001D6793">
      <w:pPr>
        <w:pStyle w:val="Naslov11"/>
      </w:pPr>
      <w:r>
        <w:t>CHARTS OF THE WEEK</w:t>
      </w:r>
    </w:p>
    <w:p w14:paraId="636DFC9E" w14:textId="3D2BF547" w:rsidR="001D6793" w:rsidRPr="000E78BA" w:rsidRDefault="00A910E7" w:rsidP="001D6793">
      <w:pPr>
        <w:pStyle w:val="Naslov21"/>
      </w:pPr>
      <w:r>
        <w:t xml:space="preserve">22–26 April 2024 </w:t>
      </w:r>
    </w:p>
    <w:p w14:paraId="0D813662" w14:textId="62600A0A" w:rsidR="00DF4F0B" w:rsidRPr="000E78BA" w:rsidRDefault="00DF4F0B"/>
    <w:p w14:paraId="196DFF85" w14:textId="77777777" w:rsidR="00916FC4" w:rsidRPr="000E78BA" w:rsidRDefault="00916FC4"/>
    <w:p w14:paraId="65200427" w14:textId="3AB939BF" w:rsidR="00A910E7" w:rsidRPr="002D2E35" w:rsidRDefault="00A910E7" w:rsidP="00A910E7">
      <w:pPr>
        <w:spacing w:line="240" w:lineRule="atLeast"/>
      </w:pPr>
      <w:r>
        <w:t xml:space="preserve">The economic sentiment indicator rose month-on-month in April in all activities except in construction; economic confidence reached its highest level in 13 months. </w:t>
      </w:r>
      <w:r w:rsidR="00C2693E">
        <w:t>In February, real turnover further increased in most trade sectors, while it was higher year-on-year in all sectors. The average gross wage rose by 3.4% year-on-year in real terms in February, which means slightly lower growth compared to January given the similar level of inflation and a higher last year’s base. The average wage increased by 3.9% in the private sector and by 2.4% in the public sector.</w:t>
      </w:r>
    </w:p>
    <w:p w14:paraId="184C31A0" w14:textId="77777777" w:rsidR="00A910E7" w:rsidRDefault="00A910E7" w:rsidP="00A910E7">
      <w:pPr>
        <w:tabs>
          <w:tab w:val="left" w:pos="580"/>
        </w:tabs>
      </w:pPr>
    </w:p>
    <w:p w14:paraId="43DD8272" w14:textId="77777777" w:rsidR="00DD7AAE" w:rsidRDefault="00DD7AAE" w:rsidP="00A910E7">
      <w:pPr>
        <w:tabs>
          <w:tab w:val="left" w:pos="580"/>
        </w:tabs>
      </w:pPr>
    </w:p>
    <w:tbl>
      <w:tblPr>
        <w:tblStyle w:val="Tabelamre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4985"/>
        <w:gridCol w:w="1115"/>
        <w:gridCol w:w="3545"/>
      </w:tblGrid>
      <w:tr w:rsidR="00A910E7" w14:paraId="38361912" w14:textId="77777777" w:rsidTr="00490664">
        <w:trPr>
          <w:trHeight w:val="207"/>
        </w:trPr>
        <w:tc>
          <w:tcPr>
            <w:tcW w:w="6100" w:type="dxa"/>
            <w:gridSpan w:val="2"/>
            <w:tcBorders>
              <w:top w:val="nil"/>
              <w:left w:val="nil"/>
              <w:bottom w:val="single" w:sz="4" w:space="0" w:color="auto"/>
              <w:right w:val="nil"/>
            </w:tcBorders>
            <w:hideMark/>
          </w:tcPr>
          <w:p w14:paraId="3E18785A" w14:textId="77777777" w:rsidR="00A910E7" w:rsidRDefault="00A910E7" w:rsidP="002965B0">
            <w:pPr>
              <w:pStyle w:val="Naslov31"/>
              <w:jc w:val="left"/>
            </w:pPr>
            <w:r>
              <w:t xml:space="preserve">Economic sentiment, April 2024 </w:t>
            </w:r>
          </w:p>
        </w:tc>
        <w:tc>
          <w:tcPr>
            <w:tcW w:w="3545" w:type="dxa"/>
            <w:tcBorders>
              <w:top w:val="nil"/>
              <w:left w:val="nil"/>
              <w:bottom w:val="single" w:sz="4" w:space="0" w:color="auto"/>
              <w:right w:val="nil"/>
            </w:tcBorders>
          </w:tcPr>
          <w:p w14:paraId="4BCDFB7F" w14:textId="77777777" w:rsidR="00A910E7" w:rsidRDefault="00A910E7" w:rsidP="002965B0">
            <w:pPr>
              <w:pStyle w:val="Naslov31"/>
            </w:pPr>
          </w:p>
        </w:tc>
      </w:tr>
      <w:tr w:rsidR="00A910E7" w:rsidRPr="0015237D" w14:paraId="1D679CA7" w14:textId="77777777" w:rsidTr="00490664">
        <w:trPr>
          <w:trHeight w:val="1134"/>
        </w:trPr>
        <w:tc>
          <w:tcPr>
            <w:tcW w:w="4985" w:type="dxa"/>
            <w:tcBorders>
              <w:top w:val="single" w:sz="4" w:space="0" w:color="auto"/>
              <w:left w:val="nil"/>
              <w:bottom w:val="nil"/>
              <w:right w:val="nil"/>
            </w:tcBorders>
            <w:hideMark/>
          </w:tcPr>
          <w:p w14:paraId="0E6C8A87" w14:textId="2D188056" w:rsidR="00A910E7" w:rsidRDefault="006923E4" w:rsidP="002965B0">
            <w:pPr>
              <w:pStyle w:val="Odstavekseznama"/>
              <w:ind w:left="0"/>
            </w:pPr>
            <w:r>
              <w:rPr>
                <w:noProof/>
              </w:rPr>
              <w:drawing>
                <wp:inline distT="0" distB="0" distL="0" distR="0" wp14:anchorId="585F4807" wp14:editId="2E23F8FD">
                  <wp:extent cx="3141259" cy="2578100"/>
                  <wp:effectExtent l="0" t="0" r="254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033" cy="2579556"/>
                          </a:xfrm>
                          <a:prstGeom prst="rect">
                            <a:avLst/>
                          </a:prstGeom>
                          <a:noFill/>
                        </pic:spPr>
                      </pic:pic>
                    </a:graphicData>
                  </a:graphic>
                </wp:inline>
              </w:drawing>
            </w:r>
          </w:p>
        </w:tc>
        <w:tc>
          <w:tcPr>
            <w:tcW w:w="4660" w:type="dxa"/>
            <w:gridSpan w:val="2"/>
            <w:tcBorders>
              <w:top w:val="single" w:sz="4" w:space="0" w:color="auto"/>
              <w:left w:val="nil"/>
              <w:bottom w:val="nil"/>
              <w:right w:val="nil"/>
            </w:tcBorders>
            <w:tcMar>
              <w:top w:w="113" w:type="dxa"/>
              <w:left w:w="284" w:type="dxa"/>
              <w:bottom w:w="113" w:type="dxa"/>
              <w:right w:w="0" w:type="dxa"/>
            </w:tcMar>
          </w:tcPr>
          <w:p w14:paraId="750B1F5A" w14:textId="4710FAD9" w:rsidR="00A910E7" w:rsidRPr="007E3AE9" w:rsidRDefault="00A910E7" w:rsidP="002965B0">
            <w:pPr>
              <w:rPr>
                <w:rFonts w:eastAsia="Myriad Pro" w:cs="Myriad Pro"/>
              </w:rPr>
            </w:pPr>
            <w:r>
              <w:rPr>
                <w:b/>
              </w:rPr>
              <w:t xml:space="preserve">In April, the economic sentiment indicator increased both month-on-month and year-on-year. </w:t>
            </w:r>
            <w:r>
              <w:t>Compared to March, confidence improved in all activities, except construction. Compared to April last year, confidence was slightly higher on average. Broken down by segment, it was higher in manufacturing, retail trade and among consumers, while it was slightly lower in services and significantly lower in construction. Despite reaching its highest level in 13 months, economic confidence remained below the long-term average. However, it surpassed it in services, retail trade, and construction.</w:t>
            </w:r>
          </w:p>
          <w:p w14:paraId="46BEB662" w14:textId="77777777" w:rsidR="00A910E7" w:rsidRPr="007E3AE9" w:rsidRDefault="00A910E7" w:rsidP="002965B0">
            <w:pPr>
              <w:rPr>
                <w:rFonts w:eastAsia="Myriad Pro" w:cs="Myriad Pro"/>
              </w:rPr>
            </w:pPr>
          </w:p>
        </w:tc>
      </w:tr>
    </w:tbl>
    <w:p w14:paraId="2AF17E59" w14:textId="77777777" w:rsidR="00A910E7" w:rsidRDefault="00A910E7" w:rsidP="00A910E7">
      <w:pPr>
        <w:tabs>
          <w:tab w:val="left" w:pos="580"/>
        </w:tabs>
      </w:pPr>
    </w:p>
    <w:p w14:paraId="0D88E158" w14:textId="77777777" w:rsidR="00A910E7" w:rsidRDefault="00A910E7" w:rsidP="00A910E7">
      <w:pPr>
        <w:tabs>
          <w:tab w:val="left" w:pos="580"/>
        </w:tabs>
      </w:pPr>
    </w:p>
    <w:p w14:paraId="5739AB9C" w14:textId="77777777" w:rsidR="00A910E7" w:rsidRDefault="00A910E7" w:rsidP="00A910E7">
      <w:pPr>
        <w:tabs>
          <w:tab w:val="left" w:pos="580"/>
        </w:tabs>
      </w:pPr>
    </w:p>
    <w:p w14:paraId="5A7953D1" w14:textId="77777777" w:rsidR="00A910E7" w:rsidRDefault="00A910E7" w:rsidP="00A910E7">
      <w:pPr>
        <w:spacing w:after="160" w:line="254" w:lineRule="auto"/>
        <w:jc w:val="left"/>
      </w:pPr>
      <w:r>
        <w:br w:type="page"/>
      </w:r>
    </w:p>
    <w:tbl>
      <w:tblPr>
        <w:tblStyle w:val="Tabelamrea"/>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5010"/>
        <w:gridCol w:w="1110"/>
        <w:gridCol w:w="3519"/>
        <w:gridCol w:w="6"/>
      </w:tblGrid>
      <w:tr w:rsidR="00A910E7" w:rsidRPr="006C2117" w14:paraId="78997A80" w14:textId="77777777" w:rsidTr="00490664">
        <w:trPr>
          <w:gridAfter w:val="1"/>
          <w:wAfter w:w="6" w:type="dxa"/>
          <w:trHeight w:val="207"/>
        </w:trPr>
        <w:tc>
          <w:tcPr>
            <w:tcW w:w="6097" w:type="dxa"/>
            <w:gridSpan w:val="2"/>
            <w:tcBorders>
              <w:bottom w:val="single" w:sz="4" w:space="0" w:color="auto"/>
            </w:tcBorders>
            <w:tcMar>
              <w:left w:w="0" w:type="dxa"/>
            </w:tcMar>
          </w:tcPr>
          <w:p w14:paraId="128D077A" w14:textId="77777777" w:rsidR="00A910E7" w:rsidRPr="006C2117" w:rsidRDefault="00A910E7" w:rsidP="002965B0">
            <w:pPr>
              <w:pStyle w:val="Naslov31"/>
              <w:jc w:val="left"/>
            </w:pPr>
            <w:r>
              <w:lastRenderedPageBreak/>
              <w:t>Turnover in trade, February–March 2024</w:t>
            </w:r>
          </w:p>
        </w:tc>
        <w:tc>
          <w:tcPr>
            <w:tcW w:w="3542" w:type="dxa"/>
            <w:tcBorders>
              <w:bottom w:val="single" w:sz="4" w:space="0" w:color="auto"/>
            </w:tcBorders>
          </w:tcPr>
          <w:p w14:paraId="47649448" w14:textId="77777777" w:rsidR="00A910E7" w:rsidRPr="006C2117" w:rsidRDefault="00A910E7" w:rsidP="002965B0">
            <w:pPr>
              <w:pStyle w:val="Naslov31"/>
            </w:pPr>
          </w:p>
        </w:tc>
      </w:tr>
      <w:tr w:rsidR="00A910E7" w:rsidRPr="00DF4F0B" w14:paraId="643CBD88" w14:textId="77777777" w:rsidTr="00490664">
        <w:trPr>
          <w:gridAfter w:val="1"/>
          <w:wAfter w:w="6" w:type="dxa"/>
          <w:trHeight w:val="1134"/>
        </w:trPr>
        <w:tc>
          <w:tcPr>
            <w:tcW w:w="4982" w:type="dxa"/>
            <w:tcBorders>
              <w:top w:val="single" w:sz="4" w:space="0" w:color="auto"/>
            </w:tcBorders>
            <w:tcMar>
              <w:left w:w="0" w:type="dxa"/>
            </w:tcMar>
          </w:tcPr>
          <w:p w14:paraId="32FD735E" w14:textId="0D1BAC6C" w:rsidR="00A910E7" w:rsidRDefault="00A518B0" w:rsidP="002965B0">
            <w:pPr>
              <w:pStyle w:val="Odstavekseznama"/>
              <w:ind w:left="0"/>
            </w:pPr>
            <w:r>
              <w:rPr>
                <w:noProof/>
              </w:rPr>
              <w:drawing>
                <wp:inline distT="0" distB="0" distL="0" distR="0" wp14:anchorId="535B3856" wp14:editId="147FE2B7">
                  <wp:extent cx="3143643" cy="25209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5139" cy="2530169"/>
                          </a:xfrm>
                          <a:prstGeom prst="rect">
                            <a:avLst/>
                          </a:prstGeom>
                          <a:noFill/>
                        </pic:spPr>
                      </pic:pic>
                    </a:graphicData>
                  </a:graphic>
                </wp:inline>
              </w:drawing>
            </w:r>
          </w:p>
        </w:tc>
        <w:tc>
          <w:tcPr>
            <w:tcW w:w="4657" w:type="dxa"/>
            <w:gridSpan w:val="2"/>
            <w:tcBorders>
              <w:top w:val="single" w:sz="4" w:space="0" w:color="auto"/>
            </w:tcBorders>
            <w:tcMar>
              <w:left w:w="284" w:type="dxa"/>
            </w:tcMar>
          </w:tcPr>
          <w:p w14:paraId="403FA228" w14:textId="69B232E7" w:rsidR="00A910E7" w:rsidRPr="00DF4F0B" w:rsidRDefault="0060578A" w:rsidP="002965B0">
            <w:r>
              <w:rPr>
                <w:b/>
                <w:shd w:val="clear" w:color="auto" w:fill="FFFFFF"/>
              </w:rPr>
              <w:t xml:space="preserve">In February, real turnover further increased in most trade sectors and was also higher year-on-year. </w:t>
            </w:r>
            <w:r>
              <w:t>Following growth in the fourth quarter of last year, turnover further increased in the retail sale of non-food products, which was up 4% year-on-year, and in wholesale trade, which was higher year-on-year for the first time since January 2023 (by 7%).</w:t>
            </w:r>
            <w:r>
              <w:rPr>
                <w:shd w:val="clear" w:color="auto" w:fill="FFFFFF"/>
              </w:rPr>
              <w:t xml:space="preserve"> Turnover in retail sales of food, beverages and tobacco products remained higher year-on-year (by 4%), thus maintaining the level achieved in recent months after recording modest growth in the second half of last year. Following high growth last year, turnover in the sale of motor vehicles fell in February, while it was still significantly higher year-on-year (by 11%). According to preliminary SURS data, turnover in March was again higher year-on-year in the sale of motor vehicles and retail sale of food, while turnover in retail sale of non-food products was lower.</w:t>
            </w:r>
          </w:p>
        </w:tc>
      </w:tr>
      <w:tr w:rsidR="00A910E7" w14:paraId="3BA4ABE3" w14:textId="77777777" w:rsidTr="00490664">
        <w:trPr>
          <w:trHeight w:val="207"/>
        </w:trPr>
        <w:tc>
          <w:tcPr>
            <w:tcW w:w="6097" w:type="dxa"/>
            <w:gridSpan w:val="2"/>
            <w:tcBorders>
              <w:top w:val="nil"/>
              <w:left w:val="nil"/>
              <w:bottom w:val="single" w:sz="4" w:space="0" w:color="auto"/>
              <w:right w:val="nil"/>
            </w:tcBorders>
            <w:hideMark/>
          </w:tcPr>
          <w:p w14:paraId="12B3D2D3" w14:textId="77777777" w:rsidR="00FF718C" w:rsidRDefault="00FF718C" w:rsidP="002965B0">
            <w:pPr>
              <w:pStyle w:val="Naslov31"/>
              <w:jc w:val="left"/>
            </w:pPr>
          </w:p>
          <w:p w14:paraId="1A6E9DAC" w14:textId="237D22FC" w:rsidR="00A910E7" w:rsidRDefault="00A910E7" w:rsidP="002965B0">
            <w:pPr>
              <w:pStyle w:val="Naslov31"/>
              <w:jc w:val="left"/>
            </w:pPr>
            <w:r>
              <w:t>Average gross wage per employee, February 2024</w:t>
            </w:r>
          </w:p>
        </w:tc>
        <w:tc>
          <w:tcPr>
            <w:tcW w:w="3548" w:type="dxa"/>
            <w:gridSpan w:val="2"/>
            <w:tcBorders>
              <w:top w:val="nil"/>
              <w:left w:val="nil"/>
              <w:bottom w:val="single" w:sz="4" w:space="0" w:color="auto"/>
              <w:right w:val="nil"/>
            </w:tcBorders>
          </w:tcPr>
          <w:p w14:paraId="20A38150" w14:textId="77777777" w:rsidR="00A910E7" w:rsidRDefault="00A910E7" w:rsidP="002965B0">
            <w:pPr>
              <w:pStyle w:val="Naslov31"/>
            </w:pPr>
          </w:p>
        </w:tc>
      </w:tr>
      <w:tr w:rsidR="00A910E7" w:rsidRPr="00C752EA" w14:paraId="69531ACE" w14:textId="77777777" w:rsidTr="00490664">
        <w:trPr>
          <w:trHeight w:val="1134"/>
        </w:trPr>
        <w:tc>
          <w:tcPr>
            <w:tcW w:w="4982" w:type="dxa"/>
            <w:tcBorders>
              <w:top w:val="single" w:sz="4" w:space="0" w:color="auto"/>
              <w:left w:val="nil"/>
              <w:bottom w:val="nil"/>
              <w:right w:val="nil"/>
            </w:tcBorders>
          </w:tcPr>
          <w:p w14:paraId="3762E46E" w14:textId="38455E0B" w:rsidR="00A910E7" w:rsidRDefault="004E3231" w:rsidP="002965B0">
            <w:pPr>
              <w:pStyle w:val="Odstavekseznama"/>
              <w:ind w:left="0"/>
              <w:rPr>
                <w:noProof/>
              </w:rPr>
            </w:pPr>
            <w:r>
              <w:rPr>
                <w:noProof/>
              </w:rPr>
              <w:drawing>
                <wp:inline distT="0" distB="0" distL="0" distR="0" wp14:anchorId="002FBE4B" wp14:editId="06B63185">
                  <wp:extent cx="3179945" cy="2609850"/>
                  <wp:effectExtent l="0" t="0" r="190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3967" cy="2613151"/>
                          </a:xfrm>
                          <a:prstGeom prst="rect">
                            <a:avLst/>
                          </a:prstGeom>
                          <a:noFill/>
                        </pic:spPr>
                      </pic:pic>
                    </a:graphicData>
                  </a:graphic>
                </wp:inline>
              </w:drawing>
            </w:r>
          </w:p>
        </w:tc>
        <w:tc>
          <w:tcPr>
            <w:tcW w:w="4663" w:type="dxa"/>
            <w:gridSpan w:val="3"/>
            <w:tcBorders>
              <w:top w:val="single" w:sz="4" w:space="0" w:color="auto"/>
              <w:left w:val="nil"/>
              <w:bottom w:val="nil"/>
              <w:right w:val="nil"/>
            </w:tcBorders>
            <w:tcMar>
              <w:top w:w="113" w:type="dxa"/>
              <w:left w:w="284" w:type="dxa"/>
              <w:bottom w:w="113" w:type="dxa"/>
              <w:right w:w="0" w:type="dxa"/>
            </w:tcMar>
            <w:hideMark/>
          </w:tcPr>
          <w:p w14:paraId="67E215F1" w14:textId="49311FFF" w:rsidR="00A910E7" w:rsidRPr="0057288C" w:rsidRDefault="00A910E7" w:rsidP="002965B0">
            <w:pPr>
              <w:rPr>
                <w:color w:val="000000" w:themeColor="text1"/>
              </w:rPr>
            </w:pPr>
            <w:r>
              <w:rPr>
                <w:b/>
                <w:color w:val="000000" w:themeColor="text1"/>
              </w:rPr>
              <w:t xml:space="preserve">In February, the average gross wage growth (3.4%) was slightly lower in real terms compared to January. </w:t>
            </w:r>
            <w:r>
              <w:rPr>
                <w:color w:val="000000" w:themeColor="text1"/>
              </w:rPr>
              <w:t>With inflation largely unchanged, this was mainly due to the last year’s high base effect related to the increase in the minimum wage, which was higher than this year.</w:t>
            </w:r>
            <w:r>
              <w:rPr>
                <w:b/>
                <w:color w:val="000000" w:themeColor="text1"/>
              </w:rPr>
              <w:t xml:space="preserve"> </w:t>
            </w:r>
            <w:r>
              <w:rPr>
                <w:color w:val="000000" w:themeColor="text1"/>
              </w:rPr>
              <w:t xml:space="preserve">In the private sector, average gross wage in February increased by 3.9% year-on-year in real terms, with the highest growth observed in construction, </w:t>
            </w:r>
            <w:proofErr w:type="gramStart"/>
            <w:r>
              <w:rPr>
                <w:color w:val="000000" w:themeColor="text1"/>
              </w:rPr>
              <w:t>transportation</w:t>
            </w:r>
            <w:proofErr w:type="gramEnd"/>
            <w:r>
              <w:rPr>
                <w:color w:val="000000" w:themeColor="text1"/>
              </w:rPr>
              <w:t xml:space="preserve"> and storage. Real growth in the public sector was 2.4%. </w:t>
            </w:r>
            <w:r>
              <w:br/>
            </w:r>
            <w:r>
              <w:rPr>
                <w:color w:val="000000" w:themeColor="text1"/>
              </w:rPr>
              <w:t>Nominal year-on-year growth in the average gross wage was slightly lower (6.9%) than in the previous months. Growth in the private sector was 7.4% and 5.9% in the public sector.</w:t>
            </w:r>
            <w:r>
              <w:rPr>
                <w:b/>
                <w:color w:val="000000" w:themeColor="text1"/>
              </w:rPr>
              <w:t> </w:t>
            </w:r>
          </w:p>
          <w:p w14:paraId="6770B16A" w14:textId="77777777" w:rsidR="00A910E7" w:rsidRPr="00C752EA" w:rsidRDefault="00A910E7" w:rsidP="002965B0">
            <w:pPr>
              <w:rPr>
                <w:rFonts w:eastAsia="Myriad Pro" w:cs="Myriad Pro"/>
              </w:rPr>
            </w:pPr>
          </w:p>
        </w:tc>
      </w:tr>
    </w:tbl>
    <w:p w14:paraId="34382EDF" w14:textId="77777777" w:rsidR="00A910E7" w:rsidRDefault="00A910E7" w:rsidP="00A910E7">
      <w:pPr>
        <w:tabs>
          <w:tab w:val="left" w:pos="580"/>
        </w:tabs>
      </w:pPr>
    </w:p>
    <w:p w14:paraId="6A6AF946" w14:textId="77777777" w:rsidR="00A910E7" w:rsidRDefault="00A910E7" w:rsidP="00A910E7">
      <w:pPr>
        <w:spacing w:after="160" w:line="259" w:lineRule="auto"/>
        <w:jc w:val="left"/>
      </w:pPr>
    </w:p>
    <w:p w14:paraId="4F570E67" w14:textId="77777777" w:rsidR="00796A71" w:rsidRDefault="00796A71" w:rsidP="00796A71"/>
    <w:p w14:paraId="3B83B622" w14:textId="77777777" w:rsidR="00236970" w:rsidRDefault="00236970" w:rsidP="00670EF5">
      <w:pPr>
        <w:spacing w:after="160" w:line="259" w:lineRule="auto"/>
        <w:jc w:val="left"/>
      </w:pPr>
    </w:p>
    <w:p w14:paraId="58BDC278" w14:textId="77777777" w:rsidR="00236970" w:rsidRDefault="00236970" w:rsidP="00670EF5">
      <w:pPr>
        <w:spacing w:after="160" w:line="259" w:lineRule="auto"/>
        <w:jc w:val="left"/>
      </w:pPr>
    </w:p>
    <w:p w14:paraId="09FA934F" w14:textId="6CF1E9FB" w:rsidR="007F0DED" w:rsidRDefault="007F0DED" w:rsidP="00FE7254"/>
    <w:p w14:paraId="22475C0D" w14:textId="10995B66" w:rsidR="007F0DED" w:rsidRPr="000E78BA" w:rsidRDefault="007F0DED" w:rsidP="00FE7254">
      <w:pPr>
        <w:sectPr w:rsidR="007F0DED" w:rsidRPr="000E78BA" w:rsidSect="00363E63">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515F4F7F" w14:textId="65F0A509" w:rsidR="00A03401" w:rsidRPr="000E78BA" w:rsidRDefault="00675AAB" w:rsidP="00C26C8D">
      <w:pPr>
        <w:tabs>
          <w:tab w:val="left" w:pos="580"/>
        </w:tabs>
      </w:pPr>
      <w:r>
        <w:rPr>
          <w:noProof/>
        </w:rPr>
        <w:lastRenderedPageBreak/>
        <w:drawing>
          <wp:inline distT="0" distB="0" distL="0" distR="0" wp14:anchorId="48F63EFA" wp14:editId="48A4EC69">
            <wp:extent cx="6120130" cy="843153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431530"/>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6095" w14:textId="77777777" w:rsidR="00611EF0" w:rsidRDefault="00611EF0" w:rsidP="0063497B">
      <w:pPr>
        <w:spacing w:line="240" w:lineRule="auto"/>
      </w:pPr>
      <w:r>
        <w:separator/>
      </w:r>
    </w:p>
  </w:endnote>
  <w:endnote w:type="continuationSeparator" w:id="0">
    <w:p w14:paraId="4C64B8CA" w14:textId="77777777" w:rsidR="00611EF0" w:rsidRDefault="00611EF0" w:rsidP="0063497B">
      <w:pPr>
        <w:spacing w:line="240" w:lineRule="auto"/>
      </w:pPr>
      <w:r>
        <w:continuationSeparator/>
      </w:r>
    </w:p>
  </w:endnote>
  <w:endnote w:type="continuationNotice" w:id="1">
    <w:p w14:paraId="021A76CB" w14:textId="77777777" w:rsidR="00611EF0" w:rsidRDefault="00611E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A0F2" w14:textId="77777777" w:rsidR="00611EF0" w:rsidRDefault="00611EF0" w:rsidP="0063497B">
      <w:pPr>
        <w:spacing w:line="240" w:lineRule="auto"/>
      </w:pPr>
      <w:r>
        <w:separator/>
      </w:r>
    </w:p>
  </w:footnote>
  <w:footnote w:type="continuationSeparator" w:id="0">
    <w:p w14:paraId="241AB707" w14:textId="77777777" w:rsidR="00611EF0" w:rsidRDefault="00611EF0" w:rsidP="0063497B">
      <w:pPr>
        <w:spacing w:line="240" w:lineRule="auto"/>
      </w:pPr>
      <w:r>
        <w:continuationSeparator/>
      </w:r>
    </w:p>
  </w:footnote>
  <w:footnote w:type="continuationNotice" w:id="1">
    <w:p w14:paraId="14F45CBE" w14:textId="77777777" w:rsidR="00611EF0" w:rsidRDefault="00611E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A66C" w14:textId="10AE9F82"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26 April 2024</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943" w14:textId="77777777" w:rsidR="009A0978" w:rsidRPr="00C26C8D" w:rsidRDefault="009A0978"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1725837968">
    <w:abstractNumId w:val="0"/>
  </w:num>
  <w:num w:numId="2" w16cid:durableId="207889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70"/>
  <w:hyphenationZone w:val="425"/>
  <w:drawingGridHorizontalSpacing w:val="4933"/>
  <w:drawingGridVerticalSpacing w:val="3118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3C90"/>
    <w:rsid w:val="00004D56"/>
    <w:rsid w:val="00005E4B"/>
    <w:rsid w:val="00006CDC"/>
    <w:rsid w:val="00014A64"/>
    <w:rsid w:val="00016923"/>
    <w:rsid w:val="00021B8C"/>
    <w:rsid w:val="00022B08"/>
    <w:rsid w:val="0002391A"/>
    <w:rsid w:val="00024EF0"/>
    <w:rsid w:val="000257A3"/>
    <w:rsid w:val="00026AAA"/>
    <w:rsid w:val="0003025F"/>
    <w:rsid w:val="000407E8"/>
    <w:rsid w:val="00041021"/>
    <w:rsid w:val="0004116E"/>
    <w:rsid w:val="000425EA"/>
    <w:rsid w:val="0004410D"/>
    <w:rsid w:val="0004734E"/>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4C85"/>
    <w:rsid w:val="000A5A42"/>
    <w:rsid w:val="000A6A64"/>
    <w:rsid w:val="000A7BDC"/>
    <w:rsid w:val="000B2332"/>
    <w:rsid w:val="000B2627"/>
    <w:rsid w:val="000B5B96"/>
    <w:rsid w:val="000C450B"/>
    <w:rsid w:val="000C529C"/>
    <w:rsid w:val="000C5DFC"/>
    <w:rsid w:val="000D3F8B"/>
    <w:rsid w:val="000D4661"/>
    <w:rsid w:val="000D5FF8"/>
    <w:rsid w:val="000D7845"/>
    <w:rsid w:val="000E0101"/>
    <w:rsid w:val="000E0B03"/>
    <w:rsid w:val="000E0C96"/>
    <w:rsid w:val="000E78BA"/>
    <w:rsid w:val="000F18E2"/>
    <w:rsid w:val="000F2B8F"/>
    <w:rsid w:val="000F2E14"/>
    <w:rsid w:val="000F5315"/>
    <w:rsid w:val="00101E8B"/>
    <w:rsid w:val="00107088"/>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386C"/>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6970"/>
    <w:rsid w:val="002374F8"/>
    <w:rsid w:val="0024091B"/>
    <w:rsid w:val="0024119A"/>
    <w:rsid w:val="00242C71"/>
    <w:rsid w:val="0024323E"/>
    <w:rsid w:val="00243593"/>
    <w:rsid w:val="0024378B"/>
    <w:rsid w:val="00243C84"/>
    <w:rsid w:val="002461D2"/>
    <w:rsid w:val="00246CF1"/>
    <w:rsid w:val="002511CF"/>
    <w:rsid w:val="00252E25"/>
    <w:rsid w:val="00253AF0"/>
    <w:rsid w:val="002540FD"/>
    <w:rsid w:val="002551D9"/>
    <w:rsid w:val="00255F95"/>
    <w:rsid w:val="0026341B"/>
    <w:rsid w:val="00263CDF"/>
    <w:rsid w:val="0026509A"/>
    <w:rsid w:val="00271747"/>
    <w:rsid w:val="0027286B"/>
    <w:rsid w:val="00274D3F"/>
    <w:rsid w:val="00283763"/>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2FFB"/>
    <w:rsid w:val="00305883"/>
    <w:rsid w:val="00306767"/>
    <w:rsid w:val="00312D09"/>
    <w:rsid w:val="003159CC"/>
    <w:rsid w:val="00325655"/>
    <w:rsid w:val="0032707E"/>
    <w:rsid w:val="00327AF7"/>
    <w:rsid w:val="0033042F"/>
    <w:rsid w:val="003305D2"/>
    <w:rsid w:val="00330DEB"/>
    <w:rsid w:val="00331DD6"/>
    <w:rsid w:val="00333B2F"/>
    <w:rsid w:val="0034156F"/>
    <w:rsid w:val="00342C48"/>
    <w:rsid w:val="00342F7A"/>
    <w:rsid w:val="0034385F"/>
    <w:rsid w:val="003443B1"/>
    <w:rsid w:val="00345706"/>
    <w:rsid w:val="00346E79"/>
    <w:rsid w:val="00350999"/>
    <w:rsid w:val="00350A64"/>
    <w:rsid w:val="00350EC8"/>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97A"/>
    <w:rsid w:val="003E0230"/>
    <w:rsid w:val="003E5239"/>
    <w:rsid w:val="003E5ADA"/>
    <w:rsid w:val="003E5C15"/>
    <w:rsid w:val="003E64D6"/>
    <w:rsid w:val="003E6BD7"/>
    <w:rsid w:val="003F30E4"/>
    <w:rsid w:val="003F4C1B"/>
    <w:rsid w:val="004041D4"/>
    <w:rsid w:val="0040719E"/>
    <w:rsid w:val="004079CD"/>
    <w:rsid w:val="004123A3"/>
    <w:rsid w:val="00415098"/>
    <w:rsid w:val="00416E12"/>
    <w:rsid w:val="004204B9"/>
    <w:rsid w:val="0042504D"/>
    <w:rsid w:val="004255B4"/>
    <w:rsid w:val="004271E0"/>
    <w:rsid w:val="00431E69"/>
    <w:rsid w:val="00431EDD"/>
    <w:rsid w:val="00434D49"/>
    <w:rsid w:val="004351F9"/>
    <w:rsid w:val="004368FB"/>
    <w:rsid w:val="00444120"/>
    <w:rsid w:val="00445954"/>
    <w:rsid w:val="00446303"/>
    <w:rsid w:val="0044650F"/>
    <w:rsid w:val="0045024D"/>
    <w:rsid w:val="00452589"/>
    <w:rsid w:val="00452804"/>
    <w:rsid w:val="004533D3"/>
    <w:rsid w:val="0045444B"/>
    <w:rsid w:val="00454E68"/>
    <w:rsid w:val="00455141"/>
    <w:rsid w:val="00461BCB"/>
    <w:rsid w:val="00462BA6"/>
    <w:rsid w:val="004636A5"/>
    <w:rsid w:val="00464D01"/>
    <w:rsid w:val="00466595"/>
    <w:rsid w:val="00466EBD"/>
    <w:rsid w:val="00467144"/>
    <w:rsid w:val="0046726B"/>
    <w:rsid w:val="00467D2C"/>
    <w:rsid w:val="004712B8"/>
    <w:rsid w:val="004729A1"/>
    <w:rsid w:val="00472EF9"/>
    <w:rsid w:val="0047514E"/>
    <w:rsid w:val="00477274"/>
    <w:rsid w:val="0048123F"/>
    <w:rsid w:val="00485BB1"/>
    <w:rsid w:val="00490664"/>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E3231"/>
    <w:rsid w:val="004F320B"/>
    <w:rsid w:val="004F3835"/>
    <w:rsid w:val="004F4E7E"/>
    <w:rsid w:val="004F61F1"/>
    <w:rsid w:val="004F72E3"/>
    <w:rsid w:val="00506505"/>
    <w:rsid w:val="00506E6D"/>
    <w:rsid w:val="00520115"/>
    <w:rsid w:val="005224F3"/>
    <w:rsid w:val="005237A1"/>
    <w:rsid w:val="0052505D"/>
    <w:rsid w:val="00525F2B"/>
    <w:rsid w:val="0053059D"/>
    <w:rsid w:val="005321D5"/>
    <w:rsid w:val="005326CC"/>
    <w:rsid w:val="00533109"/>
    <w:rsid w:val="00534457"/>
    <w:rsid w:val="005361E9"/>
    <w:rsid w:val="0054158F"/>
    <w:rsid w:val="00543B6F"/>
    <w:rsid w:val="005468A2"/>
    <w:rsid w:val="00546DBF"/>
    <w:rsid w:val="0055126B"/>
    <w:rsid w:val="00555A80"/>
    <w:rsid w:val="00560CB1"/>
    <w:rsid w:val="00561C9A"/>
    <w:rsid w:val="00564C4A"/>
    <w:rsid w:val="0056680E"/>
    <w:rsid w:val="00566D6E"/>
    <w:rsid w:val="00573CF2"/>
    <w:rsid w:val="0058006D"/>
    <w:rsid w:val="0058052D"/>
    <w:rsid w:val="005806D5"/>
    <w:rsid w:val="005965AF"/>
    <w:rsid w:val="00596B4C"/>
    <w:rsid w:val="005977D2"/>
    <w:rsid w:val="005A2EF5"/>
    <w:rsid w:val="005A70C8"/>
    <w:rsid w:val="005A7DEB"/>
    <w:rsid w:val="005B0C7D"/>
    <w:rsid w:val="005B14DE"/>
    <w:rsid w:val="005B4C57"/>
    <w:rsid w:val="005B6FC5"/>
    <w:rsid w:val="005C2106"/>
    <w:rsid w:val="005C2C5C"/>
    <w:rsid w:val="005C3B6F"/>
    <w:rsid w:val="005C489E"/>
    <w:rsid w:val="005C4D2E"/>
    <w:rsid w:val="005D285A"/>
    <w:rsid w:val="005D3726"/>
    <w:rsid w:val="005D7020"/>
    <w:rsid w:val="005D7078"/>
    <w:rsid w:val="005D71A4"/>
    <w:rsid w:val="005E0019"/>
    <w:rsid w:val="005E6F08"/>
    <w:rsid w:val="005F0D7D"/>
    <w:rsid w:val="005F2004"/>
    <w:rsid w:val="005F5C51"/>
    <w:rsid w:val="00600E28"/>
    <w:rsid w:val="0060240D"/>
    <w:rsid w:val="0060300C"/>
    <w:rsid w:val="0060578A"/>
    <w:rsid w:val="0060627C"/>
    <w:rsid w:val="00611EF0"/>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75AAB"/>
    <w:rsid w:val="00681569"/>
    <w:rsid w:val="006851CA"/>
    <w:rsid w:val="006875F1"/>
    <w:rsid w:val="00687A6B"/>
    <w:rsid w:val="00692347"/>
    <w:rsid w:val="006923E4"/>
    <w:rsid w:val="00693635"/>
    <w:rsid w:val="006965FC"/>
    <w:rsid w:val="006979EF"/>
    <w:rsid w:val="006A15CC"/>
    <w:rsid w:val="006A2CFB"/>
    <w:rsid w:val="006A2E83"/>
    <w:rsid w:val="006A595B"/>
    <w:rsid w:val="006A6820"/>
    <w:rsid w:val="006A7079"/>
    <w:rsid w:val="006B1CDC"/>
    <w:rsid w:val="006B3D3D"/>
    <w:rsid w:val="006B60A0"/>
    <w:rsid w:val="006B7430"/>
    <w:rsid w:val="006B7DA3"/>
    <w:rsid w:val="006C2117"/>
    <w:rsid w:val="006C27F8"/>
    <w:rsid w:val="006C2E31"/>
    <w:rsid w:val="006C6361"/>
    <w:rsid w:val="006C64CD"/>
    <w:rsid w:val="006C6657"/>
    <w:rsid w:val="006C66CB"/>
    <w:rsid w:val="006C6FC9"/>
    <w:rsid w:val="006C7DB4"/>
    <w:rsid w:val="006D11B5"/>
    <w:rsid w:val="006D3EED"/>
    <w:rsid w:val="006E1C81"/>
    <w:rsid w:val="006E339A"/>
    <w:rsid w:val="006E51E3"/>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54C65"/>
    <w:rsid w:val="00760562"/>
    <w:rsid w:val="00762194"/>
    <w:rsid w:val="00766241"/>
    <w:rsid w:val="00770372"/>
    <w:rsid w:val="00771468"/>
    <w:rsid w:val="00771D42"/>
    <w:rsid w:val="007761B2"/>
    <w:rsid w:val="00777337"/>
    <w:rsid w:val="00777442"/>
    <w:rsid w:val="0078321F"/>
    <w:rsid w:val="007835C9"/>
    <w:rsid w:val="00783A59"/>
    <w:rsid w:val="00786303"/>
    <w:rsid w:val="0079410F"/>
    <w:rsid w:val="00795200"/>
    <w:rsid w:val="00796A71"/>
    <w:rsid w:val="007971E2"/>
    <w:rsid w:val="007A0B59"/>
    <w:rsid w:val="007A1CD0"/>
    <w:rsid w:val="007A3A82"/>
    <w:rsid w:val="007A414F"/>
    <w:rsid w:val="007A49D6"/>
    <w:rsid w:val="007A5BDF"/>
    <w:rsid w:val="007A79D4"/>
    <w:rsid w:val="007B189A"/>
    <w:rsid w:val="007B5787"/>
    <w:rsid w:val="007B5AB8"/>
    <w:rsid w:val="007B6C89"/>
    <w:rsid w:val="007B7110"/>
    <w:rsid w:val="007C26AA"/>
    <w:rsid w:val="007C4123"/>
    <w:rsid w:val="007C47C4"/>
    <w:rsid w:val="007C48CF"/>
    <w:rsid w:val="007D0791"/>
    <w:rsid w:val="007D164F"/>
    <w:rsid w:val="007D1929"/>
    <w:rsid w:val="007D3896"/>
    <w:rsid w:val="007D4A37"/>
    <w:rsid w:val="007E659C"/>
    <w:rsid w:val="007F0DED"/>
    <w:rsid w:val="007F1307"/>
    <w:rsid w:val="007F6069"/>
    <w:rsid w:val="007F78A3"/>
    <w:rsid w:val="00800BCD"/>
    <w:rsid w:val="00801D7A"/>
    <w:rsid w:val="00803C56"/>
    <w:rsid w:val="0080541B"/>
    <w:rsid w:val="00805D7C"/>
    <w:rsid w:val="00807ACA"/>
    <w:rsid w:val="00812D81"/>
    <w:rsid w:val="00820AB1"/>
    <w:rsid w:val="00827252"/>
    <w:rsid w:val="00827BAD"/>
    <w:rsid w:val="0083025B"/>
    <w:rsid w:val="0083204F"/>
    <w:rsid w:val="00833C7F"/>
    <w:rsid w:val="00835A2A"/>
    <w:rsid w:val="00840074"/>
    <w:rsid w:val="0084043E"/>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5878"/>
    <w:rsid w:val="00886885"/>
    <w:rsid w:val="00886AD3"/>
    <w:rsid w:val="00887D7E"/>
    <w:rsid w:val="00890A09"/>
    <w:rsid w:val="00890AE9"/>
    <w:rsid w:val="0089259B"/>
    <w:rsid w:val="00895556"/>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0A2"/>
    <w:rsid w:val="008D52F1"/>
    <w:rsid w:val="008E245D"/>
    <w:rsid w:val="008E4669"/>
    <w:rsid w:val="008E65B2"/>
    <w:rsid w:val="008F2C7A"/>
    <w:rsid w:val="00902C77"/>
    <w:rsid w:val="00903DE5"/>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24B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3C7B"/>
    <w:rsid w:val="009A7163"/>
    <w:rsid w:val="009B1E15"/>
    <w:rsid w:val="009B5675"/>
    <w:rsid w:val="009B6E8F"/>
    <w:rsid w:val="009C1BE7"/>
    <w:rsid w:val="009C23B2"/>
    <w:rsid w:val="009C337E"/>
    <w:rsid w:val="009C3DB0"/>
    <w:rsid w:val="009C4C87"/>
    <w:rsid w:val="009C71C1"/>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38E1"/>
    <w:rsid w:val="00A44699"/>
    <w:rsid w:val="00A47428"/>
    <w:rsid w:val="00A518B0"/>
    <w:rsid w:val="00A51BB9"/>
    <w:rsid w:val="00A549BD"/>
    <w:rsid w:val="00A554F6"/>
    <w:rsid w:val="00A5668B"/>
    <w:rsid w:val="00A62351"/>
    <w:rsid w:val="00A62CC0"/>
    <w:rsid w:val="00A63AAD"/>
    <w:rsid w:val="00A703DF"/>
    <w:rsid w:val="00A7050D"/>
    <w:rsid w:val="00A72977"/>
    <w:rsid w:val="00A736A0"/>
    <w:rsid w:val="00A75761"/>
    <w:rsid w:val="00A76391"/>
    <w:rsid w:val="00A77C5D"/>
    <w:rsid w:val="00A8004F"/>
    <w:rsid w:val="00A807D0"/>
    <w:rsid w:val="00A8329F"/>
    <w:rsid w:val="00A8549D"/>
    <w:rsid w:val="00A87E78"/>
    <w:rsid w:val="00A910E7"/>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1B23"/>
    <w:rsid w:val="00AD3040"/>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37AF5"/>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83DDB"/>
    <w:rsid w:val="00B85D09"/>
    <w:rsid w:val="00B92DA1"/>
    <w:rsid w:val="00B9429F"/>
    <w:rsid w:val="00B95E76"/>
    <w:rsid w:val="00BA06C6"/>
    <w:rsid w:val="00BA0F00"/>
    <w:rsid w:val="00BA17CB"/>
    <w:rsid w:val="00BA1DBC"/>
    <w:rsid w:val="00BA206E"/>
    <w:rsid w:val="00BA4013"/>
    <w:rsid w:val="00BA4836"/>
    <w:rsid w:val="00BA51FC"/>
    <w:rsid w:val="00BA5775"/>
    <w:rsid w:val="00BB361C"/>
    <w:rsid w:val="00BB57FF"/>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93E"/>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11BD"/>
    <w:rsid w:val="00C8316C"/>
    <w:rsid w:val="00C926E8"/>
    <w:rsid w:val="00C92B01"/>
    <w:rsid w:val="00C96FE7"/>
    <w:rsid w:val="00CA6734"/>
    <w:rsid w:val="00CB185C"/>
    <w:rsid w:val="00CB2C49"/>
    <w:rsid w:val="00CB6AC7"/>
    <w:rsid w:val="00CC5FD8"/>
    <w:rsid w:val="00CC6016"/>
    <w:rsid w:val="00CC6777"/>
    <w:rsid w:val="00CD4149"/>
    <w:rsid w:val="00CE3753"/>
    <w:rsid w:val="00CE5C98"/>
    <w:rsid w:val="00CF4288"/>
    <w:rsid w:val="00CF5F66"/>
    <w:rsid w:val="00CF6407"/>
    <w:rsid w:val="00D002F9"/>
    <w:rsid w:val="00D04063"/>
    <w:rsid w:val="00D04ECC"/>
    <w:rsid w:val="00D1159C"/>
    <w:rsid w:val="00D127B3"/>
    <w:rsid w:val="00D149C7"/>
    <w:rsid w:val="00D21920"/>
    <w:rsid w:val="00D232D1"/>
    <w:rsid w:val="00D23B40"/>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6A89"/>
    <w:rsid w:val="00D87533"/>
    <w:rsid w:val="00D90505"/>
    <w:rsid w:val="00D92F22"/>
    <w:rsid w:val="00D95B56"/>
    <w:rsid w:val="00DA3067"/>
    <w:rsid w:val="00DA559C"/>
    <w:rsid w:val="00DA570E"/>
    <w:rsid w:val="00DA6949"/>
    <w:rsid w:val="00DB13A7"/>
    <w:rsid w:val="00DB1C32"/>
    <w:rsid w:val="00DC022D"/>
    <w:rsid w:val="00DC04EF"/>
    <w:rsid w:val="00DC2376"/>
    <w:rsid w:val="00DC23A5"/>
    <w:rsid w:val="00DC5019"/>
    <w:rsid w:val="00DD1910"/>
    <w:rsid w:val="00DD7AAE"/>
    <w:rsid w:val="00DE2568"/>
    <w:rsid w:val="00DE2EA9"/>
    <w:rsid w:val="00DE3A9D"/>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44CB"/>
    <w:rsid w:val="00E37D62"/>
    <w:rsid w:val="00E4211E"/>
    <w:rsid w:val="00E422FE"/>
    <w:rsid w:val="00E42A69"/>
    <w:rsid w:val="00E44048"/>
    <w:rsid w:val="00E44B6A"/>
    <w:rsid w:val="00E50887"/>
    <w:rsid w:val="00E518F8"/>
    <w:rsid w:val="00E52510"/>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2B3C"/>
    <w:rsid w:val="00EA30CD"/>
    <w:rsid w:val="00EA421C"/>
    <w:rsid w:val="00EA4574"/>
    <w:rsid w:val="00EA6A7B"/>
    <w:rsid w:val="00EA7D9D"/>
    <w:rsid w:val="00EB0817"/>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26D"/>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1CEE"/>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0823"/>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0A6"/>
    <w:rsid w:val="00FF4415"/>
    <w:rsid w:val="00FF5CF4"/>
    <w:rsid w:val="00FF718C"/>
    <w:rsid w:val="0161D57A"/>
    <w:rsid w:val="0187B876"/>
    <w:rsid w:val="0242521C"/>
    <w:rsid w:val="035D91B3"/>
    <w:rsid w:val="036EAB16"/>
    <w:rsid w:val="03E5D857"/>
    <w:rsid w:val="0411597F"/>
    <w:rsid w:val="05175898"/>
    <w:rsid w:val="06A0D8CF"/>
    <w:rsid w:val="0879C2C3"/>
    <w:rsid w:val="0A22FA7C"/>
    <w:rsid w:val="0A85B0C2"/>
    <w:rsid w:val="0B8BA41C"/>
    <w:rsid w:val="0C2FAB6C"/>
    <w:rsid w:val="0CA2C3CC"/>
    <w:rsid w:val="0DBC376B"/>
    <w:rsid w:val="0ECFDBEA"/>
    <w:rsid w:val="0F2DFF10"/>
    <w:rsid w:val="104BF435"/>
    <w:rsid w:val="12C59ED2"/>
    <w:rsid w:val="14D773A8"/>
    <w:rsid w:val="1527146A"/>
    <w:rsid w:val="15648222"/>
    <w:rsid w:val="161A47A2"/>
    <w:rsid w:val="16D7EF1A"/>
    <w:rsid w:val="1A6010B3"/>
    <w:rsid w:val="1EAB80BA"/>
    <w:rsid w:val="1F7749D5"/>
    <w:rsid w:val="1F8EE846"/>
    <w:rsid w:val="20B5DC81"/>
    <w:rsid w:val="20DCB61A"/>
    <w:rsid w:val="20FFA904"/>
    <w:rsid w:val="21F19F53"/>
    <w:rsid w:val="24B2AF4A"/>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175F98D"/>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0E89612"/>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 w:type="character" w:customStyle="1" w:styleId="normaltextrun">
    <w:name w:val="normaltextrun"/>
    <w:basedOn w:val="Privzetapisavaodstavka"/>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81EA1-D1C7-43DE-9EA1-16A0A81D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2946</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2024-04-26T11:54:00Z</dcterms:created>
  <dcterms:modified xsi:type="dcterms:W3CDTF">2024-04-26T11:54:00Z</dcterms:modified>
</cp:coreProperties>
</file>