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0E78BA" w:rsidRDefault="004B235F" w:rsidP="001D6793">
      <w:pPr>
        <w:pStyle w:val="Naslov11"/>
      </w:pPr>
      <w:r w:rsidRPr="000E78BA">
        <w:t>CHARTS OF THE WEEK</w:t>
      </w:r>
    </w:p>
    <w:p w14:paraId="636DFC9E" w14:textId="3604A406" w:rsidR="001D6793" w:rsidRPr="000E78BA" w:rsidRDefault="007F78A3" w:rsidP="001D6793">
      <w:pPr>
        <w:pStyle w:val="Naslov21"/>
      </w:pPr>
      <w:r>
        <w:t>16</w:t>
      </w:r>
      <w:r w:rsidR="00803C56" w:rsidRPr="000E78BA">
        <w:t>–</w:t>
      </w:r>
      <w:r>
        <w:t>20</w:t>
      </w:r>
      <w:r w:rsidR="00803C56" w:rsidRPr="000E78BA">
        <w:t xml:space="preserve"> </w:t>
      </w:r>
      <w:r w:rsidR="005E0019">
        <w:t>October</w:t>
      </w:r>
      <w:r w:rsidR="00803C56" w:rsidRPr="000E78BA">
        <w:t xml:space="preserve"> 2023 </w:t>
      </w:r>
    </w:p>
    <w:p w14:paraId="0D813662" w14:textId="62600A0A" w:rsidR="00DF4F0B" w:rsidRPr="000E78BA" w:rsidRDefault="00DF4F0B"/>
    <w:p w14:paraId="196DFF85" w14:textId="77777777" w:rsidR="00916FC4" w:rsidRPr="000E78BA" w:rsidRDefault="00916FC4"/>
    <w:p w14:paraId="1FF5E0A2" w14:textId="211D3BDF" w:rsidR="00283763" w:rsidRPr="00283763" w:rsidRDefault="00283763" w:rsidP="00283763">
      <w:pPr>
        <w:spacing w:line="240" w:lineRule="atLeast"/>
      </w:pPr>
      <w:r w:rsidRPr="00283763">
        <w:t xml:space="preserve">In September, Slovenian industrial producer prices further declined month-on-month and were no longer significantly above last year’s level. Electricity consumption in the distribution network was lower year-on-year in September in all consumer groups, although the decline in industrial consumption was somewhat smaller than in previous months. The volume of road freight transport was again slightly down in the second quarter of this year, as was the volume of rail freight transport, the latter due to frequent line closures for maintenance and investment works and a slowdown in the growth of overall economic activity. Year-on-year growth in the nominal value of fiscally verified invoices in the first half of October was similar to September and the highest since April. With growth in construction and manufacturing weakening, year-on-year growth in the number of persons in employment in August was lower than in previous months; overall year-on-year growth was entirely due to the employment of foreigners. </w:t>
      </w:r>
    </w:p>
    <w:p w14:paraId="15A04D35" w14:textId="77777777" w:rsidR="003D697A" w:rsidRPr="000E78BA" w:rsidRDefault="003D697A" w:rsidP="00670EF5">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76"/>
        <w:gridCol w:w="2981"/>
      </w:tblGrid>
      <w:tr w:rsidR="003D697A" w:rsidRPr="00D86A89" w14:paraId="3F7A6C80" w14:textId="77777777" w:rsidTr="007F78A3">
        <w:trPr>
          <w:trHeight w:val="207"/>
        </w:trPr>
        <w:tc>
          <w:tcPr>
            <w:tcW w:w="6658" w:type="dxa"/>
            <w:gridSpan w:val="2"/>
            <w:tcBorders>
              <w:bottom w:val="single" w:sz="4" w:space="0" w:color="auto"/>
            </w:tcBorders>
            <w:tcMar>
              <w:left w:w="0" w:type="dxa"/>
            </w:tcMar>
          </w:tcPr>
          <w:p w14:paraId="56EAD510" w14:textId="3C8D9109" w:rsidR="003D697A" w:rsidRPr="00D86A89" w:rsidRDefault="00283763" w:rsidP="0052634B">
            <w:pPr>
              <w:pStyle w:val="Naslov31"/>
              <w:jc w:val="left"/>
              <w:rPr>
                <w:lang w:val="en-US"/>
              </w:rPr>
            </w:pPr>
            <w:r w:rsidRPr="00283763">
              <w:t xml:space="preserve">Slovenian industrial producer prices, September 2023 </w:t>
            </w:r>
          </w:p>
        </w:tc>
        <w:tc>
          <w:tcPr>
            <w:tcW w:w="2981" w:type="dxa"/>
            <w:tcBorders>
              <w:bottom w:val="single" w:sz="4" w:space="0" w:color="auto"/>
            </w:tcBorders>
          </w:tcPr>
          <w:p w14:paraId="09FCBA0E" w14:textId="77777777" w:rsidR="003D697A" w:rsidRPr="00D86A89" w:rsidRDefault="003D697A" w:rsidP="0052634B">
            <w:pPr>
              <w:pStyle w:val="Naslov31"/>
              <w:rPr>
                <w:lang w:val="en-US"/>
              </w:rPr>
            </w:pPr>
          </w:p>
        </w:tc>
      </w:tr>
      <w:tr w:rsidR="003D697A" w:rsidRPr="000E78BA" w14:paraId="4393DA21" w14:textId="77777777" w:rsidTr="007F78A3">
        <w:trPr>
          <w:trHeight w:val="1134"/>
        </w:trPr>
        <w:tc>
          <w:tcPr>
            <w:tcW w:w="4982" w:type="dxa"/>
            <w:tcBorders>
              <w:top w:val="single" w:sz="4" w:space="0" w:color="auto"/>
            </w:tcBorders>
            <w:tcMar>
              <w:left w:w="0" w:type="dxa"/>
            </w:tcMar>
          </w:tcPr>
          <w:p w14:paraId="56A133EE" w14:textId="2D365666" w:rsidR="003D697A" w:rsidRPr="005E0019" w:rsidRDefault="006C64CD" w:rsidP="0052634B">
            <w:pPr>
              <w:pStyle w:val="ListParagraph"/>
              <w:ind w:left="0"/>
              <w:rPr>
                <w:lang w:val="en-US"/>
              </w:rPr>
            </w:pPr>
            <w:r>
              <w:rPr>
                <w:noProof/>
                <w:lang w:val="en-US"/>
              </w:rPr>
              <w:drawing>
                <wp:inline distT="0" distB="0" distL="0" distR="0" wp14:anchorId="1C427543" wp14:editId="3A36066A">
                  <wp:extent cx="3150000" cy="261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0000" cy="26136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0D0F8886" w14:textId="6FEE57F4" w:rsidR="00283763" w:rsidRPr="00283763" w:rsidRDefault="00283763" w:rsidP="00283763">
            <w:pPr>
              <w:rPr>
                <w:b/>
                <w:bCs/>
              </w:rPr>
            </w:pPr>
            <w:r w:rsidRPr="00283763">
              <w:rPr>
                <w:b/>
                <w:bCs/>
              </w:rPr>
              <w:t xml:space="preserve">Slovenian industrial producer prices continued to fall in September and were only slightly above the level of a year ago. </w:t>
            </w:r>
            <w:r w:rsidRPr="00283763">
              <w:rPr>
                <w:bCs/>
              </w:rPr>
              <w:t>The decrease in September was minimal (0.1%) and was the result of a decline in foreign markets (by 0.3%), while the prices in the domestic market increased by 0.3%, mainly due to price increases in the energy group (2.8%). The year-on-year growth rate, which had been close to 20% at the beginning of the year, slowed further to 1%, the lowest since February 2021. The slowdown in year-on-year growth was still mainly due to developments in the intermediate goods group, where prices were 2.7% lower in September than a year earlier. Amid high base, year-on-year price growth in the energy group is also weakening rapidly (2.5%), after still exceeding 20% in the middle of the year. Price growth in consumer goods is also gradually weakening, at 6.1% year-on-year, while price growth in durable (5.7%) and non-durable goods (6.2%) is slowing. Year-on-year price growth in the capital goods group, which had been stable between 4.2% and 4.5% in the summer months (June–August), fell to 3.7% in September.</w:t>
            </w:r>
            <w:r w:rsidRPr="00283763">
              <w:rPr>
                <w:b/>
                <w:bCs/>
              </w:rPr>
              <w:t xml:space="preserve"> </w:t>
            </w:r>
          </w:p>
          <w:p w14:paraId="01520B9B" w14:textId="173EC482" w:rsidR="003D697A" w:rsidRPr="000E78BA" w:rsidRDefault="005E0019" w:rsidP="0052634B">
            <w:r>
              <w:rPr>
                <w:b/>
                <w:bCs/>
              </w:rPr>
              <w:t xml:space="preserve"> </w:t>
            </w:r>
          </w:p>
        </w:tc>
      </w:tr>
    </w:tbl>
    <w:p w14:paraId="63FDE51E" w14:textId="77777777" w:rsidR="00670EF5" w:rsidRPr="000E78BA" w:rsidRDefault="00670EF5" w:rsidP="00670EF5">
      <w:pPr>
        <w:spacing w:after="160" w:line="259" w:lineRule="auto"/>
        <w:jc w:val="left"/>
      </w:pPr>
    </w:p>
    <w:p w14:paraId="1E4B8B63" w14:textId="77777777" w:rsidR="00670EF5" w:rsidRPr="000E78BA" w:rsidRDefault="00670EF5" w:rsidP="00670EF5">
      <w:pPr>
        <w:spacing w:after="160" w:line="259" w:lineRule="auto"/>
        <w:jc w:val="left"/>
      </w:pPr>
    </w:p>
    <w:p w14:paraId="15749BD8" w14:textId="77777777" w:rsidR="00670EF5" w:rsidRPr="000E78BA" w:rsidRDefault="00670EF5" w:rsidP="00670EF5">
      <w:pPr>
        <w:tabs>
          <w:tab w:val="left" w:pos="580"/>
        </w:tabs>
      </w:pPr>
    </w:p>
    <w:p w14:paraId="46680190" w14:textId="25B119F0" w:rsidR="006C64CD" w:rsidRDefault="006C64CD" w:rsidP="00670EF5">
      <w:pPr>
        <w:spacing w:after="160" w:line="259" w:lineRule="auto"/>
        <w:jc w:val="left"/>
      </w:pPr>
    </w:p>
    <w:p w14:paraId="163CCE0D" w14:textId="77777777" w:rsidR="00283763" w:rsidRDefault="00283763" w:rsidP="00670EF5">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825"/>
        <w:gridCol w:w="851"/>
        <w:gridCol w:w="2981"/>
      </w:tblGrid>
      <w:tr w:rsidR="007F0DED" w:rsidRPr="006D11B5" w14:paraId="69C84140" w14:textId="77777777" w:rsidTr="00BB57FF">
        <w:trPr>
          <w:trHeight w:val="207"/>
        </w:trPr>
        <w:tc>
          <w:tcPr>
            <w:tcW w:w="5807" w:type="dxa"/>
            <w:gridSpan w:val="2"/>
            <w:tcBorders>
              <w:bottom w:val="single" w:sz="4" w:space="0" w:color="auto"/>
            </w:tcBorders>
            <w:tcMar>
              <w:left w:w="0" w:type="dxa"/>
            </w:tcMar>
          </w:tcPr>
          <w:p w14:paraId="14C54EF1" w14:textId="6BEBB555" w:rsidR="007F0DED" w:rsidRPr="007F0DED" w:rsidRDefault="00283763" w:rsidP="007F0DED">
            <w:pPr>
              <w:pStyle w:val="Naslov31"/>
              <w:jc w:val="left"/>
              <w:rPr>
                <w:lang w:val="en-US"/>
              </w:rPr>
            </w:pPr>
            <w:r w:rsidRPr="00283763">
              <w:lastRenderedPageBreak/>
              <w:t xml:space="preserve">Electricity consumption by consumption group, September 2023 </w:t>
            </w:r>
          </w:p>
        </w:tc>
        <w:tc>
          <w:tcPr>
            <w:tcW w:w="3832" w:type="dxa"/>
            <w:gridSpan w:val="2"/>
            <w:tcBorders>
              <w:bottom w:val="single" w:sz="4" w:space="0" w:color="auto"/>
            </w:tcBorders>
          </w:tcPr>
          <w:p w14:paraId="70723E2D" w14:textId="77777777" w:rsidR="007F0DED" w:rsidRPr="007F0DED" w:rsidRDefault="007F0DED" w:rsidP="007F0DED">
            <w:pPr>
              <w:pStyle w:val="Naslov31"/>
              <w:rPr>
                <w:lang w:val="en-US"/>
              </w:rPr>
            </w:pPr>
          </w:p>
        </w:tc>
      </w:tr>
      <w:tr w:rsidR="007F0DED" w:rsidRPr="000E78BA" w14:paraId="56045B52" w14:textId="77777777" w:rsidTr="00BB57FF">
        <w:trPr>
          <w:trHeight w:val="1134"/>
        </w:trPr>
        <w:tc>
          <w:tcPr>
            <w:tcW w:w="4982" w:type="dxa"/>
            <w:tcBorders>
              <w:top w:val="single" w:sz="4" w:space="0" w:color="auto"/>
            </w:tcBorders>
            <w:tcMar>
              <w:left w:w="0" w:type="dxa"/>
            </w:tcMar>
          </w:tcPr>
          <w:p w14:paraId="427C2CA9" w14:textId="776D38F2" w:rsidR="007F0DED" w:rsidRPr="007F0DED" w:rsidRDefault="00003C90" w:rsidP="007F0DED">
            <w:pPr>
              <w:pStyle w:val="ListParagraph"/>
              <w:ind w:left="0"/>
              <w:rPr>
                <w:lang w:val="en-US"/>
              </w:rPr>
            </w:pPr>
            <w:r>
              <w:rPr>
                <w:noProof/>
                <w:lang w:val="en-US"/>
              </w:rPr>
              <w:drawing>
                <wp:inline distT="0" distB="0" distL="0" distR="0" wp14:anchorId="6B2B6186" wp14:editId="3B25B2AF">
                  <wp:extent cx="3188970" cy="2565533"/>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7463" cy="2580411"/>
                          </a:xfrm>
                          <a:prstGeom prst="rect">
                            <a:avLst/>
                          </a:prstGeom>
                          <a:noFill/>
                        </pic:spPr>
                      </pic:pic>
                    </a:graphicData>
                  </a:graphic>
                </wp:inline>
              </w:drawing>
            </w:r>
          </w:p>
        </w:tc>
        <w:tc>
          <w:tcPr>
            <w:tcW w:w="4657" w:type="dxa"/>
            <w:gridSpan w:val="3"/>
            <w:tcBorders>
              <w:top w:val="single" w:sz="4" w:space="0" w:color="auto"/>
            </w:tcBorders>
            <w:tcMar>
              <w:left w:w="284" w:type="dxa"/>
            </w:tcMar>
          </w:tcPr>
          <w:p w14:paraId="3F0B0F43" w14:textId="04E8C663" w:rsidR="00283763" w:rsidRPr="00283763" w:rsidRDefault="00283763" w:rsidP="00283763">
            <w:pPr>
              <w:rPr>
                <w:b/>
                <w:bCs/>
              </w:rPr>
            </w:pPr>
            <w:r w:rsidRPr="00283763">
              <w:rPr>
                <w:b/>
                <w:bCs/>
              </w:rPr>
              <w:t xml:space="preserve">In September, electricity consumption in the distribution network was lower year-on-year in all consumption groups. </w:t>
            </w:r>
            <w:r w:rsidRPr="00283763">
              <w:rPr>
                <w:bCs/>
              </w:rPr>
              <w:t>With one less working day, industrial consumption was 6.7% lower year-on-year, a smaller decline than in previous months. The latter may have been influenced by last year’s relatively low base, which was the result of weakening economic growth. Household consumption and small businesses consumption</w:t>
            </w:r>
            <w:r w:rsidRPr="00283763">
              <w:rPr>
                <w:bCs/>
                <w:vertAlign w:val="superscript"/>
              </w:rPr>
              <w:footnoteReference w:id="2"/>
            </w:r>
            <w:r w:rsidRPr="00283763">
              <w:rPr>
                <w:bCs/>
              </w:rPr>
              <w:t xml:space="preserve"> were also lower year-on-year in September (by 5.2% and 4.1% respectively).</w:t>
            </w:r>
          </w:p>
          <w:p w14:paraId="5C7AA2E4" w14:textId="77777777" w:rsidR="007F0DED" w:rsidRDefault="007F0DED" w:rsidP="007F0DED">
            <w:pPr>
              <w:rPr>
                <w:b/>
                <w:bCs/>
              </w:rPr>
            </w:pPr>
          </w:p>
          <w:p w14:paraId="7CE0B352" w14:textId="77777777" w:rsidR="005E0019" w:rsidRDefault="005E0019" w:rsidP="007F0DED"/>
          <w:p w14:paraId="300B8632" w14:textId="77777777" w:rsidR="005E0019" w:rsidRDefault="005E0019" w:rsidP="007F0DED"/>
          <w:p w14:paraId="2B10CAD2" w14:textId="77777777" w:rsidR="005E0019" w:rsidRDefault="005E0019" w:rsidP="007F0DED"/>
          <w:p w14:paraId="79718A1D" w14:textId="710F6827" w:rsidR="005E0019" w:rsidRDefault="005E0019" w:rsidP="007F0DED"/>
          <w:p w14:paraId="771B961A" w14:textId="785A600C" w:rsidR="00283763" w:rsidRDefault="00283763" w:rsidP="007F0DED"/>
          <w:p w14:paraId="3E23AF42" w14:textId="7A075D66" w:rsidR="00283763" w:rsidRDefault="00283763" w:rsidP="007F0DED"/>
          <w:p w14:paraId="07971DE0" w14:textId="4B61CBC1" w:rsidR="00283763" w:rsidRDefault="00283763" w:rsidP="007F0DED"/>
          <w:p w14:paraId="30CA2543" w14:textId="02EC51A7" w:rsidR="005E0019" w:rsidRPr="000E78BA" w:rsidRDefault="005E0019" w:rsidP="007F0DED"/>
        </w:tc>
      </w:tr>
      <w:tr w:rsidR="00670EF5" w:rsidRPr="00283763" w14:paraId="03F9EEB0" w14:textId="77777777" w:rsidTr="007F78A3">
        <w:trPr>
          <w:trHeight w:val="207"/>
        </w:trPr>
        <w:tc>
          <w:tcPr>
            <w:tcW w:w="6658" w:type="dxa"/>
            <w:gridSpan w:val="3"/>
            <w:tcBorders>
              <w:bottom w:val="single" w:sz="4" w:space="0" w:color="auto"/>
            </w:tcBorders>
            <w:tcMar>
              <w:left w:w="0" w:type="dxa"/>
            </w:tcMar>
          </w:tcPr>
          <w:p w14:paraId="51776FA5" w14:textId="46DD4BD5" w:rsidR="00670EF5" w:rsidRPr="00283763" w:rsidRDefault="00283763" w:rsidP="00B63889">
            <w:pPr>
              <w:pStyle w:val="Naslov31"/>
              <w:jc w:val="left"/>
              <w:rPr>
                <w:lang w:val="en-US"/>
              </w:rPr>
            </w:pPr>
            <w:r w:rsidRPr="00283763">
              <w:t>Road and rail freight transport – Q2 2023</w:t>
            </w:r>
            <w:r>
              <w:t xml:space="preserve"> </w:t>
            </w:r>
          </w:p>
        </w:tc>
        <w:tc>
          <w:tcPr>
            <w:tcW w:w="2981" w:type="dxa"/>
            <w:tcBorders>
              <w:bottom w:val="single" w:sz="4" w:space="0" w:color="auto"/>
            </w:tcBorders>
          </w:tcPr>
          <w:p w14:paraId="6E02FEE8" w14:textId="77777777" w:rsidR="00670EF5" w:rsidRPr="00283763" w:rsidRDefault="00670EF5" w:rsidP="00B63889">
            <w:pPr>
              <w:pStyle w:val="Naslov31"/>
              <w:rPr>
                <w:lang w:val="en-US"/>
              </w:rPr>
            </w:pPr>
          </w:p>
        </w:tc>
      </w:tr>
      <w:tr w:rsidR="00670EF5" w:rsidRPr="000E78BA" w14:paraId="6EDC14CB" w14:textId="77777777" w:rsidTr="007F78A3">
        <w:trPr>
          <w:trHeight w:val="1134"/>
        </w:trPr>
        <w:tc>
          <w:tcPr>
            <w:tcW w:w="4982" w:type="dxa"/>
            <w:tcBorders>
              <w:top w:val="single" w:sz="4" w:space="0" w:color="auto"/>
            </w:tcBorders>
            <w:tcMar>
              <w:left w:w="0" w:type="dxa"/>
            </w:tcMar>
          </w:tcPr>
          <w:p w14:paraId="264698B3" w14:textId="0173F187" w:rsidR="00670EF5" w:rsidRPr="007F78A3" w:rsidRDefault="00754C65" w:rsidP="00B63889">
            <w:pPr>
              <w:pStyle w:val="ListParagraph"/>
              <w:ind w:left="0"/>
              <w:rPr>
                <w:lang w:val="it-IT"/>
              </w:rPr>
            </w:pPr>
            <w:r>
              <w:rPr>
                <w:noProof/>
                <w:lang w:val="it-IT"/>
              </w:rPr>
              <w:drawing>
                <wp:inline distT="0" distB="0" distL="0" distR="0" wp14:anchorId="2807215F" wp14:editId="58057885">
                  <wp:extent cx="3189600" cy="223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9600" cy="2232000"/>
                          </a:xfrm>
                          <a:prstGeom prst="rect">
                            <a:avLst/>
                          </a:prstGeom>
                          <a:noFill/>
                        </pic:spPr>
                      </pic:pic>
                    </a:graphicData>
                  </a:graphic>
                </wp:inline>
              </w:drawing>
            </w:r>
          </w:p>
        </w:tc>
        <w:tc>
          <w:tcPr>
            <w:tcW w:w="4657" w:type="dxa"/>
            <w:gridSpan w:val="3"/>
            <w:tcBorders>
              <w:top w:val="single" w:sz="4" w:space="0" w:color="auto"/>
            </w:tcBorders>
            <w:tcMar>
              <w:left w:w="284" w:type="dxa"/>
            </w:tcMar>
          </w:tcPr>
          <w:p w14:paraId="483DCBEB" w14:textId="725244E1" w:rsidR="00D86A89" w:rsidRPr="00283763" w:rsidRDefault="00283763" w:rsidP="00D86A89">
            <w:pPr>
              <w:rPr>
                <w:bCs/>
              </w:rPr>
            </w:pPr>
            <w:r w:rsidRPr="00283763">
              <w:rPr>
                <w:b/>
                <w:bCs/>
              </w:rPr>
              <w:t xml:space="preserve">The volume of road and rail freight transport decreased again in the second quarter of 2023. </w:t>
            </w:r>
            <w:r w:rsidRPr="00283763">
              <w:rPr>
                <w:bCs/>
              </w:rPr>
              <w:t>After a one-off increase in the previous quarter, the volume of road transport performed by Slovenian vehicles fell again slightly, by 4% year-on-year. It was one tenth higher compared to the second quarter of 2019 (cross-trade was 7% higher, while other road traffic performed at least partially on Slovenian territory was 12% higher). The share of cross-trade in total transport, which was above 50% before the epidemic, remained low in the second quarter of this year, at about 45%.</w:t>
            </w:r>
            <w:r w:rsidRPr="00283763">
              <w:rPr>
                <w:bCs/>
                <w:vertAlign w:val="superscript"/>
              </w:rPr>
              <w:footnoteReference w:id="3"/>
            </w:r>
            <w:r w:rsidRPr="00283763">
              <w:rPr>
                <w:bCs/>
              </w:rPr>
              <w:t xml:space="preserve"> Rail freight transport, already declining before the epidemic, was 10% lower year-on-year in the second quarter and the lowest in 7 years. The recent decline in both road and rail freight transport is mainly related to the slowdown in the growth of overall economic activity. Other obstacles to higher rail transport volumes are the frequent line closures for maintenance and investment work.</w:t>
            </w:r>
            <w:r w:rsidRPr="00283763">
              <w:rPr>
                <w:bCs/>
                <w:vertAlign w:val="superscript"/>
              </w:rPr>
              <w:footnoteReference w:id="4"/>
            </w:r>
          </w:p>
          <w:p w14:paraId="7D5CDECB" w14:textId="6B27D47E" w:rsidR="00670EF5" w:rsidRPr="000E78BA" w:rsidRDefault="00670EF5" w:rsidP="00B63889"/>
        </w:tc>
      </w:tr>
    </w:tbl>
    <w:p w14:paraId="0C16A41D" w14:textId="3D5B8225" w:rsidR="00670EF5" w:rsidRDefault="00670EF5" w:rsidP="00670EF5">
      <w:pPr>
        <w:spacing w:after="160" w:line="259" w:lineRule="auto"/>
        <w:jc w:val="left"/>
      </w:pPr>
    </w:p>
    <w:p w14:paraId="714AC4CA" w14:textId="5A40631E" w:rsidR="0003025F" w:rsidRDefault="0003025F" w:rsidP="00670EF5">
      <w:pPr>
        <w:spacing w:after="160" w:line="259" w:lineRule="auto"/>
        <w:jc w:val="left"/>
      </w:pPr>
    </w:p>
    <w:p w14:paraId="7327623E" w14:textId="48F0D763" w:rsidR="00D86A89" w:rsidRDefault="00D86A89" w:rsidP="00670EF5">
      <w:pPr>
        <w:spacing w:after="160" w:line="259" w:lineRule="auto"/>
        <w:jc w:val="left"/>
      </w:pPr>
    </w:p>
    <w:p w14:paraId="5A83DC56" w14:textId="79C3E93B" w:rsidR="00D86A89" w:rsidRDefault="00D86A89" w:rsidP="00670EF5">
      <w:pPr>
        <w:spacing w:after="160" w:line="259" w:lineRule="auto"/>
        <w:jc w:val="left"/>
      </w:pPr>
    </w:p>
    <w:p w14:paraId="07AAC863" w14:textId="3DD61FD5" w:rsidR="005E0019" w:rsidRDefault="005E0019" w:rsidP="00670EF5">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76"/>
        <w:gridCol w:w="2981"/>
      </w:tblGrid>
      <w:tr w:rsidR="007F78A3" w:rsidRPr="007F78A3" w14:paraId="4845948E" w14:textId="77777777" w:rsidTr="007A2B60">
        <w:trPr>
          <w:trHeight w:val="207"/>
        </w:trPr>
        <w:tc>
          <w:tcPr>
            <w:tcW w:w="6658" w:type="dxa"/>
            <w:gridSpan w:val="2"/>
            <w:tcBorders>
              <w:bottom w:val="single" w:sz="4" w:space="0" w:color="auto"/>
            </w:tcBorders>
            <w:tcMar>
              <w:left w:w="0" w:type="dxa"/>
            </w:tcMar>
          </w:tcPr>
          <w:p w14:paraId="6EE64CCE" w14:textId="413404F6" w:rsidR="007F78A3" w:rsidRPr="007F78A3" w:rsidRDefault="00283763" w:rsidP="007A2B60">
            <w:pPr>
              <w:pStyle w:val="Naslov31"/>
              <w:jc w:val="left"/>
            </w:pPr>
            <w:r w:rsidRPr="00283763">
              <w:lastRenderedPageBreak/>
              <w:t xml:space="preserve">Value of fiscally verified invoices, in nominal terms, 1–14 October 2023 </w:t>
            </w:r>
          </w:p>
        </w:tc>
        <w:tc>
          <w:tcPr>
            <w:tcW w:w="2981" w:type="dxa"/>
            <w:tcBorders>
              <w:bottom w:val="single" w:sz="4" w:space="0" w:color="auto"/>
            </w:tcBorders>
          </w:tcPr>
          <w:p w14:paraId="141D6F5A" w14:textId="77777777" w:rsidR="007F78A3" w:rsidRPr="007F78A3" w:rsidRDefault="007F78A3" w:rsidP="007A2B60">
            <w:pPr>
              <w:pStyle w:val="Naslov31"/>
            </w:pPr>
          </w:p>
        </w:tc>
      </w:tr>
      <w:tr w:rsidR="007F78A3" w:rsidRPr="000E78BA" w14:paraId="361E473A" w14:textId="77777777" w:rsidTr="007A2B60">
        <w:trPr>
          <w:trHeight w:val="1134"/>
        </w:trPr>
        <w:tc>
          <w:tcPr>
            <w:tcW w:w="4982" w:type="dxa"/>
            <w:tcBorders>
              <w:top w:val="single" w:sz="4" w:space="0" w:color="auto"/>
            </w:tcBorders>
            <w:tcMar>
              <w:left w:w="0" w:type="dxa"/>
            </w:tcMar>
          </w:tcPr>
          <w:p w14:paraId="3060E2A7" w14:textId="446F1617" w:rsidR="007F78A3" w:rsidRPr="007F78A3" w:rsidRDefault="007B5787" w:rsidP="007A2B60">
            <w:pPr>
              <w:pStyle w:val="ListParagraph"/>
              <w:ind w:left="0"/>
            </w:pPr>
            <w:r>
              <w:rPr>
                <w:noProof/>
              </w:rPr>
              <w:drawing>
                <wp:inline distT="0" distB="0" distL="0" distR="0" wp14:anchorId="1031FAD5" wp14:editId="60CA8E31">
                  <wp:extent cx="3182578" cy="2518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3201" cy="2527321"/>
                          </a:xfrm>
                          <a:prstGeom prst="rect">
                            <a:avLst/>
                          </a:prstGeom>
                          <a:noFill/>
                        </pic:spPr>
                      </pic:pic>
                    </a:graphicData>
                  </a:graphic>
                </wp:inline>
              </w:drawing>
            </w:r>
          </w:p>
        </w:tc>
        <w:tc>
          <w:tcPr>
            <w:tcW w:w="4657" w:type="dxa"/>
            <w:gridSpan w:val="2"/>
            <w:tcBorders>
              <w:top w:val="single" w:sz="4" w:space="0" w:color="auto"/>
            </w:tcBorders>
            <w:tcMar>
              <w:left w:w="284" w:type="dxa"/>
            </w:tcMar>
          </w:tcPr>
          <w:p w14:paraId="4BA086B7" w14:textId="0F262E52" w:rsidR="00283763" w:rsidRPr="00283763" w:rsidRDefault="00283763" w:rsidP="00283763">
            <w:pPr>
              <w:rPr>
                <w:bCs/>
              </w:rPr>
            </w:pPr>
            <w:r w:rsidRPr="00283763">
              <w:rPr>
                <w:b/>
                <w:bCs/>
              </w:rPr>
              <w:t xml:space="preserve">The nominal value of fiscally verified invoices between 1 and 14 October 2023 was 8% higher year-on-year. </w:t>
            </w:r>
            <w:r w:rsidRPr="00283763">
              <w:rPr>
                <w:bCs/>
              </w:rPr>
              <w:t>Year-on-year turnover growth, which was similar to the previous two 14-day periods, remained the highest since the second half of April. Turnover in trade, which accounted for more than three-quarters of the total value of fiscally verified invoices, increased by 7% year-on-year in the first half of October (by 6% in retail trade, by 15% in the sale of motor vehicles and by 5% in wholesale trade). Turnover growth further accelerated slightly in accommodation and food service activities (to 20%) and in certain creative, arts, entertainment, and sports services and betting and gambling (total growth in other service activities</w:t>
            </w:r>
            <w:r w:rsidRPr="00283763">
              <w:rPr>
                <w:bCs/>
                <w:vertAlign w:val="superscript"/>
              </w:rPr>
              <w:footnoteReference w:id="5"/>
            </w:r>
            <w:r w:rsidRPr="00283763">
              <w:rPr>
                <w:bCs/>
              </w:rPr>
              <w:t xml:space="preserve"> was 26%). </w:t>
            </w:r>
          </w:p>
          <w:p w14:paraId="0FE3FD0F" w14:textId="77777777" w:rsidR="007F78A3" w:rsidRPr="00D86A89" w:rsidRDefault="007F78A3" w:rsidP="007A2B60">
            <w:pPr>
              <w:rPr>
                <w:b/>
                <w:bCs/>
              </w:rPr>
            </w:pPr>
          </w:p>
          <w:p w14:paraId="386FDA81" w14:textId="77777777" w:rsidR="007F78A3" w:rsidRPr="000E78BA" w:rsidRDefault="007F78A3" w:rsidP="007A2B60"/>
        </w:tc>
      </w:tr>
    </w:tbl>
    <w:p w14:paraId="54674856" w14:textId="429F5709" w:rsidR="00FE7254" w:rsidRDefault="00FE7254" w:rsidP="00FE7254"/>
    <w:p w14:paraId="75DABB60" w14:textId="63533A2C" w:rsidR="007F78A3" w:rsidRDefault="007F78A3" w:rsidP="00FE7254"/>
    <w:p w14:paraId="4DD8E7B1" w14:textId="77777777" w:rsidR="007B5787" w:rsidRDefault="007B5787" w:rsidP="00FE725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76"/>
        <w:gridCol w:w="2981"/>
      </w:tblGrid>
      <w:tr w:rsidR="007F78A3" w:rsidRPr="007F78A3" w14:paraId="46AB9E5F" w14:textId="77777777" w:rsidTr="007A2B60">
        <w:trPr>
          <w:trHeight w:val="207"/>
        </w:trPr>
        <w:tc>
          <w:tcPr>
            <w:tcW w:w="6658" w:type="dxa"/>
            <w:gridSpan w:val="2"/>
            <w:tcBorders>
              <w:bottom w:val="single" w:sz="4" w:space="0" w:color="auto"/>
            </w:tcBorders>
            <w:tcMar>
              <w:left w:w="0" w:type="dxa"/>
            </w:tcMar>
          </w:tcPr>
          <w:p w14:paraId="5F9D0814" w14:textId="1C3D2822" w:rsidR="007F78A3" w:rsidRPr="007F78A3" w:rsidRDefault="00283763" w:rsidP="007A2B60">
            <w:pPr>
              <w:pStyle w:val="Naslov31"/>
              <w:jc w:val="left"/>
            </w:pPr>
            <w:r w:rsidRPr="00283763">
              <w:t xml:space="preserve">Number of persons in employment, August 2023 </w:t>
            </w:r>
          </w:p>
        </w:tc>
        <w:tc>
          <w:tcPr>
            <w:tcW w:w="2981" w:type="dxa"/>
            <w:tcBorders>
              <w:bottom w:val="single" w:sz="4" w:space="0" w:color="auto"/>
            </w:tcBorders>
          </w:tcPr>
          <w:p w14:paraId="264BD809" w14:textId="77777777" w:rsidR="007F78A3" w:rsidRPr="007F78A3" w:rsidRDefault="007F78A3" w:rsidP="007A2B60">
            <w:pPr>
              <w:pStyle w:val="Naslov31"/>
            </w:pPr>
          </w:p>
        </w:tc>
      </w:tr>
      <w:tr w:rsidR="007F78A3" w:rsidRPr="000E78BA" w14:paraId="0F043FD5" w14:textId="77777777" w:rsidTr="007A2B60">
        <w:trPr>
          <w:trHeight w:val="1134"/>
        </w:trPr>
        <w:tc>
          <w:tcPr>
            <w:tcW w:w="4982" w:type="dxa"/>
            <w:tcBorders>
              <w:top w:val="single" w:sz="4" w:space="0" w:color="auto"/>
            </w:tcBorders>
            <w:tcMar>
              <w:left w:w="0" w:type="dxa"/>
            </w:tcMar>
          </w:tcPr>
          <w:p w14:paraId="40E778D4" w14:textId="5C11A170" w:rsidR="007F78A3" w:rsidRPr="007F78A3" w:rsidRDefault="007B5787" w:rsidP="007A2B60">
            <w:pPr>
              <w:pStyle w:val="ListParagraph"/>
              <w:ind w:left="0"/>
            </w:pPr>
            <w:bookmarkStart w:id="0" w:name="_GoBack"/>
            <w:r>
              <w:rPr>
                <w:noProof/>
              </w:rPr>
              <w:drawing>
                <wp:inline distT="0" distB="0" distL="0" distR="0" wp14:anchorId="2BAFDF93" wp14:editId="7268B8B1">
                  <wp:extent cx="3181985" cy="243603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4435" cy="2445571"/>
                          </a:xfrm>
                          <a:prstGeom prst="rect">
                            <a:avLst/>
                          </a:prstGeom>
                          <a:noFill/>
                        </pic:spPr>
                      </pic:pic>
                    </a:graphicData>
                  </a:graphic>
                </wp:inline>
              </w:drawing>
            </w:r>
            <w:bookmarkEnd w:id="0"/>
          </w:p>
        </w:tc>
        <w:tc>
          <w:tcPr>
            <w:tcW w:w="4657" w:type="dxa"/>
            <w:gridSpan w:val="2"/>
            <w:tcBorders>
              <w:top w:val="single" w:sz="4" w:space="0" w:color="auto"/>
            </w:tcBorders>
            <w:tcMar>
              <w:left w:w="284" w:type="dxa"/>
            </w:tcMar>
          </w:tcPr>
          <w:p w14:paraId="2F7608F0" w14:textId="702FAEDA" w:rsidR="00283763" w:rsidRPr="00283763" w:rsidRDefault="00283763" w:rsidP="00283763">
            <w:pPr>
              <w:rPr>
                <w:b/>
                <w:bCs/>
              </w:rPr>
            </w:pPr>
            <w:r w:rsidRPr="00283763">
              <w:rPr>
                <w:b/>
                <w:bCs/>
              </w:rPr>
              <w:t>Year-on-year growth in the number of persons in employment was lower in August than in the previous months (1%). </w:t>
            </w:r>
            <w:r w:rsidRPr="00283763">
              <w:rPr>
                <w:bCs/>
              </w:rPr>
              <w:t>This was mainly due to a slowdown in year-on-year growth in construction and also manufacturing. The strongest growth was in information and communication. With the number of Slovenians in employment declining, the employment of foreigners has contributed exclusively to the overall year-on-year growth in the number of persons in employment in August. Their share among all persons in employment was 14.6% in August, 1 p.p. higher than a year earlier. Activities with the largest share of foreigners are construction (48%), transportation and storage (33%) and administrative and support service activities (27%).</w:t>
            </w:r>
            <w:r w:rsidRPr="00283763">
              <w:rPr>
                <w:b/>
                <w:bCs/>
              </w:rPr>
              <w:t> </w:t>
            </w:r>
          </w:p>
          <w:p w14:paraId="0B134073" w14:textId="77777777" w:rsidR="007F78A3" w:rsidRPr="00D86A89" w:rsidRDefault="007F78A3" w:rsidP="007A2B60">
            <w:pPr>
              <w:rPr>
                <w:b/>
                <w:bCs/>
              </w:rPr>
            </w:pPr>
          </w:p>
          <w:p w14:paraId="7C9C30AC" w14:textId="77777777" w:rsidR="007F78A3" w:rsidRPr="000E78BA" w:rsidRDefault="007F78A3" w:rsidP="007A2B60"/>
        </w:tc>
      </w:tr>
    </w:tbl>
    <w:p w14:paraId="01817CCA" w14:textId="77777777" w:rsidR="007F78A3" w:rsidRDefault="007F78A3" w:rsidP="00FE7254"/>
    <w:p w14:paraId="26E261F2" w14:textId="7C029427" w:rsidR="007F0DED" w:rsidRDefault="007F0DED" w:rsidP="00FE7254"/>
    <w:p w14:paraId="09FA934F" w14:textId="6CF1E9FB" w:rsidR="007F0DED" w:rsidRDefault="007F0DED" w:rsidP="00FE7254"/>
    <w:p w14:paraId="17AA2970" w14:textId="76046CD9" w:rsidR="007F0DED" w:rsidRDefault="007F0DED" w:rsidP="00FE7254"/>
    <w:p w14:paraId="22D0C5C2" w14:textId="3E3F5FF2" w:rsidR="007F0DED" w:rsidRDefault="007F0DED" w:rsidP="00FE7254"/>
    <w:p w14:paraId="3376ECC2" w14:textId="77777777" w:rsidR="007F0DED" w:rsidRDefault="007F0DED" w:rsidP="00FE7254"/>
    <w:p w14:paraId="4C0F8DCA" w14:textId="0BBF54C7" w:rsidR="007F0DED" w:rsidRDefault="007F0DED" w:rsidP="00FE7254"/>
    <w:p w14:paraId="22475C0D" w14:textId="10995B66" w:rsidR="007F0DED" w:rsidRPr="000E78BA" w:rsidRDefault="007F0DED" w:rsidP="00FE7254">
      <w:pPr>
        <w:sectPr w:rsidR="007F0DED" w:rsidRPr="000E78BA" w:rsidSect="00363E63">
          <w:footerReference w:type="default" r:id="rId13"/>
          <w:headerReference w:type="first" r:id="rId14"/>
          <w:footerReference w:type="first" r:id="rId15"/>
          <w:type w:val="continuous"/>
          <w:pgSz w:w="11906" w:h="16838"/>
          <w:pgMar w:top="1134" w:right="1134" w:bottom="1021" w:left="1134" w:header="709" w:footer="397" w:gutter="0"/>
          <w:cols w:space="708"/>
          <w:titlePg/>
          <w:docGrid w:linePitch="360"/>
        </w:sectPr>
      </w:pPr>
    </w:p>
    <w:p w14:paraId="515F4F7F" w14:textId="01CA3722" w:rsidR="00A03401" w:rsidRPr="000E78BA" w:rsidRDefault="00B85D09" w:rsidP="00C26C8D">
      <w:pPr>
        <w:tabs>
          <w:tab w:val="left" w:pos="580"/>
        </w:tabs>
      </w:pPr>
      <w:r w:rsidRPr="00B85D09">
        <w:rPr>
          <w:noProof/>
        </w:rPr>
        <w:lastRenderedPageBreak/>
        <w:drawing>
          <wp:inline distT="0" distB="0" distL="0" distR="0" wp14:anchorId="1D3F7D68" wp14:editId="77FBAEC1">
            <wp:extent cx="6120130" cy="85944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130" cy="8594405"/>
                    </a:xfrm>
                    <a:prstGeom prst="rect">
                      <a:avLst/>
                    </a:prstGeom>
                    <a:noFill/>
                    <a:ln>
                      <a:noFill/>
                    </a:ln>
                  </pic:spPr>
                </pic:pic>
              </a:graphicData>
            </a:graphic>
          </wp:inline>
        </w:drawing>
      </w:r>
    </w:p>
    <w:p w14:paraId="26A312A6" w14:textId="41A5F6ED" w:rsidR="002E69B6" w:rsidRPr="000E78BA" w:rsidRDefault="002E69B6" w:rsidP="00C26C8D">
      <w:pPr>
        <w:tabs>
          <w:tab w:val="left" w:pos="580"/>
        </w:tabs>
      </w:pPr>
    </w:p>
    <w:sectPr w:rsidR="002E69B6" w:rsidRPr="000E78BA" w:rsidSect="00363E63">
      <w:headerReference w:type="default" r:id="rId17"/>
      <w:footerReference w:type="default" r:id="rId18"/>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439F4" w14:textId="77777777" w:rsidR="00121D90" w:rsidRDefault="00121D90" w:rsidP="0063497B">
      <w:pPr>
        <w:spacing w:line="240" w:lineRule="auto"/>
      </w:pPr>
      <w:r>
        <w:separator/>
      </w:r>
    </w:p>
  </w:endnote>
  <w:endnote w:type="continuationSeparator" w:id="0">
    <w:p w14:paraId="385D8024" w14:textId="77777777" w:rsidR="00121D90" w:rsidRDefault="00121D90" w:rsidP="0063497B">
      <w:pPr>
        <w:spacing w:line="240" w:lineRule="auto"/>
      </w:pPr>
      <w:r>
        <w:continuationSeparator/>
      </w:r>
    </w:p>
  </w:endnote>
  <w:endnote w:type="continuationNotice" w:id="1">
    <w:p w14:paraId="6BEBB1B3" w14:textId="77777777" w:rsidR="00121D90" w:rsidRDefault="00121D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532304C9"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017B7F72"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9A0978" w:rsidRPr="00C26C8D" w:rsidRDefault="009A0978"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9A0978" w:rsidRPr="00C26C8D" w:rsidRDefault="009A0978" w:rsidP="00C26C8D">
    <w:pPr>
      <w:pStyle w:val="Naslov31"/>
      <w:tabs>
        <w:tab w:val="right" w:pos="9638"/>
      </w:tabs>
      <w:jc w:val="left"/>
      <w:rPr>
        <w:b w:val="0"/>
        <w:sz w:val="18"/>
        <w:szCs w:val="18"/>
      </w:rPr>
    </w:pPr>
  </w:p>
  <w:p w14:paraId="6B87A005" w14:textId="77777777" w:rsidR="009A0978" w:rsidRPr="00363E63" w:rsidRDefault="009A0978"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A9A72" w14:textId="77777777" w:rsidR="00121D90" w:rsidRDefault="00121D90" w:rsidP="0063497B">
      <w:pPr>
        <w:spacing w:line="240" w:lineRule="auto"/>
      </w:pPr>
      <w:r>
        <w:separator/>
      </w:r>
    </w:p>
  </w:footnote>
  <w:footnote w:type="continuationSeparator" w:id="0">
    <w:p w14:paraId="342240E8" w14:textId="77777777" w:rsidR="00121D90" w:rsidRDefault="00121D90" w:rsidP="0063497B">
      <w:pPr>
        <w:spacing w:line="240" w:lineRule="auto"/>
      </w:pPr>
      <w:r>
        <w:continuationSeparator/>
      </w:r>
    </w:p>
  </w:footnote>
  <w:footnote w:type="continuationNotice" w:id="1">
    <w:p w14:paraId="0249FBB8" w14:textId="77777777" w:rsidR="00121D90" w:rsidRDefault="00121D90">
      <w:pPr>
        <w:spacing w:line="240" w:lineRule="auto"/>
      </w:pPr>
    </w:p>
  </w:footnote>
  <w:footnote w:id="2">
    <w:p w14:paraId="265562CB" w14:textId="77777777" w:rsidR="00283763" w:rsidRDefault="00283763" w:rsidP="00283763">
      <w:pPr>
        <w:pStyle w:val="FootnoteText"/>
      </w:pPr>
      <w:r>
        <w:rPr>
          <w:rStyle w:val="FootnoteReference"/>
        </w:rPr>
        <w:footnoteRef/>
      </w:r>
      <w:r>
        <w:t xml:space="preserve"> In this consumption group, consumption is most frequently measured in shops and service activities. This group also includes warehouses, agricultural activity, etc., and large manufacturing plants that do not consume significant amounts of electricity at some measurement points.</w:t>
      </w:r>
    </w:p>
  </w:footnote>
  <w:footnote w:id="3">
    <w:p w14:paraId="22979025" w14:textId="77777777" w:rsidR="00283763" w:rsidRDefault="00283763" w:rsidP="00283763">
      <w:pPr>
        <w:pStyle w:val="FootnoteText"/>
      </w:pPr>
      <w:r>
        <w:rPr>
          <w:rStyle w:val="FootnoteReference"/>
        </w:rPr>
        <w:footnoteRef/>
      </w:r>
      <w:r>
        <w:t xml:space="preserve"> The share of foreign vehicle traffic on Slovenian motorways (measured in kilometres driven), which decreased during the pandemic, was only slightly lower in Q2 2023 than in the same period of 2019 (by 0.7 p.p.), according to DARS data.</w:t>
      </w:r>
    </w:p>
  </w:footnote>
  <w:footnote w:id="4">
    <w:p w14:paraId="2B819D4E" w14:textId="77777777" w:rsidR="00283763" w:rsidRDefault="00283763" w:rsidP="00283763">
      <w:pPr>
        <w:pStyle w:val="FootnoteText"/>
      </w:pPr>
      <w:r>
        <w:rPr>
          <w:rStyle w:val="FootnoteReference"/>
        </w:rPr>
        <w:footnoteRef/>
      </w:r>
      <w:r>
        <w:t xml:space="preserve"> According to the Annual Report of Slovenian Railways for 2022. </w:t>
      </w:r>
    </w:p>
  </w:footnote>
  <w:footnote w:id="5">
    <w:p w14:paraId="685CF49E" w14:textId="77777777" w:rsidR="00283763" w:rsidRPr="001B7923" w:rsidRDefault="00283763" w:rsidP="00283763">
      <w:pPr>
        <w:pStyle w:val="FootnoteText"/>
        <w:rPr>
          <w:rFonts w:eastAsia="Myriad Pro" w:cs="Myriad Pro"/>
          <w:color w:val="000000" w:themeColor="text1"/>
          <w:sz w:val="14"/>
        </w:rPr>
      </w:pPr>
      <w:r>
        <w:rPr>
          <w:rStyle w:val="FootnoteReference"/>
        </w:rPr>
        <w:footnoteRef/>
      </w:r>
      <w:r>
        <w:t xml:space="preserve"> Activities R, S and T according to NACE classification</w:t>
      </w:r>
      <w:r>
        <w:rPr>
          <w:color w:val="000000" w:themeColor="text1"/>
        </w:rPr>
        <w:t>.</w:t>
      </w:r>
      <w:r>
        <w:rPr>
          <w:color w:val="000000" w:themeColor="text1"/>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33666D25" w:rsidR="009A0978" w:rsidRDefault="009A0978" w:rsidP="00652795">
    <w:pPr>
      <w:jc w:val="right"/>
    </w:pPr>
    <w:r>
      <w:rPr>
        <w:noProof/>
      </w:rPr>
      <w:drawing>
        <wp:anchor distT="0" distB="0" distL="114300" distR="114300" simplePos="0" relativeHeight="251658240" behindDoc="0" locked="0" layoutInCell="1" allowOverlap="1" wp14:anchorId="254C5F65" wp14:editId="4ADD8BF1">
          <wp:simplePos x="0" y="0"/>
          <wp:positionH relativeFrom="column">
            <wp:posOffset>-313690</wp:posOffset>
          </wp:positionH>
          <wp:positionV relativeFrom="paragraph">
            <wp:posOffset>60960</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rsidR="007F78A3">
      <w:t>23</w:t>
    </w:r>
    <w:r>
      <w:t xml:space="preserve"> </w:t>
    </w:r>
    <w:r w:rsidR="005E0019">
      <w:t>October</w:t>
    </w:r>
    <w:r>
      <w:t xml:space="preserve"> 2023</w:t>
    </w:r>
  </w:p>
  <w:p w14:paraId="4BCD6FCD" w14:textId="77777777" w:rsidR="009A0978" w:rsidRDefault="009A0978" w:rsidP="00FE7254">
    <w:pPr>
      <w:jc w:val="right"/>
    </w:pPr>
  </w:p>
  <w:p w14:paraId="2346E65D" w14:textId="77777777" w:rsidR="009A0978" w:rsidRDefault="009A0978" w:rsidP="00FE7254">
    <w:pPr>
      <w:jc w:val="right"/>
    </w:pPr>
  </w:p>
  <w:p w14:paraId="72003DEC" w14:textId="77777777" w:rsidR="009A0978" w:rsidRDefault="009A0978"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9A0978" w:rsidRPr="00C26C8D" w:rsidRDefault="009A0978" w:rsidP="00C26C8D">
    <w:pPr>
      <w:pStyle w:val="Header"/>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3C90"/>
    <w:rsid w:val="00004D56"/>
    <w:rsid w:val="00005E4B"/>
    <w:rsid w:val="00006CDC"/>
    <w:rsid w:val="00014A64"/>
    <w:rsid w:val="00016923"/>
    <w:rsid w:val="00021B8C"/>
    <w:rsid w:val="00022B08"/>
    <w:rsid w:val="0002391A"/>
    <w:rsid w:val="00024EF0"/>
    <w:rsid w:val="000257A3"/>
    <w:rsid w:val="00026AAA"/>
    <w:rsid w:val="0003025F"/>
    <w:rsid w:val="000407E8"/>
    <w:rsid w:val="00041021"/>
    <w:rsid w:val="0004116E"/>
    <w:rsid w:val="000425EA"/>
    <w:rsid w:val="0004410D"/>
    <w:rsid w:val="00050078"/>
    <w:rsid w:val="0005322C"/>
    <w:rsid w:val="00054458"/>
    <w:rsid w:val="00054692"/>
    <w:rsid w:val="00054B17"/>
    <w:rsid w:val="00055BD4"/>
    <w:rsid w:val="00060808"/>
    <w:rsid w:val="00061F03"/>
    <w:rsid w:val="00062E0D"/>
    <w:rsid w:val="00063EB4"/>
    <w:rsid w:val="00064E87"/>
    <w:rsid w:val="00065B72"/>
    <w:rsid w:val="00066060"/>
    <w:rsid w:val="00070313"/>
    <w:rsid w:val="000703C7"/>
    <w:rsid w:val="00070B6E"/>
    <w:rsid w:val="00071007"/>
    <w:rsid w:val="00073C2B"/>
    <w:rsid w:val="00077F13"/>
    <w:rsid w:val="000802F5"/>
    <w:rsid w:val="00083B7F"/>
    <w:rsid w:val="00087E6A"/>
    <w:rsid w:val="00092592"/>
    <w:rsid w:val="00092E40"/>
    <w:rsid w:val="00093214"/>
    <w:rsid w:val="00096101"/>
    <w:rsid w:val="00097DD5"/>
    <w:rsid w:val="000A5A42"/>
    <w:rsid w:val="000A6A64"/>
    <w:rsid w:val="000A7BDC"/>
    <w:rsid w:val="000B2332"/>
    <w:rsid w:val="000B2627"/>
    <w:rsid w:val="000B5B96"/>
    <w:rsid w:val="000C450B"/>
    <w:rsid w:val="000C529C"/>
    <w:rsid w:val="000C5DFC"/>
    <w:rsid w:val="000D3F8B"/>
    <w:rsid w:val="000D4661"/>
    <w:rsid w:val="000D7845"/>
    <w:rsid w:val="000E0101"/>
    <w:rsid w:val="000E0B03"/>
    <w:rsid w:val="000E0C96"/>
    <w:rsid w:val="000E78BA"/>
    <w:rsid w:val="000F18E2"/>
    <w:rsid w:val="000F2E14"/>
    <w:rsid w:val="000F5315"/>
    <w:rsid w:val="00101E8B"/>
    <w:rsid w:val="00110B3C"/>
    <w:rsid w:val="00111DFE"/>
    <w:rsid w:val="00112B3E"/>
    <w:rsid w:val="00115501"/>
    <w:rsid w:val="00115E8D"/>
    <w:rsid w:val="00116668"/>
    <w:rsid w:val="00120162"/>
    <w:rsid w:val="00121D90"/>
    <w:rsid w:val="00123A5A"/>
    <w:rsid w:val="00123D52"/>
    <w:rsid w:val="001255CD"/>
    <w:rsid w:val="0012725B"/>
    <w:rsid w:val="00127822"/>
    <w:rsid w:val="00133E20"/>
    <w:rsid w:val="0014161A"/>
    <w:rsid w:val="00150890"/>
    <w:rsid w:val="00150D0F"/>
    <w:rsid w:val="001557F1"/>
    <w:rsid w:val="0016111E"/>
    <w:rsid w:val="00161807"/>
    <w:rsid w:val="00162E99"/>
    <w:rsid w:val="00164543"/>
    <w:rsid w:val="00167096"/>
    <w:rsid w:val="00170703"/>
    <w:rsid w:val="00175B27"/>
    <w:rsid w:val="00176407"/>
    <w:rsid w:val="0018081D"/>
    <w:rsid w:val="00181CF5"/>
    <w:rsid w:val="00182319"/>
    <w:rsid w:val="001847BE"/>
    <w:rsid w:val="00187DC1"/>
    <w:rsid w:val="00190B5F"/>
    <w:rsid w:val="0019138D"/>
    <w:rsid w:val="00191F0E"/>
    <w:rsid w:val="00192B58"/>
    <w:rsid w:val="001A0B7D"/>
    <w:rsid w:val="001A0C6A"/>
    <w:rsid w:val="001A0C98"/>
    <w:rsid w:val="001A3E47"/>
    <w:rsid w:val="001A656B"/>
    <w:rsid w:val="001B475E"/>
    <w:rsid w:val="001B6AE7"/>
    <w:rsid w:val="001B6FAE"/>
    <w:rsid w:val="001B7402"/>
    <w:rsid w:val="001C03A0"/>
    <w:rsid w:val="001C2D69"/>
    <w:rsid w:val="001C3E55"/>
    <w:rsid w:val="001D1DF5"/>
    <w:rsid w:val="001D2917"/>
    <w:rsid w:val="001D3E77"/>
    <w:rsid w:val="001D6793"/>
    <w:rsid w:val="001D76BE"/>
    <w:rsid w:val="001E3587"/>
    <w:rsid w:val="001E3956"/>
    <w:rsid w:val="001E66B1"/>
    <w:rsid w:val="001F4E8F"/>
    <w:rsid w:val="001F4EE0"/>
    <w:rsid w:val="001F51CD"/>
    <w:rsid w:val="001F5764"/>
    <w:rsid w:val="002040EA"/>
    <w:rsid w:val="0020683D"/>
    <w:rsid w:val="00213015"/>
    <w:rsid w:val="00215DA0"/>
    <w:rsid w:val="002220F4"/>
    <w:rsid w:val="0022245A"/>
    <w:rsid w:val="002229E0"/>
    <w:rsid w:val="00222F75"/>
    <w:rsid w:val="0022644C"/>
    <w:rsid w:val="00226C04"/>
    <w:rsid w:val="002362D3"/>
    <w:rsid w:val="00236656"/>
    <w:rsid w:val="002374F8"/>
    <w:rsid w:val="0024091B"/>
    <w:rsid w:val="0024119A"/>
    <w:rsid w:val="00242C71"/>
    <w:rsid w:val="0024323E"/>
    <w:rsid w:val="00243593"/>
    <w:rsid w:val="0024378B"/>
    <w:rsid w:val="002461D2"/>
    <w:rsid w:val="00246CF1"/>
    <w:rsid w:val="002511CF"/>
    <w:rsid w:val="00252E25"/>
    <w:rsid w:val="00253AF0"/>
    <w:rsid w:val="002540FD"/>
    <w:rsid w:val="002551D9"/>
    <w:rsid w:val="00255F95"/>
    <w:rsid w:val="0026341B"/>
    <w:rsid w:val="00263CDF"/>
    <w:rsid w:val="0026509A"/>
    <w:rsid w:val="00271747"/>
    <w:rsid w:val="0027286B"/>
    <w:rsid w:val="00274D3F"/>
    <w:rsid w:val="00283763"/>
    <w:rsid w:val="0028665C"/>
    <w:rsid w:val="00290CA7"/>
    <w:rsid w:val="00291679"/>
    <w:rsid w:val="0029405F"/>
    <w:rsid w:val="00296BEC"/>
    <w:rsid w:val="002A62E5"/>
    <w:rsid w:val="002B025E"/>
    <w:rsid w:val="002B058F"/>
    <w:rsid w:val="002B113D"/>
    <w:rsid w:val="002B4319"/>
    <w:rsid w:val="002B4C3A"/>
    <w:rsid w:val="002B5361"/>
    <w:rsid w:val="002B617D"/>
    <w:rsid w:val="002B67C9"/>
    <w:rsid w:val="002C5AFE"/>
    <w:rsid w:val="002C75CC"/>
    <w:rsid w:val="002D46EF"/>
    <w:rsid w:val="002D753B"/>
    <w:rsid w:val="002D77C5"/>
    <w:rsid w:val="002E20DD"/>
    <w:rsid w:val="002E64A4"/>
    <w:rsid w:val="002E655C"/>
    <w:rsid w:val="002E69B6"/>
    <w:rsid w:val="002E6F0D"/>
    <w:rsid w:val="002E6FAD"/>
    <w:rsid w:val="002E7284"/>
    <w:rsid w:val="002F00BB"/>
    <w:rsid w:val="002F0448"/>
    <w:rsid w:val="002F45CB"/>
    <w:rsid w:val="00301B51"/>
    <w:rsid w:val="00305883"/>
    <w:rsid w:val="00306767"/>
    <w:rsid w:val="00312D09"/>
    <w:rsid w:val="003159CC"/>
    <w:rsid w:val="00325655"/>
    <w:rsid w:val="0032707E"/>
    <w:rsid w:val="00327AF7"/>
    <w:rsid w:val="0033042F"/>
    <w:rsid w:val="003305D2"/>
    <w:rsid w:val="00330DEB"/>
    <w:rsid w:val="00331DD6"/>
    <w:rsid w:val="00333B2F"/>
    <w:rsid w:val="0034156F"/>
    <w:rsid w:val="00342F7A"/>
    <w:rsid w:val="0034385F"/>
    <w:rsid w:val="003443B1"/>
    <w:rsid w:val="00345706"/>
    <w:rsid w:val="00346E79"/>
    <w:rsid w:val="00350999"/>
    <w:rsid w:val="00350A64"/>
    <w:rsid w:val="003524EB"/>
    <w:rsid w:val="00355359"/>
    <w:rsid w:val="0035658B"/>
    <w:rsid w:val="00356832"/>
    <w:rsid w:val="00363E63"/>
    <w:rsid w:val="003640E5"/>
    <w:rsid w:val="00364A8F"/>
    <w:rsid w:val="00365D68"/>
    <w:rsid w:val="00366D68"/>
    <w:rsid w:val="00371828"/>
    <w:rsid w:val="00374467"/>
    <w:rsid w:val="00374B90"/>
    <w:rsid w:val="0037709E"/>
    <w:rsid w:val="00380056"/>
    <w:rsid w:val="00381BE5"/>
    <w:rsid w:val="00381F22"/>
    <w:rsid w:val="00381F6A"/>
    <w:rsid w:val="003831A6"/>
    <w:rsid w:val="0038500A"/>
    <w:rsid w:val="00386C31"/>
    <w:rsid w:val="00390947"/>
    <w:rsid w:val="00394109"/>
    <w:rsid w:val="00394FBC"/>
    <w:rsid w:val="00396859"/>
    <w:rsid w:val="003974F8"/>
    <w:rsid w:val="003A1B12"/>
    <w:rsid w:val="003A23E4"/>
    <w:rsid w:val="003A26B5"/>
    <w:rsid w:val="003A49D8"/>
    <w:rsid w:val="003A50F3"/>
    <w:rsid w:val="003B14A1"/>
    <w:rsid w:val="003B55C2"/>
    <w:rsid w:val="003B76CF"/>
    <w:rsid w:val="003B7B25"/>
    <w:rsid w:val="003C0556"/>
    <w:rsid w:val="003C1005"/>
    <w:rsid w:val="003C2454"/>
    <w:rsid w:val="003C3C52"/>
    <w:rsid w:val="003C44D9"/>
    <w:rsid w:val="003C4E6F"/>
    <w:rsid w:val="003C614E"/>
    <w:rsid w:val="003C6951"/>
    <w:rsid w:val="003D0FA7"/>
    <w:rsid w:val="003D1203"/>
    <w:rsid w:val="003D2CFA"/>
    <w:rsid w:val="003D3D5B"/>
    <w:rsid w:val="003D58DF"/>
    <w:rsid w:val="003D697A"/>
    <w:rsid w:val="003E0230"/>
    <w:rsid w:val="003E5239"/>
    <w:rsid w:val="003E5ADA"/>
    <w:rsid w:val="003E5C15"/>
    <w:rsid w:val="003E64D6"/>
    <w:rsid w:val="003F30E4"/>
    <w:rsid w:val="003F4C1B"/>
    <w:rsid w:val="004041D4"/>
    <w:rsid w:val="0040719E"/>
    <w:rsid w:val="004079CD"/>
    <w:rsid w:val="004123A3"/>
    <w:rsid w:val="00415098"/>
    <w:rsid w:val="00416E12"/>
    <w:rsid w:val="004204B9"/>
    <w:rsid w:val="0042504D"/>
    <w:rsid w:val="004255B4"/>
    <w:rsid w:val="004271E0"/>
    <w:rsid w:val="00431E69"/>
    <w:rsid w:val="00431EDD"/>
    <w:rsid w:val="004351F9"/>
    <w:rsid w:val="004368FB"/>
    <w:rsid w:val="00444120"/>
    <w:rsid w:val="00445954"/>
    <w:rsid w:val="00446303"/>
    <w:rsid w:val="0044650F"/>
    <w:rsid w:val="0045024D"/>
    <w:rsid w:val="00452589"/>
    <w:rsid w:val="00452804"/>
    <w:rsid w:val="004533D3"/>
    <w:rsid w:val="0045444B"/>
    <w:rsid w:val="00454E68"/>
    <w:rsid w:val="00455141"/>
    <w:rsid w:val="00461BCB"/>
    <w:rsid w:val="00462BA6"/>
    <w:rsid w:val="004636A5"/>
    <w:rsid w:val="00464D01"/>
    <w:rsid w:val="00466595"/>
    <w:rsid w:val="00467144"/>
    <w:rsid w:val="0046726B"/>
    <w:rsid w:val="00467D2C"/>
    <w:rsid w:val="004712B8"/>
    <w:rsid w:val="004729A1"/>
    <w:rsid w:val="00472EF9"/>
    <w:rsid w:val="0047514E"/>
    <w:rsid w:val="00477274"/>
    <w:rsid w:val="0048123F"/>
    <w:rsid w:val="00485BB1"/>
    <w:rsid w:val="0049501B"/>
    <w:rsid w:val="00496E7F"/>
    <w:rsid w:val="004970E5"/>
    <w:rsid w:val="00497D53"/>
    <w:rsid w:val="004A37A6"/>
    <w:rsid w:val="004A574A"/>
    <w:rsid w:val="004A6A8D"/>
    <w:rsid w:val="004B013F"/>
    <w:rsid w:val="004B235F"/>
    <w:rsid w:val="004B2A84"/>
    <w:rsid w:val="004B402C"/>
    <w:rsid w:val="004B49B6"/>
    <w:rsid w:val="004C0A16"/>
    <w:rsid w:val="004C278D"/>
    <w:rsid w:val="004C2835"/>
    <w:rsid w:val="004C30D1"/>
    <w:rsid w:val="004C4D7C"/>
    <w:rsid w:val="004D0C06"/>
    <w:rsid w:val="004D1C88"/>
    <w:rsid w:val="004D2BC3"/>
    <w:rsid w:val="004D2D1C"/>
    <w:rsid w:val="004D4230"/>
    <w:rsid w:val="004D5D4E"/>
    <w:rsid w:val="004D63EF"/>
    <w:rsid w:val="004E107A"/>
    <w:rsid w:val="004E1AF2"/>
    <w:rsid w:val="004E1F41"/>
    <w:rsid w:val="004E2181"/>
    <w:rsid w:val="004F320B"/>
    <w:rsid w:val="004F3835"/>
    <w:rsid w:val="004F61F1"/>
    <w:rsid w:val="004F72E3"/>
    <w:rsid w:val="00506505"/>
    <w:rsid w:val="00506E6D"/>
    <w:rsid w:val="00520115"/>
    <w:rsid w:val="005224F3"/>
    <w:rsid w:val="005237A1"/>
    <w:rsid w:val="0052505D"/>
    <w:rsid w:val="005321D5"/>
    <w:rsid w:val="005326CC"/>
    <w:rsid w:val="00533109"/>
    <w:rsid w:val="00534457"/>
    <w:rsid w:val="005361E9"/>
    <w:rsid w:val="0054158F"/>
    <w:rsid w:val="005468A2"/>
    <w:rsid w:val="00546DBF"/>
    <w:rsid w:val="0055126B"/>
    <w:rsid w:val="00555A80"/>
    <w:rsid w:val="00560CB1"/>
    <w:rsid w:val="00561C9A"/>
    <w:rsid w:val="0056680E"/>
    <w:rsid w:val="00566D6E"/>
    <w:rsid w:val="00573CF2"/>
    <w:rsid w:val="0058006D"/>
    <w:rsid w:val="0058052D"/>
    <w:rsid w:val="005806D5"/>
    <w:rsid w:val="005965AF"/>
    <w:rsid w:val="00596B4C"/>
    <w:rsid w:val="005977D2"/>
    <w:rsid w:val="005A2EF5"/>
    <w:rsid w:val="005A70C8"/>
    <w:rsid w:val="005A7DEB"/>
    <w:rsid w:val="005B0C7D"/>
    <w:rsid w:val="005B4C57"/>
    <w:rsid w:val="005B6FC5"/>
    <w:rsid w:val="005C2106"/>
    <w:rsid w:val="005C2C5C"/>
    <w:rsid w:val="005C3B6F"/>
    <w:rsid w:val="005C489E"/>
    <w:rsid w:val="005C4D2E"/>
    <w:rsid w:val="005D285A"/>
    <w:rsid w:val="005D3726"/>
    <w:rsid w:val="005D7078"/>
    <w:rsid w:val="005D71A4"/>
    <w:rsid w:val="005E0019"/>
    <w:rsid w:val="005E6F08"/>
    <w:rsid w:val="005F0D7D"/>
    <w:rsid w:val="005F2004"/>
    <w:rsid w:val="005F5C51"/>
    <w:rsid w:val="00600E28"/>
    <w:rsid w:val="0060240D"/>
    <w:rsid w:val="0060300C"/>
    <w:rsid w:val="0060627C"/>
    <w:rsid w:val="00612374"/>
    <w:rsid w:val="00613F54"/>
    <w:rsid w:val="00613F73"/>
    <w:rsid w:val="00614A02"/>
    <w:rsid w:val="00623BBE"/>
    <w:rsid w:val="006269CE"/>
    <w:rsid w:val="00632222"/>
    <w:rsid w:val="0063497B"/>
    <w:rsid w:val="00637D5B"/>
    <w:rsid w:val="006421BC"/>
    <w:rsid w:val="00643ACC"/>
    <w:rsid w:val="00650921"/>
    <w:rsid w:val="00652795"/>
    <w:rsid w:val="00653A02"/>
    <w:rsid w:val="0065447B"/>
    <w:rsid w:val="00654FA7"/>
    <w:rsid w:val="006571E5"/>
    <w:rsid w:val="00657585"/>
    <w:rsid w:val="00662E1E"/>
    <w:rsid w:val="0066322D"/>
    <w:rsid w:val="0067095F"/>
    <w:rsid w:val="00670EF5"/>
    <w:rsid w:val="00671853"/>
    <w:rsid w:val="00681569"/>
    <w:rsid w:val="006851CA"/>
    <w:rsid w:val="006875F1"/>
    <w:rsid w:val="00687A6B"/>
    <w:rsid w:val="00692347"/>
    <w:rsid w:val="00693635"/>
    <w:rsid w:val="006965FC"/>
    <w:rsid w:val="006979EF"/>
    <w:rsid w:val="006A15CC"/>
    <w:rsid w:val="006A2CFB"/>
    <w:rsid w:val="006A595B"/>
    <w:rsid w:val="006A6820"/>
    <w:rsid w:val="006A7079"/>
    <w:rsid w:val="006B1CDC"/>
    <w:rsid w:val="006B3D3D"/>
    <w:rsid w:val="006B60A0"/>
    <w:rsid w:val="006B7430"/>
    <w:rsid w:val="006B7DA3"/>
    <w:rsid w:val="006C2117"/>
    <w:rsid w:val="006C27F8"/>
    <w:rsid w:val="006C2E31"/>
    <w:rsid w:val="006C64CD"/>
    <w:rsid w:val="006C6657"/>
    <w:rsid w:val="006C66CB"/>
    <w:rsid w:val="006C6FC9"/>
    <w:rsid w:val="006C7DB4"/>
    <w:rsid w:val="006D11B5"/>
    <w:rsid w:val="006D3EED"/>
    <w:rsid w:val="006E1C81"/>
    <w:rsid w:val="006E51E3"/>
    <w:rsid w:val="006E6B3C"/>
    <w:rsid w:val="006F3B53"/>
    <w:rsid w:val="00700737"/>
    <w:rsid w:val="007016EF"/>
    <w:rsid w:val="007121F2"/>
    <w:rsid w:val="00714319"/>
    <w:rsid w:val="00722B61"/>
    <w:rsid w:val="00723863"/>
    <w:rsid w:val="00731125"/>
    <w:rsid w:val="00731B6F"/>
    <w:rsid w:val="00737361"/>
    <w:rsid w:val="0074452D"/>
    <w:rsid w:val="0074466E"/>
    <w:rsid w:val="00744E82"/>
    <w:rsid w:val="007454DD"/>
    <w:rsid w:val="00750B0D"/>
    <w:rsid w:val="007511AD"/>
    <w:rsid w:val="00751346"/>
    <w:rsid w:val="00754C65"/>
    <w:rsid w:val="00760562"/>
    <w:rsid w:val="00762194"/>
    <w:rsid w:val="00766241"/>
    <w:rsid w:val="00771468"/>
    <w:rsid w:val="00771D42"/>
    <w:rsid w:val="007761B2"/>
    <w:rsid w:val="00777337"/>
    <w:rsid w:val="0078321F"/>
    <w:rsid w:val="007835C9"/>
    <w:rsid w:val="00786303"/>
    <w:rsid w:val="0079410F"/>
    <w:rsid w:val="00795200"/>
    <w:rsid w:val="007971E2"/>
    <w:rsid w:val="007A0B59"/>
    <w:rsid w:val="007A1CD0"/>
    <w:rsid w:val="007A3A82"/>
    <w:rsid w:val="007A414F"/>
    <w:rsid w:val="007A49D6"/>
    <w:rsid w:val="007A5BDF"/>
    <w:rsid w:val="007A79D4"/>
    <w:rsid w:val="007B189A"/>
    <w:rsid w:val="007B5787"/>
    <w:rsid w:val="007B5AB8"/>
    <w:rsid w:val="007B6C89"/>
    <w:rsid w:val="007B7110"/>
    <w:rsid w:val="007C26AA"/>
    <w:rsid w:val="007C4123"/>
    <w:rsid w:val="007C47C4"/>
    <w:rsid w:val="007C48CF"/>
    <w:rsid w:val="007D0791"/>
    <w:rsid w:val="007D164F"/>
    <w:rsid w:val="007D1929"/>
    <w:rsid w:val="007D3896"/>
    <w:rsid w:val="007D4A37"/>
    <w:rsid w:val="007E659C"/>
    <w:rsid w:val="007F0DED"/>
    <w:rsid w:val="007F1307"/>
    <w:rsid w:val="007F6069"/>
    <w:rsid w:val="007F78A3"/>
    <w:rsid w:val="00800BCD"/>
    <w:rsid w:val="00801D7A"/>
    <w:rsid w:val="00803C56"/>
    <w:rsid w:val="0080541B"/>
    <w:rsid w:val="00805D7C"/>
    <w:rsid w:val="00812D81"/>
    <w:rsid w:val="00820AB1"/>
    <w:rsid w:val="00827BAD"/>
    <w:rsid w:val="0083025B"/>
    <w:rsid w:val="0083204F"/>
    <w:rsid w:val="00833C7F"/>
    <w:rsid w:val="00835A2A"/>
    <w:rsid w:val="00840074"/>
    <w:rsid w:val="0084348E"/>
    <w:rsid w:val="008442F2"/>
    <w:rsid w:val="00852E3D"/>
    <w:rsid w:val="00856375"/>
    <w:rsid w:val="00860582"/>
    <w:rsid w:val="008649A7"/>
    <w:rsid w:val="008666F9"/>
    <w:rsid w:val="00874615"/>
    <w:rsid w:val="008752A0"/>
    <w:rsid w:val="00877AB3"/>
    <w:rsid w:val="00881B9A"/>
    <w:rsid w:val="00882BE5"/>
    <w:rsid w:val="00883786"/>
    <w:rsid w:val="00884A45"/>
    <w:rsid w:val="00885878"/>
    <w:rsid w:val="00886885"/>
    <w:rsid w:val="00886AD3"/>
    <w:rsid w:val="00887D7E"/>
    <w:rsid w:val="00890A09"/>
    <w:rsid w:val="00890AE9"/>
    <w:rsid w:val="0089259B"/>
    <w:rsid w:val="00896CDC"/>
    <w:rsid w:val="0089770B"/>
    <w:rsid w:val="008A0844"/>
    <w:rsid w:val="008A14E9"/>
    <w:rsid w:val="008A2E00"/>
    <w:rsid w:val="008A3BAE"/>
    <w:rsid w:val="008A60FC"/>
    <w:rsid w:val="008A7049"/>
    <w:rsid w:val="008B1DC9"/>
    <w:rsid w:val="008B53C7"/>
    <w:rsid w:val="008B7326"/>
    <w:rsid w:val="008C04C4"/>
    <w:rsid w:val="008C32FE"/>
    <w:rsid w:val="008C5025"/>
    <w:rsid w:val="008D03DA"/>
    <w:rsid w:val="008D3A98"/>
    <w:rsid w:val="008D52F1"/>
    <w:rsid w:val="008E245D"/>
    <w:rsid w:val="008E4669"/>
    <w:rsid w:val="008E65B2"/>
    <w:rsid w:val="008F2C7A"/>
    <w:rsid w:val="00902C77"/>
    <w:rsid w:val="0090688B"/>
    <w:rsid w:val="00910265"/>
    <w:rsid w:val="00910A6B"/>
    <w:rsid w:val="0091385F"/>
    <w:rsid w:val="00916FC4"/>
    <w:rsid w:val="0091753E"/>
    <w:rsid w:val="00926E02"/>
    <w:rsid w:val="0093604B"/>
    <w:rsid w:val="00936BD2"/>
    <w:rsid w:val="00942927"/>
    <w:rsid w:val="00943A1A"/>
    <w:rsid w:val="009446E5"/>
    <w:rsid w:val="00944DCF"/>
    <w:rsid w:val="00946C4C"/>
    <w:rsid w:val="009470CD"/>
    <w:rsid w:val="00947144"/>
    <w:rsid w:val="0095229A"/>
    <w:rsid w:val="00957866"/>
    <w:rsid w:val="00957EAF"/>
    <w:rsid w:val="00962B9A"/>
    <w:rsid w:val="00971564"/>
    <w:rsid w:val="0097375C"/>
    <w:rsid w:val="009740C1"/>
    <w:rsid w:val="0097488C"/>
    <w:rsid w:val="00974CB2"/>
    <w:rsid w:val="009759C5"/>
    <w:rsid w:val="00977C31"/>
    <w:rsid w:val="00982A57"/>
    <w:rsid w:val="009840A7"/>
    <w:rsid w:val="00985EE4"/>
    <w:rsid w:val="009908D8"/>
    <w:rsid w:val="009918B9"/>
    <w:rsid w:val="009930B0"/>
    <w:rsid w:val="00993218"/>
    <w:rsid w:val="009934E3"/>
    <w:rsid w:val="0099530C"/>
    <w:rsid w:val="009A0978"/>
    <w:rsid w:val="009A1E12"/>
    <w:rsid w:val="009A3C7B"/>
    <w:rsid w:val="009A7163"/>
    <w:rsid w:val="009B1E15"/>
    <w:rsid w:val="009B5675"/>
    <w:rsid w:val="009B6E8F"/>
    <w:rsid w:val="009C1BE7"/>
    <w:rsid w:val="009C337E"/>
    <w:rsid w:val="009C3DB0"/>
    <w:rsid w:val="009C4C87"/>
    <w:rsid w:val="009D0E1C"/>
    <w:rsid w:val="009D311B"/>
    <w:rsid w:val="009D4435"/>
    <w:rsid w:val="009E45E5"/>
    <w:rsid w:val="009E520E"/>
    <w:rsid w:val="009E540B"/>
    <w:rsid w:val="009F074F"/>
    <w:rsid w:val="009F100D"/>
    <w:rsid w:val="009F2107"/>
    <w:rsid w:val="009F3678"/>
    <w:rsid w:val="009F41FB"/>
    <w:rsid w:val="009F6F44"/>
    <w:rsid w:val="009F75CB"/>
    <w:rsid w:val="00A00655"/>
    <w:rsid w:val="00A03401"/>
    <w:rsid w:val="00A03639"/>
    <w:rsid w:val="00A05383"/>
    <w:rsid w:val="00A06312"/>
    <w:rsid w:val="00A072AA"/>
    <w:rsid w:val="00A07777"/>
    <w:rsid w:val="00A107AD"/>
    <w:rsid w:val="00A129FF"/>
    <w:rsid w:val="00A15DA9"/>
    <w:rsid w:val="00A21B66"/>
    <w:rsid w:val="00A22817"/>
    <w:rsid w:val="00A236E8"/>
    <w:rsid w:val="00A242E2"/>
    <w:rsid w:val="00A30DB1"/>
    <w:rsid w:val="00A31A3F"/>
    <w:rsid w:val="00A35FCE"/>
    <w:rsid w:val="00A42839"/>
    <w:rsid w:val="00A438E1"/>
    <w:rsid w:val="00A44699"/>
    <w:rsid w:val="00A47428"/>
    <w:rsid w:val="00A51BB9"/>
    <w:rsid w:val="00A549BD"/>
    <w:rsid w:val="00A554F6"/>
    <w:rsid w:val="00A5668B"/>
    <w:rsid w:val="00A62351"/>
    <w:rsid w:val="00A62CC0"/>
    <w:rsid w:val="00A703DF"/>
    <w:rsid w:val="00A7050D"/>
    <w:rsid w:val="00A72977"/>
    <w:rsid w:val="00A736A0"/>
    <w:rsid w:val="00A75761"/>
    <w:rsid w:val="00A76391"/>
    <w:rsid w:val="00A77C5D"/>
    <w:rsid w:val="00A8004F"/>
    <w:rsid w:val="00A807D0"/>
    <w:rsid w:val="00A8329F"/>
    <w:rsid w:val="00A8549D"/>
    <w:rsid w:val="00A87E78"/>
    <w:rsid w:val="00A91FD7"/>
    <w:rsid w:val="00A93BFF"/>
    <w:rsid w:val="00A95572"/>
    <w:rsid w:val="00A96032"/>
    <w:rsid w:val="00AA0B7E"/>
    <w:rsid w:val="00AA1F25"/>
    <w:rsid w:val="00AA3703"/>
    <w:rsid w:val="00AA633F"/>
    <w:rsid w:val="00AA6CDE"/>
    <w:rsid w:val="00AB0C65"/>
    <w:rsid w:val="00AB6034"/>
    <w:rsid w:val="00AB6C3C"/>
    <w:rsid w:val="00AB78C2"/>
    <w:rsid w:val="00AC03F5"/>
    <w:rsid w:val="00AC328B"/>
    <w:rsid w:val="00AC3A8F"/>
    <w:rsid w:val="00AC6654"/>
    <w:rsid w:val="00AD62C9"/>
    <w:rsid w:val="00AD675D"/>
    <w:rsid w:val="00AD6EFF"/>
    <w:rsid w:val="00AE2753"/>
    <w:rsid w:val="00AE3184"/>
    <w:rsid w:val="00AE3298"/>
    <w:rsid w:val="00AE3A0D"/>
    <w:rsid w:val="00AE4AFE"/>
    <w:rsid w:val="00AE5CA1"/>
    <w:rsid w:val="00AE6F57"/>
    <w:rsid w:val="00AE74D8"/>
    <w:rsid w:val="00AF17FE"/>
    <w:rsid w:val="00AF1FB6"/>
    <w:rsid w:val="00AF3058"/>
    <w:rsid w:val="00AF4DD8"/>
    <w:rsid w:val="00AF5265"/>
    <w:rsid w:val="00AF5EE3"/>
    <w:rsid w:val="00AF6CE4"/>
    <w:rsid w:val="00AF7D8F"/>
    <w:rsid w:val="00B00E5E"/>
    <w:rsid w:val="00B069D8"/>
    <w:rsid w:val="00B10FE7"/>
    <w:rsid w:val="00B11BB6"/>
    <w:rsid w:val="00B125C9"/>
    <w:rsid w:val="00B12AB7"/>
    <w:rsid w:val="00B144A1"/>
    <w:rsid w:val="00B20B53"/>
    <w:rsid w:val="00B21996"/>
    <w:rsid w:val="00B220A3"/>
    <w:rsid w:val="00B226C8"/>
    <w:rsid w:val="00B239DF"/>
    <w:rsid w:val="00B2692B"/>
    <w:rsid w:val="00B30231"/>
    <w:rsid w:val="00B32724"/>
    <w:rsid w:val="00B356B6"/>
    <w:rsid w:val="00B3704F"/>
    <w:rsid w:val="00B37413"/>
    <w:rsid w:val="00B40FC8"/>
    <w:rsid w:val="00B451B6"/>
    <w:rsid w:val="00B451BA"/>
    <w:rsid w:val="00B52F7E"/>
    <w:rsid w:val="00B545B7"/>
    <w:rsid w:val="00B56388"/>
    <w:rsid w:val="00B614F9"/>
    <w:rsid w:val="00B615A1"/>
    <w:rsid w:val="00B61616"/>
    <w:rsid w:val="00B725B0"/>
    <w:rsid w:val="00B738F6"/>
    <w:rsid w:val="00B76526"/>
    <w:rsid w:val="00B8133E"/>
    <w:rsid w:val="00B82B15"/>
    <w:rsid w:val="00B8300F"/>
    <w:rsid w:val="00B85D09"/>
    <w:rsid w:val="00B92DA1"/>
    <w:rsid w:val="00B9429F"/>
    <w:rsid w:val="00B95E76"/>
    <w:rsid w:val="00BA06C6"/>
    <w:rsid w:val="00BA0F00"/>
    <w:rsid w:val="00BA17CB"/>
    <w:rsid w:val="00BA1DBC"/>
    <w:rsid w:val="00BA206E"/>
    <w:rsid w:val="00BA4013"/>
    <w:rsid w:val="00BA4836"/>
    <w:rsid w:val="00BA51FC"/>
    <w:rsid w:val="00BA5775"/>
    <w:rsid w:val="00BB361C"/>
    <w:rsid w:val="00BB57FF"/>
    <w:rsid w:val="00BB596B"/>
    <w:rsid w:val="00BB6063"/>
    <w:rsid w:val="00BB6DF6"/>
    <w:rsid w:val="00BB73B2"/>
    <w:rsid w:val="00BC08EA"/>
    <w:rsid w:val="00BC41EA"/>
    <w:rsid w:val="00BC7B39"/>
    <w:rsid w:val="00BD11DE"/>
    <w:rsid w:val="00BD270C"/>
    <w:rsid w:val="00BD6B2F"/>
    <w:rsid w:val="00BE692D"/>
    <w:rsid w:val="00BF2574"/>
    <w:rsid w:val="00BF2667"/>
    <w:rsid w:val="00BF2BFC"/>
    <w:rsid w:val="00BF2D20"/>
    <w:rsid w:val="00BF2F81"/>
    <w:rsid w:val="00BF39BE"/>
    <w:rsid w:val="00BF615A"/>
    <w:rsid w:val="00BF64FF"/>
    <w:rsid w:val="00C0394F"/>
    <w:rsid w:val="00C065C3"/>
    <w:rsid w:val="00C101AE"/>
    <w:rsid w:val="00C11346"/>
    <w:rsid w:val="00C11F86"/>
    <w:rsid w:val="00C15F4B"/>
    <w:rsid w:val="00C170D6"/>
    <w:rsid w:val="00C26C8D"/>
    <w:rsid w:val="00C31DD3"/>
    <w:rsid w:val="00C45012"/>
    <w:rsid w:val="00C54755"/>
    <w:rsid w:val="00C57605"/>
    <w:rsid w:val="00C62501"/>
    <w:rsid w:val="00C65B2C"/>
    <w:rsid w:val="00C70AD6"/>
    <w:rsid w:val="00C73E30"/>
    <w:rsid w:val="00C74201"/>
    <w:rsid w:val="00C75108"/>
    <w:rsid w:val="00C75FAF"/>
    <w:rsid w:val="00C765E5"/>
    <w:rsid w:val="00C80811"/>
    <w:rsid w:val="00C8316C"/>
    <w:rsid w:val="00C926E8"/>
    <w:rsid w:val="00C92B01"/>
    <w:rsid w:val="00C96FE7"/>
    <w:rsid w:val="00CA6734"/>
    <w:rsid w:val="00CB185C"/>
    <w:rsid w:val="00CB2C49"/>
    <w:rsid w:val="00CB6AC7"/>
    <w:rsid w:val="00CC6016"/>
    <w:rsid w:val="00CC6777"/>
    <w:rsid w:val="00CE3753"/>
    <w:rsid w:val="00CE5C98"/>
    <w:rsid w:val="00CF4288"/>
    <w:rsid w:val="00CF5F66"/>
    <w:rsid w:val="00CF6407"/>
    <w:rsid w:val="00D002F9"/>
    <w:rsid w:val="00D04063"/>
    <w:rsid w:val="00D04ECC"/>
    <w:rsid w:val="00D1159C"/>
    <w:rsid w:val="00D127B3"/>
    <w:rsid w:val="00D149C7"/>
    <w:rsid w:val="00D21920"/>
    <w:rsid w:val="00D232D1"/>
    <w:rsid w:val="00D24CD5"/>
    <w:rsid w:val="00D25360"/>
    <w:rsid w:val="00D269D1"/>
    <w:rsid w:val="00D2766A"/>
    <w:rsid w:val="00D27BDB"/>
    <w:rsid w:val="00D312B6"/>
    <w:rsid w:val="00D314BE"/>
    <w:rsid w:val="00D33C9A"/>
    <w:rsid w:val="00D33D88"/>
    <w:rsid w:val="00D35253"/>
    <w:rsid w:val="00D41ECD"/>
    <w:rsid w:val="00D44A56"/>
    <w:rsid w:val="00D455E8"/>
    <w:rsid w:val="00D459DF"/>
    <w:rsid w:val="00D46AC2"/>
    <w:rsid w:val="00D47930"/>
    <w:rsid w:val="00D569EB"/>
    <w:rsid w:val="00D6286F"/>
    <w:rsid w:val="00D63CDD"/>
    <w:rsid w:val="00D63F14"/>
    <w:rsid w:val="00D64755"/>
    <w:rsid w:val="00D6735E"/>
    <w:rsid w:val="00D67FB0"/>
    <w:rsid w:val="00D71373"/>
    <w:rsid w:val="00D7306E"/>
    <w:rsid w:val="00D7442E"/>
    <w:rsid w:val="00D76360"/>
    <w:rsid w:val="00D804B1"/>
    <w:rsid w:val="00D80CC5"/>
    <w:rsid w:val="00D8114D"/>
    <w:rsid w:val="00D8684F"/>
    <w:rsid w:val="00D86A89"/>
    <w:rsid w:val="00D87533"/>
    <w:rsid w:val="00D90505"/>
    <w:rsid w:val="00D92F22"/>
    <w:rsid w:val="00D95B56"/>
    <w:rsid w:val="00DA3067"/>
    <w:rsid w:val="00DA6949"/>
    <w:rsid w:val="00DB13A7"/>
    <w:rsid w:val="00DB1C32"/>
    <w:rsid w:val="00DC022D"/>
    <w:rsid w:val="00DC2376"/>
    <w:rsid w:val="00DC23A5"/>
    <w:rsid w:val="00DC5019"/>
    <w:rsid w:val="00DD1910"/>
    <w:rsid w:val="00DE2568"/>
    <w:rsid w:val="00DE2EA9"/>
    <w:rsid w:val="00DE4ACB"/>
    <w:rsid w:val="00DE5B2B"/>
    <w:rsid w:val="00DE60F9"/>
    <w:rsid w:val="00DE72F6"/>
    <w:rsid w:val="00DF1DFE"/>
    <w:rsid w:val="00DF3707"/>
    <w:rsid w:val="00DF4F0B"/>
    <w:rsid w:val="00DF67EB"/>
    <w:rsid w:val="00DF7AA6"/>
    <w:rsid w:val="00E00D93"/>
    <w:rsid w:val="00E02608"/>
    <w:rsid w:val="00E02749"/>
    <w:rsid w:val="00E11672"/>
    <w:rsid w:val="00E1314C"/>
    <w:rsid w:val="00E1322D"/>
    <w:rsid w:val="00E1638D"/>
    <w:rsid w:val="00E1644B"/>
    <w:rsid w:val="00E2081C"/>
    <w:rsid w:val="00E27D5E"/>
    <w:rsid w:val="00E31B72"/>
    <w:rsid w:val="00E3247B"/>
    <w:rsid w:val="00E32672"/>
    <w:rsid w:val="00E33404"/>
    <w:rsid w:val="00E37D62"/>
    <w:rsid w:val="00E4211E"/>
    <w:rsid w:val="00E422FE"/>
    <w:rsid w:val="00E42A69"/>
    <w:rsid w:val="00E44048"/>
    <w:rsid w:val="00E50887"/>
    <w:rsid w:val="00E518F8"/>
    <w:rsid w:val="00E56CF8"/>
    <w:rsid w:val="00E62157"/>
    <w:rsid w:val="00E666CD"/>
    <w:rsid w:val="00E7094F"/>
    <w:rsid w:val="00E7484B"/>
    <w:rsid w:val="00E74996"/>
    <w:rsid w:val="00E75E61"/>
    <w:rsid w:val="00E7791D"/>
    <w:rsid w:val="00E814D0"/>
    <w:rsid w:val="00E81806"/>
    <w:rsid w:val="00E84707"/>
    <w:rsid w:val="00E861F4"/>
    <w:rsid w:val="00E86721"/>
    <w:rsid w:val="00E8794E"/>
    <w:rsid w:val="00E915A6"/>
    <w:rsid w:val="00E919F2"/>
    <w:rsid w:val="00EA0317"/>
    <w:rsid w:val="00EA421C"/>
    <w:rsid w:val="00EA4574"/>
    <w:rsid w:val="00EA6A7B"/>
    <w:rsid w:val="00EA7D9D"/>
    <w:rsid w:val="00EB5F8A"/>
    <w:rsid w:val="00EC03BE"/>
    <w:rsid w:val="00EC10EA"/>
    <w:rsid w:val="00EC32EE"/>
    <w:rsid w:val="00EC57D6"/>
    <w:rsid w:val="00EC7207"/>
    <w:rsid w:val="00EC7394"/>
    <w:rsid w:val="00EC7F28"/>
    <w:rsid w:val="00ED158E"/>
    <w:rsid w:val="00ED4168"/>
    <w:rsid w:val="00ED5889"/>
    <w:rsid w:val="00ED591A"/>
    <w:rsid w:val="00EE0806"/>
    <w:rsid w:val="00EE4CF6"/>
    <w:rsid w:val="00EE6669"/>
    <w:rsid w:val="00EE6D25"/>
    <w:rsid w:val="00EE7E6E"/>
    <w:rsid w:val="00EF1EC5"/>
    <w:rsid w:val="00EF299D"/>
    <w:rsid w:val="00EF5D58"/>
    <w:rsid w:val="00EF672E"/>
    <w:rsid w:val="00F04564"/>
    <w:rsid w:val="00F05302"/>
    <w:rsid w:val="00F06812"/>
    <w:rsid w:val="00F071DA"/>
    <w:rsid w:val="00F12BD0"/>
    <w:rsid w:val="00F212CA"/>
    <w:rsid w:val="00F21549"/>
    <w:rsid w:val="00F22F14"/>
    <w:rsid w:val="00F24029"/>
    <w:rsid w:val="00F24273"/>
    <w:rsid w:val="00F2747A"/>
    <w:rsid w:val="00F304EF"/>
    <w:rsid w:val="00F31CA1"/>
    <w:rsid w:val="00F326C9"/>
    <w:rsid w:val="00F326CE"/>
    <w:rsid w:val="00F32C57"/>
    <w:rsid w:val="00F35718"/>
    <w:rsid w:val="00F409C1"/>
    <w:rsid w:val="00F41187"/>
    <w:rsid w:val="00F41E1A"/>
    <w:rsid w:val="00F43D0E"/>
    <w:rsid w:val="00F43F6C"/>
    <w:rsid w:val="00F45E68"/>
    <w:rsid w:val="00F47B15"/>
    <w:rsid w:val="00F545EF"/>
    <w:rsid w:val="00F549BE"/>
    <w:rsid w:val="00F55E33"/>
    <w:rsid w:val="00F567E2"/>
    <w:rsid w:val="00F57C31"/>
    <w:rsid w:val="00F60147"/>
    <w:rsid w:val="00F65156"/>
    <w:rsid w:val="00F66E1B"/>
    <w:rsid w:val="00F66FE5"/>
    <w:rsid w:val="00F70A74"/>
    <w:rsid w:val="00F7118E"/>
    <w:rsid w:val="00F75751"/>
    <w:rsid w:val="00F759C1"/>
    <w:rsid w:val="00F8294E"/>
    <w:rsid w:val="00F8388D"/>
    <w:rsid w:val="00F91FE1"/>
    <w:rsid w:val="00F930F6"/>
    <w:rsid w:val="00F931DB"/>
    <w:rsid w:val="00FA45E3"/>
    <w:rsid w:val="00FA4C4B"/>
    <w:rsid w:val="00FA7397"/>
    <w:rsid w:val="00FB24ED"/>
    <w:rsid w:val="00FB2DCD"/>
    <w:rsid w:val="00FB5533"/>
    <w:rsid w:val="00FB6F03"/>
    <w:rsid w:val="00FC12D6"/>
    <w:rsid w:val="00FC2954"/>
    <w:rsid w:val="00FC42A6"/>
    <w:rsid w:val="00FC4E13"/>
    <w:rsid w:val="00FC639A"/>
    <w:rsid w:val="00FD01CA"/>
    <w:rsid w:val="00FD1641"/>
    <w:rsid w:val="00FD3751"/>
    <w:rsid w:val="00FD51D8"/>
    <w:rsid w:val="00FD6B74"/>
    <w:rsid w:val="00FE12B1"/>
    <w:rsid w:val="00FE625D"/>
    <w:rsid w:val="00FE7254"/>
    <w:rsid w:val="00FF0BCD"/>
    <w:rsid w:val="00FF187C"/>
    <w:rsid w:val="00FF4415"/>
    <w:rsid w:val="00FF5CF4"/>
    <w:rsid w:val="0161D57A"/>
    <w:rsid w:val="0187B876"/>
    <w:rsid w:val="0242521C"/>
    <w:rsid w:val="035D91B3"/>
    <w:rsid w:val="036EAB16"/>
    <w:rsid w:val="03E5D857"/>
    <w:rsid w:val="0411597F"/>
    <w:rsid w:val="05175898"/>
    <w:rsid w:val="06A0D8CF"/>
    <w:rsid w:val="0879C2C3"/>
    <w:rsid w:val="0A22FA7C"/>
    <w:rsid w:val="0B8BA41C"/>
    <w:rsid w:val="0C2FAB6C"/>
    <w:rsid w:val="0CA2C3CC"/>
    <w:rsid w:val="0DBC376B"/>
    <w:rsid w:val="0ECFDBEA"/>
    <w:rsid w:val="0F2DFF10"/>
    <w:rsid w:val="104BF435"/>
    <w:rsid w:val="12C59ED2"/>
    <w:rsid w:val="14D773A8"/>
    <w:rsid w:val="15648222"/>
    <w:rsid w:val="161A47A2"/>
    <w:rsid w:val="16D7EF1A"/>
    <w:rsid w:val="1A6010B3"/>
    <w:rsid w:val="1EAB80BA"/>
    <w:rsid w:val="1F7749D5"/>
    <w:rsid w:val="1F8EE846"/>
    <w:rsid w:val="20B5DC81"/>
    <w:rsid w:val="20FFA904"/>
    <w:rsid w:val="21F19F53"/>
    <w:rsid w:val="25AD6274"/>
    <w:rsid w:val="269637BF"/>
    <w:rsid w:val="2718FE7D"/>
    <w:rsid w:val="29418CB0"/>
    <w:rsid w:val="295213D4"/>
    <w:rsid w:val="2C239232"/>
    <w:rsid w:val="2C9C4664"/>
    <w:rsid w:val="2CBA2D16"/>
    <w:rsid w:val="2CE1AD55"/>
    <w:rsid w:val="2D6C1016"/>
    <w:rsid w:val="2EDD5153"/>
    <w:rsid w:val="2F11B8C3"/>
    <w:rsid w:val="2FE10101"/>
    <w:rsid w:val="302CF70A"/>
    <w:rsid w:val="3114DAE0"/>
    <w:rsid w:val="312594C6"/>
    <w:rsid w:val="316DABEB"/>
    <w:rsid w:val="323F8139"/>
    <w:rsid w:val="3250E8AC"/>
    <w:rsid w:val="357D5926"/>
    <w:rsid w:val="35ED4FA4"/>
    <w:rsid w:val="36A91F9E"/>
    <w:rsid w:val="37357142"/>
    <w:rsid w:val="378A9F6A"/>
    <w:rsid w:val="3922BE47"/>
    <w:rsid w:val="3937B379"/>
    <w:rsid w:val="39D0784F"/>
    <w:rsid w:val="3B3F86CB"/>
    <w:rsid w:val="3B4DCA80"/>
    <w:rsid w:val="3BB8CE85"/>
    <w:rsid w:val="3C773F3A"/>
    <w:rsid w:val="3E75F6D3"/>
    <w:rsid w:val="3EB1AAAD"/>
    <w:rsid w:val="3EF8B526"/>
    <w:rsid w:val="3F164357"/>
    <w:rsid w:val="3FF4CF64"/>
    <w:rsid w:val="40744006"/>
    <w:rsid w:val="411F72FE"/>
    <w:rsid w:val="411F74E2"/>
    <w:rsid w:val="414C2577"/>
    <w:rsid w:val="42F9848C"/>
    <w:rsid w:val="42F98632"/>
    <w:rsid w:val="43D1A6BA"/>
    <w:rsid w:val="4419D94E"/>
    <w:rsid w:val="4482A7C8"/>
    <w:rsid w:val="45F4638A"/>
    <w:rsid w:val="46B97D34"/>
    <w:rsid w:val="47E1DCDE"/>
    <w:rsid w:val="47EE5EC8"/>
    <w:rsid w:val="481F72C6"/>
    <w:rsid w:val="48FD4927"/>
    <w:rsid w:val="4904A5F1"/>
    <w:rsid w:val="49F83CA4"/>
    <w:rsid w:val="4A5B5AB9"/>
    <w:rsid w:val="4B7CDE3D"/>
    <w:rsid w:val="4BD44F24"/>
    <w:rsid w:val="4C85C691"/>
    <w:rsid w:val="4D493203"/>
    <w:rsid w:val="4EA37C92"/>
    <w:rsid w:val="4EB6BA3F"/>
    <w:rsid w:val="5112C08A"/>
    <w:rsid w:val="512B9E57"/>
    <w:rsid w:val="513F19C9"/>
    <w:rsid w:val="527F3DC7"/>
    <w:rsid w:val="53CA7002"/>
    <w:rsid w:val="562B79E7"/>
    <w:rsid w:val="566D5039"/>
    <w:rsid w:val="571BE96C"/>
    <w:rsid w:val="57C914CA"/>
    <w:rsid w:val="5823843A"/>
    <w:rsid w:val="5A136CE7"/>
    <w:rsid w:val="5A3D49DC"/>
    <w:rsid w:val="5A95B96C"/>
    <w:rsid w:val="5AC3467A"/>
    <w:rsid w:val="5B6E5ACE"/>
    <w:rsid w:val="5BEE6921"/>
    <w:rsid w:val="5C6F4CE4"/>
    <w:rsid w:val="5D407D35"/>
    <w:rsid w:val="600C1C4A"/>
    <w:rsid w:val="60224628"/>
    <w:rsid w:val="61085E36"/>
    <w:rsid w:val="62C72026"/>
    <w:rsid w:val="63D1D961"/>
    <w:rsid w:val="649F18FF"/>
    <w:rsid w:val="651FFC22"/>
    <w:rsid w:val="671D19AE"/>
    <w:rsid w:val="68679EEF"/>
    <w:rsid w:val="68F4E630"/>
    <w:rsid w:val="6925969B"/>
    <w:rsid w:val="694F8E51"/>
    <w:rsid w:val="69C76206"/>
    <w:rsid w:val="69E525D3"/>
    <w:rsid w:val="6A6A88CE"/>
    <w:rsid w:val="6B41F19E"/>
    <w:rsid w:val="6B63BEAE"/>
    <w:rsid w:val="6CC40164"/>
    <w:rsid w:val="6D05E979"/>
    <w:rsid w:val="6E6BAAF4"/>
    <w:rsid w:val="6EF97F23"/>
    <w:rsid w:val="6F51BE89"/>
    <w:rsid w:val="7118C660"/>
    <w:rsid w:val="712D06C0"/>
    <w:rsid w:val="7136474C"/>
    <w:rsid w:val="71980AC5"/>
    <w:rsid w:val="73BC9E90"/>
    <w:rsid w:val="746275F1"/>
    <w:rsid w:val="74C197DE"/>
    <w:rsid w:val="75652413"/>
    <w:rsid w:val="7573E9C2"/>
    <w:rsid w:val="76BA40C8"/>
    <w:rsid w:val="7770123F"/>
    <w:rsid w:val="786D1FB6"/>
    <w:rsid w:val="78BA9E44"/>
    <w:rsid w:val="7C209A51"/>
    <w:rsid w:val="7C5CE89E"/>
    <w:rsid w:val="7DA0C8D2"/>
    <w:rsid w:val="7DC82E2C"/>
    <w:rsid w:val="7E22E588"/>
    <w:rsid w:val="7F11A989"/>
    <w:rsid w:val="7F77A668"/>
    <w:rsid w:val="7F878FE4"/>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iPriority w:val="99"/>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uiPriority w:val="99"/>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uiPriority w:val="99"/>
    <w:unhideWhenUsed/>
    <w:qFormat/>
    <w:rsid w:val="00FE7254"/>
    <w:rPr>
      <w:vertAlign w:val="superscript"/>
    </w:rPr>
  </w:style>
  <w:style w:type="character" w:styleId="UnresolvedMention">
    <w:name w:val="Unresolved Mention"/>
    <w:basedOn w:val="DefaultParagraphFont"/>
    <w:uiPriority w:val="99"/>
    <w:semiHidden/>
    <w:unhideWhenUsed/>
    <w:rsid w:val="003A49D8"/>
    <w:rPr>
      <w:color w:val="605E5C"/>
      <w:shd w:val="clear" w:color="auto" w:fill="E1DFDD"/>
    </w:rPr>
  </w:style>
  <w:style w:type="paragraph" w:customStyle="1" w:styleId="Naslov310">
    <w:name w:val="Naslov 310"/>
    <w:basedOn w:val="Normal"/>
    <w:qFormat/>
    <w:rsid w:val="00120162"/>
    <w:rPr>
      <w:b/>
    </w:rPr>
  </w:style>
  <w:style w:type="character" w:styleId="CommentReference">
    <w:name w:val="annotation reference"/>
    <w:basedOn w:val="DefaultParagraphFont"/>
    <w:uiPriority w:val="99"/>
    <w:semiHidden/>
    <w:unhideWhenUsed/>
    <w:rsid w:val="002B67C9"/>
    <w:rPr>
      <w:sz w:val="16"/>
      <w:szCs w:val="16"/>
    </w:rPr>
  </w:style>
  <w:style w:type="paragraph" w:styleId="CommentText">
    <w:name w:val="annotation text"/>
    <w:basedOn w:val="Normal"/>
    <w:link w:val="CommentTextChar"/>
    <w:uiPriority w:val="99"/>
    <w:semiHidden/>
    <w:unhideWhenUsed/>
    <w:rsid w:val="002B67C9"/>
    <w:pPr>
      <w:spacing w:line="240" w:lineRule="auto"/>
    </w:pPr>
    <w:rPr>
      <w:szCs w:val="20"/>
    </w:rPr>
  </w:style>
  <w:style w:type="character" w:customStyle="1" w:styleId="CommentTextChar">
    <w:name w:val="Comment Text Char"/>
    <w:basedOn w:val="DefaultParagraphFont"/>
    <w:link w:val="CommentText"/>
    <w:uiPriority w:val="99"/>
    <w:semiHidden/>
    <w:rsid w:val="002B67C9"/>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B67C9"/>
    <w:rPr>
      <w:b/>
      <w:bCs/>
    </w:rPr>
  </w:style>
  <w:style w:type="character" w:customStyle="1" w:styleId="CommentSubjectChar">
    <w:name w:val="Comment Subject Char"/>
    <w:basedOn w:val="CommentTextChar"/>
    <w:link w:val="CommentSubject"/>
    <w:uiPriority w:val="99"/>
    <w:semiHidden/>
    <w:rsid w:val="002B67C9"/>
    <w:rPr>
      <w:rFonts w:ascii="Myriad Pro" w:hAnsi="Myriad Pro"/>
      <w:b/>
      <w:bCs/>
      <w:sz w:val="20"/>
      <w:szCs w:val="20"/>
    </w:rPr>
  </w:style>
  <w:style w:type="paragraph" w:styleId="Revision">
    <w:name w:val="Revision"/>
    <w:hidden/>
    <w:uiPriority w:val="99"/>
    <w:semiHidden/>
    <w:rsid w:val="003D0FA7"/>
    <w:pPr>
      <w:spacing w:after="0" w:line="240" w:lineRule="auto"/>
    </w:pPr>
    <w:rPr>
      <w:rFonts w:ascii="Myriad Pro" w:hAnsi="Myriad Pro"/>
      <w:sz w:val="20"/>
    </w:rPr>
  </w:style>
  <w:style w:type="character" w:styleId="EndnoteReference">
    <w:name w:val="endnote reference"/>
    <w:basedOn w:val="DefaultParagraphFont"/>
    <w:uiPriority w:val="99"/>
    <w:semiHidden/>
    <w:unhideWhenUsed/>
    <w:rsid w:val="000C5DFC"/>
    <w:rPr>
      <w:vertAlign w:val="superscript"/>
    </w:rPr>
  </w:style>
  <w:style w:type="paragraph" w:customStyle="1" w:styleId="Naslov32">
    <w:name w:val="Naslov 32"/>
    <w:basedOn w:val="Normal"/>
    <w:qFormat/>
    <w:rsid w:val="0078321F"/>
    <w:rPr>
      <w:b/>
    </w:rPr>
  </w:style>
  <w:style w:type="character" w:styleId="Strong">
    <w:name w:val="Strong"/>
    <w:basedOn w:val="DefaultParagraphFont"/>
    <w:uiPriority w:val="22"/>
    <w:qFormat/>
    <w:rsid w:val="00BA0F00"/>
    <w:rPr>
      <w:b/>
      <w:bCs/>
    </w:rPr>
  </w:style>
  <w:style w:type="character" w:customStyle="1" w:styleId="normaltextrun">
    <w:name w:val="normaltextrun"/>
    <w:basedOn w:val="DefaultParagraphFont"/>
    <w:rsid w:val="00670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ED720-CCF5-4408-8C03-6E46BB8C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2023-10-24T11:21:00Z</dcterms:created>
  <dcterms:modified xsi:type="dcterms:W3CDTF">2023-10-24T11:21:00Z</dcterms:modified>
</cp:coreProperties>
</file>