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950F05" w14:textId="47D70E9F" w:rsidR="001D6793" w:rsidRPr="000E78BA" w:rsidRDefault="004B235F" w:rsidP="001D6793">
      <w:pPr>
        <w:pStyle w:val="Naslov11"/>
      </w:pPr>
      <w:r w:rsidRPr="000E78BA">
        <w:t>CHARTS OF THE WEEK</w:t>
      </w:r>
    </w:p>
    <w:p w14:paraId="636DFC9E" w14:textId="60A8EAB3" w:rsidR="001D6793" w:rsidRPr="000E78BA" w:rsidRDefault="006921EB" w:rsidP="001D6793">
      <w:pPr>
        <w:pStyle w:val="Naslov21"/>
      </w:pPr>
      <w:r>
        <w:t>23 October</w:t>
      </w:r>
      <w:r w:rsidR="00803C56" w:rsidRPr="000E78BA">
        <w:t>–</w:t>
      </w:r>
      <w:r w:rsidR="005E0019">
        <w:t>3</w:t>
      </w:r>
      <w:r w:rsidR="00803C56" w:rsidRPr="000E78BA">
        <w:t xml:space="preserve"> </w:t>
      </w:r>
      <w:r>
        <w:t>November</w:t>
      </w:r>
      <w:r w:rsidR="00803C56" w:rsidRPr="000E78BA">
        <w:t xml:space="preserve"> 2023 </w:t>
      </w:r>
    </w:p>
    <w:p w14:paraId="0D813662" w14:textId="62600A0A" w:rsidR="00DF4F0B" w:rsidRPr="000E78BA" w:rsidRDefault="00DF4F0B"/>
    <w:p w14:paraId="196DFF85" w14:textId="77777777" w:rsidR="00916FC4" w:rsidRPr="000E78BA" w:rsidRDefault="00916FC4"/>
    <w:p w14:paraId="221E5A4A" w14:textId="4DB8F114" w:rsidR="002E5FE3" w:rsidRPr="002E5FE3" w:rsidRDefault="002E5FE3" w:rsidP="00AD1100">
      <w:r w:rsidRPr="002E5FE3">
        <w:t xml:space="preserve">Year-on-year growth in consumer prices fell slightly in October. This was mainly due to the continued moderation of price increases of food and non-alcoholic beverages, which remain the largest contributors to inflation. The value of the economic sentiment indicator fell slightly in October, mainly due to lower confidence in manufacturing, retail trade and construction. The nominal value of fiscally verified invoices was higher year-on-year in the second half of October, but growth halved compared to the previous two-week periods, also due to the different timing of holidays. Real turnover continued to fall in most trade sectors in August and, according to preliminary data, also in September, while it remained unchanged in market service activities in August. Real exports and imports of goods fell in the third quarter compared to the second quarter. Lower demand from Slovenia’s main trading partners and lower import demand in Slovenia remain the main reasons for the decline in trade in goods. The year-on-year growth of the average gross wage strengthened slightly in August; it was higher in the public sector, mainly due to the last year’s agreement on wage increases. </w:t>
      </w:r>
    </w:p>
    <w:p w14:paraId="06769715" w14:textId="0291CF5E" w:rsidR="005C1C2A" w:rsidRPr="005C1C2A" w:rsidRDefault="005C1C2A" w:rsidP="005C1C2A">
      <w:pPr>
        <w:spacing w:line="240" w:lineRule="atLeast"/>
      </w:pPr>
    </w:p>
    <w:p w14:paraId="15A04D35" w14:textId="77777777" w:rsidR="003D697A" w:rsidRPr="000E78BA" w:rsidRDefault="003D697A" w:rsidP="00670EF5">
      <w:pPr>
        <w:tabs>
          <w:tab w:val="left" w:pos="580"/>
        </w:tabs>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982"/>
        <w:gridCol w:w="688"/>
        <w:gridCol w:w="3969"/>
      </w:tblGrid>
      <w:tr w:rsidR="003D697A" w:rsidRPr="00D86A89" w14:paraId="3F7A6C80" w14:textId="77777777" w:rsidTr="0052634B">
        <w:trPr>
          <w:trHeight w:val="207"/>
        </w:trPr>
        <w:tc>
          <w:tcPr>
            <w:tcW w:w="5670" w:type="dxa"/>
            <w:gridSpan w:val="2"/>
            <w:tcBorders>
              <w:bottom w:val="single" w:sz="4" w:space="0" w:color="auto"/>
            </w:tcBorders>
            <w:tcMar>
              <w:left w:w="0" w:type="dxa"/>
            </w:tcMar>
          </w:tcPr>
          <w:p w14:paraId="56EAD510" w14:textId="3A7D6E7F" w:rsidR="003D697A" w:rsidRPr="00D86A89" w:rsidRDefault="002E5FE3" w:rsidP="0052634B">
            <w:pPr>
              <w:pStyle w:val="Naslov31"/>
              <w:jc w:val="left"/>
              <w:rPr>
                <w:lang w:val="en-US"/>
              </w:rPr>
            </w:pPr>
            <w:r w:rsidRPr="002E5FE3">
              <w:rPr>
                <w:bCs/>
              </w:rPr>
              <w:t xml:space="preserve">Consumer prices, October 2023 </w:t>
            </w:r>
          </w:p>
        </w:tc>
        <w:tc>
          <w:tcPr>
            <w:tcW w:w="3969" w:type="dxa"/>
            <w:tcBorders>
              <w:bottom w:val="single" w:sz="4" w:space="0" w:color="auto"/>
            </w:tcBorders>
          </w:tcPr>
          <w:p w14:paraId="09FCBA0E" w14:textId="77777777" w:rsidR="003D697A" w:rsidRPr="00D86A89" w:rsidRDefault="003D697A" w:rsidP="0052634B">
            <w:pPr>
              <w:pStyle w:val="Naslov31"/>
              <w:rPr>
                <w:lang w:val="en-US"/>
              </w:rPr>
            </w:pPr>
          </w:p>
        </w:tc>
      </w:tr>
      <w:tr w:rsidR="003D697A" w:rsidRPr="000E78BA" w14:paraId="4393DA21" w14:textId="77777777" w:rsidTr="0052634B">
        <w:trPr>
          <w:trHeight w:val="1134"/>
        </w:trPr>
        <w:tc>
          <w:tcPr>
            <w:tcW w:w="4982" w:type="dxa"/>
            <w:tcBorders>
              <w:top w:val="single" w:sz="4" w:space="0" w:color="auto"/>
            </w:tcBorders>
            <w:tcMar>
              <w:left w:w="0" w:type="dxa"/>
            </w:tcMar>
          </w:tcPr>
          <w:p w14:paraId="56A133EE" w14:textId="3FC12B32" w:rsidR="003D697A" w:rsidRPr="005E0019" w:rsidRDefault="005B3642" w:rsidP="0052634B">
            <w:pPr>
              <w:pStyle w:val="ListParagraph"/>
              <w:ind w:left="0"/>
              <w:rPr>
                <w:lang w:val="en-US"/>
              </w:rPr>
            </w:pPr>
            <w:r>
              <w:rPr>
                <w:noProof/>
                <w:lang w:val="en-US"/>
              </w:rPr>
              <w:drawing>
                <wp:inline distT="0" distB="0" distL="0" distR="0" wp14:anchorId="02648178" wp14:editId="554B2243">
                  <wp:extent cx="3171825" cy="259226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88846" cy="2606180"/>
                          </a:xfrm>
                          <a:prstGeom prst="rect">
                            <a:avLst/>
                          </a:prstGeom>
                          <a:noFill/>
                        </pic:spPr>
                      </pic:pic>
                    </a:graphicData>
                  </a:graphic>
                </wp:inline>
              </w:drawing>
            </w:r>
          </w:p>
        </w:tc>
        <w:tc>
          <w:tcPr>
            <w:tcW w:w="4657" w:type="dxa"/>
            <w:gridSpan w:val="2"/>
            <w:tcBorders>
              <w:top w:val="single" w:sz="4" w:space="0" w:color="auto"/>
            </w:tcBorders>
            <w:tcMar>
              <w:left w:w="284" w:type="dxa"/>
            </w:tcMar>
          </w:tcPr>
          <w:p w14:paraId="03C0096B" w14:textId="41E9A0FC" w:rsidR="002E5FE3" w:rsidRPr="002E5FE3" w:rsidRDefault="002E5FE3" w:rsidP="002E5FE3">
            <w:pPr>
              <w:rPr>
                <w:b/>
                <w:bCs/>
              </w:rPr>
            </w:pPr>
            <w:r w:rsidRPr="002E5FE3">
              <w:rPr>
                <w:b/>
                <w:bCs/>
              </w:rPr>
              <w:t xml:space="preserve">The year-on-year increase in consumer prices slowed slightly in October (to 6.9%). </w:t>
            </w:r>
            <w:r w:rsidRPr="002E5FE3">
              <w:rPr>
                <w:b/>
                <w:bCs/>
              </w:rPr>
              <w:br/>
            </w:r>
            <w:r w:rsidRPr="002E5FE3">
              <w:rPr>
                <w:bCs/>
              </w:rPr>
              <w:t>This was mainly due to the continued moderation of price increases in the group food and non-alcoholic beverages, which remains the largest contributor to inflation among the ECOICOP</w:t>
            </w:r>
            <w:r w:rsidRPr="002E5FE3">
              <w:rPr>
                <w:bCs/>
                <w:vertAlign w:val="superscript"/>
              </w:rPr>
              <w:footnoteReference w:id="2"/>
            </w:r>
            <w:r w:rsidRPr="002E5FE3">
              <w:rPr>
                <w:bCs/>
              </w:rPr>
              <w:t xml:space="preserve"> groups (1.3 p.p.</w:t>
            </w:r>
            <w:bookmarkStart w:id="0" w:name="_Int_iTNe7FpC"/>
            <w:r w:rsidRPr="002E5FE3">
              <w:rPr>
                <w:bCs/>
              </w:rPr>
              <w:t>).</w:t>
            </w:r>
            <w:r w:rsidRPr="002E5FE3">
              <w:rPr>
                <w:bCs/>
                <w:vertAlign w:val="superscript"/>
              </w:rPr>
              <w:footnoteReference w:id="3"/>
            </w:r>
            <w:bookmarkEnd w:id="0"/>
            <w:r w:rsidRPr="002E5FE3">
              <w:rPr>
                <w:bCs/>
              </w:rPr>
              <w:t xml:space="preserve"> After the year-on-year price increase in this group had reached almost 20% at the beginning of the year, it fell to 7.3% by October. The slowdown in price growth in the group clothing and footwear (2.7%), where year-on-year growth has weakened significantly in the last two months, with the seasonal increase being slightly less pronounced than in the same period last year, has also contributed significantly to the downward trend in inflation. This has also slowed the year-on-year increase in semi-durable goods prices, which at 3.2% reached its lowest level since July last year, and growth in the prices of durable goods (0.4%) has also continued to weaken. Services price growth remains high, at just over 8%. Year-on-year price growth rates remain high in the groups health (11.4%) and restaurants and hotels (9.1%).</w:t>
            </w:r>
          </w:p>
          <w:p w14:paraId="01520B9B" w14:textId="060A0B44" w:rsidR="003D697A" w:rsidRPr="000E78BA" w:rsidRDefault="003D697A" w:rsidP="006921EB"/>
        </w:tc>
      </w:tr>
    </w:tbl>
    <w:p w14:paraId="122380CA" w14:textId="77777777" w:rsidR="00403EF8" w:rsidRDefault="00403EF8" w:rsidP="00670EF5">
      <w:pPr>
        <w:spacing w:after="160" w:line="259" w:lineRule="auto"/>
        <w:jc w:val="left"/>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982"/>
        <w:gridCol w:w="688"/>
        <w:gridCol w:w="3969"/>
      </w:tblGrid>
      <w:tr w:rsidR="007F0DED" w:rsidRPr="006D11B5" w14:paraId="69C84140" w14:textId="77777777" w:rsidTr="0052634B">
        <w:trPr>
          <w:trHeight w:val="207"/>
        </w:trPr>
        <w:tc>
          <w:tcPr>
            <w:tcW w:w="5670" w:type="dxa"/>
            <w:gridSpan w:val="2"/>
            <w:tcBorders>
              <w:bottom w:val="single" w:sz="4" w:space="0" w:color="auto"/>
            </w:tcBorders>
            <w:tcMar>
              <w:left w:w="0" w:type="dxa"/>
            </w:tcMar>
          </w:tcPr>
          <w:p w14:paraId="14C54EF1" w14:textId="499949C7" w:rsidR="007F0DED" w:rsidRPr="007F0DED" w:rsidRDefault="002E5FE3" w:rsidP="007F0DED">
            <w:pPr>
              <w:pStyle w:val="Naslov31"/>
              <w:jc w:val="left"/>
              <w:rPr>
                <w:lang w:val="en-US"/>
              </w:rPr>
            </w:pPr>
            <w:r w:rsidRPr="002E5FE3">
              <w:rPr>
                <w:bCs/>
              </w:rPr>
              <w:lastRenderedPageBreak/>
              <w:t xml:space="preserve">Economic sentiment, October 2023 </w:t>
            </w:r>
          </w:p>
        </w:tc>
        <w:tc>
          <w:tcPr>
            <w:tcW w:w="3969" w:type="dxa"/>
            <w:tcBorders>
              <w:bottom w:val="single" w:sz="4" w:space="0" w:color="auto"/>
            </w:tcBorders>
          </w:tcPr>
          <w:p w14:paraId="70723E2D" w14:textId="77777777" w:rsidR="007F0DED" w:rsidRPr="007F0DED" w:rsidRDefault="007F0DED" w:rsidP="007F0DED">
            <w:pPr>
              <w:pStyle w:val="Naslov31"/>
              <w:rPr>
                <w:lang w:val="en-US"/>
              </w:rPr>
            </w:pPr>
          </w:p>
        </w:tc>
      </w:tr>
      <w:tr w:rsidR="007F0DED" w:rsidRPr="000E78BA" w14:paraId="56045B52" w14:textId="77777777" w:rsidTr="0052634B">
        <w:trPr>
          <w:trHeight w:val="1134"/>
        </w:trPr>
        <w:tc>
          <w:tcPr>
            <w:tcW w:w="4982" w:type="dxa"/>
            <w:tcBorders>
              <w:top w:val="single" w:sz="4" w:space="0" w:color="auto"/>
            </w:tcBorders>
            <w:tcMar>
              <w:left w:w="0" w:type="dxa"/>
            </w:tcMar>
          </w:tcPr>
          <w:p w14:paraId="427C2CA9" w14:textId="0D73B545" w:rsidR="007F0DED" w:rsidRPr="006921EB" w:rsidRDefault="00E4350C" w:rsidP="007F0DED">
            <w:pPr>
              <w:pStyle w:val="ListParagraph"/>
              <w:ind w:left="0"/>
            </w:pPr>
            <w:r>
              <w:rPr>
                <w:noProof/>
              </w:rPr>
              <w:drawing>
                <wp:inline distT="0" distB="0" distL="0" distR="0" wp14:anchorId="2D6D900A" wp14:editId="2AFDCE51">
                  <wp:extent cx="3164400" cy="244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64400" cy="2444400"/>
                          </a:xfrm>
                          <a:prstGeom prst="rect">
                            <a:avLst/>
                          </a:prstGeom>
                          <a:noFill/>
                        </pic:spPr>
                      </pic:pic>
                    </a:graphicData>
                  </a:graphic>
                </wp:inline>
              </w:drawing>
            </w:r>
          </w:p>
        </w:tc>
        <w:tc>
          <w:tcPr>
            <w:tcW w:w="4657" w:type="dxa"/>
            <w:gridSpan w:val="2"/>
            <w:tcBorders>
              <w:top w:val="single" w:sz="4" w:space="0" w:color="auto"/>
            </w:tcBorders>
            <w:tcMar>
              <w:left w:w="284" w:type="dxa"/>
            </w:tcMar>
          </w:tcPr>
          <w:p w14:paraId="3E6C818A" w14:textId="58FE0B05" w:rsidR="002E5FE3" w:rsidRPr="002E5FE3" w:rsidRDefault="002E5FE3" w:rsidP="002E5FE3">
            <w:pPr>
              <w:rPr>
                <w:bCs/>
              </w:rPr>
            </w:pPr>
            <w:r w:rsidRPr="002E5FE3">
              <w:rPr>
                <w:b/>
                <w:bCs/>
              </w:rPr>
              <w:t xml:space="preserve">In October, the value of the sentiment indicator deteriorated slightly. </w:t>
            </w:r>
            <w:r w:rsidRPr="002E5FE3">
              <w:rPr>
                <w:bCs/>
              </w:rPr>
              <w:t xml:space="preserve">Month-on-month, confidence fell in manufacturing, retail trade and construction, while it rose in services. Consumer confidence remained at a similar level to the previous month and higher than in October last year, but still well below the long-term average. In retail trade, the indicator remained above the long-term average and was also higher year-on-year. In other activities, however, confidence was lower than a year ago, particularly in construction, which is also due to the labour shortage. </w:t>
            </w:r>
          </w:p>
          <w:p w14:paraId="37A9087E" w14:textId="58AD5E73" w:rsidR="005C1C2A" w:rsidRPr="005C1C2A" w:rsidRDefault="005C1C2A" w:rsidP="005C1C2A">
            <w:pPr>
              <w:rPr>
                <w:b/>
                <w:bCs/>
              </w:rPr>
            </w:pPr>
          </w:p>
          <w:p w14:paraId="26B8948B" w14:textId="77777777" w:rsidR="005E0019" w:rsidRDefault="005E0019" w:rsidP="007F0DED"/>
          <w:p w14:paraId="30CA2543" w14:textId="02EC51A7" w:rsidR="005E0019" w:rsidRPr="000E78BA" w:rsidRDefault="005E0019" w:rsidP="007F0DED"/>
        </w:tc>
      </w:tr>
    </w:tbl>
    <w:p w14:paraId="68B3F83F" w14:textId="77777777" w:rsidR="006921EB" w:rsidRPr="000E78BA" w:rsidRDefault="006921EB" w:rsidP="00670EF5">
      <w:pPr>
        <w:spacing w:after="160" w:line="259" w:lineRule="auto"/>
        <w:jc w:val="left"/>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982"/>
        <w:gridCol w:w="2531"/>
        <w:gridCol w:w="2126"/>
      </w:tblGrid>
      <w:tr w:rsidR="00670EF5" w:rsidRPr="006D11B5" w14:paraId="03F9EEB0" w14:textId="77777777" w:rsidTr="00AD1100">
        <w:trPr>
          <w:trHeight w:val="207"/>
        </w:trPr>
        <w:tc>
          <w:tcPr>
            <w:tcW w:w="7513" w:type="dxa"/>
            <w:gridSpan w:val="2"/>
            <w:tcBorders>
              <w:bottom w:val="single" w:sz="4" w:space="0" w:color="auto"/>
            </w:tcBorders>
            <w:tcMar>
              <w:left w:w="0" w:type="dxa"/>
            </w:tcMar>
          </w:tcPr>
          <w:p w14:paraId="51776FA5" w14:textId="09FDAABB" w:rsidR="00670EF5" w:rsidRPr="00D86A89" w:rsidRDefault="002E5FE3" w:rsidP="00B63889">
            <w:pPr>
              <w:pStyle w:val="Naslov31"/>
              <w:jc w:val="left"/>
              <w:rPr>
                <w:lang w:val="en-US"/>
              </w:rPr>
            </w:pPr>
            <w:r w:rsidRPr="002E5FE3">
              <w:t xml:space="preserve">Value of fiscally verified invoices, in nominal terms, 15–28 October 2023 </w:t>
            </w:r>
          </w:p>
        </w:tc>
        <w:tc>
          <w:tcPr>
            <w:tcW w:w="2126" w:type="dxa"/>
            <w:tcBorders>
              <w:bottom w:val="single" w:sz="4" w:space="0" w:color="auto"/>
            </w:tcBorders>
          </w:tcPr>
          <w:p w14:paraId="6E02FEE8" w14:textId="77777777" w:rsidR="00670EF5" w:rsidRPr="00D86A89" w:rsidRDefault="00670EF5" w:rsidP="00B63889">
            <w:pPr>
              <w:pStyle w:val="Naslov31"/>
              <w:rPr>
                <w:lang w:val="en-US"/>
              </w:rPr>
            </w:pPr>
          </w:p>
        </w:tc>
      </w:tr>
      <w:tr w:rsidR="00670EF5" w:rsidRPr="000E78BA" w14:paraId="6EDC14CB" w14:textId="77777777" w:rsidTr="6EF97F23">
        <w:trPr>
          <w:trHeight w:val="1134"/>
        </w:trPr>
        <w:tc>
          <w:tcPr>
            <w:tcW w:w="4982" w:type="dxa"/>
            <w:tcBorders>
              <w:top w:val="single" w:sz="4" w:space="0" w:color="auto"/>
            </w:tcBorders>
            <w:tcMar>
              <w:left w:w="0" w:type="dxa"/>
            </w:tcMar>
          </w:tcPr>
          <w:p w14:paraId="264698B3" w14:textId="427E08F9" w:rsidR="00670EF5" w:rsidRPr="00A41697" w:rsidRDefault="000A36D3" w:rsidP="00B63889">
            <w:pPr>
              <w:pStyle w:val="ListParagraph"/>
              <w:ind w:left="0"/>
              <w:rPr>
                <w:lang w:val="en-US"/>
              </w:rPr>
            </w:pPr>
            <w:r>
              <w:rPr>
                <w:noProof/>
                <w:lang w:val="en-US"/>
              </w:rPr>
              <w:drawing>
                <wp:inline distT="0" distB="0" distL="0" distR="0" wp14:anchorId="0C65EB16" wp14:editId="782B070E">
                  <wp:extent cx="3006000" cy="2458800"/>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06000" cy="2458800"/>
                          </a:xfrm>
                          <a:prstGeom prst="rect">
                            <a:avLst/>
                          </a:prstGeom>
                          <a:noFill/>
                        </pic:spPr>
                      </pic:pic>
                    </a:graphicData>
                  </a:graphic>
                </wp:inline>
              </w:drawing>
            </w:r>
          </w:p>
        </w:tc>
        <w:tc>
          <w:tcPr>
            <w:tcW w:w="4657" w:type="dxa"/>
            <w:gridSpan w:val="2"/>
            <w:tcBorders>
              <w:top w:val="single" w:sz="4" w:space="0" w:color="auto"/>
            </w:tcBorders>
            <w:tcMar>
              <w:left w:w="284" w:type="dxa"/>
            </w:tcMar>
          </w:tcPr>
          <w:p w14:paraId="236C5EBD" w14:textId="47CD46AF" w:rsidR="002E5FE3" w:rsidRPr="002E5FE3" w:rsidRDefault="002E5FE3" w:rsidP="002E5FE3">
            <w:pPr>
              <w:rPr>
                <w:bCs/>
              </w:rPr>
            </w:pPr>
            <w:r w:rsidRPr="002E5FE3">
              <w:rPr>
                <w:b/>
                <w:bCs/>
              </w:rPr>
              <w:t xml:space="preserve">The nominal value of fiscally verified invoices between 15 and 28 October was 4% higher year-on-year. </w:t>
            </w:r>
            <w:r w:rsidRPr="002E5FE3">
              <w:rPr>
                <w:bCs/>
              </w:rPr>
              <w:t>The half lower turnover growth compared to the three previous two-week periods was also due to the difference in the timing of the last working day before the holidays this year and last year (30 October this year). Growth of turnover in trade, which accounted for almost 80% of the total value of fiscally verified invoices, fell by half (to 3%). An even more significant slowdown in year-on-year turnover growth was recorded in accommodation and food service activities (from 20% to 5%) and in certain creative, arts, entertainment, and sports services and betting and gambling (total growth in other service activities</w:t>
            </w:r>
            <w:r w:rsidRPr="002E5FE3">
              <w:rPr>
                <w:bCs/>
                <w:vertAlign w:val="superscript"/>
              </w:rPr>
              <w:footnoteReference w:id="4"/>
            </w:r>
            <w:r w:rsidRPr="002E5FE3">
              <w:rPr>
                <w:bCs/>
              </w:rPr>
              <w:t xml:space="preserve"> fell from 26% to 2%). </w:t>
            </w:r>
          </w:p>
          <w:p w14:paraId="4140999F" w14:textId="5C9A56CE" w:rsidR="005C1C2A" w:rsidRPr="005C1C2A" w:rsidRDefault="005C1C2A" w:rsidP="006921EB">
            <w:pPr>
              <w:rPr>
                <w:bCs/>
              </w:rPr>
            </w:pPr>
          </w:p>
          <w:p w14:paraId="483DCBEB" w14:textId="64E33AB9" w:rsidR="00D86A89" w:rsidRPr="00D86A89" w:rsidRDefault="00D86A89" w:rsidP="00D86A89">
            <w:pPr>
              <w:rPr>
                <w:b/>
                <w:bCs/>
              </w:rPr>
            </w:pPr>
          </w:p>
          <w:p w14:paraId="7D5CDECB" w14:textId="6B27D47E" w:rsidR="00670EF5" w:rsidRPr="000E78BA" w:rsidRDefault="00670EF5" w:rsidP="00B63889"/>
        </w:tc>
      </w:tr>
    </w:tbl>
    <w:p w14:paraId="0C16A41D" w14:textId="3D5B8225" w:rsidR="00670EF5" w:rsidRDefault="00670EF5" w:rsidP="00670EF5">
      <w:pPr>
        <w:spacing w:after="160" w:line="259" w:lineRule="auto"/>
        <w:jc w:val="left"/>
      </w:pPr>
    </w:p>
    <w:p w14:paraId="714AC4CA" w14:textId="5A40631E" w:rsidR="0003025F" w:rsidRDefault="0003025F" w:rsidP="00670EF5">
      <w:pPr>
        <w:spacing w:after="160" w:line="259" w:lineRule="auto"/>
        <w:jc w:val="left"/>
      </w:pPr>
    </w:p>
    <w:p w14:paraId="6BD765A1" w14:textId="640BCAED" w:rsidR="005E0019" w:rsidRDefault="005E0019" w:rsidP="00670EF5">
      <w:pPr>
        <w:spacing w:after="160" w:line="259" w:lineRule="auto"/>
        <w:jc w:val="left"/>
      </w:pPr>
    </w:p>
    <w:p w14:paraId="3374C542" w14:textId="21C042AE" w:rsidR="006921EB" w:rsidRDefault="006921EB" w:rsidP="00670EF5">
      <w:pPr>
        <w:spacing w:after="160" w:line="259" w:lineRule="auto"/>
        <w:jc w:val="left"/>
      </w:pPr>
    </w:p>
    <w:p w14:paraId="67CACE8C" w14:textId="6A62B9AF" w:rsidR="006921EB" w:rsidRDefault="006921EB" w:rsidP="00670EF5">
      <w:pPr>
        <w:spacing w:after="160" w:line="259" w:lineRule="auto"/>
        <w:jc w:val="left"/>
      </w:pPr>
    </w:p>
    <w:p w14:paraId="0735C380" w14:textId="291D8E4D" w:rsidR="005E0019" w:rsidRDefault="005E0019" w:rsidP="00670EF5">
      <w:pPr>
        <w:spacing w:after="160" w:line="259" w:lineRule="auto"/>
        <w:jc w:val="left"/>
      </w:pPr>
    </w:p>
    <w:p w14:paraId="6DE8FAEF" w14:textId="44948F33" w:rsidR="002E5FE3" w:rsidRDefault="002E5FE3" w:rsidP="00670EF5">
      <w:pPr>
        <w:spacing w:after="160" w:line="259" w:lineRule="auto"/>
        <w:jc w:val="left"/>
      </w:pPr>
    </w:p>
    <w:p w14:paraId="12466CCD" w14:textId="32C89CB6" w:rsidR="005B3642" w:rsidRDefault="005B3642" w:rsidP="00670EF5">
      <w:pPr>
        <w:spacing w:after="160" w:line="259" w:lineRule="auto"/>
        <w:jc w:val="left"/>
      </w:pPr>
    </w:p>
    <w:p w14:paraId="5530BA59" w14:textId="77777777" w:rsidR="005B3642" w:rsidRDefault="005B3642" w:rsidP="00670EF5">
      <w:pPr>
        <w:spacing w:after="160" w:line="259" w:lineRule="auto"/>
        <w:jc w:val="left"/>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982"/>
        <w:gridCol w:w="688"/>
        <w:gridCol w:w="3969"/>
      </w:tblGrid>
      <w:tr w:rsidR="006921EB" w:rsidRPr="006D11B5" w14:paraId="46800EE8" w14:textId="77777777" w:rsidTr="00AB2FDB">
        <w:trPr>
          <w:trHeight w:val="207"/>
        </w:trPr>
        <w:tc>
          <w:tcPr>
            <w:tcW w:w="5670" w:type="dxa"/>
            <w:gridSpan w:val="2"/>
            <w:tcBorders>
              <w:bottom w:val="single" w:sz="4" w:space="0" w:color="auto"/>
            </w:tcBorders>
            <w:tcMar>
              <w:left w:w="0" w:type="dxa"/>
            </w:tcMar>
          </w:tcPr>
          <w:p w14:paraId="1B2295F2" w14:textId="0BBDF9F0" w:rsidR="006921EB" w:rsidRPr="00D86A89" w:rsidRDefault="002E5FE3" w:rsidP="00AB2FDB">
            <w:pPr>
              <w:pStyle w:val="Naslov31"/>
              <w:jc w:val="left"/>
              <w:rPr>
                <w:lang w:val="en-US"/>
              </w:rPr>
            </w:pPr>
            <w:r w:rsidRPr="002E5FE3">
              <w:lastRenderedPageBreak/>
              <w:t xml:space="preserve">Trade in goods, September 2023 </w:t>
            </w:r>
          </w:p>
        </w:tc>
        <w:tc>
          <w:tcPr>
            <w:tcW w:w="3969" w:type="dxa"/>
            <w:tcBorders>
              <w:bottom w:val="single" w:sz="4" w:space="0" w:color="auto"/>
            </w:tcBorders>
          </w:tcPr>
          <w:p w14:paraId="18DF3850" w14:textId="77777777" w:rsidR="006921EB" w:rsidRPr="00D86A89" w:rsidRDefault="006921EB" w:rsidP="00AB2FDB">
            <w:pPr>
              <w:pStyle w:val="Naslov31"/>
              <w:rPr>
                <w:lang w:val="en-US"/>
              </w:rPr>
            </w:pPr>
          </w:p>
        </w:tc>
      </w:tr>
      <w:tr w:rsidR="006921EB" w:rsidRPr="000E78BA" w14:paraId="09E96BD0" w14:textId="77777777" w:rsidTr="00AB2FDB">
        <w:trPr>
          <w:trHeight w:val="1134"/>
        </w:trPr>
        <w:tc>
          <w:tcPr>
            <w:tcW w:w="4982" w:type="dxa"/>
            <w:tcBorders>
              <w:top w:val="single" w:sz="4" w:space="0" w:color="auto"/>
            </w:tcBorders>
            <w:tcMar>
              <w:left w:w="0" w:type="dxa"/>
            </w:tcMar>
          </w:tcPr>
          <w:p w14:paraId="39C8BCD0" w14:textId="52FDB098" w:rsidR="006921EB" w:rsidRPr="006921EB" w:rsidRDefault="003D6601" w:rsidP="00AB2FDB">
            <w:pPr>
              <w:pStyle w:val="ListParagraph"/>
              <w:ind w:left="0"/>
              <w:rPr>
                <w:lang w:val="en-US"/>
              </w:rPr>
            </w:pPr>
            <w:r>
              <w:rPr>
                <w:noProof/>
                <w:lang w:val="en-US"/>
              </w:rPr>
              <w:drawing>
                <wp:inline distT="0" distB="0" distL="0" distR="0" wp14:anchorId="06F5D743" wp14:editId="696C8DC2">
                  <wp:extent cx="3096000" cy="2530800"/>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96000" cy="2530800"/>
                          </a:xfrm>
                          <a:prstGeom prst="rect">
                            <a:avLst/>
                          </a:prstGeom>
                          <a:noFill/>
                        </pic:spPr>
                      </pic:pic>
                    </a:graphicData>
                  </a:graphic>
                </wp:inline>
              </w:drawing>
            </w:r>
          </w:p>
        </w:tc>
        <w:tc>
          <w:tcPr>
            <w:tcW w:w="4657" w:type="dxa"/>
            <w:gridSpan w:val="2"/>
            <w:tcBorders>
              <w:top w:val="single" w:sz="4" w:space="0" w:color="auto"/>
            </w:tcBorders>
            <w:tcMar>
              <w:left w:w="284" w:type="dxa"/>
            </w:tcMar>
          </w:tcPr>
          <w:p w14:paraId="65004BEE" w14:textId="43B1AAE3" w:rsidR="006921EB" w:rsidRPr="002E5FE3" w:rsidRDefault="002E5FE3" w:rsidP="00AB2FDB">
            <w:pPr>
              <w:rPr>
                <w:bCs/>
              </w:rPr>
            </w:pPr>
            <w:bookmarkStart w:id="1" w:name="_Hlk150147709"/>
            <w:r w:rsidRPr="002E5FE3">
              <w:rPr>
                <w:b/>
                <w:bCs/>
              </w:rPr>
              <w:t xml:space="preserve">Trade in goods slowed in the third quarter compared to the second </w:t>
            </w:r>
            <w:bookmarkStart w:id="2" w:name="_Int_CCfV2wwj"/>
            <w:r w:rsidRPr="002E5FE3">
              <w:rPr>
                <w:b/>
                <w:bCs/>
              </w:rPr>
              <w:t>quarter.</w:t>
            </w:r>
            <w:r w:rsidRPr="002E5FE3">
              <w:rPr>
                <w:b/>
                <w:bCs/>
                <w:vertAlign w:val="superscript"/>
              </w:rPr>
              <w:footnoteReference w:id="5"/>
            </w:r>
            <w:bookmarkEnd w:id="2"/>
            <w:r w:rsidRPr="002E5FE3">
              <w:rPr>
                <w:b/>
                <w:bCs/>
              </w:rPr>
              <w:t xml:space="preserve"> </w:t>
            </w:r>
            <w:r w:rsidRPr="002E5FE3">
              <w:rPr>
                <w:bCs/>
              </w:rPr>
              <w:t xml:space="preserve">Amid strong monthly fluctuations, real exports of goods fell by 4.7% and imports by 3.7% compared to the previous quarter. As in the previous quarters, this was due to a decline in demand from Slovenia’s main trading partners and lower export demand in Slovenia. </w:t>
            </w:r>
            <w:bookmarkEnd w:id="1"/>
            <w:r w:rsidRPr="002E5FE3">
              <w:rPr>
                <w:bCs/>
              </w:rPr>
              <w:t>According to the detailed data,</w:t>
            </w:r>
            <w:r w:rsidRPr="002E5FE3">
              <w:rPr>
                <w:bCs/>
                <w:vertAlign w:val="superscript"/>
              </w:rPr>
              <w:footnoteReference w:id="6"/>
            </w:r>
            <w:r w:rsidRPr="002E5FE3">
              <w:rPr>
                <w:bCs/>
              </w:rPr>
              <w:t xml:space="preserve"> lower trade with Germany, Italy, Austria and Croatia contributed significantly to the decline, and the decline in exports of intermediate products (metals and other materials) and machinery and equipment excluding vehicles was also noticeable. Year-on-year, the decline in exports and imports in the third quarter was even more pronounced as in the previous quarters (-13.5% and -12.5% respectively). At the beginning of the last quarter, sentiment in export-oriented manufacturing activities remained very low in </w:t>
            </w:r>
            <w:bookmarkStart w:id="3" w:name="_Int_jomoaAnq"/>
            <w:r w:rsidRPr="002E5FE3">
              <w:rPr>
                <w:bCs/>
              </w:rPr>
              <w:t>Slovenia, but</w:t>
            </w:r>
            <w:bookmarkEnd w:id="3"/>
            <w:r w:rsidRPr="002E5FE3">
              <w:rPr>
                <w:bCs/>
              </w:rPr>
              <w:t xml:space="preserve"> has not deteriorated any further. As in the previous quarters, companies state that the uncertain economic situation, low domestic and foreign </w:t>
            </w:r>
            <w:bookmarkStart w:id="4" w:name="_Int_mGs8x3cy"/>
            <w:r w:rsidRPr="002E5FE3">
              <w:rPr>
                <w:bCs/>
              </w:rPr>
              <w:t>demand</w:t>
            </w:r>
            <w:bookmarkEnd w:id="4"/>
            <w:r w:rsidRPr="002E5FE3">
              <w:rPr>
                <w:bCs/>
              </w:rPr>
              <w:t xml:space="preserve"> and the lack of skilled labour are the main obstacles to business activity. Export orders also remain very low.</w:t>
            </w:r>
          </w:p>
          <w:p w14:paraId="576DD788" w14:textId="77777777" w:rsidR="006921EB" w:rsidRPr="00D86A89" w:rsidRDefault="006921EB" w:rsidP="00AB2FDB">
            <w:pPr>
              <w:rPr>
                <w:b/>
                <w:bCs/>
              </w:rPr>
            </w:pPr>
          </w:p>
          <w:p w14:paraId="2BF24FBA" w14:textId="77777777" w:rsidR="006921EB" w:rsidRPr="000E78BA" w:rsidRDefault="006921EB" w:rsidP="00AB2FDB"/>
        </w:tc>
      </w:tr>
      <w:tr w:rsidR="006921EB" w:rsidRPr="006D11B5" w14:paraId="56DB3824" w14:textId="77777777" w:rsidTr="00AB2FDB">
        <w:trPr>
          <w:trHeight w:val="207"/>
        </w:trPr>
        <w:tc>
          <w:tcPr>
            <w:tcW w:w="5670" w:type="dxa"/>
            <w:gridSpan w:val="2"/>
            <w:tcBorders>
              <w:bottom w:val="single" w:sz="4" w:space="0" w:color="auto"/>
            </w:tcBorders>
            <w:tcMar>
              <w:left w:w="0" w:type="dxa"/>
            </w:tcMar>
          </w:tcPr>
          <w:p w14:paraId="5F8D11A2" w14:textId="568859D7" w:rsidR="006921EB" w:rsidRPr="00D86A89" w:rsidRDefault="002E5FE3" w:rsidP="00AB2FDB">
            <w:pPr>
              <w:pStyle w:val="Naslov31"/>
              <w:jc w:val="left"/>
              <w:rPr>
                <w:lang w:val="en-US"/>
              </w:rPr>
            </w:pPr>
            <w:r w:rsidRPr="002E5FE3">
              <w:t xml:space="preserve">Turnover in trade, August–September 2023 </w:t>
            </w:r>
          </w:p>
        </w:tc>
        <w:tc>
          <w:tcPr>
            <w:tcW w:w="3969" w:type="dxa"/>
            <w:tcBorders>
              <w:bottom w:val="single" w:sz="4" w:space="0" w:color="auto"/>
            </w:tcBorders>
          </w:tcPr>
          <w:p w14:paraId="41EA5C14" w14:textId="77777777" w:rsidR="006921EB" w:rsidRPr="00D86A89" w:rsidRDefault="006921EB" w:rsidP="00AB2FDB">
            <w:pPr>
              <w:pStyle w:val="Naslov31"/>
              <w:rPr>
                <w:lang w:val="en-US"/>
              </w:rPr>
            </w:pPr>
          </w:p>
        </w:tc>
      </w:tr>
      <w:tr w:rsidR="006921EB" w:rsidRPr="000E78BA" w14:paraId="335C6C0F" w14:textId="77777777" w:rsidTr="00AB2FDB">
        <w:trPr>
          <w:trHeight w:val="1134"/>
        </w:trPr>
        <w:tc>
          <w:tcPr>
            <w:tcW w:w="4982" w:type="dxa"/>
            <w:tcBorders>
              <w:top w:val="single" w:sz="4" w:space="0" w:color="auto"/>
            </w:tcBorders>
            <w:tcMar>
              <w:left w:w="0" w:type="dxa"/>
            </w:tcMar>
          </w:tcPr>
          <w:p w14:paraId="3305A4DB" w14:textId="7408CAFC" w:rsidR="006921EB" w:rsidRPr="006921EB" w:rsidRDefault="006A1776" w:rsidP="00AB2FDB">
            <w:pPr>
              <w:pStyle w:val="ListParagraph"/>
              <w:ind w:left="0"/>
              <w:rPr>
                <w:lang w:val="en-US"/>
              </w:rPr>
            </w:pPr>
            <w:r>
              <w:rPr>
                <w:noProof/>
                <w:lang w:val="en-US"/>
              </w:rPr>
              <w:drawing>
                <wp:inline distT="0" distB="0" distL="0" distR="0" wp14:anchorId="6DAF77FC" wp14:editId="5075EC73">
                  <wp:extent cx="3160800" cy="2671200"/>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60800" cy="2671200"/>
                          </a:xfrm>
                          <a:prstGeom prst="rect">
                            <a:avLst/>
                          </a:prstGeom>
                          <a:noFill/>
                        </pic:spPr>
                      </pic:pic>
                    </a:graphicData>
                  </a:graphic>
                </wp:inline>
              </w:drawing>
            </w:r>
          </w:p>
        </w:tc>
        <w:tc>
          <w:tcPr>
            <w:tcW w:w="4657" w:type="dxa"/>
            <w:gridSpan w:val="2"/>
            <w:tcBorders>
              <w:top w:val="single" w:sz="4" w:space="0" w:color="auto"/>
            </w:tcBorders>
            <w:tcMar>
              <w:left w:w="284" w:type="dxa"/>
            </w:tcMar>
          </w:tcPr>
          <w:p w14:paraId="55217A0C" w14:textId="55339150" w:rsidR="006921EB" w:rsidRDefault="002E5FE3" w:rsidP="00AB2FDB">
            <w:pPr>
              <w:rPr>
                <w:bCs/>
              </w:rPr>
            </w:pPr>
            <w:r w:rsidRPr="002E5FE3">
              <w:rPr>
                <w:b/>
                <w:bCs/>
              </w:rPr>
              <w:t xml:space="preserve">In most trade sectors, real turnover continued to fall in August and, according to preliminary data, also in September; only turnover in the sale of motor vehicles remained higher year-on-year. </w:t>
            </w:r>
            <w:r w:rsidRPr="002E5FE3">
              <w:rPr>
                <w:bCs/>
              </w:rPr>
              <w:t xml:space="preserve">Turnover in wholesale and retail trade (excluding automotive fuels), which has been declining since the spring, was down 5% year-on-year in the first eight months. Turnover in retail sale of food, beverages and tobacco fell by 4% year-on-year, while in the sale of non-food products it fell by 5%. Among non-food products, the largest year-on-year decline was seen in the sale of durable and certain semi-durable </w:t>
            </w:r>
            <w:bookmarkStart w:id="5" w:name="_Int_OwfG7HSd"/>
            <w:r w:rsidRPr="002E5FE3">
              <w:rPr>
                <w:bCs/>
              </w:rPr>
              <w:t>goods.</w:t>
            </w:r>
            <w:r w:rsidRPr="002E5FE3">
              <w:rPr>
                <w:bCs/>
                <w:vertAlign w:val="superscript"/>
              </w:rPr>
              <w:footnoteReference w:id="7"/>
            </w:r>
            <w:bookmarkEnd w:id="5"/>
            <w:r w:rsidRPr="002E5FE3">
              <w:rPr>
                <w:bCs/>
              </w:rPr>
              <w:t xml:space="preserve"> In the first eight months of the year, turnover in the sale of motor vehicles, which has been recovering in current terms since the second half of last year, increased by 14% year-on-year. According to preliminary SURS data, turnover in September was still lower year-on-year in retail trade, while it was higher in the sale of motor vehicles.</w:t>
            </w:r>
          </w:p>
          <w:p w14:paraId="365A9B48" w14:textId="77777777" w:rsidR="00AD1100" w:rsidRPr="00AD1100" w:rsidRDefault="00AD1100" w:rsidP="00AB2FDB">
            <w:pPr>
              <w:rPr>
                <w:bCs/>
              </w:rPr>
            </w:pPr>
          </w:p>
          <w:p w14:paraId="00540BFC" w14:textId="77777777" w:rsidR="006921EB" w:rsidRPr="000E78BA" w:rsidRDefault="006921EB" w:rsidP="00AB2FDB"/>
        </w:tc>
      </w:tr>
      <w:tr w:rsidR="006921EB" w:rsidRPr="006D11B5" w14:paraId="297B5E01" w14:textId="77777777" w:rsidTr="00AB2FDB">
        <w:trPr>
          <w:trHeight w:val="207"/>
        </w:trPr>
        <w:tc>
          <w:tcPr>
            <w:tcW w:w="5670" w:type="dxa"/>
            <w:gridSpan w:val="2"/>
            <w:tcBorders>
              <w:bottom w:val="single" w:sz="4" w:space="0" w:color="auto"/>
            </w:tcBorders>
            <w:tcMar>
              <w:left w:w="0" w:type="dxa"/>
            </w:tcMar>
          </w:tcPr>
          <w:p w14:paraId="3C0BE118" w14:textId="2C9D1470" w:rsidR="006921EB" w:rsidRPr="00D86A89" w:rsidRDefault="002E5FE3" w:rsidP="00AB2FDB">
            <w:pPr>
              <w:pStyle w:val="Naslov31"/>
              <w:jc w:val="left"/>
              <w:rPr>
                <w:lang w:val="en-US"/>
              </w:rPr>
            </w:pPr>
            <w:r w:rsidRPr="002E5FE3">
              <w:lastRenderedPageBreak/>
              <w:t xml:space="preserve">Turnover in market services, August 2023 </w:t>
            </w:r>
          </w:p>
        </w:tc>
        <w:tc>
          <w:tcPr>
            <w:tcW w:w="3969" w:type="dxa"/>
            <w:tcBorders>
              <w:bottom w:val="single" w:sz="4" w:space="0" w:color="auto"/>
            </w:tcBorders>
          </w:tcPr>
          <w:p w14:paraId="2EC728F7" w14:textId="77777777" w:rsidR="006921EB" w:rsidRPr="00D86A89" w:rsidRDefault="006921EB" w:rsidP="00AB2FDB">
            <w:pPr>
              <w:pStyle w:val="Naslov31"/>
              <w:rPr>
                <w:lang w:val="en-US"/>
              </w:rPr>
            </w:pPr>
          </w:p>
        </w:tc>
      </w:tr>
      <w:tr w:rsidR="006921EB" w:rsidRPr="000E78BA" w14:paraId="6E13CF9E" w14:textId="77777777" w:rsidTr="00AB2FDB">
        <w:trPr>
          <w:trHeight w:val="1134"/>
        </w:trPr>
        <w:tc>
          <w:tcPr>
            <w:tcW w:w="4982" w:type="dxa"/>
            <w:tcBorders>
              <w:top w:val="single" w:sz="4" w:space="0" w:color="auto"/>
            </w:tcBorders>
            <w:tcMar>
              <w:left w:w="0" w:type="dxa"/>
            </w:tcMar>
          </w:tcPr>
          <w:p w14:paraId="7CD210C5" w14:textId="274BAE51" w:rsidR="006921EB" w:rsidRPr="006921EB" w:rsidRDefault="005B3642" w:rsidP="00AB2FDB">
            <w:pPr>
              <w:pStyle w:val="ListParagraph"/>
              <w:ind w:left="0"/>
              <w:rPr>
                <w:lang w:val="en-US"/>
              </w:rPr>
            </w:pPr>
            <w:r>
              <w:rPr>
                <w:noProof/>
                <w:lang w:val="en-US"/>
              </w:rPr>
              <w:drawing>
                <wp:inline distT="0" distB="0" distL="0" distR="0" wp14:anchorId="674ECC1B" wp14:editId="0DE3D776">
                  <wp:extent cx="3162300" cy="2589038"/>
                  <wp:effectExtent l="0" t="0" r="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73670" cy="2598347"/>
                          </a:xfrm>
                          <a:prstGeom prst="rect">
                            <a:avLst/>
                          </a:prstGeom>
                          <a:noFill/>
                        </pic:spPr>
                      </pic:pic>
                    </a:graphicData>
                  </a:graphic>
                </wp:inline>
              </w:drawing>
            </w:r>
          </w:p>
        </w:tc>
        <w:tc>
          <w:tcPr>
            <w:tcW w:w="4657" w:type="dxa"/>
            <w:gridSpan w:val="2"/>
            <w:tcBorders>
              <w:top w:val="single" w:sz="4" w:space="0" w:color="auto"/>
            </w:tcBorders>
            <w:tcMar>
              <w:left w:w="284" w:type="dxa"/>
            </w:tcMar>
          </w:tcPr>
          <w:p w14:paraId="4F2AA2F9" w14:textId="4CFB67A0" w:rsidR="006921EB" w:rsidRPr="00AD1100" w:rsidRDefault="002E5FE3" w:rsidP="00AB2FDB">
            <w:pPr>
              <w:rPr>
                <w:bCs/>
              </w:rPr>
            </w:pPr>
            <w:r w:rsidRPr="002E5FE3">
              <w:rPr>
                <w:b/>
                <w:bCs/>
              </w:rPr>
              <w:t xml:space="preserve">The level of real turnover in market services remained unchanged in August. </w:t>
            </w:r>
            <w:r w:rsidRPr="002E5FE3">
              <w:rPr>
                <w:bCs/>
              </w:rPr>
              <w:t>Total turnover stagnated in current terms, having already declined significantly in the second quarter (by 2.3%). The decline of turnover in transportation and storage further</w:t>
            </w:r>
            <w:bookmarkStart w:id="6" w:name="_GoBack"/>
            <w:bookmarkEnd w:id="6"/>
            <w:r w:rsidRPr="002E5FE3">
              <w:rPr>
                <w:bCs/>
              </w:rPr>
              <w:t xml:space="preserve"> deepened, with the negative trend continuing since May last year. The decline was mainly due to postal activities and land transport. Against the backdrop of a sharp decline in overnight stays, which was also influenced by the floods in August, turnover in accommodation and food service activities also fell significantly. It also fell slightly in administrative and support service activities and in information and communication. Only professional and technical activities saw an acceleration in turnover growth. Year-on-year, total turnover fell by 2.2% in real terms in August, due to declines in information and communication, transportation and real estate activities. It remained below pre-epidemic (August 2019) levels in employment services (by 11%).</w:t>
            </w:r>
          </w:p>
          <w:p w14:paraId="31BB00A0" w14:textId="77777777" w:rsidR="006921EB" w:rsidRPr="000E78BA" w:rsidRDefault="006921EB" w:rsidP="00AB2FDB"/>
        </w:tc>
      </w:tr>
    </w:tbl>
    <w:p w14:paraId="1CC58903" w14:textId="77777777" w:rsidR="006921EB" w:rsidRDefault="006921EB" w:rsidP="00670EF5">
      <w:pPr>
        <w:spacing w:after="160" w:line="259" w:lineRule="auto"/>
        <w:jc w:val="left"/>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982"/>
        <w:gridCol w:w="688"/>
        <w:gridCol w:w="3969"/>
      </w:tblGrid>
      <w:tr w:rsidR="006921EB" w:rsidRPr="002E5FE3" w14:paraId="08EC9C22" w14:textId="77777777" w:rsidTr="00AB2FDB">
        <w:trPr>
          <w:trHeight w:val="207"/>
        </w:trPr>
        <w:tc>
          <w:tcPr>
            <w:tcW w:w="5670" w:type="dxa"/>
            <w:gridSpan w:val="2"/>
            <w:tcBorders>
              <w:bottom w:val="single" w:sz="4" w:space="0" w:color="auto"/>
            </w:tcBorders>
            <w:tcMar>
              <w:left w:w="0" w:type="dxa"/>
            </w:tcMar>
          </w:tcPr>
          <w:p w14:paraId="37176C1A" w14:textId="429A561B" w:rsidR="006921EB" w:rsidRPr="002E5FE3" w:rsidRDefault="002E5FE3" w:rsidP="00AB2FDB">
            <w:pPr>
              <w:pStyle w:val="Naslov31"/>
              <w:jc w:val="left"/>
              <w:rPr>
                <w:lang w:val="en-US"/>
              </w:rPr>
            </w:pPr>
            <w:r w:rsidRPr="002E5FE3">
              <w:t xml:space="preserve">Average gross wage per employee, August 2023 </w:t>
            </w:r>
          </w:p>
        </w:tc>
        <w:tc>
          <w:tcPr>
            <w:tcW w:w="3969" w:type="dxa"/>
            <w:tcBorders>
              <w:bottom w:val="single" w:sz="4" w:space="0" w:color="auto"/>
            </w:tcBorders>
          </w:tcPr>
          <w:p w14:paraId="189AE269" w14:textId="77777777" w:rsidR="006921EB" w:rsidRPr="002E5FE3" w:rsidRDefault="006921EB" w:rsidP="00AB2FDB">
            <w:pPr>
              <w:pStyle w:val="Naslov31"/>
              <w:rPr>
                <w:lang w:val="en-US"/>
              </w:rPr>
            </w:pPr>
          </w:p>
        </w:tc>
      </w:tr>
      <w:tr w:rsidR="006921EB" w:rsidRPr="000E78BA" w14:paraId="1924AF19" w14:textId="77777777" w:rsidTr="00AB2FDB">
        <w:trPr>
          <w:trHeight w:val="1134"/>
        </w:trPr>
        <w:tc>
          <w:tcPr>
            <w:tcW w:w="4982" w:type="dxa"/>
            <w:tcBorders>
              <w:top w:val="single" w:sz="4" w:space="0" w:color="auto"/>
            </w:tcBorders>
            <w:tcMar>
              <w:left w:w="0" w:type="dxa"/>
            </w:tcMar>
          </w:tcPr>
          <w:p w14:paraId="782E6A7D" w14:textId="073C921F" w:rsidR="006921EB" w:rsidRPr="006921EB" w:rsidRDefault="00A41697" w:rsidP="00AB2FDB">
            <w:pPr>
              <w:pStyle w:val="ListParagraph"/>
              <w:ind w:left="0"/>
              <w:rPr>
                <w:lang w:val="en-US"/>
              </w:rPr>
            </w:pPr>
            <w:r>
              <w:rPr>
                <w:noProof/>
                <w:lang w:val="en-US"/>
              </w:rPr>
              <w:drawing>
                <wp:inline distT="0" distB="0" distL="0" distR="0" wp14:anchorId="36A414B5" wp14:editId="58D03378">
                  <wp:extent cx="3139200" cy="2397600"/>
                  <wp:effectExtent l="0" t="0" r="444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39200" cy="2397600"/>
                          </a:xfrm>
                          <a:prstGeom prst="rect">
                            <a:avLst/>
                          </a:prstGeom>
                          <a:noFill/>
                        </pic:spPr>
                      </pic:pic>
                    </a:graphicData>
                  </a:graphic>
                </wp:inline>
              </w:drawing>
            </w:r>
          </w:p>
        </w:tc>
        <w:tc>
          <w:tcPr>
            <w:tcW w:w="4657" w:type="dxa"/>
            <w:gridSpan w:val="2"/>
            <w:tcBorders>
              <w:top w:val="single" w:sz="4" w:space="0" w:color="auto"/>
            </w:tcBorders>
            <w:tcMar>
              <w:left w:w="284" w:type="dxa"/>
            </w:tcMar>
          </w:tcPr>
          <w:p w14:paraId="4ABB5F24" w14:textId="7E4B8178" w:rsidR="002E5FE3" w:rsidRPr="002E5FE3" w:rsidRDefault="002E5FE3" w:rsidP="002E5FE3">
            <w:pPr>
              <w:rPr>
                <w:bCs/>
              </w:rPr>
            </w:pPr>
            <w:r w:rsidRPr="002E5FE3">
              <w:rPr>
                <w:b/>
                <w:bCs/>
              </w:rPr>
              <w:t>The average gross wage increased year-on-year in real terms in August (by 4.2%). </w:t>
            </w:r>
            <w:r w:rsidRPr="002E5FE3">
              <w:rPr>
                <w:bCs/>
              </w:rPr>
              <w:t>In the private sector, it increased by 2.9% year-on-year in real terms. Growth was strongest in accommodation and food service activities, which is facing a major labour shortage. The average gross wage in the public sector increased by 6.7% year-on-year in real terms, mainly due to the last year’s agreement on wage increases. Compared to August last year, the average gross wage increased by 10.7% in nominal terms – by 13.3% in the public sector and by 9.3% in the private sector. In the first eight months, the average year-on-year gross wage growth was 1.5% (1.2% in the private sector and 2.2% in the public sector).</w:t>
            </w:r>
          </w:p>
          <w:p w14:paraId="27B828B6" w14:textId="77777777" w:rsidR="006921EB" w:rsidRPr="005C1C2A" w:rsidRDefault="006921EB" w:rsidP="00AB2FDB">
            <w:pPr>
              <w:rPr>
                <w:bCs/>
              </w:rPr>
            </w:pPr>
          </w:p>
          <w:p w14:paraId="5EFE85CA" w14:textId="77777777" w:rsidR="006921EB" w:rsidRPr="00D86A89" w:rsidRDefault="006921EB" w:rsidP="00AB2FDB">
            <w:pPr>
              <w:rPr>
                <w:b/>
                <w:bCs/>
              </w:rPr>
            </w:pPr>
          </w:p>
          <w:p w14:paraId="655F6EA5" w14:textId="77777777" w:rsidR="006921EB" w:rsidRPr="000E78BA" w:rsidRDefault="006921EB" w:rsidP="00AB2FDB"/>
        </w:tc>
      </w:tr>
    </w:tbl>
    <w:p w14:paraId="1ABBF0F3" w14:textId="77777777" w:rsidR="006921EB" w:rsidRDefault="006921EB" w:rsidP="00670EF5">
      <w:pPr>
        <w:spacing w:after="160" w:line="259" w:lineRule="auto"/>
        <w:jc w:val="left"/>
      </w:pPr>
    </w:p>
    <w:p w14:paraId="22D0C5C2" w14:textId="3E3F5FF2" w:rsidR="007F0DED" w:rsidRDefault="007F0DED" w:rsidP="00FE7254"/>
    <w:p w14:paraId="22475C0D" w14:textId="10995B66" w:rsidR="007F0DED" w:rsidRPr="000E78BA" w:rsidRDefault="007F0DED" w:rsidP="00FE7254">
      <w:pPr>
        <w:sectPr w:rsidR="007F0DED" w:rsidRPr="000E78BA" w:rsidSect="00363E63">
          <w:footerReference w:type="default" r:id="rId15"/>
          <w:headerReference w:type="first" r:id="rId16"/>
          <w:footerReference w:type="first" r:id="rId17"/>
          <w:type w:val="continuous"/>
          <w:pgSz w:w="11906" w:h="16838"/>
          <w:pgMar w:top="1134" w:right="1134" w:bottom="1021" w:left="1134" w:header="709" w:footer="397" w:gutter="0"/>
          <w:cols w:space="708"/>
          <w:titlePg/>
          <w:docGrid w:linePitch="360"/>
        </w:sectPr>
      </w:pPr>
    </w:p>
    <w:p w14:paraId="515F4F7F" w14:textId="502A5305" w:rsidR="00A03401" w:rsidRPr="000E78BA" w:rsidRDefault="006F257C" w:rsidP="00C26C8D">
      <w:pPr>
        <w:tabs>
          <w:tab w:val="left" w:pos="580"/>
        </w:tabs>
      </w:pPr>
      <w:r w:rsidRPr="006F257C">
        <w:rPr>
          <w:noProof/>
        </w:rPr>
        <w:lastRenderedPageBreak/>
        <w:drawing>
          <wp:inline distT="0" distB="0" distL="0" distR="0" wp14:anchorId="7237D4C0" wp14:editId="71EEE179">
            <wp:extent cx="6323464" cy="866775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325036" cy="8669905"/>
                    </a:xfrm>
                    <a:prstGeom prst="rect">
                      <a:avLst/>
                    </a:prstGeom>
                    <a:noFill/>
                    <a:ln>
                      <a:noFill/>
                    </a:ln>
                  </pic:spPr>
                </pic:pic>
              </a:graphicData>
            </a:graphic>
          </wp:inline>
        </w:drawing>
      </w:r>
    </w:p>
    <w:p w14:paraId="26A312A6" w14:textId="41A5F6ED" w:rsidR="002E69B6" w:rsidRPr="000E78BA" w:rsidRDefault="002E69B6" w:rsidP="00C26C8D">
      <w:pPr>
        <w:tabs>
          <w:tab w:val="left" w:pos="580"/>
        </w:tabs>
      </w:pPr>
    </w:p>
    <w:sectPr w:rsidR="002E69B6" w:rsidRPr="000E78BA" w:rsidSect="00363E63">
      <w:headerReference w:type="default" r:id="rId19"/>
      <w:footerReference w:type="default" r:id="rId20"/>
      <w:pgSz w:w="11906" w:h="16838"/>
      <w:pgMar w:top="1134" w:right="1134" w:bottom="1021" w:left="1134"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F439F4" w14:textId="77777777" w:rsidR="00121D90" w:rsidRDefault="00121D90" w:rsidP="0063497B">
      <w:pPr>
        <w:spacing w:line="240" w:lineRule="auto"/>
      </w:pPr>
      <w:r>
        <w:separator/>
      </w:r>
    </w:p>
  </w:endnote>
  <w:endnote w:type="continuationSeparator" w:id="0">
    <w:p w14:paraId="385D8024" w14:textId="77777777" w:rsidR="00121D90" w:rsidRDefault="00121D90" w:rsidP="0063497B">
      <w:pPr>
        <w:spacing w:line="240" w:lineRule="auto"/>
      </w:pPr>
      <w:r>
        <w:continuationSeparator/>
      </w:r>
    </w:p>
  </w:endnote>
  <w:endnote w:type="continuationNotice" w:id="1">
    <w:p w14:paraId="6BEBB1B3" w14:textId="77777777" w:rsidR="00121D90" w:rsidRDefault="00121D9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8242D" w14:textId="532304C9" w:rsidR="009A0978" w:rsidRPr="00363E63" w:rsidRDefault="009A0978" w:rsidP="00363E63">
    <w:pPr>
      <w:pStyle w:val="Naslov31"/>
      <w:tabs>
        <w:tab w:val="right" w:pos="9638"/>
      </w:tabs>
      <w:jc w:val="left"/>
      <w:rPr>
        <w:b w:val="0"/>
        <w:sz w:val="18"/>
        <w:szCs w:val="18"/>
      </w:rPr>
    </w:pPr>
    <w:r>
      <w:rPr>
        <w:sz w:val="18"/>
      </w:rPr>
      <w:t>More information:</w:t>
    </w:r>
    <w:r>
      <w:rPr>
        <w:rStyle w:val="Naslov3Char"/>
        <w:b/>
        <w:sz w:val="18"/>
      </w:rPr>
      <w:t xml:space="preserve"> </w:t>
    </w:r>
    <w:r>
      <w:rPr>
        <w:b w:val="0"/>
        <w:sz w:val="18"/>
      </w:rPr>
      <w:t xml:space="preserve">phone: +386 1 478 10 04, e-mail: </w:t>
    </w:r>
    <w:hyperlink r:id="rId1" w:history="1">
      <w:r>
        <w:rPr>
          <w:rStyle w:val="Hyperlink"/>
          <w:b w:val="0"/>
          <w:color w:val="auto"/>
          <w:sz w:val="18"/>
          <w:u w:val="none"/>
        </w:rPr>
        <w:t>polona.osrajnik@gov.si</w:t>
      </w:r>
    </w:hyperlink>
    <w:r>
      <w:rPr>
        <w:b w:val="0"/>
        <w:sz w:val="18"/>
      </w:rPr>
      <w:tab/>
    </w:r>
    <w:r>
      <w:rPr>
        <w:sz w:val="18"/>
      </w:rPr>
      <w:t xml:space="preserve"> </w:t>
    </w:r>
    <w:sdt>
      <w:sdtPr>
        <w:rPr>
          <w:sz w:val="18"/>
          <w:szCs w:val="18"/>
        </w:rPr>
        <w:id w:val="-652685202"/>
        <w:docPartObj>
          <w:docPartGallery w:val="Page Numbers (Bottom of Page)"/>
          <w:docPartUnique/>
        </w:docPartObj>
      </w:sdtPr>
      <w:sdtEndPr/>
      <w:sdtContent>
        <w:r w:rsidRPr="00363E63">
          <w:rPr>
            <w:sz w:val="18"/>
          </w:rPr>
          <w:fldChar w:fldCharType="begin"/>
        </w:r>
        <w:r w:rsidRPr="00363E63">
          <w:rPr>
            <w:sz w:val="18"/>
          </w:rPr>
          <w:instrText>PAGE   \* MERGEFORMAT</w:instrText>
        </w:r>
        <w:r w:rsidRPr="00363E63">
          <w:rPr>
            <w:sz w:val="18"/>
          </w:rPr>
          <w:fldChar w:fldCharType="separate"/>
        </w:r>
        <w:r>
          <w:rPr>
            <w:sz w:val="18"/>
          </w:rPr>
          <w:t>1</w:t>
        </w:r>
        <w:r w:rsidRPr="00363E63">
          <w:rPr>
            <w:sz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29913" w14:textId="017B7F72" w:rsidR="009A0978" w:rsidRPr="00363E63" w:rsidRDefault="009A0978" w:rsidP="00363E63">
    <w:pPr>
      <w:pStyle w:val="Naslov31"/>
      <w:tabs>
        <w:tab w:val="right" w:pos="9638"/>
      </w:tabs>
      <w:jc w:val="left"/>
      <w:rPr>
        <w:b w:val="0"/>
        <w:sz w:val="18"/>
        <w:szCs w:val="18"/>
      </w:rPr>
    </w:pPr>
    <w:r>
      <w:rPr>
        <w:sz w:val="18"/>
      </w:rPr>
      <w:t>More information:</w:t>
    </w:r>
    <w:r>
      <w:rPr>
        <w:rStyle w:val="Naslov3Char"/>
        <w:b/>
        <w:sz w:val="18"/>
      </w:rPr>
      <w:t xml:space="preserve"> </w:t>
    </w:r>
    <w:r>
      <w:rPr>
        <w:b w:val="0"/>
        <w:sz w:val="18"/>
      </w:rPr>
      <w:t xml:space="preserve">phone: +386 1 478 10 04, e-mail: </w:t>
    </w:r>
    <w:hyperlink r:id="rId1" w:history="1">
      <w:r>
        <w:rPr>
          <w:rStyle w:val="Hyperlink"/>
          <w:b w:val="0"/>
          <w:color w:val="auto"/>
          <w:sz w:val="18"/>
          <w:u w:val="none"/>
        </w:rPr>
        <w:t>polona.osrajnik@gov.si</w:t>
      </w:r>
    </w:hyperlink>
    <w:r>
      <w:rPr>
        <w:b w:val="0"/>
        <w:sz w:val="18"/>
      </w:rPr>
      <w:tab/>
    </w:r>
    <w:r>
      <w:rPr>
        <w:sz w:val="18"/>
      </w:rPr>
      <w:t xml:space="preserve"> </w:t>
    </w:r>
    <w:sdt>
      <w:sdtPr>
        <w:rPr>
          <w:sz w:val="18"/>
          <w:szCs w:val="18"/>
        </w:rPr>
        <w:id w:val="-89402759"/>
        <w:docPartObj>
          <w:docPartGallery w:val="Page Numbers (Bottom of Page)"/>
          <w:docPartUnique/>
        </w:docPartObj>
      </w:sdtPr>
      <w:sdtEndPr/>
      <w:sdtContent>
        <w:r w:rsidRPr="00363E63">
          <w:rPr>
            <w:sz w:val="18"/>
          </w:rPr>
          <w:fldChar w:fldCharType="begin"/>
        </w:r>
        <w:r w:rsidRPr="00363E63">
          <w:rPr>
            <w:sz w:val="18"/>
          </w:rPr>
          <w:instrText>PAGE   \* MERGEFORMAT</w:instrText>
        </w:r>
        <w:r w:rsidRPr="00363E63">
          <w:rPr>
            <w:sz w:val="18"/>
          </w:rPr>
          <w:fldChar w:fldCharType="separate"/>
        </w:r>
        <w:r w:rsidRPr="00363E63">
          <w:rPr>
            <w:sz w:val="18"/>
          </w:rPr>
          <w:t>1</w:t>
        </w:r>
        <w:r w:rsidRPr="00363E63">
          <w:rPr>
            <w:sz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DBB8D" w14:textId="77777777" w:rsidR="009A0978" w:rsidRPr="00C26C8D" w:rsidRDefault="009A0978" w:rsidP="00C26C8D">
    <w:pPr>
      <w:pStyle w:val="Naslov31"/>
      <w:tabs>
        <w:tab w:val="right" w:pos="9638"/>
      </w:tabs>
      <w:jc w:val="left"/>
      <w:rPr>
        <w:b w:val="0"/>
        <w:sz w:val="18"/>
        <w:szCs w:val="18"/>
      </w:rPr>
    </w:pPr>
    <w:r>
      <w:rPr>
        <w:b w:val="0"/>
        <w:sz w:val="18"/>
      </w:rPr>
      <w:t>The table format accessible to screen reader users can be found on the IMAD website among the appendices to the current graphs of the week (Selected macroeconomic indicators for Slovenia).</w:t>
    </w:r>
  </w:p>
  <w:p w14:paraId="67C0D3BB" w14:textId="77777777" w:rsidR="009A0978" w:rsidRPr="00C26C8D" w:rsidRDefault="009A0978" w:rsidP="00C26C8D">
    <w:pPr>
      <w:pStyle w:val="Naslov31"/>
      <w:tabs>
        <w:tab w:val="right" w:pos="9638"/>
      </w:tabs>
      <w:jc w:val="left"/>
      <w:rPr>
        <w:b w:val="0"/>
        <w:sz w:val="18"/>
        <w:szCs w:val="18"/>
      </w:rPr>
    </w:pPr>
  </w:p>
  <w:p w14:paraId="6B87A005" w14:textId="77777777" w:rsidR="009A0978" w:rsidRPr="00363E63" w:rsidRDefault="009A0978" w:rsidP="00C26C8D">
    <w:pPr>
      <w:pStyle w:val="Naslov31"/>
      <w:tabs>
        <w:tab w:val="right" w:pos="9638"/>
      </w:tabs>
      <w:jc w:val="left"/>
      <w:rPr>
        <w:b w:val="0"/>
        <w:sz w:val="18"/>
        <w:szCs w:val="18"/>
      </w:rPr>
    </w:pPr>
    <w:r>
      <w:rPr>
        <w:sz w:val="18"/>
      </w:rPr>
      <w:t xml:space="preserve">More information: </w:t>
    </w:r>
    <w:r>
      <w:rPr>
        <w:b w:val="0"/>
        <w:sz w:val="18"/>
      </w:rPr>
      <w:t>phone: +386 1 478 10 04, e-mail: polona.osrajnik@gov.si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3A9A72" w14:textId="77777777" w:rsidR="00121D90" w:rsidRDefault="00121D90" w:rsidP="0063497B">
      <w:pPr>
        <w:spacing w:line="240" w:lineRule="auto"/>
      </w:pPr>
      <w:r>
        <w:separator/>
      </w:r>
    </w:p>
  </w:footnote>
  <w:footnote w:type="continuationSeparator" w:id="0">
    <w:p w14:paraId="342240E8" w14:textId="77777777" w:rsidR="00121D90" w:rsidRDefault="00121D90" w:rsidP="0063497B">
      <w:pPr>
        <w:spacing w:line="240" w:lineRule="auto"/>
      </w:pPr>
      <w:r>
        <w:continuationSeparator/>
      </w:r>
    </w:p>
  </w:footnote>
  <w:footnote w:type="continuationNotice" w:id="1">
    <w:p w14:paraId="0249FBB8" w14:textId="77777777" w:rsidR="00121D90" w:rsidRDefault="00121D90">
      <w:pPr>
        <w:spacing w:line="240" w:lineRule="auto"/>
      </w:pPr>
    </w:p>
  </w:footnote>
  <w:footnote w:id="2">
    <w:p w14:paraId="7935F32F" w14:textId="77777777" w:rsidR="002E5FE3" w:rsidRDefault="002E5FE3" w:rsidP="002E5FE3">
      <w:pPr>
        <w:pStyle w:val="FootnoteText"/>
      </w:pPr>
      <w:r>
        <w:rPr>
          <w:rStyle w:val="FootnoteReference"/>
        </w:rPr>
        <w:footnoteRef/>
      </w:r>
      <w:r>
        <w:t xml:space="preserve"> European Classification Of Individual Consumption by Purpose.</w:t>
      </w:r>
    </w:p>
  </w:footnote>
  <w:footnote w:id="3">
    <w:p w14:paraId="25BF3D73" w14:textId="77777777" w:rsidR="002E5FE3" w:rsidRDefault="002E5FE3" w:rsidP="002E5FE3">
      <w:pPr>
        <w:pStyle w:val="FootnoteText"/>
      </w:pPr>
      <w:r>
        <w:rPr>
          <w:rStyle w:val="FootnoteReference"/>
        </w:rPr>
        <w:footnoteRef/>
      </w:r>
      <w:r>
        <w:t xml:space="preserve"> This is also due to the fact that this group has the highest weight (17.7%). </w:t>
      </w:r>
    </w:p>
  </w:footnote>
  <w:footnote w:id="4">
    <w:p w14:paraId="0F7B452A" w14:textId="77777777" w:rsidR="002E5FE3" w:rsidRPr="00D249FB" w:rsidRDefault="002E5FE3" w:rsidP="002E5FE3">
      <w:pPr>
        <w:pStyle w:val="FootnoteText"/>
        <w:rPr>
          <w:rFonts w:eastAsia="Myriad Pro" w:cs="Myriad Pro"/>
          <w:color w:val="000000" w:themeColor="text1"/>
          <w:szCs w:val="16"/>
        </w:rPr>
      </w:pPr>
      <w:r>
        <w:rPr>
          <w:rStyle w:val="FootnoteReference"/>
          <w:szCs w:val="16"/>
        </w:rPr>
        <w:footnoteRef/>
      </w:r>
      <w:r>
        <w:t xml:space="preserve"> Activities R, S and T according to NACE classification</w:t>
      </w:r>
      <w:r>
        <w:rPr>
          <w:color w:val="000000" w:themeColor="text1"/>
        </w:rPr>
        <w:t xml:space="preserve">. </w:t>
      </w:r>
    </w:p>
  </w:footnote>
  <w:footnote w:id="5">
    <w:p w14:paraId="137386AF" w14:textId="77777777" w:rsidR="002E5FE3" w:rsidRDefault="002E5FE3" w:rsidP="002E5FE3">
      <w:pPr>
        <w:pStyle w:val="FootnoteText"/>
      </w:pPr>
      <w:r>
        <w:rPr>
          <w:rStyle w:val="FootnoteReference"/>
        </w:rPr>
        <w:footnoteRef/>
      </w:r>
      <w:r>
        <w:t xml:space="preserve"> According to the external trade statistics by SURS. Deflation and seasonal adjustment by IMAD. Total exports and imports adjusted for the estimate of goods processing in connection with the trade in pharmaceutical products with Switzerland.</w:t>
      </w:r>
    </w:p>
  </w:footnote>
  <w:footnote w:id="6">
    <w:p w14:paraId="52029953" w14:textId="77777777" w:rsidR="002E5FE3" w:rsidRDefault="002E5FE3" w:rsidP="002E5FE3">
      <w:pPr>
        <w:pStyle w:val="FootnoteText"/>
      </w:pPr>
      <w:r>
        <w:rPr>
          <w:rStyle w:val="FootnoteReference"/>
        </w:rPr>
        <w:footnoteRef/>
      </w:r>
      <w:r>
        <w:t xml:space="preserve"> Detailed data by SITC section are available until August 2023. </w:t>
      </w:r>
    </w:p>
  </w:footnote>
  <w:footnote w:id="7">
    <w:p w14:paraId="7FA2EA35" w14:textId="77777777" w:rsidR="002E5FE3" w:rsidRDefault="002E5FE3" w:rsidP="002E5FE3">
      <w:pPr>
        <w:pStyle w:val="FootnoteText"/>
      </w:pPr>
      <w:r>
        <w:rPr>
          <w:rStyle w:val="FootnoteReference"/>
        </w:rPr>
        <w:footnoteRef/>
      </w:r>
      <w:r>
        <w:t xml:space="preserve"> Sales of furniture and domestic appliances fell by 11%, and sales of computers and telecommunication equipment and books and sports equipment by 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0A66C" w14:textId="0815A761" w:rsidR="009A0978" w:rsidRDefault="009A0978" w:rsidP="00652795">
    <w:pPr>
      <w:jc w:val="right"/>
    </w:pPr>
    <w:r>
      <w:rPr>
        <w:noProof/>
      </w:rPr>
      <w:drawing>
        <wp:anchor distT="0" distB="0" distL="114300" distR="114300" simplePos="0" relativeHeight="251658240" behindDoc="0" locked="0" layoutInCell="1" allowOverlap="1" wp14:anchorId="254C5F65" wp14:editId="4ADD8BF1">
          <wp:simplePos x="0" y="0"/>
          <wp:positionH relativeFrom="column">
            <wp:posOffset>-313690</wp:posOffset>
          </wp:positionH>
          <wp:positionV relativeFrom="paragraph">
            <wp:posOffset>60960</wp:posOffset>
          </wp:positionV>
          <wp:extent cx="1155700" cy="1002030"/>
          <wp:effectExtent l="0" t="0" r="6350" b="7620"/>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UMAR logo"/>
                  <pic:cNvPicPr/>
                </pic:nvPicPr>
                <pic:blipFill>
                  <a:blip r:embed="rId1">
                    <a:extLst>
                      <a:ext uri="{28A0092B-C50C-407E-A947-70E740481C1C}">
                        <a14:useLocalDpi xmlns:a14="http://schemas.microsoft.com/office/drawing/2010/main" val="0"/>
                      </a:ext>
                    </a:extLst>
                  </a:blip>
                  <a:stretch>
                    <a:fillRect/>
                  </a:stretch>
                </pic:blipFill>
                <pic:spPr>
                  <a:xfrm>
                    <a:off x="0" y="0"/>
                    <a:ext cx="1155700" cy="1002030"/>
                  </a:xfrm>
                  <a:prstGeom prst="rect">
                    <a:avLst/>
                  </a:prstGeom>
                </pic:spPr>
              </pic:pic>
            </a:graphicData>
          </a:graphic>
          <wp14:sizeRelH relativeFrom="margin">
            <wp14:pctWidth>0</wp14:pctWidth>
          </wp14:sizeRelH>
          <wp14:sizeRelV relativeFrom="margin">
            <wp14:pctHeight>0</wp14:pctHeight>
          </wp14:sizeRelV>
        </wp:anchor>
      </w:drawing>
    </w:r>
    <w:r w:rsidR="005E0019">
      <w:t>6</w:t>
    </w:r>
    <w:r>
      <w:t xml:space="preserve"> </w:t>
    </w:r>
    <w:r w:rsidR="006921EB">
      <w:t>November</w:t>
    </w:r>
    <w:r>
      <w:t xml:space="preserve"> 2023</w:t>
    </w:r>
  </w:p>
  <w:p w14:paraId="4BCD6FCD" w14:textId="77777777" w:rsidR="009A0978" w:rsidRDefault="009A0978" w:rsidP="00FE7254">
    <w:pPr>
      <w:jc w:val="right"/>
    </w:pPr>
  </w:p>
  <w:p w14:paraId="2346E65D" w14:textId="77777777" w:rsidR="009A0978" w:rsidRDefault="009A0978" w:rsidP="00FE7254">
    <w:pPr>
      <w:jc w:val="right"/>
    </w:pPr>
  </w:p>
  <w:p w14:paraId="72003DEC" w14:textId="77777777" w:rsidR="009A0978" w:rsidRDefault="009A0978" w:rsidP="00FE7254">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0F943" w14:textId="77777777" w:rsidR="009A0978" w:rsidRPr="00C26C8D" w:rsidRDefault="009A0978" w:rsidP="00C26C8D">
    <w:pPr>
      <w:pStyle w:val="Header"/>
      <w:rPr>
        <w:b/>
      </w:rPr>
    </w:pPr>
    <w:r>
      <w:rPr>
        <w:b/>
      </w:rPr>
      <w:t>Table: Selected macroeconomic indicators for Slovenia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F54D5F"/>
    <w:multiLevelType w:val="hybridMultilevel"/>
    <w:tmpl w:val="20862290"/>
    <w:lvl w:ilvl="0" w:tplc="63DA2180">
      <w:start w:val="1"/>
      <w:numFmt w:val="bullet"/>
      <w:pStyle w:val="Besedilomanjealineje"/>
      <w:lvlText w:val=""/>
      <w:lvlJc w:val="left"/>
      <w:pPr>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7B2C16DD"/>
    <w:multiLevelType w:val="hybridMultilevel"/>
    <w:tmpl w:val="56B4C2AA"/>
    <w:lvl w:ilvl="0" w:tplc="B0B23E72">
      <w:start w:val="1"/>
      <w:numFmt w:val="bullet"/>
      <w:lvlText w:val=""/>
      <w:lvlJc w:val="left"/>
      <w:pPr>
        <w:tabs>
          <w:tab w:val="num" w:pos="720"/>
        </w:tabs>
        <w:ind w:left="720" w:hanging="360"/>
      </w:pPr>
      <w:rPr>
        <w:rFonts w:ascii="Symbol" w:hAnsi="Symbol" w:hint="default"/>
      </w:rPr>
    </w:lvl>
    <w:lvl w:ilvl="1" w:tplc="A6BC04BE" w:tentative="1">
      <w:start w:val="1"/>
      <w:numFmt w:val="bullet"/>
      <w:lvlText w:val=""/>
      <w:lvlJc w:val="left"/>
      <w:pPr>
        <w:tabs>
          <w:tab w:val="num" w:pos="1440"/>
        </w:tabs>
        <w:ind w:left="1440" w:hanging="360"/>
      </w:pPr>
      <w:rPr>
        <w:rFonts w:ascii="Symbol" w:hAnsi="Symbol" w:hint="default"/>
      </w:rPr>
    </w:lvl>
    <w:lvl w:ilvl="2" w:tplc="3EA8379E" w:tentative="1">
      <w:start w:val="1"/>
      <w:numFmt w:val="bullet"/>
      <w:lvlText w:val=""/>
      <w:lvlJc w:val="left"/>
      <w:pPr>
        <w:tabs>
          <w:tab w:val="num" w:pos="2160"/>
        </w:tabs>
        <w:ind w:left="2160" w:hanging="360"/>
      </w:pPr>
      <w:rPr>
        <w:rFonts w:ascii="Symbol" w:hAnsi="Symbol" w:hint="default"/>
      </w:rPr>
    </w:lvl>
    <w:lvl w:ilvl="3" w:tplc="003E917A" w:tentative="1">
      <w:start w:val="1"/>
      <w:numFmt w:val="bullet"/>
      <w:lvlText w:val=""/>
      <w:lvlJc w:val="left"/>
      <w:pPr>
        <w:tabs>
          <w:tab w:val="num" w:pos="2880"/>
        </w:tabs>
        <w:ind w:left="2880" w:hanging="360"/>
      </w:pPr>
      <w:rPr>
        <w:rFonts w:ascii="Symbol" w:hAnsi="Symbol" w:hint="default"/>
      </w:rPr>
    </w:lvl>
    <w:lvl w:ilvl="4" w:tplc="7AD01B9C" w:tentative="1">
      <w:start w:val="1"/>
      <w:numFmt w:val="bullet"/>
      <w:lvlText w:val=""/>
      <w:lvlJc w:val="left"/>
      <w:pPr>
        <w:tabs>
          <w:tab w:val="num" w:pos="3600"/>
        </w:tabs>
        <w:ind w:left="3600" w:hanging="360"/>
      </w:pPr>
      <w:rPr>
        <w:rFonts w:ascii="Symbol" w:hAnsi="Symbol" w:hint="default"/>
      </w:rPr>
    </w:lvl>
    <w:lvl w:ilvl="5" w:tplc="AA26F350" w:tentative="1">
      <w:start w:val="1"/>
      <w:numFmt w:val="bullet"/>
      <w:lvlText w:val=""/>
      <w:lvlJc w:val="left"/>
      <w:pPr>
        <w:tabs>
          <w:tab w:val="num" w:pos="4320"/>
        </w:tabs>
        <w:ind w:left="4320" w:hanging="360"/>
      </w:pPr>
      <w:rPr>
        <w:rFonts w:ascii="Symbol" w:hAnsi="Symbol" w:hint="default"/>
      </w:rPr>
    </w:lvl>
    <w:lvl w:ilvl="6" w:tplc="0DE0C0C2" w:tentative="1">
      <w:start w:val="1"/>
      <w:numFmt w:val="bullet"/>
      <w:lvlText w:val=""/>
      <w:lvlJc w:val="left"/>
      <w:pPr>
        <w:tabs>
          <w:tab w:val="num" w:pos="5040"/>
        </w:tabs>
        <w:ind w:left="5040" w:hanging="360"/>
      </w:pPr>
      <w:rPr>
        <w:rFonts w:ascii="Symbol" w:hAnsi="Symbol" w:hint="default"/>
      </w:rPr>
    </w:lvl>
    <w:lvl w:ilvl="7" w:tplc="73E484B2" w:tentative="1">
      <w:start w:val="1"/>
      <w:numFmt w:val="bullet"/>
      <w:lvlText w:val=""/>
      <w:lvlJc w:val="left"/>
      <w:pPr>
        <w:tabs>
          <w:tab w:val="num" w:pos="5760"/>
        </w:tabs>
        <w:ind w:left="5760" w:hanging="360"/>
      </w:pPr>
      <w:rPr>
        <w:rFonts w:ascii="Symbol" w:hAnsi="Symbol" w:hint="default"/>
      </w:rPr>
    </w:lvl>
    <w:lvl w:ilvl="8" w:tplc="4094F1A8"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hideSpellingErrors/>
  <w:hideGrammaticalErrors/>
  <w:defaultTabStop w:val="170"/>
  <w:hyphenationZone w:val="425"/>
  <w:drawingGridHorizontalSpacing w:val="4933"/>
  <w:drawingGridVerticalSpacing w:val="31185"/>
  <w:characterSpacingControl w:val="doNotCompress"/>
  <w:hdrShapeDefaults>
    <o:shapedefaults v:ext="edit" spidmax="757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C57"/>
    <w:rsid w:val="00001002"/>
    <w:rsid w:val="00004D56"/>
    <w:rsid w:val="00005E4B"/>
    <w:rsid w:val="00006CDC"/>
    <w:rsid w:val="00014A64"/>
    <w:rsid w:val="00015924"/>
    <w:rsid w:val="00016923"/>
    <w:rsid w:val="00021B8C"/>
    <w:rsid w:val="00022B08"/>
    <w:rsid w:val="0002391A"/>
    <w:rsid w:val="00024EF0"/>
    <w:rsid w:val="000257A3"/>
    <w:rsid w:val="00026AAA"/>
    <w:rsid w:val="0003025F"/>
    <w:rsid w:val="000407E8"/>
    <w:rsid w:val="00041021"/>
    <w:rsid w:val="0004116E"/>
    <w:rsid w:val="000425EA"/>
    <w:rsid w:val="0004410D"/>
    <w:rsid w:val="00050078"/>
    <w:rsid w:val="0005322C"/>
    <w:rsid w:val="00054458"/>
    <w:rsid w:val="00054692"/>
    <w:rsid w:val="00054B17"/>
    <w:rsid w:val="00055BD4"/>
    <w:rsid w:val="00060808"/>
    <w:rsid w:val="00061F03"/>
    <w:rsid w:val="00062E0D"/>
    <w:rsid w:val="00063EB4"/>
    <w:rsid w:val="00064E87"/>
    <w:rsid w:val="00065B72"/>
    <w:rsid w:val="00066060"/>
    <w:rsid w:val="00070313"/>
    <w:rsid w:val="000703C7"/>
    <w:rsid w:val="00070B6E"/>
    <w:rsid w:val="00071007"/>
    <w:rsid w:val="00073C2B"/>
    <w:rsid w:val="00077F13"/>
    <w:rsid w:val="000802F5"/>
    <w:rsid w:val="00083B7F"/>
    <w:rsid w:val="00087E6A"/>
    <w:rsid w:val="00092592"/>
    <w:rsid w:val="00092E40"/>
    <w:rsid w:val="00093214"/>
    <w:rsid w:val="00096101"/>
    <w:rsid w:val="00097DD5"/>
    <w:rsid w:val="000A36D3"/>
    <w:rsid w:val="000A5A42"/>
    <w:rsid w:val="000A6A64"/>
    <w:rsid w:val="000A7BDC"/>
    <w:rsid w:val="000B2332"/>
    <w:rsid w:val="000B2627"/>
    <w:rsid w:val="000B5B96"/>
    <w:rsid w:val="000C450B"/>
    <w:rsid w:val="000C529C"/>
    <w:rsid w:val="000C5DFC"/>
    <w:rsid w:val="000D3F8B"/>
    <w:rsid w:val="000D4661"/>
    <w:rsid w:val="000D7845"/>
    <w:rsid w:val="000E0101"/>
    <w:rsid w:val="000E0B03"/>
    <w:rsid w:val="000E0C96"/>
    <w:rsid w:val="000E78BA"/>
    <w:rsid w:val="000F18E2"/>
    <w:rsid w:val="000F2E14"/>
    <w:rsid w:val="000F5315"/>
    <w:rsid w:val="00101E8B"/>
    <w:rsid w:val="00110B3C"/>
    <w:rsid w:val="00111DFE"/>
    <w:rsid w:val="00112B3E"/>
    <w:rsid w:val="00115501"/>
    <w:rsid w:val="00115E8D"/>
    <w:rsid w:val="00116668"/>
    <w:rsid w:val="00120162"/>
    <w:rsid w:val="00121D90"/>
    <w:rsid w:val="00123A5A"/>
    <w:rsid w:val="00123D52"/>
    <w:rsid w:val="001255CD"/>
    <w:rsid w:val="0012725B"/>
    <w:rsid w:val="00127822"/>
    <w:rsid w:val="00133E20"/>
    <w:rsid w:val="0014161A"/>
    <w:rsid w:val="00150890"/>
    <w:rsid w:val="00150D0F"/>
    <w:rsid w:val="001557F1"/>
    <w:rsid w:val="0016111E"/>
    <w:rsid w:val="00161807"/>
    <w:rsid w:val="00162E99"/>
    <w:rsid w:val="00164543"/>
    <w:rsid w:val="00167096"/>
    <w:rsid w:val="00170703"/>
    <w:rsid w:val="00175B27"/>
    <w:rsid w:val="00176407"/>
    <w:rsid w:val="0018081D"/>
    <w:rsid w:val="00181CF5"/>
    <w:rsid w:val="00182319"/>
    <w:rsid w:val="001847BE"/>
    <w:rsid w:val="00187DC1"/>
    <w:rsid w:val="00190B5F"/>
    <w:rsid w:val="0019138D"/>
    <w:rsid w:val="00191F0E"/>
    <w:rsid w:val="00192B58"/>
    <w:rsid w:val="001A0B7D"/>
    <w:rsid w:val="001A0C6A"/>
    <w:rsid w:val="001A0C98"/>
    <w:rsid w:val="001A3E47"/>
    <w:rsid w:val="001A656B"/>
    <w:rsid w:val="001A72AB"/>
    <w:rsid w:val="001B475E"/>
    <w:rsid w:val="001B6AE7"/>
    <w:rsid w:val="001B6FAE"/>
    <w:rsid w:val="001B7402"/>
    <w:rsid w:val="001C03A0"/>
    <w:rsid w:val="001C2D69"/>
    <w:rsid w:val="001C3E55"/>
    <w:rsid w:val="001D1DF5"/>
    <w:rsid w:val="001D2917"/>
    <w:rsid w:val="001D3E77"/>
    <w:rsid w:val="001D6793"/>
    <w:rsid w:val="001D76BE"/>
    <w:rsid w:val="001E3587"/>
    <w:rsid w:val="001E3956"/>
    <w:rsid w:val="001E66B1"/>
    <w:rsid w:val="001F4E8F"/>
    <w:rsid w:val="001F4EE0"/>
    <w:rsid w:val="001F51CD"/>
    <w:rsid w:val="001F5764"/>
    <w:rsid w:val="002040EA"/>
    <w:rsid w:val="0020683D"/>
    <w:rsid w:val="00213015"/>
    <w:rsid w:val="00215DA0"/>
    <w:rsid w:val="00216FA6"/>
    <w:rsid w:val="002220F4"/>
    <w:rsid w:val="0022245A"/>
    <w:rsid w:val="002229E0"/>
    <w:rsid w:val="00222F75"/>
    <w:rsid w:val="0022644C"/>
    <w:rsid w:val="00226C04"/>
    <w:rsid w:val="002362D3"/>
    <w:rsid w:val="00236656"/>
    <w:rsid w:val="002374F8"/>
    <w:rsid w:val="0024091B"/>
    <w:rsid w:val="0024119A"/>
    <w:rsid w:val="00242C71"/>
    <w:rsid w:val="0024323E"/>
    <w:rsid w:val="00243593"/>
    <w:rsid w:val="0024378B"/>
    <w:rsid w:val="002461D2"/>
    <w:rsid w:val="00246CF1"/>
    <w:rsid w:val="002511CF"/>
    <w:rsid w:val="00252E25"/>
    <w:rsid w:val="00253AF0"/>
    <w:rsid w:val="002540FD"/>
    <w:rsid w:val="002551D9"/>
    <w:rsid w:val="00255F95"/>
    <w:rsid w:val="0026341B"/>
    <w:rsid w:val="00263CDF"/>
    <w:rsid w:val="0026509A"/>
    <w:rsid w:val="00271747"/>
    <w:rsid w:val="0027286B"/>
    <w:rsid w:val="00274D3F"/>
    <w:rsid w:val="0028665C"/>
    <w:rsid w:val="00290CA7"/>
    <w:rsid w:val="00291679"/>
    <w:rsid w:val="0029405F"/>
    <w:rsid w:val="00296BEC"/>
    <w:rsid w:val="002A62E5"/>
    <w:rsid w:val="002B025E"/>
    <w:rsid w:val="002B058F"/>
    <w:rsid w:val="002B113D"/>
    <w:rsid w:val="002B4319"/>
    <w:rsid w:val="002B4C3A"/>
    <w:rsid w:val="002B5361"/>
    <w:rsid w:val="002B617D"/>
    <w:rsid w:val="002B67C9"/>
    <w:rsid w:val="002C5AFE"/>
    <w:rsid w:val="002C75CC"/>
    <w:rsid w:val="002D46EF"/>
    <w:rsid w:val="002D753B"/>
    <w:rsid w:val="002D77C5"/>
    <w:rsid w:val="002E20DD"/>
    <w:rsid w:val="002E5FE3"/>
    <w:rsid w:val="002E64A4"/>
    <w:rsid w:val="002E655C"/>
    <w:rsid w:val="002E69B6"/>
    <w:rsid w:val="002E6F0D"/>
    <w:rsid w:val="002E6FAD"/>
    <w:rsid w:val="002E7284"/>
    <w:rsid w:val="002F00BB"/>
    <w:rsid w:val="002F0448"/>
    <w:rsid w:val="002F45CB"/>
    <w:rsid w:val="00301B51"/>
    <w:rsid w:val="00305883"/>
    <w:rsid w:val="00306767"/>
    <w:rsid w:val="00312D09"/>
    <w:rsid w:val="003159CC"/>
    <w:rsid w:val="00325655"/>
    <w:rsid w:val="0032707E"/>
    <w:rsid w:val="00327AF7"/>
    <w:rsid w:val="0033042F"/>
    <w:rsid w:val="003305D2"/>
    <w:rsid w:val="00330DEB"/>
    <w:rsid w:val="00331DD6"/>
    <w:rsid w:val="00333B2F"/>
    <w:rsid w:val="0034156F"/>
    <w:rsid w:val="00342F7A"/>
    <w:rsid w:val="0034385F"/>
    <w:rsid w:val="003443B1"/>
    <w:rsid w:val="00345706"/>
    <w:rsid w:val="00346E79"/>
    <w:rsid w:val="00350999"/>
    <w:rsid w:val="00350A64"/>
    <w:rsid w:val="003524EB"/>
    <w:rsid w:val="00355359"/>
    <w:rsid w:val="0035658B"/>
    <w:rsid w:val="00356832"/>
    <w:rsid w:val="00363E63"/>
    <w:rsid w:val="003640E5"/>
    <w:rsid w:val="00364A8F"/>
    <w:rsid w:val="00365D68"/>
    <w:rsid w:val="00366D68"/>
    <w:rsid w:val="00371828"/>
    <w:rsid w:val="00374467"/>
    <w:rsid w:val="00374B90"/>
    <w:rsid w:val="0037709E"/>
    <w:rsid w:val="00380056"/>
    <w:rsid w:val="00381BE5"/>
    <w:rsid w:val="00381F22"/>
    <w:rsid w:val="00381F6A"/>
    <w:rsid w:val="003831A6"/>
    <w:rsid w:val="0038500A"/>
    <w:rsid w:val="00386C31"/>
    <w:rsid w:val="00390947"/>
    <w:rsid w:val="00394109"/>
    <w:rsid w:val="00394FBC"/>
    <w:rsid w:val="00396859"/>
    <w:rsid w:val="003974F8"/>
    <w:rsid w:val="003A1B12"/>
    <w:rsid w:val="003A23E4"/>
    <w:rsid w:val="003A26B5"/>
    <w:rsid w:val="003A49D8"/>
    <w:rsid w:val="003A50F3"/>
    <w:rsid w:val="003B14A1"/>
    <w:rsid w:val="003B55C2"/>
    <w:rsid w:val="003B76CF"/>
    <w:rsid w:val="003B7B25"/>
    <w:rsid w:val="003C0556"/>
    <w:rsid w:val="003C1005"/>
    <w:rsid w:val="003C2454"/>
    <w:rsid w:val="003C3C52"/>
    <w:rsid w:val="003C44D9"/>
    <w:rsid w:val="003C4E6F"/>
    <w:rsid w:val="003C614E"/>
    <w:rsid w:val="003C6951"/>
    <w:rsid w:val="003D0FA7"/>
    <w:rsid w:val="003D1203"/>
    <w:rsid w:val="003D2CFA"/>
    <w:rsid w:val="003D3D5B"/>
    <w:rsid w:val="003D58DF"/>
    <w:rsid w:val="003D6601"/>
    <w:rsid w:val="003D697A"/>
    <w:rsid w:val="003E0230"/>
    <w:rsid w:val="003E5239"/>
    <w:rsid w:val="003E5ADA"/>
    <w:rsid w:val="003E5C15"/>
    <w:rsid w:val="003E64D6"/>
    <w:rsid w:val="003F30E4"/>
    <w:rsid w:val="003F4C1B"/>
    <w:rsid w:val="00403EF8"/>
    <w:rsid w:val="004041D4"/>
    <w:rsid w:val="0040719E"/>
    <w:rsid w:val="004079CD"/>
    <w:rsid w:val="004123A3"/>
    <w:rsid w:val="00415098"/>
    <w:rsid w:val="00416E12"/>
    <w:rsid w:val="004204B9"/>
    <w:rsid w:val="0042504D"/>
    <w:rsid w:val="004255B4"/>
    <w:rsid w:val="004271E0"/>
    <w:rsid w:val="00431E69"/>
    <w:rsid w:val="00431EDD"/>
    <w:rsid w:val="004351F9"/>
    <w:rsid w:val="004368FB"/>
    <w:rsid w:val="00444120"/>
    <w:rsid w:val="00445954"/>
    <w:rsid w:val="00446303"/>
    <w:rsid w:val="0044650F"/>
    <w:rsid w:val="0045024D"/>
    <w:rsid w:val="00452589"/>
    <w:rsid w:val="00452804"/>
    <w:rsid w:val="004533D3"/>
    <w:rsid w:val="0045444B"/>
    <w:rsid w:val="00454E68"/>
    <w:rsid w:val="00455141"/>
    <w:rsid w:val="00461BCB"/>
    <w:rsid w:val="00462BA6"/>
    <w:rsid w:val="004636A5"/>
    <w:rsid w:val="00464D01"/>
    <w:rsid w:val="00466595"/>
    <w:rsid w:val="00467144"/>
    <w:rsid w:val="0046726B"/>
    <w:rsid w:val="00467D2C"/>
    <w:rsid w:val="004712B8"/>
    <w:rsid w:val="004729A1"/>
    <w:rsid w:val="00472EF9"/>
    <w:rsid w:val="0047514E"/>
    <w:rsid w:val="00477274"/>
    <w:rsid w:val="0048123F"/>
    <w:rsid w:val="00485BB1"/>
    <w:rsid w:val="0049501B"/>
    <w:rsid w:val="00496E7F"/>
    <w:rsid w:val="004970E5"/>
    <w:rsid w:val="00497D53"/>
    <w:rsid w:val="004A37A6"/>
    <w:rsid w:val="004A574A"/>
    <w:rsid w:val="004A6A8D"/>
    <w:rsid w:val="004B013F"/>
    <w:rsid w:val="004B235F"/>
    <w:rsid w:val="004B2A84"/>
    <w:rsid w:val="004B402C"/>
    <w:rsid w:val="004B49B6"/>
    <w:rsid w:val="004C0A16"/>
    <w:rsid w:val="004C278D"/>
    <w:rsid w:val="004C2835"/>
    <w:rsid w:val="004C30D1"/>
    <w:rsid w:val="004C4D7C"/>
    <w:rsid w:val="004D0C06"/>
    <w:rsid w:val="004D1C88"/>
    <w:rsid w:val="004D2BC3"/>
    <w:rsid w:val="004D2D1C"/>
    <w:rsid w:val="004D4230"/>
    <w:rsid w:val="004D5D4E"/>
    <w:rsid w:val="004D63EF"/>
    <w:rsid w:val="004E107A"/>
    <w:rsid w:val="004E1AF2"/>
    <w:rsid w:val="004E1F41"/>
    <w:rsid w:val="004E2181"/>
    <w:rsid w:val="004F320B"/>
    <w:rsid w:val="004F3835"/>
    <w:rsid w:val="004F61F1"/>
    <w:rsid w:val="004F72E3"/>
    <w:rsid w:val="00506505"/>
    <w:rsid w:val="00506E6D"/>
    <w:rsid w:val="00520115"/>
    <w:rsid w:val="005224F3"/>
    <w:rsid w:val="005237A1"/>
    <w:rsid w:val="0052505D"/>
    <w:rsid w:val="005321D5"/>
    <w:rsid w:val="005326CC"/>
    <w:rsid w:val="00533109"/>
    <w:rsid w:val="00534457"/>
    <w:rsid w:val="005361E9"/>
    <w:rsid w:val="0054158F"/>
    <w:rsid w:val="005468A2"/>
    <w:rsid w:val="00546DBF"/>
    <w:rsid w:val="0055126B"/>
    <w:rsid w:val="00555A80"/>
    <w:rsid w:val="00560CB1"/>
    <w:rsid w:val="00561C9A"/>
    <w:rsid w:val="0056680E"/>
    <w:rsid w:val="00566D6E"/>
    <w:rsid w:val="00573CF2"/>
    <w:rsid w:val="0058006D"/>
    <w:rsid w:val="0058052D"/>
    <w:rsid w:val="005806D5"/>
    <w:rsid w:val="005965AF"/>
    <w:rsid w:val="00596B4C"/>
    <w:rsid w:val="005977D2"/>
    <w:rsid w:val="005A2EF5"/>
    <w:rsid w:val="005A70C8"/>
    <w:rsid w:val="005A7DEB"/>
    <w:rsid w:val="005B0C7D"/>
    <w:rsid w:val="005B3642"/>
    <w:rsid w:val="005B4C57"/>
    <w:rsid w:val="005B6FC5"/>
    <w:rsid w:val="005C1C2A"/>
    <w:rsid w:val="005C2106"/>
    <w:rsid w:val="005C2C5C"/>
    <w:rsid w:val="005C3B6F"/>
    <w:rsid w:val="005C489E"/>
    <w:rsid w:val="005C4D2E"/>
    <w:rsid w:val="005D285A"/>
    <w:rsid w:val="005D3726"/>
    <w:rsid w:val="005D7078"/>
    <w:rsid w:val="005D71A4"/>
    <w:rsid w:val="005E0019"/>
    <w:rsid w:val="005E6F08"/>
    <w:rsid w:val="005F0D7D"/>
    <w:rsid w:val="005F2004"/>
    <w:rsid w:val="005F5C51"/>
    <w:rsid w:val="00600E28"/>
    <w:rsid w:val="0060240D"/>
    <w:rsid w:val="0060300C"/>
    <w:rsid w:val="0060627C"/>
    <w:rsid w:val="00612374"/>
    <w:rsid w:val="00613F54"/>
    <w:rsid w:val="00613F73"/>
    <w:rsid w:val="00614A02"/>
    <w:rsid w:val="00623BBE"/>
    <w:rsid w:val="006269CE"/>
    <w:rsid w:val="00632222"/>
    <w:rsid w:val="0063497B"/>
    <w:rsid w:val="00637D5B"/>
    <w:rsid w:val="006421BC"/>
    <w:rsid w:val="00643ACC"/>
    <w:rsid w:val="00650921"/>
    <w:rsid w:val="00652795"/>
    <w:rsid w:val="00653A02"/>
    <w:rsid w:val="0065447B"/>
    <w:rsid w:val="00654FA7"/>
    <w:rsid w:val="006571E5"/>
    <w:rsid w:val="00657585"/>
    <w:rsid w:val="00662E1E"/>
    <w:rsid w:val="0066322D"/>
    <w:rsid w:val="0067095F"/>
    <w:rsid w:val="00670EF5"/>
    <w:rsid w:val="00671853"/>
    <w:rsid w:val="00681569"/>
    <w:rsid w:val="006851CA"/>
    <w:rsid w:val="006875F1"/>
    <w:rsid w:val="00687A6B"/>
    <w:rsid w:val="006921EB"/>
    <w:rsid w:val="00692347"/>
    <w:rsid w:val="00693635"/>
    <w:rsid w:val="006965FC"/>
    <w:rsid w:val="006979EF"/>
    <w:rsid w:val="006A15CC"/>
    <w:rsid w:val="006A1776"/>
    <w:rsid w:val="006A2CFB"/>
    <w:rsid w:val="006A595B"/>
    <w:rsid w:val="006A6820"/>
    <w:rsid w:val="006A7079"/>
    <w:rsid w:val="006B1CDC"/>
    <w:rsid w:val="006B3D3D"/>
    <w:rsid w:val="006B60A0"/>
    <w:rsid w:val="006B7430"/>
    <w:rsid w:val="006B7DA3"/>
    <w:rsid w:val="006C2117"/>
    <w:rsid w:val="006C27F8"/>
    <w:rsid w:val="006C2E31"/>
    <w:rsid w:val="006C6657"/>
    <w:rsid w:val="006C66CB"/>
    <w:rsid w:val="006C6FC9"/>
    <w:rsid w:val="006C7DB4"/>
    <w:rsid w:val="006D11B5"/>
    <w:rsid w:val="006D2439"/>
    <w:rsid w:val="006D3EED"/>
    <w:rsid w:val="006E1C81"/>
    <w:rsid w:val="006E51E3"/>
    <w:rsid w:val="006E6B3C"/>
    <w:rsid w:val="006F257C"/>
    <w:rsid w:val="006F3B53"/>
    <w:rsid w:val="00700737"/>
    <w:rsid w:val="007016EF"/>
    <w:rsid w:val="007121F2"/>
    <w:rsid w:val="00714319"/>
    <w:rsid w:val="00722B61"/>
    <w:rsid w:val="00723863"/>
    <w:rsid w:val="00731125"/>
    <w:rsid w:val="00731B6F"/>
    <w:rsid w:val="00737361"/>
    <w:rsid w:val="0074452D"/>
    <w:rsid w:val="0074466E"/>
    <w:rsid w:val="00744E82"/>
    <w:rsid w:val="007454DD"/>
    <w:rsid w:val="00750B0D"/>
    <w:rsid w:val="007511AD"/>
    <w:rsid w:val="00751346"/>
    <w:rsid w:val="00760562"/>
    <w:rsid w:val="00762194"/>
    <w:rsid w:val="00766241"/>
    <w:rsid w:val="00771468"/>
    <w:rsid w:val="00771D42"/>
    <w:rsid w:val="007761B2"/>
    <w:rsid w:val="00777337"/>
    <w:rsid w:val="0078321F"/>
    <w:rsid w:val="007835C9"/>
    <w:rsid w:val="00786303"/>
    <w:rsid w:val="0079410F"/>
    <w:rsid w:val="00795200"/>
    <w:rsid w:val="007971E2"/>
    <w:rsid w:val="007A0B59"/>
    <w:rsid w:val="007A1CD0"/>
    <w:rsid w:val="007A3A82"/>
    <w:rsid w:val="007A414F"/>
    <w:rsid w:val="007A49D6"/>
    <w:rsid w:val="007A5BDF"/>
    <w:rsid w:val="007A79D4"/>
    <w:rsid w:val="007B189A"/>
    <w:rsid w:val="007B5AB8"/>
    <w:rsid w:val="007B6C89"/>
    <w:rsid w:val="007B7110"/>
    <w:rsid w:val="007C26AA"/>
    <w:rsid w:val="007C4123"/>
    <w:rsid w:val="007C47C4"/>
    <w:rsid w:val="007C48CF"/>
    <w:rsid w:val="007D0791"/>
    <w:rsid w:val="007D164F"/>
    <w:rsid w:val="007D1929"/>
    <w:rsid w:val="007D3896"/>
    <w:rsid w:val="007D4A37"/>
    <w:rsid w:val="007E659C"/>
    <w:rsid w:val="007F0DED"/>
    <w:rsid w:val="007F1307"/>
    <w:rsid w:val="007F6069"/>
    <w:rsid w:val="00800BCD"/>
    <w:rsid w:val="00801D7A"/>
    <w:rsid w:val="00803C56"/>
    <w:rsid w:val="0080541B"/>
    <w:rsid w:val="00805D7C"/>
    <w:rsid w:val="00812D81"/>
    <w:rsid w:val="00820AB1"/>
    <w:rsid w:val="00827BAD"/>
    <w:rsid w:val="0083025B"/>
    <w:rsid w:val="0083204F"/>
    <w:rsid w:val="00833C7F"/>
    <w:rsid w:val="00835A2A"/>
    <w:rsid w:val="00840074"/>
    <w:rsid w:val="0084348E"/>
    <w:rsid w:val="008442F2"/>
    <w:rsid w:val="00852E3D"/>
    <w:rsid w:val="00856375"/>
    <w:rsid w:val="00860582"/>
    <w:rsid w:val="008649A7"/>
    <w:rsid w:val="008666F9"/>
    <w:rsid w:val="00874615"/>
    <w:rsid w:val="008752A0"/>
    <w:rsid w:val="00877AB3"/>
    <w:rsid w:val="00881B9A"/>
    <w:rsid w:val="00882BE5"/>
    <w:rsid w:val="00883786"/>
    <w:rsid w:val="00884A45"/>
    <w:rsid w:val="00885878"/>
    <w:rsid w:val="00886885"/>
    <w:rsid w:val="00886AD3"/>
    <w:rsid w:val="00887D7E"/>
    <w:rsid w:val="00890A09"/>
    <w:rsid w:val="00890AE9"/>
    <w:rsid w:val="0089259B"/>
    <w:rsid w:val="00896CDC"/>
    <w:rsid w:val="0089770B"/>
    <w:rsid w:val="008A0844"/>
    <w:rsid w:val="008A14E9"/>
    <w:rsid w:val="008A2E00"/>
    <w:rsid w:val="008A3BAE"/>
    <w:rsid w:val="008A60FC"/>
    <w:rsid w:val="008A7049"/>
    <w:rsid w:val="008B1DC9"/>
    <w:rsid w:val="008B53C7"/>
    <w:rsid w:val="008B7326"/>
    <w:rsid w:val="008C04C4"/>
    <w:rsid w:val="008C32FE"/>
    <w:rsid w:val="008C5025"/>
    <w:rsid w:val="008D03DA"/>
    <w:rsid w:val="008D3A98"/>
    <w:rsid w:val="008D52F1"/>
    <w:rsid w:val="008E245D"/>
    <w:rsid w:val="008E4669"/>
    <w:rsid w:val="008E65B2"/>
    <w:rsid w:val="008F2C7A"/>
    <w:rsid w:val="00902C77"/>
    <w:rsid w:val="0090688B"/>
    <w:rsid w:val="00910265"/>
    <w:rsid w:val="00910A6B"/>
    <w:rsid w:val="0091385F"/>
    <w:rsid w:val="00916FC4"/>
    <w:rsid w:val="0091753E"/>
    <w:rsid w:val="00926E02"/>
    <w:rsid w:val="0093604B"/>
    <w:rsid w:val="00936BD2"/>
    <w:rsid w:val="00942927"/>
    <w:rsid w:val="00943A1A"/>
    <w:rsid w:val="009446E5"/>
    <w:rsid w:val="00944DCF"/>
    <w:rsid w:val="00946C4C"/>
    <w:rsid w:val="009470CD"/>
    <w:rsid w:val="00947144"/>
    <w:rsid w:val="0095229A"/>
    <w:rsid w:val="00957866"/>
    <w:rsid w:val="00957EAF"/>
    <w:rsid w:val="00962B9A"/>
    <w:rsid w:val="00971564"/>
    <w:rsid w:val="0097375C"/>
    <w:rsid w:val="009740C1"/>
    <w:rsid w:val="0097488C"/>
    <w:rsid w:val="00974CB2"/>
    <w:rsid w:val="009759C5"/>
    <w:rsid w:val="00977C31"/>
    <w:rsid w:val="00982A57"/>
    <w:rsid w:val="009840A7"/>
    <w:rsid w:val="00985EE4"/>
    <w:rsid w:val="009908D8"/>
    <w:rsid w:val="009918B9"/>
    <w:rsid w:val="009930B0"/>
    <w:rsid w:val="00993218"/>
    <w:rsid w:val="009934E3"/>
    <w:rsid w:val="0099530C"/>
    <w:rsid w:val="009A0978"/>
    <w:rsid w:val="009A1E12"/>
    <w:rsid w:val="009A3C7B"/>
    <w:rsid w:val="009A7163"/>
    <w:rsid w:val="009B1E15"/>
    <w:rsid w:val="009B5675"/>
    <w:rsid w:val="009B6E8F"/>
    <w:rsid w:val="009C1BE7"/>
    <w:rsid w:val="009C337E"/>
    <w:rsid w:val="009C3DB0"/>
    <w:rsid w:val="009C4C87"/>
    <w:rsid w:val="009D0E1C"/>
    <w:rsid w:val="009D311B"/>
    <w:rsid w:val="009D4435"/>
    <w:rsid w:val="009E45E5"/>
    <w:rsid w:val="009E520E"/>
    <w:rsid w:val="009E540B"/>
    <w:rsid w:val="009F074F"/>
    <w:rsid w:val="009F100D"/>
    <w:rsid w:val="009F2107"/>
    <w:rsid w:val="009F3678"/>
    <w:rsid w:val="009F41FB"/>
    <w:rsid w:val="009F6F44"/>
    <w:rsid w:val="009F75CB"/>
    <w:rsid w:val="00A00655"/>
    <w:rsid w:val="00A03401"/>
    <w:rsid w:val="00A03639"/>
    <w:rsid w:val="00A05383"/>
    <w:rsid w:val="00A06312"/>
    <w:rsid w:val="00A072AA"/>
    <w:rsid w:val="00A07777"/>
    <w:rsid w:val="00A107AD"/>
    <w:rsid w:val="00A129FF"/>
    <w:rsid w:val="00A15DA9"/>
    <w:rsid w:val="00A21B66"/>
    <w:rsid w:val="00A22817"/>
    <w:rsid w:val="00A236E8"/>
    <w:rsid w:val="00A242E2"/>
    <w:rsid w:val="00A30DB1"/>
    <w:rsid w:val="00A31A3F"/>
    <w:rsid w:val="00A35FCE"/>
    <w:rsid w:val="00A41697"/>
    <w:rsid w:val="00A42839"/>
    <w:rsid w:val="00A438E1"/>
    <w:rsid w:val="00A44699"/>
    <w:rsid w:val="00A47428"/>
    <w:rsid w:val="00A51BB9"/>
    <w:rsid w:val="00A549BD"/>
    <w:rsid w:val="00A554F6"/>
    <w:rsid w:val="00A5668B"/>
    <w:rsid w:val="00A62351"/>
    <w:rsid w:val="00A62CC0"/>
    <w:rsid w:val="00A703DF"/>
    <w:rsid w:val="00A7050D"/>
    <w:rsid w:val="00A72977"/>
    <w:rsid w:val="00A736A0"/>
    <w:rsid w:val="00A75761"/>
    <w:rsid w:val="00A76391"/>
    <w:rsid w:val="00A77C5D"/>
    <w:rsid w:val="00A8004F"/>
    <w:rsid w:val="00A807D0"/>
    <w:rsid w:val="00A8329F"/>
    <w:rsid w:val="00A8549D"/>
    <w:rsid w:val="00A87E78"/>
    <w:rsid w:val="00A91FD7"/>
    <w:rsid w:val="00A93BFF"/>
    <w:rsid w:val="00A95572"/>
    <w:rsid w:val="00A96032"/>
    <w:rsid w:val="00AA0B7E"/>
    <w:rsid w:val="00AA1F25"/>
    <w:rsid w:val="00AA3703"/>
    <w:rsid w:val="00AA633F"/>
    <w:rsid w:val="00AA6CDE"/>
    <w:rsid w:val="00AB0C65"/>
    <w:rsid w:val="00AB6034"/>
    <w:rsid w:val="00AB6C3C"/>
    <w:rsid w:val="00AB78C2"/>
    <w:rsid w:val="00AC328B"/>
    <w:rsid w:val="00AC3A8F"/>
    <w:rsid w:val="00AC6654"/>
    <w:rsid w:val="00AD1100"/>
    <w:rsid w:val="00AD62C9"/>
    <w:rsid w:val="00AD675D"/>
    <w:rsid w:val="00AD6EFF"/>
    <w:rsid w:val="00AE2753"/>
    <w:rsid w:val="00AE3184"/>
    <w:rsid w:val="00AE3298"/>
    <w:rsid w:val="00AE3A0D"/>
    <w:rsid w:val="00AE4AFE"/>
    <w:rsid w:val="00AE5CA1"/>
    <w:rsid w:val="00AE6F57"/>
    <w:rsid w:val="00AE74D8"/>
    <w:rsid w:val="00AF17FE"/>
    <w:rsid w:val="00AF1FB6"/>
    <w:rsid w:val="00AF3058"/>
    <w:rsid w:val="00AF4DD8"/>
    <w:rsid w:val="00AF5265"/>
    <w:rsid w:val="00AF5EE3"/>
    <w:rsid w:val="00AF6CE4"/>
    <w:rsid w:val="00AF7D8F"/>
    <w:rsid w:val="00B00E5E"/>
    <w:rsid w:val="00B069D8"/>
    <w:rsid w:val="00B10FE7"/>
    <w:rsid w:val="00B11BB6"/>
    <w:rsid w:val="00B125C9"/>
    <w:rsid w:val="00B12AB7"/>
    <w:rsid w:val="00B144A1"/>
    <w:rsid w:val="00B20B53"/>
    <w:rsid w:val="00B21996"/>
    <w:rsid w:val="00B220A3"/>
    <w:rsid w:val="00B226C8"/>
    <w:rsid w:val="00B2692B"/>
    <w:rsid w:val="00B30231"/>
    <w:rsid w:val="00B32724"/>
    <w:rsid w:val="00B356B6"/>
    <w:rsid w:val="00B3704F"/>
    <w:rsid w:val="00B37413"/>
    <w:rsid w:val="00B40FC8"/>
    <w:rsid w:val="00B451B6"/>
    <w:rsid w:val="00B451BA"/>
    <w:rsid w:val="00B52F7E"/>
    <w:rsid w:val="00B545B7"/>
    <w:rsid w:val="00B56388"/>
    <w:rsid w:val="00B614F9"/>
    <w:rsid w:val="00B615A1"/>
    <w:rsid w:val="00B61616"/>
    <w:rsid w:val="00B725B0"/>
    <w:rsid w:val="00B738F6"/>
    <w:rsid w:val="00B76526"/>
    <w:rsid w:val="00B8133E"/>
    <w:rsid w:val="00B82B15"/>
    <w:rsid w:val="00B8300F"/>
    <w:rsid w:val="00B92DA1"/>
    <w:rsid w:val="00B9429F"/>
    <w:rsid w:val="00B95E76"/>
    <w:rsid w:val="00BA06C6"/>
    <w:rsid w:val="00BA0F00"/>
    <w:rsid w:val="00BA17CB"/>
    <w:rsid w:val="00BA1DBC"/>
    <w:rsid w:val="00BA206E"/>
    <w:rsid w:val="00BA4013"/>
    <w:rsid w:val="00BA4836"/>
    <w:rsid w:val="00BA51FC"/>
    <w:rsid w:val="00BA5775"/>
    <w:rsid w:val="00BB361C"/>
    <w:rsid w:val="00BB596B"/>
    <w:rsid w:val="00BB6063"/>
    <w:rsid w:val="00BB6DF6"/>
    <w:rsid w:val="00BB73B2"/>
    <w:rsid w:val="00BC08EA"/>
    <w:rsid w:val="00BC41EA"/>
    <w:rsid w:val="00BC7B39"/>
    <w:rsid w:val="00BD11DE"/>
    <w:rsid w:val="00BD270C"/>
    <w:rsid w:val="00BD6B2F"/>
    <w:rsid w:val="00BE692D"/>
    <w:rsid w:val="00BF2574"/>
    <w:rsid w:val="00BF2667"/>
    <w:rsid w:val="00BF2BFC"/>
    <w:rsid w:val="00BF2D20"/>
    <w:rsid w:val="00BF2F81"/>
    <w:rsid w:val="00BF39BE"/>
    <w:rsid w:val="00BF615A"/>
    <w:rsid w:val="00BF64FF"/>
    <w:rsid w:val="00C0394F"/>
    <w:rsid w:val="00C065C3"/>
    <w:rsid w:val="00C101AE"/>
    <w:rsid w:val="00C11346"/>
    <w:rsid w:val="00C11F86"/>
    <w:rsid w:val="00C15F4B"/>
    <w:rsid w:val="00C170D6"/>
    <w:rsid w:val="00C26C8D"/>
    <w:rsid w:val="00C31DD3"/>
    <w:rsid w:val="00C45012"/>
    <w:rsid w:val="00C54755"/>
    <w:rsid w:val="00C57605"/>
    <w:rsid w:val="00C62501"/>
    <w:rsid w:val="00C65B2C"/>
    <w:rsid w:val="00C70AD6"/>
    <w:rsid w:val="00C73E30"/>
    <w:rsid w:val="00C74201"/>
    <w:rsid w:val="00C75108"/>
    <w:rsid w:val="00C75FAF"/>
    <w:rsid w:val="00C765E5"/>
    <w:rsid w:val="00C80811"/>
    <w:rsid w:val="00C8316C"/>
    <w:rsid w:val="00C926E8"/>
    <w:rsid w:val="00C92B01"/>
    <w:rsid w:val="00C96FE7"/>
    <w:rsid w:val="00CA6734"/>
    <w:rsid w:val="00CB185C"/>
    <w:rsid w:val="00CB2C49"/>
    <w:rsid w:val="00CB6AC7"/>
    <w:rsid w:val="00CC6016"/>
    <w:rsid w:val="00CC6777"/>
    <w:rsid w:val="00CE3753"/>
    <w:rsid w:val="00CE5C98"/>
    <w:rsid w:val="00CF4288"/>
    <w:rsid w:val="00CF5F66"/>
    <w:rsid w:val="00CF6407"/>
    <w:rsid w:val="00D002F9"/>
    <w:rsid w:val="00D04063"/>
    <w:rsid w:val="00D04ECC"/>
    <w:rsid w:val="00D1159C"/>
    <w:rsid w:val="00D127B3"/>
    <w:rsid w:val="00D149C7"/>
    <w:rsid w:val="00D21920"/>
    <w:rsid w:val="00D232D1"/>
    <w:rsid w:val="00D24CD5"/>
    <w:rsid w:val="00D25360"/>
    <w:rsid w:val="00D269D1"/>
    <w:rsid w:val="00D2766A"/>
    <w:rsid w:val="00D27BDB"/>
    <w:rsid w:val="00D312B6"/>
    <w:rsid w:val="00D314BE"/>
    <w:rsid w:val="00D33C9A"/>
    <w:rsid w:val="00D33D88"/>
    <w:rsid w:val="00D35253"/>
    <w:rsid w:val="00D41ECD"/>
    <w:rsid w:val="00D44A56"/>
    <w:rsid w:val="00D455E8"/>
    <w:rsid w:val="00D459DF"/>
    <w:rsid w:val="00D46AC2"/>
    <w:rsid w:val="00D47930"/>
    <w:rsid w:val="00D569EB"/>
    <w:rsid w:val="00D6286F"/>
    <w:rsid w:val="00D63CDD"/>
    <w:rsid w:val="00D63F14"/>
    <w:rsid w:val="00D64755"/>
    <w:rsid w:val="00D6735E"/>
    <w:rsid w:val="00D67FB0"/>
    <w:rsid w:val="00D71373"/>
    <w:rsid w:val="00D7306E"/>
    <w:rsid w:val="00D7442E"/>
    <w:rsid w:val="00D76360"/>
    <w:rsid w:val="00D804B1"/>
    <w:rsid w:val="00D80CC5"/>
    <w:rsid w:val="00D8114D"/>
    <w:rsid w:val="00D8684F"/>
    <w:rsid w:val="00D86A89"/>
    <w:rsid w:val="00D87533"/>
    <w:rsid w:val="00D90505"/>
    <w:rsid w:val="00D92F22"/>
    <w:rsid w:val="00D95B56"/>
    <w:rsid w:val="00DA3067"/>
    <w:rsid w:val="00DA6949"/>
    <w:rsid w:val="00DB13A7"/>
    <w:rsid w:val="00DB1C32"/>
    <w:rsid w:val="00DC022D"/>
    <w:rsid w:val="00DC2376"/>
    <w:rsid w:val="00DC23A5"/>
    <w:rsid w:val="00DC5019"/>
    <w:rsid w:val="00DD1910"/>
    <w:rsid w:val="00DD2182"/>
    <w:rsid w:val="00DE2568"/>
    <w:rsid w:val="00DE2EA9"/>
    <w:rsid w:val="00DE4ACB"/>
    <w:rsid w:val="00DE5B2B"/>
    <w:rsid w:val="00DE60F9"/>
    <w:rsid w:val="00DE72F6"/>
    <w:rsid w:val="00DF1DFE"/>
    <w:rsid w:val="00DF3707"/>
    <w:rsid w:val="00DF4F0B"/>
    <w:rsid w:val="00DF67EB"/>
    <w:rsid w:val="00DF7AA6"/>
    <w:rsid w:val="00E00D93"/>
    <w:rsid w:val="00E02608"/>
    <w:rsid w:val="00E02749"/>
    <w:rsid w:val="00E11672"/>
    <w:rsid w:val="00E1314C"/>
    <w:rsid w:val="00E1322D"/>
    <w:rsid w:val="00E1638D"/>
    <w:rsid w:val="00E1644B"/>
    <w:rsid w:val="00E2081C"/>
    <w:rsid w:val="00E27D5E"/>
    <w:rsid w:val="00E31B72"/>
    <w:rsid w:val="00E3247B"/>
    <w:rsid w:val="00E32672"/>
    <w:rsid w:val="00E33404"/>
    <w:rsid w:val="00E37D62"/>
    <w:rsid w:val="00E4211E"/>
    <w:rsid w:val="00E422FE"/>
    <w:rsid w:val="00E42A69"/>
    <w:rsid w:val="00E4350C"/>
    <w:rsid w:val="00E44048"/>
    <w:rsid w:val="00E50887"/>
    <w:rsid w:val="00E518F8"/>
    <w:rsid w:val="00E56CF8"/>
    <w:rsid w:val="00E62157"/>
    <w:rsid w:val="00E666CD"/>
    <w:rsid w:val="00E7094F"/>
    <w:rsid w:val="00E7484B"/>
    <w:rsid w:val="00E74996"/>
    <w:rsid w:val="00E75E61"/>
    <w:rsid w:val="00E7791D"/>
    <w:rsid w:val="00E814D0"/>
    <w:rsid w:val="00E81806"/>
    <w:rsid w:val="00E84707"/>
    <w:rsid w:val="00E861F4"/>
    <w:rsid w:val="00E86721"/>
    <w:rsid w:val="00E8794E"/>
    <w:rsid w:val="00E915A6"/>
    <w:rsid w:val="00E919F2"/>
    <w:rsid w:val="00EA0317"/>
    <w:rsid w:val="00EA421C"/>
    <w:rsid w:val="00EA4574"/>
    <w:rsid w:val="00EA6A7B"/>
    <w:rsid w:val="00EA7D9D"/>
    <w:rsid w:val="00EB5F8A"/>
    <w:rsid w:val="00EC03BE"/>
    <w:rsid w:val="00EC10EA"/>
    <w:rsid w:val="00EC32EE"/>
    <w:rsid w:val="00EC57D6"/>
    <w:rsid w:val="00EC7207"/>
    <w:rsid w:val="00EC7394"/>
    <w:rsid w:val="00EC7F28"/>
    <w:rsid w:val="00ED158E"/>
    <w:rsid w:val="00ED4168"/>
    <w:rsid w:val="00ED5889"/>
    <w:rsid w:val="00ED591A"/>
    <w:rsid w:val="00EE0806"/>
    <w:rsid w:val="00EE4CF6"/>
    <w:rsid w:val="00EE6669"/>
    <w:rsid w:val="00EE6D25"/>
    <w:rsid w:val="00EE7E6E"/>
    <w:rsid w:val="00EF1EC5"/>
    <w:rsid w:val="00EF299D"/>
    <w:rsid w:val="00EF5D58"/>
    <w:rsid w:val="00EF672E"/>
    <w:rsid w:val="00F04564"/>
    <w:rsid w:val="00F05302"/>
    <w:rsid w:val="00F06812"/>
    <w:rsid w:val="00F071DA"/>
    <w:rsid w:val="00F12BD0"/>
    <w:rsid w:val="00F212CA"/>
    <w:rsid w:val="00F21549"/>
    <w:rsid w:val="00F22F14"/>
    <w:rsid w:val="00F24029"/>
    <w:rsid w:val="00F24273"/>
    <w:rsid w:val="00F2747A"/>
    <w:rsid w:val="00F304EF"/>
    <w:rsid w:val="00F31CA1"/>
    <w:rsid w:val="00F326C9"/>
    <w:rsid w:val="00F326CE"/>
    <w:rsid w:val="00F32C57"/>
    <w:rsid w:val="00F35718"/>
    <w:rsid w:val="00F409C1"/>
    <w:rsid w:val="00F41187"/>
    <w:rsid w:val="00F41E1A"/>
    <w:rsid w:val="00F43D0E"/>
    <w:rsid w:val="00F43F6C"/>
    <w:rsid w:val="00F45E68"/>
    <w:rsid w:val="00F47B15"/>
    <w:rsid w:val="00F545EF"/>
    <w:rsid w:val="00F549BE"/>
    <w:rsid w:val="00F55E33"/>
    <w:rsid w:val="00F567E2"/>
    <w:rsid w:val="00F57C31"/>
    <w:rsid w:val="00F60147"/>
    <w:rsid w:val="00F65156"/>
    <w:rsid w:val="00F66E1B"/>
    <w:rsid w:val="00F66FE5"/>
    <w:rsid w:val="00F70A74"/>
    <w:rsid w:val="00F7118E"/>
    <w:rsid w:val="00F75751"/>
    <w:rsid w:val="00F759C1"/>
    <w:rsid w:val="00F8294E"/>
    <w:rsid w:val="00F8388D"/>
    <w:rsid w:val="00F91FE1"/>
    <w:rsid w:val="00F930F6"/>
    <w:rsid w:val="00F931DB"/>
    <w:rsid w:val="00FA45E3"/>
    <w:rsid w:val="00FA4C4B"/>
    <w:rsid w:val="00FA7397"/>
    <w:rsid w:val="00FB24ED"/>
    <w:rsid w:val="00FB2DCD"/>
    <w:rsid w:val="00FB5533"/>
    <w:rsid w:val="00FB6F03"/>
    <w:rsid w:val="00FC12D6"/>
    <w:rsid w:val="00FC2954"/>
    <w:rsid w:val="00FC42A6"/>
    <w:rsid w:val="00FC4E13"/>
    <w:rsid w:val="00FC639A"/>
    <w:rsid w:val="00FD01CA"/>
    <w:rsid w:val="00FD1641"/>
    <w:rsid w:val="00FD3751"/>
    <w:rsid w:val="00FD51D8"/>
    <w:rsid w:val="00FD6B74"/>
    <w:rsid w:val="00FE12B1"/>
    <w:rsid w:val="00FE625D"/>
    <w:rsid w:val="00FE7254"/>
    <w:rsid w:val="00FF0BCD"/>
    <w:rsid w:val="00FF187C"/>
    <w:rsid w:val="00FF4415"/>
    <w:rsid w:val="00FF5CF4"/>
    <w:rsid w:val="0161D57A"/>
    <w:rsid w:val="0187B876"/>
    <w:rsid w:val="0242521C"/>
    <w:rsid w:val="035D91B3"/>
    <w:rsid w:val="036EAB16"/>
    <w:rsid w:val="03E5D857"/>
    <w:rsid w:val="0411597F"/>
    <w:rsid w:val="05175898"/>
    <w:rsid w:val="06A0D8CF"/>
    <w:rsid w:val="0879C2C3"/>
    <w:rsid w:val="0A22FA7C"/>
    <w:rsid w:val="0B8BA41C"/>
    <w:rsid w:val="0C2FAB6C"/>
    <w:rsid w:val="0CA2C3CC"/>
    <w:rsid w:val="0DBC376B"/>
    <w:rsid w:val="0ECFDBEA"/>
    <w:rsid w:val="0F2DFF10"/>
    <w:rsid w:val="104BF435"/>
    <w:rsid w:val="12C59ED2"/>
    <w:rsid w:val="14D773A8"/>
    <w:rsid w:val="15648222"/>
    <w:rsid w:val="161A47A2"/>
    <w:rsid w:val="16D7EF1A"/>
    <w:rsid w:val="1A6010B3"/>
    <w:rsid w:val="1EAB80BA"/>
    <w:rsid w:val="1F7749D5"/>
    <w:rsid w:val="1F8EE846"/>
    <w:rsid w:val="20B5DC81"/>
    <w:rsid w:val="20FFA904"/>
    <w:rsid w:val="21F19F53"/>
    <w:rsid w:val="25AD6274"/>
    <w:rsid w:val="269637BF"/>
    <w:rsid w:val="2718FE7D"/>
    <w:rsid w:val="29418CB0"/>
    <w:rsid w:val="295213D4"/>
    <w:rsid w:val="2C239232"/>
    <w:rsid w:val="2C9C4664"/>
    <w:rsid w:val="2CBA2D16"/>
    <w:rsid w:val="2CE1AD55"/>
    <w:rsid w:val="2D6C1016"/>
    <w:rsid w:val="2EDD5153"/>
    <w:rsid w:val="2F11B8C3"/>
    <w:rsid w:val="2FE10101"/>
    <w:rsid w:val="302CF70A"/>
    <w:rsid w:val="3114DAE0"/>
    <w:rsid w:val="312594C6"/>
    <w:rsid w:val="316DABEB"/>
    <w:rsid w:val="323F8139"/>
    <w:rsid w:val="3250E8AC"/>
    <w:rsid w:val="357D5926"/>
    <w:rsid w:val="35ED4FA4"/>
    <w:rsid w:val="36A91F9E"/>
    <w:rsid w:val="37357142"/>
    <w:rsid w:val="378A9F6A"/>
    <w:rsid w:val="3922BE47"/>
    <w:rsid w:val="3937B379"/>
    <w:rsid w:val="39D0784F"/>
    <w:rsid w:val="3B3F86CB"/>
    <w:rsid w:val="3B4DCA80"/>
    <w:rsid w:val="3BB8CE85"/>
    <w:rsid w:val="3C773F3A"/>
    <w:rsid w:val="3E75F6D3"/>
    <w:rsid w:val="3EB1AAAD"/>
    <w:rsid w:val="3EF8B526"/>
    <w:rsid w:val="3F164357"/>
    <w:rsid w:val="3FF4CF64"/>
    <w:rsid w:val="40744006"/>
    <w:rsid w:val="411F72FE"/>
    <w:rsid w:val="411F74E2"/>
    <w:rsid w:val="414C2577"/>
    <w:rsid w:val="42F9848C"/>
    <w:rsid w:val="42F98632"/>
    <w:rsid w:val="43D1A6BA"/>
    <w:rsid w:val="4419D94E"/>
    <w:rsid w:val="4482A7C8"/>
    <w:rsid w:val="45F4638A"/>
    <w:rsid w:val="46B97D34"/>
    <w:rsid w:val="47E1DCDE"/>
    <w:rsid w:val="47EE5EC8"/>
    <w:rsid w:val="481F72C6"/>
    <w:rsid w:val="48FD4927"/>
    <w:rsid w:val="4904A5F1"/>
    <w:rsid w:val="49F83CA4"/>
    <w:rsid w:val="4A5B5AB9"/>
    <w:rsid w:val="4B7CDE3D"/>
    <w:rsid w:val="4BD44F24"/>
    <w:rsid w:val="4C85C691"/>
    <w:rsid w:val="4D493203"/>
    <w:rsid w:val="4EA37C92"/>
    <w:rsid w:val="4EB6BA3F"/>
    <w:rsid w:val="5112C08A"/>
    <w:rsid w:val="512B9E57"/>
    <w:rsid w:val="513F19C9"/>
    <w:rsid w:val="527F3DC7"/>
    <w:rsid w:val="53CA7002"/>
    <w:rsid w:val="562B79E7"/>
    <w:rsid w:val="566D5039"/>
    <w:rsid w:val="571BE96C"/>
    <w:rsid w:val="57C914CA"/>
    <w:rsid w:val="5823843A"/>
    <w:rsid w:val="5A136CE7"/>
    <w:rsid w:val="5A3D49DC"/>
    <w:rsid w:val="5A95B96C"/>
    <w:rsid w:val="5AC3467A"/>
    <w:rsid w:val="5B6E5ACE"/>
    <w:rsid w:val="5BEE6921"/>
    <w:rsid w:val="5C6F4CE4"/>
    <w:rsid w:val="5D407D35"/>
    <w:rsid w:val="600C1C4A"/>
    <w:rsid w:val="60224628"/>
    <w:rsid w:val="61085E36"/>
    <w:rsid w:val="62C72026"/>
    <w:rsid w:val="63D1D961"/>
    <w:rsid w:val="649F18FF"/>
    <w:rsid w:val="651FFC22"/>
    <w:rsid w:val="671D19AE"/>
    <w:rsid w:val="68679EEF"/>
    <w:rsid w:val="68F4E630"/>
    <w:rsid w:val="6925969B"/>
    <w:rsid w:val="694F8E51"/>
    <w:rsid w:val="69C76206"/>
    <w:rsid w:val="69E525D3"/>
    <w:rsid w:val="6A6A88CE"/>
    <w:rsid w:val="6B41F19E"/>
    <w:rsid w:val="6B63BEAE"/>
    <w:rsid w:val="6CC40164"/>
    <w:rsid w:val="6D05E979"/>
    <w:rsid w:val="6E6BAAF4"/>
    <w:rsid w:val="6EF97F23"/>
    <w:rsid w:val="6F51BE89"/>
    <w:rsid w:val="7118C660"/>
    <w:rsid w:val="712D06C0"/>
    <w:rsid w:val="7136474C"/>
    <w:rsid w:val="71980AC5"/>
    <w:rsid w:val="73BC9E90"/>
    <w:rsid w:val="746275F1"/>
    <w:rsid w:val="74C197DE"/>
    <w:rsid w:val="75652413"/>
    <w:rsid w:val="7573E9C2"/>
    <w:rsid w:val="76BA40C8"/>
    <w:rsid w:val="7770123F"/>
    <w:rsid w:val="786D1FB6"/>
    <w:rsid w:val="78BA9E44"/>
    <w:rsid w:val="7C209A51"/>
    <w:rsid w:val="7C5CE89E"/>
    <w:rsid w:val="7DA0C8D2"/>
    <w:rsid w:val="7DC82E2C"/>
    <w:rsid w:val="7E22E588"/>
    <w:rsid w:val="7F11A989"/>
    <w:rsid w:val="7F77A668"/>
    <w:rsid w:val="7F878FE4"/>
    <w:rsid w:val="7FD2A06D"/>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453E77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esedilo"/>
    <w:qFormat/>
    <w:rsid w:val="00363E63"/>
    <w:pPr>
      <w:spacing w:after="0" w:line="250" w:lineRule="atLeast"/>
      <w:jc w:val="both"/>
    </w:pPr>
    <w:rPr>
      <w:rFonts w:ascii="Myriad Pro" w:hAnsi="Myriad Pro"/>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497B"/>
    <w:pPr>
      <w:tabs>
        <w:tab w:val="center" w:pos="4536"/>
        <w:tab w:val="right" w:pos="9072"/>
      </w:tabs>
      <w:spacing w:line="240" w:lineRule="auto"/>
    </w:pPr>
  </w:style>
  <w:style w:type="character" w:customStyle="1" w:styleId="HeaderChar">
    <w:name w:val="Header Char"/>
    <w:basedOn w:val="DefaultParagraphFont"/>
    <w:link w:val="Header"/>
    <w:uiPriority w:val="99"/>
    <w:rsid w:val="0063497B"/>
  </w:style>
  <w:style w:type="paragraph" w:styleId="Footer">
    <w:name w:val="footer"/>
    <w:basedOn w:val="Normal"/>
    <w:link w:val="FooterChar"/>
    <w:uiPriority w:val="99"/>
    <w:unhideWhenUsed/>
    <w:rsid w:val="0063497B"/>
    <w:pPr>
      <w:tabs>
        <w:tab w:val="center" w:pos="4536"/>
        <w:tab w:val="right" w:pos="9072"/>
      </w:tabs>
      <w:spacing w:line="240" w:lineRule="auto"/>
    </w:pPr>
  </w:style>
  <w:style w:type="character" w:customStyle="1" w:styleId="FooterChar">
    <w:name w:val="Footer Char"/>
    <w:basedOn w:val="DefaultParagraphFont"/>
    <w:link w:val="Footer"/>
    <w:uiPriority w:val="99"/>
    <w:rsid w:val="0063497B"/>
  </w:style>
  <w:style w:type="paragraph" w:styleId="NoSpacing">
    <w:name w:val="No Spacing"/>
    <w:uiPriority w:val="1"/>
    <w:qFormat/>
    <w:rsid w:val="00887D7E"/>
    <w:pPr>
      <w:spacing w:after="0" w:line="240" w:lineRule="auto"/>
    </w:pPr>
    <w:rPr>
      <w:rFonts w:ascii="Myriad Pro" w:hAnsi="Myriad Pro"/>
    </w:rPr>
  </w:style>
  <w:style w:type="paragraph" w:customStyle="1" w:styleId="Naslov11">
    <w:name w:val="Naslov 11"/>
    <w:basedOn w:val="Normal"/>
    <w:link w:val="Naslov1Char"/>
    <w:qFormat/>
    <w:rsid w:val="00812D81"/>
    <w:pPr>
      <w:spacing w:line="360" w:lineRule="exact"/>
    </w:pPr>
    <w:rPr>
      <w:b/>
      <w:sz w:val="32"/>
      <w:szCs w:val="36"/>
    </w:rPr>
  </w:style>
  <w:style w:type="paragraph" w:customStyle="1" w:styleId="Naslov21">
    <w:name w:val="Naslov 21"/>
    <w:basedOn w:val="Normal"/>
    <w:link w:val="Naslov2Char"/>
    <w:qFormat/>
    <w:rsid w:val="00812D81"/>
    <w:pPr>
      <w:spacing w:line="360" w:lineRule="exact"/>
    </w:pPr>
    <w:rPr>
      <w:sz w:val="32"/>
      <w:szCs w:val="36"/>
    </w:rPr>
  </w:style>
  <w:style w:type="character" w:customStyle="1" w:styleId="Naslov1Char">
    <w:name w:val="Naslov 1 Char"/>
    <w:basedOn w:val="DefaultParagraphFont"/>
    <w:link w:val="Naslov11"/>
    <w:rsid w:val="00812D81"/>
    <w:rPr>
      <w:rFonts w:ascii="Myriad Pro" w:hAnsi="Myriad Pro"/>
      <w:b/>
      <w:sz w:val="32"/>
      <w:szCs w:val="36"/>
    </w:rPr>
  </w:style>
  <w:style w:type="paragraph" w:customStyle="1" w:styleId="Naslov31">
    <w:name w:val="Naslov 31"/>
    <w:basedOn w:val="Normal"/>
    <w:link w:val="Naslov3Char"/>
    <w:qFormat/>
    <w:rsid w:val="00671853"/>
    <w:rPr>
      <w:b/>
    </w:rPr>
  </w:style>
  <w:style w:type="character" w:customStyle="1" w:styleId="Naslov2Char">
    <w:name w:val="Naslov 2 Char"/>
    <w:basedOn w:val="DefaultParagraphFont"/>
    <w:link w:val="Naslov21"/>
    <w:rsid w:val="00812D81"/>
    <w:rPr>
      <w:rFonts w:ascii="Myriad Pro" w:hAnsi="Myriad Pro"/>
      <w:sz w:val="32"/>
      <w:szCs w:val="36"/>
    </w:rPr>
  </w:style>
  <w:style w:type="paragraph" w:customStyle="1" w:styleId="Dodatneinformacije">
    <w:name w:val="Dodatne informacije"/>
    <w:basedOn w:val="Normal"/>
    <w:link w:val="DodatneinformacijeChar"/>
    <w:qFormat/>
    <w:rsid w:val="00F41E1A"/>
  </w:style>
  <w:style w:type="character" w:customStyle="1" w:styleId="Naslov3Char">
    <w:name w:val="Naslov 3 Char"/>
    <w:basedOn w:val="DefaultParagraphFont"/>
    <w:link w:val="Naslov31"/>
    <w:rsid w:val="00671853"/>
    <w:rPr>
      <w:rFonts w:ascii="Myriad Pro" w:hAnsi="Myriad Pro"/>
      <w:b/>
      <w:sz w:val="21"/>
    </w:rPr>
  </w:style>
  <w:style w:type="paragraph" w:styleId="BalloonText">
    <w:name w:val="Balloon Text"/>
    <w:basedOn w:val="Normal"/>
    <w:link w:val="BalloonTextChar"/>
    <w:uiPriority w:val="99"/>
    <w:semiHidden/>
    <w:unhideWhenUsed/>
    <w:rsid w:val="00E02749"/>
    <w:pPr>
      <w:spacing w:line="240" w:lineRule="auto"/>
    </w:pPr>
    <w:rPr>
      <w:rFonts w:ascii="Segoe UI" w:hAnsi="Segoe UI" w:cs="Segoe UI"/>
      <w:sz w:val="18"/>
      <w:szCs w:val="18"/>
    </w:rPr>
  </w:style>
  <w:style w:type="character" w:customStyle="1" w:styleId="DodatneinformacijeChar">
    <w:name w:val="Dodatne informacije Char"/>
    <w:basedOn w:val="DefaultParagraphFont"/>
    <w:link w:val="Dodatneinformacije"/>
    <w:rsid w:val="00F41E1A"/>
    <w:rPr>
      <w:rFonts w:ascii="Myriad Pro" w:hAnsi="Myriad Pro"/>
      <w:sz w:val="21"/>
    </w:rPr>
  </w:style>
  <w:style w:type="character" w:customStyle="1" w:styleId="BalloonTextChar">
    <w:name w:val="Balloon Text Char"/>
    <w:basedOn w:val="DefaultParagraphFont"/>
    <w:link w:val="BalloonText"/>
    <w:uiPriority w:val="99"/>
    <w:semiHidden/>
    <w:rsid w:val="00E02749"/>
    <w:rPr>
      <w:rFonts w:ascii="Segoe UI" w:hAnsi="Segoe UI" w:cs="Segoe UI"/>
      <w:sz w:val="18"/>
      <w:szCs w:val="18"/>
    </w:rPr>
  </w:style>
  <w:style w:type="paragraph" w:customStyle="1" w:styleId="Uvod">
    <w:name w:val="Uvod"/>
    <w:basedOn w:val="Naslov31"/>
    <w:link w:val="UvodChar"/>
    <w:qFormat/>
    <w:rsid w:val="00E02749"/>
    <w:pPr>
      <w:spacing w:after="160"/>
    </w:pPr>
  </w:style>
  <w:style w:type="character" w:customStyle="1" w:styleId="UvodChar">
    <w:name w:val="Uvod Char"/>
    <w:basedOn w:val="Naslov3Char"/>
    <w:link w:val="Uvod"/>
    <w:rsid w:val="00E02749"/>
    <w:rPr>
      <w:rFonts w:ascii="Myriad Pro" w:hAnsi="Myriad Pro"/>
      <w:b/>
      <w:sz w:val="21"/>
    </w:rPr>
  </w:style>
  <w:style w:type="table" w:styleId="TableGrid">
    <w:name w:val="Table Grid"/>
    <w:basedOn w:val="TableNormal"/>
    <w:uiPriority w:val="39"/>
    <w:rsid w:val="006E1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F4F0B"/>
    <w:pPr>
      <w:ind w:left="720"/>
      <w:contextualSpacing/>
    </w:pPr>
  </w:style>
  <w:style w:type="paragraph" w:customStyle="1" w:styleId="Besedilomanjealineje">
    <w:name w:val="Besedilo manjše_alineje"/>
    <w:basedOn w:val="ListParagraph"/>
    <w:link w:val="BesedilomanjealinejeChar"/>
    <w:rsid w:val="00F545EF"/>
    <w:pPr>
      <w:numPr>
        <w:numId w:val="1"/>
      </w:numPr>
      <w:spacing w:line="220" w:lineRule="exact"/>
      <w:ind w:left="170" w:hanging="170"/>
      <w:jc w:val="left"/>
    </w:pPr>
    <w:rPr>
      <w:sz w:val="16"/>
      <w:szCs w:val="16"/>
    </w:rPr>
  </w:style>
  <w:style w:type="character" w:customStyle="1" w:styleId="ListParagraphChar">
    <w:name w:val="List Paragraph Char"/>
    <w:basedOn w:val="DefaultParagraphFont"/>
    <w:link w:val="ListParagraph"/>
    <w:uiPriority w:val="34"/>
    <w:rsid w:val="00133E20"/>
    <w:rPr>
      <w:rFonts w:ascii="Myriad Pro" w:hAnsi="Myriad Pro"/>
      <w:sz w:val="21"/>
    </w:rPr>
  </w:style>
  <w:style w:type="character" w:customStyle="1" w:styleId="BesedilomanjealinejeChar">
    <w:name w:val="Besedilo manjše_alineje Char"/>
    <w:basedOn w:val="ListParagraphChar"/>
    <w:link w:val="Besedilomanjealineje"/>
    <w:rsid w:val="00F545EF"/>
    <w:rPr>
      <w:rFonts w:ascii="Myriad Pro" w:hAnsi="Myriad Pro"/>
      <w:sz w:val="16"/>
      <w:szCs w:val="16"/>
    </w:rPr>
  </w:style>
  <w:style w:type="character" w:styleId="Hyperlink">
    <w:name w:val="Hyperlink"/>
    <w:basedOn w:val="DefaultParagraphFont"/>
    <w:uiPriority w:val="99"/>
    <w:unhideWhenUsed/>
    <w:rsid w:val="00363E63"/>
    <w:rPr>
      <w:color w:val="0563C1" w:themeColor="hyperlink"/>
      <w:u w:val="single"/>
    </w:rPr>
  </w:style>
  <w:style w:type="paragraph" w:styleId="FootnoteText">
    <w:name w:val="footnote text"/>
    <w:aliases w:val="Sprotna opomba_EO, Char Char,Char Char,Sprotna opomba-besedilo,Char Char Char Char,Sprotna opomba - besedilo Znak1,Sprotna opomba - besedilo Znak Znak2,Sprotna opomba - besedilo Znak1 Znak Znak1,fn,Char Ch,o"/>
    <w:basedOn w:val="Normal"/>
    <w:link w:val="FootnoteTextChar"/>
    <w:uiPriority w:val="99"/>
    <w:unhideWhenUsed/>
    <w:qFormat/>
    <w:rsid w:val="00FE7254"/>
    <w:pPr>
      <w:spacing w:line="240" w:lineRule="auto"/>
    </w:pPr>
    <w:rPr>
      <w:sz w:val="16"/>
      <w:szCs w:val="20"/>
    </w:rPr>
  </w:style>
  <w:style w:type="character" w:customStyle="1" w:styleId="FootnoteTextChar">
    <w:name w:val="Footnote Text Char"/>
    <w:aliases w:val="Sprotna opomba_EO Char, Char Char Char,Char Char Char,Sprotna opomba-besedilo Char,Char Char Char Char Char,Sprotna opomba - besedilo Znak1 Char,Sprotna opomba - besedilo Znak Znak2 Char,Sprotna opomba - besedilo Znak1 Znak Znak1 Char"/>
    <w:basedOn w:val="DefaultParagraphFont"/>
    <w:link w:val="FootnoteText"/>
    <w:uiPriority w:val="99"/>
    <w:rsid w:val="00FE7254"/>
    <w:rPr>
      <w:rFonts w:ascii="Myriad Pro" w:hAnsi="Myriad Pro"/>
      <w:sz w:val="16"/>
      <w:szCs w:val="20"/>
    </w:rPr>
  </w:style>
  <w:style w:type="character" w:styleId="FootnoteReference">
    <w:name w:val="footnote reference"/>
    <w:aliases w:val="footnote_EO,Footnote symbol,Fussnota,Footnote,Footnote reference number,note TESI,SUPERS,EN Footnote Reference,-E Fußnotenzeichen,Times 10 Point,Exposant 3 Point,E...,nota de rodapé,Footnote Reference_LVL6,Footnote Reference_LVL61"/>
    <w:basedOn w:val="DefaultParagraphFont"/>
    <w:uiPriority w:val="99"/>
    <w:unhideWhenUsed/>
    <w:qFormat/>
    <w:rsid w:val="00FE7254"/>
    <w:rPr>
      <w:vertAlign w:val="superscript"/>
    </w:rPr>
  </w:style>
  <w:style w:type="character" w:styleId="UnresolvedMention">
    <w:name w:val="Unresolved Mention"/>
    <w:basedOn w:val="DefaultParagraphFont"/>
    <w:uiPriority w:val="99"/>
    <w:semiHidden/>
    <w:unhideWhenUsed/>
    <w:rsid w:val="003A49D8"/>
    <w:rPr>
      <w:color w:val="605E5C"/>
      <w:shd w:val="clear" w:color="auto" w:fill="E1DFDD"/>
    </w:rPr>
  </w:style>
  <w:style w:type="paragraph" w:customStyle="1" w:styleId="Naslov310">
    <w:name w:val="Naslov 310"/>
    <w:basedOn w:val="Normal"/>
    <w:qFormat/>
    <w:rsid w:val="00120162"/>
    <w:rPr>
      <w:b/>
    </w:rPr>
  </w:style>
  <w:style w:type="character" w:styleId="CommentReference">
    <w:name w:val="annotation reference"/>
    <w:basedOn w:val="DefaultParagraphFont"/>
    <w:uiPriority w:val="99"/>
    <w:semiHidden/>
    <w:unhideWhenUsed/>
    <w:rsid w:val="002B67C9"/>
    <w:rPr>
      <w:sz w:val="16"/>
      <w:szCs w:val="16"/>
    </w:rPr>
  </w:style>
  <w:style w:type="paragraph" w:styleId="CommentText">
    <w:name w:val="annotation text"/>
    <w:basedOn w:val="Normal"/>
    <w:link w:val="CommentTextChar"/>
    <w:uiPriority w:val="99"/>
    <w:semiHidden/>
    <w:unhideWhenUsed/>
    <w:rsid w:val="002B67C9"/>
    <w:pPr>
      <w:spacing w:line="240" w:lineRule="auto"/>
    </w:pPr>
    <w:rPr>
      <w:szCs w:val="20"/>
    </w:rPr>
  </w:style>
  <w:style w:type="character" w:customStyle="1" w:styleId="CommentTextChar">
    <w:name w:val="Comment Text Char"/>
    <w:basedOn w:val="DefaultParagraphFont"/>
    <w:link w:val="CommentText"/>
    <w:uiPriority w:val="99"/>
    <w:semiHidden/>
    <w:rsid w:val="002B67C9"/>
    <w:rPr>
      <w:rFonts w:ascii="Myriad Pro" w:hAnsi="Myriad Pro"/>
      <w:sz w:val="20"/>
      <w:szCs w:val="20"/>
    </w:rPr>
  </w:style>
  <w:style w:type="paragraph" w:styleId="CommentSubject">
    <w:name w:val="annotation subject"/>
    <w:basedOn w:val="CommentText"/>
    <w:next w:val="CommentText"/>
    <w:link w:val="CommentSubjectChar"/>
    <w:uiPriority w:val="99"/>
    <w:semiHidden/>
    <w:unhideWhenUsed/>
    <w:rsid w:val="002B67C9"/>
    <w:rPr>
      <w:b/>
      <w:bCs/>
    </w:rPr>
  </w:style>
  <w:style w:type="character" w:customStyle="1" w:styleId="CommentSubjectChar">
    <w:name w:val="Comment Subject Char"/>
    <w:basedOn w:val="CommentTextChar"/>
    <w:link w:val="CommentSubject"/>
    <w:uiPriority w:val="99"/>
    <w:semiHidden/>
    <w:rsid w:val="002B67C9"/>
    <w:rPr>
      <w:rFonts w:ascii="Myriad Pro" w:hAnsi="Myriad Pro"/>
      <w:b/>
      <w:bCs/>
      <w:sz w:val="20"/>
      <w:szCs w:val="20"/>
    </w:rPr>
  </w:style>
  <w:style w:type="paragraph" w:styleId="Revision">
    <w:name w:val="Revision"/>
    <w:hidden/>
    <w:uiPriority w:val="99"/>
    <w:semiHidden/>
    <w:rsid w:val="003D0FA7"/>
    <w:pPr>
      <w:spacing w:after="0" w:line="240" w:lineRule="auto"/>
    </w:pPr>
    <w:rPr>
      <w:rFonts w:ascii="Myriad Pro" w:hAnsi="Myriad Pro"/>
      <w:sz w:val="20"/>
    </w:rPr>
  </w:style>
  <w:style w:type="character" w:styleId="EndnoteReference">
    <w:name w:val="endnote reference"/>
    <w:basedOn w:val="DefaultParagraphFont"/>
    <w:uiPriority w:val="99"/>
    <w:semiHidden/>
    <w:unhideWhenUsed/>
    <w:rsid w:val="000C5DFC"/>
    <w:rPr>
      <w:vertAlign w:val="superscript"/>
    </w:rPr>
  </w:style>
  <w:style w:type="paragraph" w:customStyle="1" w:styleId="Naslov32">
    <w:name w:val="Naslov 32"/>
    <w:basedOn w:val="Normal"/>
    <w:qFormat/>
    <w:rsid w:val="0078321F"/>
    <w:rPr>
      <w:b/>
    </w:rPr>
  </w:style>
  <w:style w:type="character" w:styleId="Strong">
    <w:name w:val="Strong"/>
    <w:basedOn w:val="DefaultParagraphFont"/>
    <w:uiPriority w:val="22"/>
    <w:qFormat/>
    <w:rsid w:val="00BA0F00"/>
    <w:rPr>
      <w:b/>
      <w:bCs/>
    </w:rPr>
  </w:style>
  <w:style w:type="character" w:customStyle="1" w:styleId="normaltextrun">
    <w:name w:val="normaltextrun"/>
    <w:basedOn w:val="DefaultParagraphFont"/>
    <w:rsid w:val="00670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9.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polona.osrajnik@gov.si"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polona.osrajnik@gov.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g"/></Relationships>
</file>

<file path=word/theme/theme1.xml><?xml version="1.0" encoding="utf-8"?>
<a:theme xmlns:a="http://schemas.openxmlformats.org/drawingml/2006/main" name="UMAR tema_word">
  <a:themeElements>
    <a:clrScheme name="UMAR barve">
      <a:dk1>
        <a:sysClr val="windowText" lastClr="000000"/>
      </a:dk1>
      <a:lt1>
        <a:sysClr val="window" lastClr="FFFFFF"/>
      </a:lt1>
      <a:dk2>
        <a:srgbClr val="44546A"/>
      </a:dk2>
      <a:lt2>
        <a:srgbClr val="DBDBDB"/>
      </a:lt2>
      <a:accent1>
        <a:srgbClr val="9E001A"/>
      </a:accent1>
      <a:accent2>
        <a:srgbClr val="D99694"/>
      </a:accent2>
      <a:accent3>
        <a:srgbClr val="A6A6A6"/>
      </a:accent3>
      <a:accent4>
        <a:srgbClr val="54A4A3"/>
      </a:accent4>
      <a:accent5>
        <a:srgbClr val="BBD2B0"/>
      </a:accent5>
      <a:accent6>
        <a:srgbClr val="6F3B66"/>
      </a:accent6>
      <a:hlink>
        <a:srgbClr val="0563C1"/>
      </a:hlink>
      <a:folHlink>
        <a:srgbClr val="954F72"/>
      </a:folHlink>
    </a:clrScheme>
    <a:fontScheme name="UMAR pisav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7B4606-F97A-44A7-B294-6BF478227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1176</Words>
  <Characters>6706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2023-11-07T11:59:00Z</dcterms:created>
  <dcterms:modified xsi:type="dcterms:W3CDTF">2023-11-07T11:59:00Z</dcterms:modified>
</cp:coreProperties>
</file>