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834C" w14:textId="77777777" w:rsidR="0050616E" w:rsidRPr="0050616E" w:rsidRDefault="00471713" w:rsidP="0050616E">
      <w:pPr>
        <w:pStyle w:val="Naslov2"/>
        <w:numPr>
          <w:ilvl w:val="0"/>
          <w:numId w:val="0"/>
        </w:numPr>
      </w:pPr>
      <w:bookmarkStart w:id="0" w:name="_Hlk138319382"/>
      <w:bookmarkStart w:id="1" w:name="_GoBack"/>
      <w:bookmarkEnd w:id="1"/>
      <w:r>
        <w:rPr>
          <w:noProof/>
          <w:lang w:eastAsia="sl-SI"/>
        </w:rPr>
        <w:drawing>
          <wp:anchor distT="0" distB="0" distL="114300" distR="114300" simplePos="0" relativeHeight="251661312" behindDoc="0" locked="0" layoutInCell="1" allowOverlap="1" wp14:anchorId="1A233C08" wp14:editId="54C2BD52">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4DE5D864" wp14:editId="05AB59DC">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0B5EA8B2"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19A3051F" wp14:editId="1E083295">
                <wp:simplePos x="0" y="0"/>
                <wp:positionH relativeFrom="column">
                  <wp:posOffset>2694750</wp:posOffset>
                </wp:positionH>
                <wp:positionV relativeFrom="paragraph">
                  <wp:posOffset>556895</wp:posOffset>
                </wp:positionV>
                <wp:extent cx="368046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39D6CE3F" w14:textId="77777777" w:rsidR="0056590E" w:rsidRPr="0050616E" w:rsidRDefault="0056590E" w:rsidP="0050616E">
                            <w:pPr>
                              <w:pStyle w:val="NaslovnicanaslovUMAR"/>
                              <w:numPr>
                                <w:ilvl w:val="0"/>
                                <w:numId w:val="0"/>
                              </w:numPr>
                              <w:spacing w:line="760" w:lineRule="exact"/>
                              <w:rPr>
                                <w:color w:val="auto"/>
                                <w:sz w:val="76"/>
                                <w:szCs w:val="76"/>
                              </w:rPr>
                            </w:pPr>
                          </w:p>
                          <w:p w14:paraId="00B32932" w14:textId="77777777" w:rsidR="0056590E" w:rsidRPr="0050616E" w:rsidRDefault="0056590E" w:rsidP="0050616E">
                            <w:pPr>
                              <w:pStyle w:val="NaslovnicanaslovUMAR"/>
                              <w:numPr>
                                <w:ilvl w:val="0"/>
                                <w:numId w:val="0"/>
                              </w:numPr>
                              <w:spacing w:line="760" w:lineRule="exact"/>
                              <w:rPr>
                                <w:color w:val="auto"/>
                                <w:sz w:val="76"/>
                                <w:szCs w:val="76"/>
                              </w:rPr>
                            </w:pPr>
                          </w:p>
                          <w:p w14:paraId="744022A0" w14:textId="77777777" w:rsidR="0056590E" w:rsidRPr="0050616E" w:rsidRDefault="0056590E"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7A7DC564" w:rsidR="0056590E" w:rsidRPr="0050616E" w:rsidRDefault="0056590E" w:rsidP="0050616E">
                            <w:pPr>
                              <w:pStyle w:val="NaslovnicanaslovUMAR"/>
                              <w:numPr>
                                <w:ilvl w:val="0"/>
                                <w:numId w:val="0"/>
                              </w:numPr>
                              <w:spacing w:line="240" w:lineRule="auto"/>
                              <w:rPr>
                                <w:b w:val="0"/>
                                <w:bCs/>
                                <w:color w:val="auto"/>
                                <w:sz w:val="26"/>
                                <w:szCs w:val="26"/>
                              </w:rPr>
                            </w:pPr>
                            <w:r>
                              <w:rPr>
                                <w:b w:val="0"/>
                                <w:bCs/>
                                <w:color w:val="auto"/>
                                <w:sz w:val="26"/>
                                <w:szCs w:val="26"/>
                              </w:rPr>
                              <w:t>Julij 2023</w:t>
                            </w:r>
                          </w:p>
                          <w:p w14:paraId="713BA1AF" w14:textId="77777777" w:rsidR="0056590E" w:rsidRPr="0050616E" w:rsidRDefault="0056590E" w:rsidP="0050616E">
                            <w:pPr>
                              <w:pStyle w:val="NaslovnicanaslovUMAR"/>
                              <w:numPr>
                                <w:ilvl w:val="0"/>
                                <w:numId w:val="0"/>
                              </w:numPr>
                              <w:spacing w:line="760" w:lineRule="exact"/>
                              <w:rPr>
                                <w:color w:val="auto"/>
                                <w:sz w:val="52"/>
                                <w:szCs w:val="52"/>
                              </w:rPr>
                            </w:pPr>
                          </w:p>
                          <w:p w14:paraId="17B69955" w14:textId="77777777" w:rsidR="0056590E" w:rsidRPr="0050616E" w:rsidRDefault="0056590E" w:rsidP="0050616E">
                            <w:pPr>
                              <w:pStyle w:val="NaslovnicanaslovUMAR"/>
                              <w:numPr>
                                <w:ilvl w:val="0"/>
                                <w:numId w:val="0"/>
                              </w:numPr>
                              <w:spacing w:after="240" w:line="760" w:lineRule="exact"/>
                              <w:rPr>
                                <w:b w:val="0"/>
                                <w:bCs/>
                                <w:color w:val="auto"/>
                                <w:sz w:val="52"/>
                                <w:szCs w:val="52"/>
                              </w:rPr>
                            </w:pPr>
                            <w:r>
                              <w:rPr>
                                <w:b w:val="0"/>
                                <w:bCs/>
                                <w:color w:val="auto"/>
                                <w:sz w:val="52"/>
                                <w:szCs w:val="52"/>
                              </w:rPr>
                              <w:t>Mojca Koprivnikar Šušteršič</w:t>
                            </w:r>
                          </w:p>
                          <w:p w14:paraId="532514F0" w14:textId="5E505A4E" w:rsidR="0056590E" w:rsidRPr="0050616E" w:rsidRDefault="0056590E" w:rsidP="0050616E">
                            <w:pPr>
                              <w:pStyle w:val="NaslovnicanaslovUMAR"/>
                              <w:numPr>
                                <w:ilvl w:val="0"/>
                                <w:numId w:val="0"/>
                              </w:numPr>
                              <w:spacing w:line="760" w:lineRule="exact"/>
                              <w:rPr>
                                <w:color w:val="auto"/>
                                <w:sz w:val="76"/>
                                <w:szCs w:val="76"/>
                              </w:rPr>
                            </w:pPr>
                            <w:r>
                              <w:rPr>
                                <w:color w:val="auto"/>
                                <w:sz w:val="76"/>
                                <w:szCs w:val="76"/>
                              </w:rPr>
                              <w:t>Poslovanje trgovskih gospodarskih družb do leta 2022</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3051F" id="_x0000_t202" coordsize="21600,21600" o:spt="202" path="m,l,21600r21600,l21600,xe">
                <v:stroke joinstyle="miter"/>
                <v:path gradientshapeok="t" o:connecttype="rect"/>
              </v:shapetype>
              <v:shape id="Text Box 2" o:spid="_x0000_s1026" type="#_x0000_t202" style="position:absolute;margin-left:212.2pt;margin-top:43.85pt;width:289.8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" filled="f" stroked="f" strokeweight=".5pt">
                <v:textbox style="layout-flow:vertical;mso-layout-flow-alt:bottom-to-top" inset="0,0,.5mm,0">
                  <w:txbxContent>
                    <w:p w14:paraId="39D6CE3F" w14:textId="77777777" w:rsidR="0056590E" w:rsidRPr="0050616E" w:rsidRDefault="0056590E" w:rsidP="0050616E">
                      <w:pPr>
                        <w:pStyle w:val="NaslovnicanaslovUMAR"/>
                        <w:numPr>
                          <w:ilvl w:val="0"/>
                          <w:numId w:val="0"/>
                        </w:numPr>
                        <w:spacing w:line="760" w:lineRule="exact"/>
                        <w:rPr>
                          <w:color w:val="auto"/>
                          <w:sz w:val="76"/>
                          <w:szCs w:val="76"/>
                        </w:rPr>
                      </w:pPr>
                    </w:p>
                    <w:p w14:paraId="00B32932" w14:textId="77777777" w:rsidR="0056590E" w:rsidRPr="0050616E" w:rsidRDefault="0056590E" w:rsidP="0050616E">
                      <w:pPr>
                        <w:pStyle w:val="NaslovnicanaslovUMAR"/>
                        <w:numPr>
                          <w:ilvl w:val="0"/>
                          <w:numId w:val="0"/>
                        </w:numPr>
                        <w:spacing w:line="760" w:lineRule="exact"/>
                        <w:rPr>
                          <w:color w:val="auto"/>
                          <w:sz w:val="76"/>
                          <w:szCs w:val="76"/>
                        </w:rPr>
                      </w:pPr>
                    </w:p>
                    <w:p w14:paraId="744022A0" w14:textId="77777777" w:rsidR="0056590E" w:rsidRPr="0050616E" w:rsidRDefault="0056590E"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7A7DC564" w:rsidR="0056590E" w:rsidRPr="0050616E" w:rsidRDefault="0056590E" w:rsidP="0050616E">
                      <w:pPr>
                        <w:pStyle w:val="NaslovnicanaslovUMAR"/>
                        <w:numPr>
                          <w:ilvl w:val="0"/>
                          <w:numId w:val="0"/>
                        </w:numPr>
                        <w:spacing w:line="240" w:lineRule="auto"/>
                        <w:rPr>
                          <w:b w:val="0"/>
                          <w:bCs/>
                          <w:color w:val="auto"/>
                          <w:sz w:val="26"/>
                          <w:szCs w:val="26"/>
                        </w:rPr>
                      </w:pPr>
                      <w:r>
                        <w:rPr>
                          <w:b w:val="0"/>
                          <w:bCs/>
                          <w:color w:val="auto"/>
                          <w:sz w:val="26"/>
                          <w:szCs w:val="26"/>
                        </w:rPr>
                        <w:t>Julij 2023</w:t>
                      </w:r>
                    </w:p>
                    <w:p w14:paraId="713BA1AF" w14:textId="77777777" w:rsidR="0056590E" w:rsidRPr="0050616E" w:rsidRDefault="0056590E" w:rsidP="0050616E">
                      <w:pPr>
                        <w:pStyle w:val="NaslovnicanaslovUMAR"/>
                        <w:numPr>
                          <w:ilvl w:val="0"/>
                          <w:numId w:val="0"/>
                        </w:numPr>
                        <w:spacing w:line="760" w:lineRule="exact"/>
                        <w:rPr>
                          <w:color w:val="auto"/>
                          <w:sz w:val="52"/>
                          <w:szCs w:val="52"/>
                        </w:rPr>
                      </w:pPr>
                    </w:p>
                    <w:p w14:paraId="17B69955" w14:textId="77777777" w:rsidR="0056590E" w:rsidRPr="0050616E" w:rsidRDefault="0056590E" w:rsidP="0050616E">
                      <w:pPr>
                        <w:pStyle w:val="NaslovnicanaslovUMAR"/>
                        <w:numPr>
                          <w:ilvl w:val="0"/>
                          <w:numId w:val="0"/>
                        </w:numPr>
                        <w:spacing w:after="240" w:line="760" w:lineRule="exact"/>
                        <w:rPr>
                          <w:b w:val="0"/>
                          <w:bCs/>
                          <w:color w:val="auto"/>
                          <w:sz w:val="52"/>
                          <w:szCs w:val="52"/>
                        </w:rPr>
                      </w:pPr>
                      <w:r>
                        <w:rPr>
                          <w:b w:val="0"/>
                          <w:bCs/>
                          <w:color w:val="auto"/>
                          <w:sz w:val="52"/>
                          <w:szCs w:val="52"/>
                        </w:rPr>
                        <w:t>Mojca Koprivnikar Šušteršič</w:t>
                      </w:r>
                    </w:p>
                    <w:p w14:paraId="532514F0" w14:textId="5E505A4E" w:rsidR="0056590E" w:rsidRPr="0050616E" w:rsidRDefault="0056590E" w:rsidP="0050616E">
                      <w:pPr>
                        <w:pStyle w:val="NaslovnicanaslovUMAR"/>
                        <w:numPr>
                          <w:ilvl w:val="0"/>
                          <w:numId w:val="0"/>
                        </w:numPr>
                        <w:spacing w:line="760" w:lineRule="exact"/>
                        <w:rPr>
                          <w:color w:val="auto"/>
                          <w:sz w:val="76"/>
                          <w:szCs w:val="76"/>
                        </w:rPr>
                      </w:pPr>
                      <w:r>
                        <w:rPr>
                          <w:color w:val="auto"/>
                          <w:sz w:val="76"/>
                          <w:szCs w:val="76"/>
                        </w:rPr>
                        <w:t>Poslovanje trgovskih gospodarskih družb do leta 2022</w:t>
                      </w:r>
                    </w:p>
                  </w:txbxContent>
                </v:textbox>
              </v:shape>
            </w:pict>
          </mc:Fallback>
        </mc:AlternateContent>
      </w:r>
      <w:r w:rsidR="0050616E">
        <w:tab/>
      </w:r>
    </w:p>
    <w:p w14:paraId="497A5CFA" w14:textId="77777777" w:rsidR="00471713" w:rsidRDefault="00471713" w:rsidP="00247147">
      <w:pPr>
        <w:pStyle w:val="Naslov1"/>
        <w:numPr>
          <w:ilvl w:val="0"/>
          <w:numId w:val="0"/>
        </w:numPr>
        <w:rPr>
          <w:rStyle w:val="VodilnistavekUMAR"/>
        </w:rPr>
      </w:pPr>
      <w:bookmarkStart w:id="2" w:name="_Toc525304171"/>
      <w:bookmarkStart w:id="3" w:name="_Toc527616894"/>
      <w:bookmarkStart w:id="4" w:name="_Toc528328881"/>
      <w:r w:rsidRPr="00471713">
        <w:lastRenderedPageBreak/>
        <w:t>Povzetek</w:t>
      </w:r>
    </w:p>
    <w:p w14:paraId="764DB204" w14:textId="77777777" w:rsidR="003E627F" w:rsidRDefault="003E627F" w:rsidP="003F33CD">
      <w:pPr>
        <w:pStyle w:val="BesediloUMAR"/>
        <w:rPr>
          <w:b/>
          <w:bCs/>
        </w:rPr>
      </w:pPr>
    </w:p>
    <w:p w14:paraId="1DB3436F" w14:textId="09FB5A1F" w:rsidR="00247147" w:rsidRPr="00C06547" w:rsidRDefault="00247147" w:rsidP="00247147">
      <w:pPr>
        <w:pStyle w:val="BesediloUMAR"/>
        <w:rPr>
          <w:rStyle w:val="BoldpoudarekUMAR"/>
        </w:rPr>
      </w:pPr>
      <w:r w:rsidRPr="00C06547">
        <w:rPr>
          <w:rStyle w:val="BoldpoudarekUMAR"/>
        </w:rPr>
        <w:t xml:space="preserve">V kratki analizi </w:t>
      </w:r>
      <w:r w:rsidR="00E76F40">
        <w:rPr>
          <w:rStyle w:val="BoldpoudarekUMAR"/>
        </w:rPr>
        <w:t>proučimo</w:t>
      </w:r>
      <w:r w:rsidR="0056590E">
        <w:rPr>
          <w:rStyle w:val="BoldpoudarekUMAR"/>
        </w:rPr>
        <w:t xml:space="preserve"> </w:t>
      </w:r>
      <w:r w:rsidRPr="00C06547">
        <w:rPr>
          <w:rStyle w:val="BoldpoudarekUMAR"/>
        </w:rPr>
        <w:t>statistične podatke</w:t>
      </w:r>
      <w:r w:rsidR="008C7079" w:rsidRPr="00C06547">
        <w:rPr>
          <w:rStyle w:val="BoldpoudarekUMAR"/>
        </w:rPr>
        <w:t xml:space="preserve"> iz bilanc stanja in izkaza poslovnega izida</w:t>
      </w:r>
      <w:r w:rsidRPr="00C06547">
        <w:rPr>
          <w:rStyle w:val="BoldpoudarekUMAR"/>
        </w:rPr>
        <w:t xml:space="preserve"> gospodarskih družb</w:t>
      </w:r>
      <w:r w:rsidR="00192EC7" w:rsidRPr="00C06547">
        <w:rPr>
          <w:rStyle w:val="BoldpoudarekUMAR"/>
        </w:rPr>
        <w:t xml:space="preserve"> v</w:t>
      </w:r>
      <w:r w:rsidR="008C7079" w:rsidRPr="00C06547">
        <w:rPr>
          <w:rStyle w:val="BoldpoudarekUMAR"/>
        </w:rPr>
        <w:t xml:space="preserve"> dejavnost</w:t>
      </w:r>
      <w:r w:rsidR="00192EC7" w:rsidRPr="00C06547">
        <w:rPr>
          <w:rStyle w:val="BoldpoudarekUMAR"/>
        </w:rPr>
        <w:t>i</w:t>
      </w:r>
      <w:r w:rsidR="008C7079" w:rsidRPr="00C06547">
        <w:rPr>
          <w:rStyle w:val="BoldpoudarekUMAR"/>
        </w:rPr>
        <w:t xml:space="preserve"> trgovina ter vzdrževanje in popravila motornih vozil</w:t>
      </w:r>
      <w:r w:rsidR="00192EC7" w:rsidRPr="00C06547">
        <w:rPr>
          <w:rStyle w:val="BoldpoudarekUMAR"/>
        </w:rPr>
        <w:t xml:space="preserve"> (G</w:t>
      </w:r>
      <w:r w:rsidR="008C7079" w:rsidRPr="00C06547">
        <w:rPr>
          <w:rStyle w:val="BoldpoudarekUMAR"/>
        </w:rPr>
        <w:t>)</w:t>
      </w:r>
      <w:r w:rsidRPr="00C06547">
        <w:rPr>
          <w:rStyle w:val="BoldpoudarekUMAR"/>
        </w:rPr>
        <w:t xml:space="preserve">, ki po deležu dodane vrednosti, neto čistega dobička in števila zaposlenih v celotni vrednosti </w:t>
      </w:r>
      <w:r w:rsidR="00F9780D" w:rsidRPr="00C06547">
        <w:rPr>
          <w:rStyle w:val="BoldpoudarekUMAR"/>
        </w:rPr>
        <w:t xml:space="preserve">vseh gospodarskih družb </w:t>
      </w:r>
      <w:r w:rsidRPr="00C06547">
        <w:rPr>
          <w:rStyle w:val="BoldpoudarekUMAR"/>
        </w:rPr>
        <w:t>spada med največje</w:t>
      </w:r>
      <w:r w:rsidR="00DE477E" w:rsidRPr="00C06547">
        <w:rPr>
          <w:rStyle w:val="BoldpoudarekUMAR"/>
        </w:rPr>
        <w:t xml:space="preserve"> </w:t>
      </w:r>
      <w:r w:rsidRPr="00C06547">
        <w:rPr>
          <w:rStyle w:val="BoldpoudarekUMAR"/>
        </w:rPr>
        <w:t>dejavnosti</w:t>
      </w:r>
      <w:r w:rsidR="000844BC" w:rsidRPr="00C06547">
        <w:rPr>
          <w:rStyle w:val="BoldpoudarekUMAR"/>
        </w:rPr>
        <w:t xml:space="preserve"> slovenskega gospodarstva</w:t>
      </w:r>
      <w:r w:rsidRPr="00C06547">
        <w:rPr>
          <w:rStyle w:val="BoldpoudarekUMAR"/>
        </w:rPr>
        <w:t xml:space="preserve">. </w:t>
      </w:r>
      <w:r w:rsidR="00DE477E" w:rsidRPr="00C06547">
        <w:rPr>
          <w:rStyle w:val="BoldpoudarekUMAR"/>
        </w:rPr>
        <w:t>Te</w:t>
      </w:r>
      <w:r w:rsidRPr="00C06547">
        <w:rPr>
          <w:rStyle w:val="BoldpoudarekUMAR"/>
        </w:rPr>
        <w:t xml:space="preserve"> družb</w:t>
      </w:r>
      <w:r w:rsidR="00DE477E" w:rsidRPr="00C06547">
        <w:rPr>
          <w:rStyle w:val="BoldpoudarekUMAR"/>
        </w:rPr>
        <w:t>e</w:t>
      </w:r>
      <w:r w:rsidRPr="00C06547">
        <w:rPr>
          <w:rStyle w:val="BoldpoudarekUMAR"/>
        </w:rPr>
        <w:t xml:space="preserve"> </w:t>
      </w:r>
      <w:r w:rsidR="00DE477E" w:rsidRPr="00C06547">
        <w:rPr>
          <w:rStyle w:val="BoldpoudarekUMAR"/>
        </w:rPr>
        <w:t>ustvarijo</w:t>
      </w:r>
      <w:r w:rsidRPr="00C06547">
        <w:rPr>
          <w:rStyle w:val="BoldpoudarekUMAR"/>
        </w:rPr>
        <w:t xml:space="preserve"> okoli 80 % dodane vrednosti celotne dejavnosti</w:t>
      </w:r>
      <w:r w:rsidR="00DE477E" w:rsidRPr="00C06547">
        <w:rPr>
          <w:rStyle w:val="BoldpoudarekUMAR"/>
        </w:rPr>
        <w:t xml:space="preserve"> trgovine</w:t>
      </w:r>
      <w:r w:rsidR="00192EC7" w:rsidRPr="00C06547">
        <w:rPr>
          <w:rStyle w:val="BoldpoudarekUMAR"/>
        </w:rPr>
        <w:t xml:space="preserve"> (ostalo drugi poslovni subjekti)</w:t>
      </w:r>
      <w:r w:rsidRPr="00C06547">
        <w:rPr>
          <w:rStyle w:val="BoldpoudarekUMAR"/>
        </w:rPr>
        <w:t xml:space="preserve">. Zanimajo nas glavne značilnosti poslovanja in </w:t>
      </w:r>
      <w:r w:rsidR="008C7079" w:rsidRPr="00C06547">
        <w:rPr>
          <w:rStyle w:val="BoldpoudarekUMAR"/>
        </w:rPr>
        <w:t>njihov</w:t>
      </w:r>
      <w:r w:rsidR="002A7EEA" w:rsidRPr="00C06547">
        <w:rPr>
          <w:rStyle w:val="BoldpoudarekUMAR"/>
        </w:rPr>
        <w:t>ega</w:t>
      </w:r>
      <w:r w:rsidR="008C7079" w:rsidRPr="00C06547">
        <w:rPr>
          <w:rStyle w:val="BoldpoudarekUMAR"/>
        </w:rPr>
        <w:t xml:space="preserve"> </w:t>
      </w:r>
      <w:r w:rsidRPr="00C06547">
        <w:rPr>
          <w:rStyle w:val="BoldpoudarekUMAR"/>
        </w:rPr>
        <w:t xml:space="preserve">premoženjsko-finančnega položaja. </w:t>
      </w:r>
      <w:r w:rsidR="00487BAB" w:rsidRPr="00C06547">
        <w:rPr>
          <w:rStyle w:val="BoldpoudarekUMAR"/>
        </w:rPr>
        <w:t>Analiza zajema</w:t>
      </w:r>
      <w:r w:rsidRPr="00C06547">
        <w:rPr>
          <w:rStyle w:val="BoldpoudarekUMAR"/>
        </w:rPr>
        <w:t xml:space="preserve"> obdobje po </w:t>
      </w:r>
      <w:r w:rsidR="0011504B" w:rsidRPr="00C06547">
        <w:rPr>
          <w:rStyle w:val="BoldpoudarekUMAR"/>
        </w:rPr>
        <w:t>letu 2008</w:t>
      </w:r>
      <w:r w:rsidRPr="00C06547">
        <w:rPr>
          <w:rStyle w:val="BoldpoudarekUMAR"/>
        </w:rPr>
        <w:t>,</w:t>
      </w:r>
      <w:r w:rsidR="00C16005" w:rsidRPr="00C06547">
        <w:rPr>
          <w:rStyle w:val="BoldpoudarekUMAR"/>
        </w:rPr>
        <w:t xml:space="preserve"> </w:t>
      </w:r>
      <w:r w:rsidR="00EC393D" w:rsidRPr="00C06547">
        <w:rPr>
          <w:rStyle w:val="BoldpoudarekUMAR"/>
        </w:rPr>
        <w:t xml:space="preserve">z glavnim poudarkom </w:t>
      </w:r>
      <w:r w:rsidRPr="00C06547">
        <w:rPr>
          <w:rStyle w:val="BoldpoudarekUMAR"/>
        </w:rPr>
        <w:t>na poslovanj</w:t>
      </w:r>
      <w:r w:rsidR="00487BAB" w:rsidRPr="00C06547">
        <w:rPr>
          <w:rStyle w:val="BoldpoudarekUMAR"/>
        </w:rPr>
        <w:t>u</w:t>
      </w:r>
      <w:r w:rsidRPr="00C06547">
        <w:rPr>
          <w:rStyle w:val="BoldpoudarekUMAR"/>
        </w:rPr>
        <w:t xml:space="preserve"> v zadnjem letu, tj. letu 202</w:t>
      </w:r>
      <w:r w:rsidR="00A51DA7" w:rsidRPr="00C06547">
        <w:rPr>
          <w:rStyle w:val="BoldpoudarekUMAR"/>
        </w:rPr>
        <w:t>2</w:t>
      </w:r>
      <w:r w:rsidR="00B66E11">
        <w:rPr>
          <w:rStyle w:val="BoldpoudarekUMAR"/>
        </w:rPr>
        <w:t>.</w:t>
      </w:r>
    </w:p>
    <w:p w14:paraId="012EB618" w14:textId="77777777" w:rsidR="003E59E0" w:rsidRPr="00C06547" w:rsidRDefault="003E59E0" w:rsidP="00247147">
      <w:pPr>
        <w:pStyle w:val="BesediloUMAR"/>
        <w:rPr>
          <w:rStyle w:val="BoldpoudarekUMAR"/>
        </w:rPr>
      </w:pPr>
    </w:p>
    <w:p w14:paraId="780C761B" w14:textId="4F46FDF5" w:rsidR="003E59E0" w:rsidRPr="00C06547" w:rsidRDefault="00F22AC7" w:rsidP="00247147">
      <w:pPr>
        <w:pStyle w:val="BesediloUMAR"/>
        <w:rPr>
          <w:rStyle w:val="BoldpoudarekUMAR"/>
        </w:rPr>
      </w:pPr>
      <w:r w:rsidRPr="00C06547">
        <w:rPr>
          <w:b/>
        </w:rPr>
        <w:t xml:space="preserve">Gospodarske družbe trgovine ter vzdrževanja in popravil motornih vozil (G) so po letu 2013, ko so imele manjšo izgubo, </w:t>
      </w:r>
      <w:r w:rsidR="00DB25FC" w:rsidRPr="00C06547">
        <w:rPr>
          <w:b/>
        </w:rPr>
        <w:t>vseskozi</w:t>
      </w:r>
      <w:r w:rsidRPr="00C06547">
        <w:rPr>
          <w:b/>
        </w:rPr>
        <w:t xml:space="preserve"> poslovale z neto čistim dobičkom</w:t>
      </w:r>
      <w:r w:rsidR="00F82680" w:rsidRPr="00C06547">
        <w:rPr>
          <w:b/>
        </w:rPr>
        <w:t>, ki pa se je</w:t>
      </w:r>
      <w:r w:rsidR="0069475E">
        <w:rPr>
          <w:b/>
        </w:rPr>
        <w:t>,</w:t>
      </w:r>
      <w:r w:rsidRPr="00C06547">
        <w:rPr>
          <w:b/>
        </w:rPr>
        <w:t xml:space="preserve"> po močnem povečanju leta 2021</w:t>
      </w:r>
      <w:r w:rsidR="00E64AD8">
        <w:rPr>
          <w:b/>
        </w:rPr>
        <w:t>,</w:t>
      </w:r>
      <w:r w:rsidR="00F82680" w:rsidRPr="00C06547">
        <w:rPr>
          <w:b/>
        </w:rPr>
        <w:t xml:space="preserve"> </w:t>
      </w:r>
      <w:r w:rsidRPr="00C06547">
        <w:rPr>
          <w:b/>
        </w:rPr>
        <w:t xml:space="preserve">v letu 2022 nekoliko zmanjšal. Po tem, ko se je v letu 2021 poslovanje izboljšalo v večini panog, se je rast dodane vrednosti, produktivnosti in dobička v letu 2022 nadaljevala le v družbah trgovine na debelo in trgovine z motornimi vozili. Poslovanje družb v trgovini na drobno, ki se je leta 2021 tudi pod vplivom visoke rasti trošenja gospodinjstev skokovito izboljšalo, pa se je v letu 2022 poslabšalo. Ob trošenju gospodinjstev, ki se je lani bolj preusmerilo </w:t>
      </w:r>
      <w:r w:rsidR="00A32796">
        <w:rPr>
          <w:b/>
        </w:rPr>
        <w:t>v</w:t>
      </w:r>
      <w:r w:rsidRPr="00C06547">
        <w:rPr>
          <w:b/>
        </w:rPr>
        <w:t xml:space="preserve"> storitve, je bil neto čisti dobiček družb trgovine na drobno v nespecializiranih prodajalnah, v katerih prevladujejo hipermarketi, marketi in diskonti, za polovico </w:t>
      </w:r>
      <w:r w:rsidR="00732E12">
        <w:rPr>
          <w:b/>
        </w:rPr>
        <w:t>manjši</w:t>
      </w:r>
      <w:r w:rsidRPr="00C06547">
        <w:rPr>
          <w:b/>
        </w:rPr>
        <w:t xml:space="preserve"> od vrednosti iz leta 2021</w:t>
      </w:r>
      <w:r w:rsidR="00990C0D">
        <w:rPr>
          <w:b/>
        </w:rPr>
        <w:t>,</w:t>
      </w:r>
      <w:r w:rsidR="00F16A41">
        <w:rPr>
          <w:b/>
        </w:rPr>
        <w:t xml:space="preserve"> </w:t>
      </w:r>
      <w:r w:rsidRPr="00C06547">
        <w:rPr>
          <w:b/>
        </w:rPr>
        <w:t xml:space="preserve">a še vedno enkrat večji kot leta 2019. </w:t>
      </w:r>
      <w:r w:rsidR="00C06547">
        <w:rPr>
          <w:b/>
        </w:rPr>
        <w:t>Še i</w:t>
      </w:r>
      <w:r w:rsidRPr="00C06547">
        <w:rPr>
          <w:b/>
        </w:rPr>
        <w:t>zraziteje, za 92 %, se je zmanjšal neto čisti dobiček družb trgovine na drobno v specializiranih prodajalnah z motornimi gorivi, na kar so vplivale tudi visoke nabavne cene energentov ob vladni regulaciji cen goriv, električne energije in zemeljskega plina</w:t>
      </w:r>
      <w:r w:rsidRPr="001852AD">
        <w:rPr>
          <w:b/>
        </w:rPr>
        <w:t>.</w:t>
      </w:r>
      <w:r w:rsidR="00103A5E" w:rsidRPr="001852AD">
        <w:rPr>
          <w:b/>
        </w:rPr>
        <w:t xml:space="preserve"> V letu 2022 se je družbam obeh panog poslabšala tudi gospodarnost poslovanja, </w:t>
      </w:r>
      <w:r w:rsidR="006E218A" w:rsidRPr="001852AD">
        <w:rPr>
          <w:b/>
        </w:rPr>
        <w:t xml:space="preserve">prav tako se je </w:t>
      </w:r>
      <w:r w:rsidR="00103A5E" w:rsidRPr="001852AD">
        <w:rPr>
          <w:b/>
        </w:rPr>
        <w:t>zmanjšal presežek prihodkov od prodaje nad stroški blaga, materiala, storitev in dela</w:t>
      </w:r>
      <w:r w:rsidR="00C06547" w:rsidRPr="001852AD">
        <w:rPr>
          <w:b/>
        </w:rPr>
        <w:t>,</w:t>
      </w:r>
      <w:r w:rsidR="00C06547" w:rsidRPr="001852AD">
        <w:t xml:space="preserve"> </w:t>
      </w:r>
      <w:r w:rsidR="00C06547" w:rsidRPr="001852AD">
        <w:rPr>
          <w:b/>
        </w:rPr>
        <w:t>ki je bil v letu 2021 najvišji v celotnem obdobju</w:t>
      </w:r>
      <w:r w:rsidR="00103A5E" w:rsidRPr="001852AD">
        <w:rPr>
          <w:b/>
        </w:rPr>
        <w:t>.</w:t>
      </w:r>
    </w:p>
    <w:p w14:paraId="111BDD47" w14:textId="77777777" w:rsidR="0011504B" w:rsidRPr="00247147" w:rsidRDefault="0011504B" w:rsidP="00247147">
      <w:pPr>
        <w:pStyle w:val="BesediloUMAR"/>
        <w:rPr>
          <w:rStyle w:val="BoldpoudarekUMAR"/>
        </w:rPr>
      </w:pPr>
    </w:p>
    <w:p w14:paraId="7504A85C" w14:textId="77777777" w:rsidR="00407C0D" w:rsidRDefault="00407C0D" w:rsidP="00407C0D">
      <w:pPr>
        <w:pStyle w:val="BesediloUMAR"/>
      </w:pPr>
    </w:p>
    <w:p w14:paraId="4EBBBAC5" w14:textId="3A5CD377" w:rsidR="00481B30" w:rsidRDefault="008F6BED" w:rsidP="00471713">
      <w:pPr>
        <w:pStyle w:val="Naslov1"/>
      </w:pPr>
      <w:r>
        <w:lastRenderedPageBreak/>
        <w:t>Uvod</w:t>
      </w:r>
      <w:bookmarkEnd w:id="2"/>
      <w:bookmarkEnd w:id="3"/>
      <w:bookmarkEnd w:id="4"/>
    </w:p>
    <w:p w14:paraId="12F90065" w14:textId="77777777" w:rsidR="00962421" w:rsidRDefault="00962421" w:rsidP="006C15DE">
      <w:pPr>
        <w:pStyle w:val="BesediloUMAR"/>
      </w:pPr>
    </w:p>
    <w:p w14:paraId="7590DA96" w14:textId="29B14B20" w:rsidR="006C15DE" w:rsidRDefault="00C02438" w:rsidP="006C15DE">
      <w:pPr>
        <w:pStyle w:val="BesediloUMAR"/>
      </w:pPr>
      <w:bookmarkStart w:id="5" w:name="_Hlk138319436"/>
      <w:r>
        <w:t xml:space="preserve">Podatki </w:t>
      </w:r>
      <w:r w:rsidRPr="006C15DE">
        <w:t>iz bilance stanja in izkaza poslovnega izida gospodarskih družb</w:t>
      </w:r>
      <w:r w:rsidRPr="00C02438">
        <w:rPr>
          <w:vertAlign w:val="superscript"/>
        </w:rPr>
        <w:footnoteReference w:id="2"/>
      </w:r>
      <w:r>
        <w:t xml:space="preserve"> nam omogočajo </w:t>
      </w:r>
      <w:r w:rsidR="00F6289A">
        <w:t>hitrejše</w:t>
      </w:r>
      <w:r>
        <w:t xml:space="preserve"> (kot npr. strukturne statistike podjetij</w:t>
      </w:r>
      <w:r w:rsidR="0096176A">
        <w:rPr>
          <w:rStyle w:val="Sprotnaopomba-sklic"/>
        </w:rPr>
        <w:footnoteReference w:id="3"/>
      </w:r>
      <w:r>
        <w:t xml:space="preserve">) oz. </w:t>
      </w:r>
      <w:r w:rsidR="00E0176B">
        <w:t xml:space="preserve">podrobnejše </w:t>
      </w:r>
      <w:r>
        <w:t xml:space="preserve">(kot npr. nacionalni računi) spremljanje gibanj v trgovinski dejavnosti. </w:t>
      </w:r>
      <w:r w:rsidR="006C15DE" w:rsidRPr="006C15DE">
        <w:t>Uporabljeni podatki za razliko od strukturnih statistik ali nacionalnih računov ne vključujejo rezultatov vseh poslovnih subjektov (poleg gospodarskih družb so to še samostojni podjetniki, zadruge, društva, pravne osebe zasebnega in javnega prava)</w:t>
      </w:r>
      <w:r>
        <w:t xml:space="preserve">, </w:t>
      </w:r>
      <w:r w:rsidR="00CC4A19">
        <w:t xml:space="preserve">kljub temu </w:t>
      </w:r>
      <w:r>
        <w:t xml:space="preserve">pa z </w:t>
      </w:r>
      <w:r w:rsidR="006C15DE" w:rsidRPr="006C15DE">
        <w:t xml:space="preserve">analizo podatkov o poslovanju gospodarskih družb zajamemo </w:t>
      </w:r>
      <w:r w:rsidR="00CC4A19">
        <w:t xml:space="preserve">kar </w:t>
      </w:r>
      <w:r>
        <w:t>okoli 80 %</w:t>
      </w:r>
      <w:r w:rsidR="006C15DE" w:rsidRPr="006C15DE">
        <w:t xml:space="preserve"> dodane vrednosti celotne</w:t>
      </w:r>
      <w:r>
        <w:t xml:space="preserve"> </w:t>
      </w:r>
      <w:r w:rsidR="009E6268">
        <w:t xml:space="preserve">trgovske </w:t>
      </w:r>
      <w:r>
        <w:t>dejavnosti.</w:t>
      </w:r>
      <w:r w:rsidR="006C15DE" w:rsidRPr="006C15DE">
        <w:t xml:space="preserve"> </w:t>
      </w:r>
    </w:p>
    <w:p w14:paraId="511E99A9" w14:textId="77777777" w:rsidR="006C15DE" w:rsidRPr="006C15DE" w:rsidRDefault="006C15DE" w:rsidP="006C15DE">
      <w:pPr>
        <w:pStyle w:val="BesediloUMAR"/>
      </w:pPr>
    </w:p>
    <w:p w14:paraId="1DF9DB43" w14:textId="31C4186B" w:rsidR="00962421" w:rsidRDefault="006C15DE" w:rsidP="006C15DE">
      <w:pPr>
        <w:pStyle w:val="BesediloUMAR"/>
      </w:pPr>
      <w:r w:rsidRPr="006C15DE">
        <w:t xml:space="preserve">V </w:t>
      </w:r>
      <w:r w:rsidR="00C02438">
        <w:t xml:space="preserve">kratki analizi </w:t>
      </w:r>
      <w:r w:rsidR="00FF32C9">
        <w:t>prouč</w:t>
      </w:r>
      <w:r w:rsidR="00A51DA7">
        <w:t>ujemo</w:t>
      </w:r>
      <w:r w:rsidR="00FF32C9">
        <w:t xml:space="preserve"> </w:t>
      </w:r>
      <w:r w:rsidRPr="006C15DE">
        <w:t xml:space="preserve">statistične podatke </w:t>
      </w:r>
      <w:r w:rsidR="00CC4A19">
        <w:t xml:space="preserve">iz bilanc stanja in izkaza poslovnega izida </w:t>
      </w:r>
      <w:r w:rsidR="00962421">
        <w:t>gospodarskih družb</w:t>
      </w:r>
      <w:r w:rsidR="00192EC7">
        <w:t xml:space="preserve"> v dejavnosti trgovina ter popravila in vzdrževanje motornih vozil</w:t>
      </w:r>
      <w:r w:rsidR="001554D4">
        <w:t xml:space="preserve">, </w:t>
      </w:r>
      <w:r w:rsidR="001554D4" w:rsidRPr="003E627F">
        <w:t>ki po deležu</w:t>
      </w:r>
      <w:r w:rsidR="006C07EF" w:rsidRPr="003E627F">
        <w:t xml:space="preserve"> </w:t>
      </w:r>
      <w:r w:rsidR="003E627F" w:rsidRPr="003E627F">
        <w:t>dodan</w:t>
      </w:r>
      <w:r w:rsidR="006F12D5">
        <w:t>e</w:t>
      </w:r>
      <w:r w:rsidR="003E627F" w:rsidRPr="003E627F">
        <w:t xml:space="preserve"> vrednosti, neto čiste</w:t>
      </w:r>
      <w:r w:rsidR="006F12D5">
        <w:t>ga</w:t>
      </w:r>
      <w:r w:rsidR="003E627F" w:rsidRPr="003E627F">
        <w:t xml:space="preserve"> dobičk</w:t>
      </w:r>
      <w:r w:rsidR="006F12D5">
        <w:t>a</w:t>
      </w:r>
      <w:r w:rsidR="003E627F" w:rsidRPr="003E627F">
        <w:t xml:space="preserve"> in števil</w:t>
      </w:r>
      <w:r w:rsidR="006F12D5">
        <w:t>a</w:t>
      </w:r>
      <w:r w:rsidR="003E627F" w:rsidRPr="003E627F">
        <w:t xml:space="preserve"> zaposlenih </w:t>
      </w:r>
      <w:r w:rsidR="006F12D5">
        <w:t xml:space="preserve">v celotni vrednosti </w:t>
      </w:r>
      <w:r w:rsidR="001554D4" w:rsidRPr="003E627F">
        <w:t>spada med največje dejavnosti</w:t>
      </w:r>
      <w:r w:rsidR="00192EC7">
        <w:t xml:space="preserve"> slovenskega gospodarstva</w:t>
      </w:r>
      <w:r w:rsidR="003E627F" w:rsidRPr="003E627F">
        <w:t xml:space="preserve">. </w:t>
      </w:r>
      <w:r w:rsidR="003E627F" w:rsidRPr="005E3C02">
        <w:t xml:space="preserve">Po vseh omenjenih kazalnikih </w:t>
      </w:r>
      <w:r w:rsidR="00AD7B5E" w:rsidRPr="005E3C02">
        <w:t>je dejavnost trgovine</w:t>
      </w:r>
      <w:r w:rsidR="003E627F" w:rsidRPr="005E3C02">
        <w:t xml:space="preserve"> takoj za predelovalni</w:t>
      </w:r>
      <w:r w:rsidR="00336896" w:rsidRPr="005E3C02">
        <w:t>mi</w:t>
      </w:r>
      <w:r w:rsidR="003E627F" w:rsidRPr="005E3C02">
        <w:t xml:space="preserve"> dejavnost</w:t>
      </w:r>
      <w:r w:rsidR="00336896" w:rsidRPr="005E3C02">
        <w:t>m</w:t>
      </w:r>
      <w:r w:rsidR="003E627F" w:rsidRPr="005E3C02">
        <w:t xml:space="preserve">i, po številu družb pa </w:t>
      </w:r>
      <w:r w:rsidR="00336896" w:rsidRPr="005E3C02">
        <w:t xml:space="preserve">je celo </w:t>
      </w:r>
      <w:r w:rsidR="003E627F" w:rsidRPr="005E3C02">
        <w:t>največj</w:t>
      </w:r>
      <w:r w:rsidR="00336896" w:rsidRPr="005E3C02">
        <w:t>a</w:t>
      </w:r>
      <w:r w:rsidR="00962421" w:rsidRPr="005E3C02">
        <w:t>.</w:t>
      </w:r>
      <w:r w:rsidR="003E627F">
        <w:t xml:space="preserve"> </w:t>
      </w:r>
      <w:r w:rsidRPr="003E627F">
        <w:t>Z</w:t>
      </w:r>
      <w:r w:rsidRPr="006C15DE">
        <w:t xml:space="preserve">animajo nas glavne značilnosti poslovanja in </w:t>
      </w:r>
      <w:r w:rsidR="00CC4A19">
        <w:t xml:space="preserve">njihov </w:t>
      </w:r>
      <w:r w:rsidRPr="006C15DE">
        <w:t>premoženjsko-finančn</w:t>
      </w:r>
      <w:r w:rsidR="00CC4A19">
        <w:t>i</w:t>
      </w:r>
      <w:r w:rsidRPr="006C15DE">
        <w:t xml:space="preserve"> položaj</w:t>
      </w:r>
      <w:r w:rsidR="00962421">
        <w:t>.</w:t>
      </w:r>
      <w:r w:rsidR="00962421" w:rsidRPr="00962421">
        <w:t xml:space="preserve"> </w:t>
      </w:r>
      <w:r w:rsidR="00962421" w:rsidRPr="006C15DE">
        <w:t xml:space="preserve">Zaradi spremembe Standardne klasifikacije dejavnosti z letom 2008 v </w:t>
      </w:r>
      <w:r w:rsidR="00962421">
        <w:t>kratki analizi</w:t>
      </w:r>
      <w:r w:rsidR="00962421" w:rsidRPr="006C15DE">
        <w:t xml:space="preserve"> večinoma analiziramo obdobje po tem letu</w:t>
      </w:r>
      <w:r w:rsidR="00962421">
        <w:t xml:space="preserve">, </w:t>
      </w:r>
      <w:r w:rsidR="00962421" w:rsidRPr="006C15DE">
        <w:t>pri čemer je glavni poudarek na analizi poslovanja v zadnjem letu</w:t>
      </w:r>
      <w:r w:rsidR="001554D4">
        <w:t>, tj. letu 202</w:t>
      </w:r>
      <w:r w:rsidR="00A51DA7">
        <w:t>2</w:t>
      </w:r>
      <w:r w:rsidR="00962421" w:rsidRPr="006C15DE">
        <w:t>. Podatki za vsako od analiziranih let vključujejo gospodarske družbe, ki so v tistem letu dejansko poslovale.</w:t>
      </w:r>
      <w:r w:rsidR="00962421" w:rsidRPr="00962421">
        <w:t xml:space="preserve"> </w:t>
      </w:r>
      <w:r w:rsidR="00962421" w:rsidRPr="006C15DE">
        <w:t>Vse kategorije primerjamo v tekočih cenah</w:t>
      </w:r>
      <w:r w:rsidR="001554D4">
        <w:t>, veliko primerjav je predstavljenih tudi grafično</w:t>
      </w:r>
      <w:r w:rsidR="00962421" w:rsidRPr="006C15DE">
        <w:t>.</w:t>
      </w:r>
      <w:r w:rsidR="001554D4">
        <w:t xml:space="preserve"> </w:t>
      </w:r>
    </w:p>
    <w:p w14:paraId="155D5E47" w14:textId="77777777" w:rsidR="001554D4" w:rsidRDefault="001554D4" w:rsidP="006C15DE">
      <w:pPr>
        <w:pStyle w:val="BesediloUMAR"/>
      </w:pPr>
    </w:p>
    <w:p w14:paraId="39F68177" w14:textId="77777777" w:rsidR="00407C0D" w:rsidRPr="003F33CD" w:rsidRDefault="00407C0D" w:rsidP="00E60966">
      <w:pPr>
        <w:pStyle w:val="BesediloUMAR"/>
      </w:pPr>
    </w:p>
    <w:p w14:paraId="40D18A7F" w14:textId="77777777" w:rsidR="008F6BED" w:rsidRDefault="008F6BED" w:rsidP="008F6BED">
      <w:pPr>
        <w:pStyle w:val="Naslov1"/>
      </w:pPr>
      <w:r>
        <w:lastRenderedPageBreak/>
        <w:t xml:space="preserve">Poslovanje trgovskih gospodarskih družb </w:t>
      </w:r>
    </w:p>
    <w:p w14:paraId="41BB02ED" w14:textId="00E4B88A" w:rsidR="001554D4" w:rsidRPr="001554D4" w:rsidRDefault="00102453" w:rsidP="003E627F">
      <w:pPr>
        <w:pStyle w:val="BesediloUMAR"/>
      </w:pPr>
      <w:r>
        <w:rPr>
          <w:rStyle w:val="BoldpoudarekUMAR"/>
        </w:rPr>
        <w:t>Dejavnost trgovine</w:t>
      </w:r>
      <w:r w:rsidR="001554D4" w:rsidRPr="00A84F47">
        <w:rPr>
          <w:rStyle w:val="BoldpoudarekUMAR"/>
        </w:rPr>
        <w:t xml:space="preserve"> po </w:t>
      </w:r>
      <w:r w:rsidR="006F12D5" w:rsidRPr="00A84F47">
        <w:rPr>
          <w:rStyle w:val="BoldpoudarekUMAR"/>
        </w:rPr>
        <w:t>dodani vrednosti</w:t>
      </w:r>
      <w:r>
        <w:rPr>
          <w:rStyle w:val="BoldpoudarekUMAR"/>
        </w:rPr>
        <w:t xml:space="preserve"> in</w:t>
      </w:r>
      <w:r w:rsidR="006F12D5" w:rsidRPr="00A84F47">
        <w:rPr>
          <w:rStyle w:val="BoldpoudarekUMAR"/>
        </w:rPr>
        <w:t xml:space="preserve"> neto čistem dobičku</w:t>
      </w:r>
      <w:r>
        <w:rPr>
          <w:rStyle w:val="BoldpoudarekUMAR"/>
        </w:rPr>
        <w:t xml:space="preserve"> gospodarskih družb</w:t>
      </w:r>
      <w:r w:rsidR="006F12D5" w:rsidRPr="00A84F47">
        <w:rPr>
          <w:rStyle w:val="BoldpoudarekUMAR"/>
        </w:rPr>
        <w:t xml:space="preserve"> </w:t>
      </w:r>
      <w:r>
        <w:rPr>
          <w:rStyle w:val="BoldpoudarekUMAR"/>
        </w:rPr>
        <w:t>ter</w:t>
      </w:r>
      <w:r w:rsidR="006F12D5" w:rsidRPr="00A84F47">
        <w:rPr>
          <w:rStyle w:val="BoldpoudarekUMAR"/>
        </w:rPr>
        <w:t xml:space="preserve"> številu zaposlenih spada med največje dejavnosti</w:t>
      </w:r>
      <w:r w:rsidR="00F65C1E">
        <w:rPr>
          <w:rStyle w:val="BoldpoudarekUMAR"/>
        </w:rPr>
        <w:t xml:space="preserve"> slovenskega gospodarstva</w:t>
      </w:r>
      <w:r w:rsidR="006F12D5" w:rsidRPr="00A84F47">
        <w:rPr>
          <w:rStyle w:val="BoldpoudarekUMAR"/>
        </w:rPr>
        <w:t>.</w:t>
      </w:r>
      <w:r w:rsidR="006F12D5" w:rsidRPr="003E627F">
        <w:t xml:space="preserve"> </w:t>
      </w:r>
      <w:r w:rsidR="006F12D5" w:rsidRPr="008703F8">
        <w:t xml:space="preserve">Po vseh omenjenih kazalnikih </w:t>
      </w:r>
      <w:r w:rsidR="00336896" w:rsidRPr="008703F8">
        <w:t>je</w:t>
      </w:r>
      <w:r w:rsidR="006F12D5" w:rsidRPr="008703F8">
        <w:t xml:space="preserve"> </w:t>
      </w:r>
      <w:r w:rsidR="00A84F47" w:rsidRPr="008703F8">
        <w:t xml:space="preserve">dejavnost </w:t>
      </w:r>
      <w:r w:rsidR="00A84F47" w:rsidRPr="008703F8">
        <w:rPr>
          <w:rStyle w:val="VodilnistavekUMAR"/>
          <w:b w:val="0"/>
        </w:rPr>
        <w:t>trgovina</w:t>
      </w:r>
      <w:r w:rsidR="00FC1E7F" w:rsidRPr="008703F8">
        <w:rPr>
          <w:rStyle w:val="VodilnistavekUMAR"/>
          <w:b w:val="0"/>
        </w:rPr>
        <w:t>,</w:t>
      </w:r>
      <w:r w:rsidR="00A84F47" w:rsidRPr="008703F8">
        <w:rPr>
          <w:rStyle w:val="VodilnistavekUMAR"/>
          <w:b w:val="0"/>
        </w:rPr>
        <w:t xml:space="preserve"> vzdrževanje in popravil</w:t>
      </w:r>
      <w:r w:rsidR="00FC1E7F" w:rsidRPr="008703F8">
        <w:rPr>
          <w:rStyle w:val="VodilnistavekUMAR"/>
          <w:b w:val="0"/>
        </w:rPr>
        <w:t>a</w:t>
      </w:r>
      <w:r w:rsidR="00A84F47" w:rsidRPr="008703F8">
        <w:rPr>
          <w:rStyle w:val="VodilnistavekUMAR"/>
          <w:b w:val="0"/>
        </w:rPr>
        <w:t xml:space="preserve"> motornih vozil (G) </w:t>
      </w:r>
      <w:r w:rsidR="006F12D5" w:rsidRPr="008703F8">
        <w:t>takoj za predelovalni</w:t>
      </w:r>
      <w:r w:rsidR="00336896" w:rsidRPr="008703F8">
        <w:t>mi</w:t>
      </w:r>
      <w:r w:rsidR="006F12D5" w:rsidRPr="008703F8">
        <w:t xml:space="preserve"> dejavnost</w:t>
      </w:r>
      <w:r w:rsidR="00336896" w:rsidRPr="008703F8">
        <w:t>m</w:t>
      </w:r>
      <w:r w:rsidR="006F12D5" w:rsidRPr="008703F8">
        <w:t xml:space="preserve">i, po številu družb pa </w:t>
      </w:r>
      <w:r w:rsidR="00336896" w:rsidRPr="008703F8">
        <w:t xml:space="preserve">je celo </w:t>
      </w:r>
      <w:r w:rsidR="006F12D5" w:rsidRPr="008703F8">
        <w:t>največj</w:t>
      </w:r>
      <w:r w:rsidR="00336896" w:rsidRPr="008703F8">
        <w:t>a</w:t>
      </w:r>
      <w:r w:rsidR="006F12D5" w:rsidRPr="008703F8">
        <w:t>.</w:t>
      </w:r>
      <w:r w:rsidR="00A84F47" w:rsidRPr="008703F8">
        <w:t xml:space="preserve"> </w:t>
      </w:r>
      <w:r w:rsidR="00336896" w:rsidRPr="008703F8">
        <w:t>Trgovske družbe p</w:t>
      </w:r>
      <w:r w:rsidR="00A84F47" w:rsidRPr="008703F8">
        <w:t>o vseh kazalnikih predstavljajo okoli petino celotne vrednosti</w:t>
      </w:r>
      <w:r w:rsidR="001F71C5" w:rsidRPr="008703F8">
        <w:t xml:space="preserve"> vseh gospodarskih družb</w:t>
      </w:r>
      <w:r w:rsidR="00A84F47" w:rsidRPr="008703F8">
        <w:t>.</w:t>
      </w:r>
      <w:r w:rsidR="00A84F47">
        <w:t xml:space="preserve"> </w:t>
      </w:r>
      <w:r w:rsidR="001E55C4">
        <w:t>Trgovska d</w:t>
      </w:r>
      <w:r w:rsidR="00A84F47">
        <w:t xml:space="preserve">ejavnost </w:t>
      </w:r>
      <w:r w:rsidR="00EB453B">
        <w:t xml:space="preserve">je </w:t>
      </w:r>
      <w:r w:rsidR="007C71B5">
        <w:t>razdeljena na</w:t>
      </w:r>
      <w:r w:rsidR="001554D4">
        <w:t xml:space="preserve"> več panog, glavn</w:t>
      </w:r>
      <w:r w:rsidR="00247147">
        <w:t>i</w:t>
      </w:r>
      <w:r w:rsidR="001554D4">
        <w:t xml:space="preserve"> tri</w:t>
      </w:r>
      <w:r w:rsidR="00247147">
        <w:t>je oddelki</w:t>
      </w:r>
      <w:r w:rsidR="00EB453B">
        <w:t xml:space="preserve"> so</w:t>
      </w:r>
      <w:r w:rsidR="00FC1E7F">
        <w:t>:</w:t>
      </w:r>
      <w:r w:rsidR="00EB453B">
        <w:t xml:space="preserve"> trgovina </w:t>
      </w:r>
      <w:r w:rsidR="00342089">
        <w:br/>
      </w:r>
      <w:r w:rsidR="00EB453B">
        <w:t xml:space="preserve">z motornimi vozili in popravili le-teh (G45), </w:t>
      </w:r>
      <w:r w:rsidR="001E55C4">
        <w:t xml:space="preserve">ki je najmanjša </w:t>
      </w:r>
      <w:r w:rsidR="00336896">
        <w:t xml:space="preserve">trgovska </w:t>
      </w:r>
      <w:r w:rsidR="009E6268">
        <w:t>dejavnost</w:t>
      </w:r>
      <w:r w:rsidR="001E55C4">
        <w:t xml:space="preserve">; </w:t>
      </w:r>
      <w:r w:rsidR="00EB453B">
        <w:t>trgovina na debelo, razen z motornimi vozili (G46)</w:t>
      </w:r>
      <w:r w:rsidR="001E55C4">
        <w:t>, ki je največja dejavnost po deležu dodane vrednosti</w:t>
      </w:r>
      <w:r w:rsidR="00294CBF">
        <w:t>,</w:t>
      </w:r>
      <w:r w:rsidR="00EB453B">
        <w:t xml:space="preserve"> in trgovina na drobno, razen z motornimi vozili (G47)</w:t>
      </w:r>
      <w:r w:rsidR="001E55C4">
        <w:t xml:space="preserve">, ki je največja dejavnost po številu zaposlenih. </w:t>
      </w:r>
    </w:p>
    <w:p w14:paraId="3E6C214E" w14:textId="2245CF8A" w:rsidR="005732E6" w:rsidRPr="00355D96" w:rsidRDefault="005732E6" w:rsidP="00355D96">
      <w:pPr>
        <w:pStyle w:val="Napis"/>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Pr="00355D96">
        <w:t>1</w:t>
      </w:r>
      <w:r w:rsidRPr="00355D96">
        <w:fldChar w:fldCharType="end"/>
      </w:r>
      <w:r w:rsidRPr="00355D96">
        <w:rPr>
          <w:rStyle w:val="DZBesediloChar"/>
          <w:szCs w:val="20"/>
        </w:rPr>
        <w:t xml:space="preserve">: </w:t>
      </w:r>
      <w:r w:rsidR="00F379D2">
        <w:rPr>
          <w:rStyle w:val="DZBesediloChar"/>
          <w:szCs w:val="20"/>
        </w:rPr>
        <w:t xml:space="preserve">Po deležu v dodani vrednosti je največji oddelek </w:t>
      </w:r>
      <w:r w:rsidR="00F379D2" w:rsidRPr="0096000C">
        <w:rPr>
          <w:rStyle w:val="DZBesediloChar"/>
          <w:szCs w:val="20"/>
        </w:rPr>
        <w:t>t</w:t>
      </w:r>
      <w:r w:rsidRPr="0096000C">
        <w:rPr>
          <w:rStyle w:val="DZBesediloChar"/>
          <w:szCs w:val="20"/>
        </w:rPr>
        <w:t>rgovin</w:t>
      </w:r>
      <w:r w:rsidR="00F379D2" w:rsidRPr="0096000C">
        <w:rPr>
          <w:rStyle w:val="DZBesediloChar"/>
          <w:szCs w:val="20"/>
        </w:rPr>
        <w:t>a</w:t>
      </w:r>
      <w:r w:rsidRPr="0096000C">
        <w:rPr>
          <w:rStyle w:val="DZBesediloChar"/>
          <w:szCs w:val="20"/>
        </w:rPr>
        <w:t xml:space="preserve"> na debelo</w:t>
      </w:r>
      <w:r w:rsidR="00214CE2">
        <w:rPr>
          <w:rStyle w:val="DZBesediloChar"/>
          <w:szCs w:val="20"/>
        </w:rPr>
        <w:t>, znotraj katere</w:t>
      </w:r>
      <w:r w:rsidR="004D7E4E">
        <w:rPr>
          <w:rStyle w:val="DZBesediloChar"/>
          <w:szCs w:val="20"/>
        </w:rPr>
        <w:t>ga</w:t>
      </w:r>
      <w:r w:rsidR="00214CE2">
        <w:rPr>
          <w:rStyle w:val="DZBesediloChar"/>
          <w:szCs w:val="20"/>
        </w:rPr>
        <w:t xml:space="preserve"> je več panog precej enakovrednih</w:t>
      </w:r>
      <w:r w:rsidRPr="0096000C">
        <w:rPr>
          <w:rStyle w:val="DZBesediloChar"/>
          <w:szCs w:val="20"/>
        </w:rPr>
        <w:t xml:space="preserve"> </w:t>
      </w:r>
    </w:p>
    <w:p w14:paraId="554673B1" w14:textId="47B1D2F8" w:rsidR="005732E6" w:rsidRPr="005732E6" w:rsidRDefault="0056590E" w:rsidP="005732E6">
      <w:pPr>
        <w:pStyle w:val="Napis"/>
      </w:pPr>
      <w:r w:rsidRPr="0056590E">
        <w:drawing>
          <wp:inline distT="0" distB="0" distL="0" distR="0" wp14:anchorId="1551BC76" wp14:editId="2C87896B">
            <wp:extent cx="5759450" cy="2096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96865"/>
                    </a:xfrm>
                    <a:prstGeom prst="rect">
                      <a:avLst/>
                    </a:prstGeom>
                    <a:noFill/>
                    <a:ln>
                      <a:noFill/>
                    </a:ln>
                  </pic:spPr>
                </pic:pic>
              </a:graphicData>
            </a:graphic>
          </wp:inline>
        </w:drawing>
      </w:r>
    </w:p>
    <w:p w14:paraId="18105CA3" w14:textId="770D44B5" w:rsidR="00C03361" w:rsidRDefault="00C03361" w:rsidP="00116CEE">
      <w:pPr>
        <w:pStyle w:val="VirUMAR"/>
      </w:pPr>
      <w:bookmarkStart w:id="6" w:name="_Hlk109132995"/>
      <w:r w:rsidRPr="008F6BED">
        <w:t xml:space="preserve">Vir podatkov: </w:t>
      </w:r>
      <w:r w:rsidR="00B3524B">
        <w:fldChar w:fldCharType="begin"/>
      </w:r>
      <w:r w:rsidR="00EE3C5C">
        <w:instrText xml:space="preserve"> ADDIN ZOTERO_ITEM CSL_CITATION {"citationID":"xbhAcMzB","properties":{"formattedCitation":"(AJPES,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B3524B">
        <w:fldChar w:fldCharType="separate"/>
      </w:r>
      <w:r w:rsidR="00F379D2" w:rsidRPr="00F379D2">
        <w:t xml:space="preserve">AJPES </w:t>
      </w:r>
      <w:r w:rsidR="0096000C">
        <w:t>(</w:t>
      </w:r>
      <w:r w:rsidR="00F379D2" w:rsidRPr="00F379D2">
        <w:t>2023)</w:t>
      </w:r>
      <w:r w:rsidR="00B3524B">
        <w:fldChar w:fldCharType="end"/>
      </w:r>
      <w:r w:rsidRPr="008F6BED">
        <w:t>, lastni izračuni.</w:t>
      </w:r>
      <w:bookmarkEnd w:id="6"/>
    </w:p>
    <w:p w14:paraId="43A4A725" w14:textId="77777777" w:rsidR="00967352" w:rsidRDefault="00967352" w:rsidP="009D6F28">
      <w:pPr>
        <w:pStyle w:val="BesediloUMAR"/>
        <w:rPr>
          <w:rStyle w:val="VodilnistavekUMAR"/>
        </w:rPr>
      </w:pPr>
      <w:bookmarkStart w:id="7" w:name="_Hlk109126378"/>
    </w:p>
    <w:bookmarkEnd w:id="7"/>
    <w:p w14:paraId="03AC2392" w14:textId="7928933B" w:rsidR="00554C4D" w:rsidRPr="00116CEE" w:rsidRDefault="00116CEE" w:rsidP="009D6F28">
      <w:pPr>
        <w:pStyle w:val="BesediloUMAR"/>
        <w:rPr>
          <w:sz w:val="16"/>
        </w:rPr>
      </w:pPr>
      <w:r w:rsidRPr="0096000C">
        <w:rPr>
          <w:rStyle w:val="VodilnistavekUMAR"/>
        </w:rPr>
        <w:t>Po občutnem povečanju v</w:t>
      </w:r>
      <w:r w:rsidRPr="005732E6">
        <w:rPr>
          <w:rStyle w:val="VodilnistavekUMAR"/>
        </w:rPr>
        <w:t xml:space="preserve"> </w:t>
      </w:r>
      <w:r>
        <w:rPr>
          <w:rStyle w:val="VodilnistavekUMAR"/>
        </w:rPr>
        <w:t>predhodnem letu</w:t>
      </w:r>
      <w:r w:rsidRPr="005732E6">
        <w:rPr>
          <w:rStyle w:val="VodilnistavekUMAR"/>
        </w:rPr>
        <w:t xml:space="preserve"> </w:t>
      </w:r>
      <w:r>
        <w:rPr>
          <w:rStyle w:val="VodilnistavekUMAR"/>
        </w:rPr>
        <w:t xml:space="preserve">se </w:t>
      </w:r>
      <w:r w:rsidRPr="005732E6">
        <w:rPr>
          <w:rStyle w:val="VodilnistavekUMAR"/>
        </w:rPr>
        <w:t>je dodan</w:t>
      </w:r>
      <w:r>
        <w:rPr>
          <w:rStyle w:val="VodilnistavekUMAR"/>
        </w:rPr>
        <w:t>a</w:t>
      </w:r>
      <w:r w:rsidRPr="005732E6">
        <w:rPr>
          <w:rStyle w:val="VodilnistavekUMAR"/>
        </w:rPr>
        <w:t xml:space="preserve"> vrednost </w:t>
      </w:r>
      <w:r>
        <w:rPr>
          <w:rStyle w:val="VodilnistavekUMAR"/>
        </w:rPr>
        <w:t xml:space="preserve">in produktivnost dela </w:t>
      </w:r>
      <w:r w:rsidRPr="005732E6">
        <w:rPr>
          <w:rStyle w:val="VodilnistavekUMAR"/>
        </w:rPr>
        <w:t xml:space="preserve">v družbah trgovine ter vzdrževanja in popravil motornih vozil </w:t>
      </w:r>
      <w:r>
        <w:rPr>
          <w:rStyle w:val="VodilnistavekUMAR"/>
        </w:rPr>
        <w:t>v letu 2022 le rahlo povečala.</w:t>
      </w:r>
      <w:r w:rsidRPr="005732E6">
        <w:t xml:space="preserve"> </w:t>
      </w:r>
      <w:r>
        <w:br/>
      </w:r>
      <w:r w:rsidRPr="005732E6">
        <w:t>Po zmanjševanju v obdobju 2011–2013 se je dodana vrednost trgovskih družb v naslednjih letih povečevala</w:t>
      </w:r>
      <w:r>
        <w:rPr>
          <w:rStyle w:val="Sprotnaopomba-sklic"/>
        </w:rPr>
        <w:footnoteReference w:id="4"/>
      </w:r>
      <w:r w:rsidRPr="005732E6">
        <w:t xml:space="preserve">. </w:t>
      </w:r>
      <w:r>
        <w:t>Po skoraj 20-odstotni rasti leta 2021 (</w:t>
      </w:r>
      <w:r w:rsidRPr="005732E6">
        <w:t xml:space="preserve">kar je bilo precej </w:t>
      </w:r>
      <w:r>
        <w:t xml:space="preserve">več </w:t>
      </w:r>
      <w:r w:rsidRPr="005732E6">
        <w:t>kot v povprečju gospodarskih družb</w:t>
      </w:r>
      <w:r>
        <w:t>), se je dodana vrednost (brez upoštevanja subvencij) lani povečala le za 3,1 %</w:t>
      </w:r>
      <w:r w:rsidRPr="005732E6">
        <w:t>. S tem se je njen delež v skupni dodani vrednosti</w:t>
      </w:r>
      <w:r>
        <w:t>, ki je bil leta 2021</w:t>
      </w:r>
      <w:r w:rsidRPr="005732E6">
        <w:t xml:space="preserve"> </w:t>
      </w:r>
      <w:r>
        <w:t>z</w:t>
      </w:r>
      <w:r w:rsidRPr="005732E6">
        <w:t xml:space="preserve"> 18,7 % najvišji po letu 2010</w:t>
      </w:r>
      <w:r>
        <w:t>, znižal na 17,9 %</w:t>
      </w:r>
      <w:r w:rsidRPr="005732E6">
        <w:t xml:space="preserve">. </w:t>
      </w:r>
      <w:r>
        <w:rPr>
          <w:bCs/>
        </w:rPr>
        <w:t xml:space="preserve">Po zmanjšanju v letu 2020, ki bi bilo brez ukrepov vlade za ohranjanje delovnih mest še precej večje </w:t>
      </w:r>
      <w:bookmarkStart w:id="8" w:name="_Hlk121480052"/>
      <w:r>
        <w:rPr>
          <w:bCs/>
        </w:rPr>
        <w:t>(za več glej Okvir 1)</w:t>
      </w:r>
      <w:bookmarkEnd w:id="8"/>
      <w:r>
        <w:rPr>
          <w:bCs/>
        </w:rPr>
        <w:t>, se je leta 2021 in tudi leta 2022 povečalo tudi število zaposlenih.</w:t>
      </w:r>
      <w:r>
        <w:t xml:space="preserve"> Ob nižji rasti števila zaposlenih od rasti dodane vrednosti so družbe </w:t>
      </w:r>
      <w:r w:rsidR="004D7E4E">
        <w:t xml:space="preserve">lani </w:t>
      </w:r>
      <w:r>
        <w:t xml:space="preserve">malenkostno </w:t>
      </w:r>
      <w:r w:rsidRPr="005732E6">
        <w:t>okrepil</w:t>
      </w:r>
      <w:r>
        <w:t>e</w:t>
      </w:r>
      <w:r w:rsidRPr="005732E6">
        <w:t xml:space="preserve"> tudi produktivnost</w:t>
      </w:r>
      <w:r>
        <w:t>.</w:t>
      </w:r>
      <w:r w:rsidRPr="005732E6">
        <w:t xml:space="preserve"> Ta </w:t>
      </w:r>
      <w:r>
        <w:t xml:space="preserve">je </w:t>
      </w:r>
      <w:r w:rsidRPr="005732E6">
        <w:t xml:space="preserve">v dejavnosti trgovine v nominalnem znesku </w:t>
      </w:r>
      <w:r>
        <w:t>tudi lani</w:t>
      </w:r>
      <w:r w:rsidRPr="005732E6">
        <w:t xml:space="preserve"> presega</w:t>
      </w:r>
      <w:r>
        <w:t>la</w:t>
      </w:r>
      <w:r w:rsidRPr="005732E6">
        <w:t xml:space="preserve"> povprečno produktivnost vseh gospodarskih družb</w:t>
      </w:r>
      <w:r>
        <w:rPr>
          <w:rStyle w:val="Sprotnaopomba-sklic"/>
        </w:rPr>
        <w:footnoteReference w:id="5"/>
      </w:r>
      <w:r>
        <w:t xml:space="preserve">. Rast zaposlenih </w:t>
      </w:r>
      <w:r w:rsidRPr="0046590F">
        <w:rPr>
          <w:bCs/>
        </w:rPr>
        <w:t xml:space="preserve">in povišanje minimalne ter povprečne plače </w:t>
      </w:r>
      <w:r>
        <w:rPr>
          <w:bCs/>
        </w:rPr>
        <w:t>so zvišali tudi stroške dela.</w:t>
      </w:r>
      <w:r w:rsidRPr="005732E6">
        <w:t xml:space="preserve"> Ob </w:t>
      </w:r>
      <w:r>
        <w:t>večjem</w:t>
      </w:r>
      <w:r w:rsidRPr="005732E6">
        <w:t xml:space="preserve"> povečanju stroškov dela na zaposlenega od rasti produktivnosti se je leta 202</w:t>
      </w:r>
      <w:r>
        <w:t>2</w:t>
      </w:r>
      <w:r w:rsidRPr="005732E6">
        <w:t xml:space="preserve"> </w:t>
      </w:r>
      <w:r>
        <w:t>nekoliko povečal</w:t>
      </w:r>
      <w:r w:rsidRPr="005732E6">
        <w:t xml:space="preserve"> delež stroškov dela v dodani vrednosti, ki </w:t>
      </w:r>
      <w:r>
        <w:t xml:space="preserve">pa </w:t>
      </w:r>
      <w:r w:rsidRPr="005732E6">
        <w:t>je bil s 5</w:t>
      </w:r>
      <w:r>
        <w:t>5</w:t>
      </w:r>
      <w:r w:rsidRPr="005732E6">
        <w:t>,</w:t>
      </w:r>
      <w:r>
        <w:t>8 </w:t>
      </w:r>
      <w:r w:rsidRPr="005732E6">
        <w:t xml:space="preserve">% </w:t>
      </w:r>
      <w:r>
        <w:t xml:space="preserve">še vedno med </w:t>
      </w:r>
      <w:r w:rsidRPr="005732E6">
        <w:t>najnižji</w:t>
      </w:r>
      <w:r>
        <w:t>mi</w:t>
      </w:r>
      <w:r w:rsidRPr="005732E6">
        <w:t xml:space="preserve"> od leta 2008.</w:t>
      </w:r>
    </w:p>
    <w:p w14:paraId="62D8A37B" w14:textId="7BC44224" w:rsidR="00355D96" w:rsidRDefault="00355D96" w:rsidP="00355D96">
      <w:pPr>
        <w:pStyle w:val="Napis"/>
        <w:rPr>
          <w:rStyle w:val="DZBesediloChar"/>
          <w:szCs w:val="20"/>
        </w:rPr>
      </w:pPr>
      <w:bookmarkStart w:id="9" w:name="_Toc96409042"/>
      <w:r w:rsidRPr="0096000C">
        <w:lastRenderedPageBreak/>
        <w:t xml:space="preserve">Tabela </w:t>
      </w:r>
      <w:r w:rsidRPr="0096000C">
        <w:fldChar w:fldCharType="begin"/>
      </w:r>
      <w:r w:rsidRPr="0096000C">
        <w:instrText xml:space="preserve"> SEQ Tabela \* ARABIC </w:instrText>
      </w:r>
      <w:r w:rsidRPr="0096000C">
        <w:fldChar w:fldCharType="separate"/>
      </w:r>
      <w:r w:rsidRPr="0096000C">
        <w:t>1</w:t>
      </w:r>
      <w:r w:rsidRPr="0096000C">
        <w:fldChar w:fldCharType="end"/>
      </w:r>
      <w:r w:rsidRPr="00355D96">
        <w:rPr>
          <w:rStyle w:val="DZBesediloChar"/>
          <w:szCs w:val="20"/>
        </w:rPr>
        <w:t>: Kazalniki poslovanja gospodarskih družb v dejavnosti trgovina, vzdrževanje in popravila motornih vozil v izbranih letih</w:t>
      </w:r>
      <w:bookmarkEnd w:id="9"/>
    </w:p>
    <w:tbl>
      <w:tblPr>
        <w:tblStyle w:val="Tabelasvetlamrea"/>
        <w:tblW w:w="9406" w:type="dxa"/>
        <w:tblLayout w:type="fixed"/>
        <w:tblLook w:val="01E0" w:firstRow="1" w:lastRow="1" w:firstColumn="1" w:lastColumn="1" w:noHBand="0" w:noVBand="0"/>
      </w:tblPr>
      <w:tblGrid>
        <w:gridCol w:w="4111"/>
        <w:gridCol w:w="756"/>
        <w:gridCol w:w="756"/>
        <w:gridCol w:w="757"/>
        <w:gridCol w:w="756"/>
        <w:gridCol w:w="757"/>
        <w:gridCol w:w="756"/>
        <w:gridCol w:w="757"/>
      </w:tblGrid>
      <w:tr w:rsidR="00B4515B" w:rsidRPr="00355D96" w14:paraId="06A7BEFC" w14:textId="77777777" w:rsidTr="00B4515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11" w:type="dxa"/>
          </w:tcPr>
          <w:p w14:paraId="796B57EF" w14:textId="77777777" w:rsidR="00B4515B" w:rsidRPr="00355D96" w:rsidRDefault="00B4515B" w:rsidP="004C557B">
            <w:pPr>
              <w:pStyle w:val="BesediloUMAR"/>
              <w:rPr>
                <w:b/>
                <w:bCs/>
                <w:sz w:val="20"/>
              </w:rPr>
            </w:pPr>
          </w:p>
        </w:tc>
        <w:tc>
          <w:tcPr>
            <w:cnfStyle w:val="000010000000" w:firstRow="0" w:lastRow="0" w:firstColumn="0" w:lastColumn="0" w:oddVBand="1" w:evenVBand="0" w:oddHBand="0" w:evenHBand="0" w:firstRowFirstColumn="0" w:firstRowLastColumn="0" w:lastRowFirstColumn="0" w:lastRowLastColumn="0"/>
            <w:tcW w:w="756" w:type="dxa"/>
          </w:tcPr>
          <w:p w14:paraId="26196F40" w14:textId="77777777" w:rsidR="00B4515B" w:rsidRPr="00355D96" w:rsidRDefault="00B4515B" w:rsidP="004C557B">
            <w:pPr>
              <w:pStyle w:val="TabelaglavadesnoUMAR"/>
            </w:pPr>
            <w:r w:rsidRPr="00355D96">
              <w:t>2008</w:t>
            </w:r>
          </w:p>
        </w:tc>
        <w:tc>
          <w:tcPr>
            <w:cnfStyle w:val="000001000000" w:firstRow="0" w:lastRow="0" w:firstColumn="0" w:lastColumn="0" w:oddVBand="0" w:evenVBand="1" w:oddHBand="0" w:evenHBand="0" w:firstRowFirstColumn="0" w:firstRowLastColumn="0" w:lastRowFirstColumn="0" w:lastRowLastColumn="0"/>
            <w:tcW w:w="756" w:type="dxa"/>
          </w:tcPr>
          <w:p w14:paraId="38CDB4CE" w14:textId="77777777" w:rsidR="00B4515B" w:rsidRPr="00355D96" w:rsidRDefault="00B4515B" w:rsidP="004C557B">
            <w:pPr>
              <w:pStyle w:val="TabelaglavadesnoUMAR"/>
            </w:pPr>
            <w:r w:rsidRPr="00355D96">
              <w:t>2010</w:t>
            </w:r>
          </w:p>
        </w:tc>
        <w:tc>
          <w:tcPr>
            <w:cnfStyle w:val="000010000000" w:firstRow="0" w:lastRow="0" w:firstColumn="0" w:lastColumn="0" w:oddVBand="1" w:evenVBand="0" w:oddHBand="0" w:evenHBand="0" w:firstRowFirstColumn="0" w:firstRowLastColumn="0" w:lastRowFirstColumn="0" w:lastRowLastColumn="0"/>
            <w:tcW w:w="757" w:type="dxa"/>
          </w:tcPr>
          <w:p w14:paraId="469E1269" w14:textId="77777777" w:rsidR="00B4515B" w:rsidRPr="00355D96" w:rsidRDefault="00B4515B" w:rsidP="004C557B">
            <w:pPr>
              <w:pStyle w:val="TabelaglavadesnoUMAR"/>
            </w:pPr>
            <w:r w:rsidRPr="00355D96">
              <w:t>2015</w:t>
            </w:r>
          </w:p>
        </w:tc>
        <w:tc>
          <w:tcPr>
            <w:cnfStyle w:val="000001000000" w:firstRow="0" w:lastRow="0" w:firstColumn="0" w:lastColumn="0" w:oddVBand="0" w:evenVBand="1" w:oddHBand="0" w:evenHBand="0" w:firstRowFirstColumn="0" w:firstRowLastColumn="0" w:lastRowFirstColumn="0" w:lastRowLastColumn="0"/>
            <w:tcW w:w="756" w:type="dxa"/>
          </w:tcPr>
          <w:p w14:paraId="39351C3D" w14:textId="77777777" w:rsidR="00B4515B" w:rsidRPr="00355D96" w:rsidRDefault="00B4515B" w:rsidP="004C557B">
            <w:pPr>
              <w:pStyle w:val="TabelaglavadesnoUMAR"/>
            </w:pPr>
            <w:r w:rsidRPr="00355D96">
              <w:t>2019</w:t>
            </w:r>
          </w:p>
        </w:tc>
        <w:tc>
          <w:tcPr>
            <w:cnfStyle w:val="000010000000" w:firstRow="0" w:lastRow="0" w:firstColumn="0" w:lastColumn="0" w:oddVBand="1" w:evenVBand="0" w:oddHBand="0" w:evenHBand="0" w:firstRowFirstColumn="0" w:firstRowLastColumn="0" w:lastRowFirstColumn="0" w:lastRowLastColumn="0"/>
            <w:tcW w:w="757" w:type="dxa"/>
          </w:tcPr>
          <w:p w14:paraId="45891EAF" w14:textId="77777777" w:rsidR="00B4515B" w:rsidRPr="00355D96" w:rsidRDefault="00B4515B" w:rsidP="004C557B">
            <w:pPr>
              <w:pStyle w:val="TabelaglavadesnoUMAR"/>
            </w:pPr>
            <w:r w:rsidRPr="00355D96">
              <w:t>2020</w:t>
            </w:r>
          </w:p>
        </w:tc>
        <w:tc>
          <w:tcPr>
            <w:cnfStyle w:val="000001000000" w:firstRow="0" w:lastRow="0" w:firstColumn="0" w:lastColumn="0" w:oddVBand="0" w:evenVBand="1" w:oddHBand="0" w:evenHBand="0" w:firstRowFirstColumn="0" w:firstRowLastColumn="0" w:lastRowFirstColumn="0" w:lastRowLastColumn="0"/>
            <w:tcW w:w="756" w:type="dxa"/>
          </w:tcPr>
          <w:p w14:paraId="386B0733" w14:textId="77777777" w:rsidR="00B4515B" w:rsidRPr="00355D96" w:rsidRDefault="00B4515B" w:rsidP="004C557B">
            <w:pPr>
              <w:pStyle w:val="TabelaglavadesnoUMAR"/>
              <w:rPr>
                <w:rFonts w:eastAsia="Times New Roman"/>
                <w:lang w:eastAsia="sl-SI"/>
              </w:rPr>
            </w:pPr>
            <w:r>
              <w:t>2021</w:t>
            </w:r>
          </w:p>
        </w:tc>
        <w:tc>
          <w:tcPr>
            <w:cnfStyle w:val="000100000000" w:firstRow="0" w:lastRow="0" w:firstColumn="0" w:lastColumn="1" w:oddVBand="0" w:evenVBand="0" w:oddHBand="0" w:evenHBand="0" w:firstRowFirstColumn="0" w:firstRowLastColumn="0" w:lastRowFirstColumn="0" w:lastRowLastColumn="0"/>
            <w:tcW w:w="757" w:type="dxa"/>
          </w:tcPr>
          <w:p w14:paraId="7D001161" w14:textId="77777777" w:rsidR="00B4515B" w:rsidRPr="00355D96" w:rsidRDefault="00B4515B" w:rsidP="004C557B">
            <w:pPr>
              <w:pStyle w:val="TabelaglavadesnoUMAR"/>
            </w:pPr>
            <w:r>
              <w:t>2022</w:t>
            </w:r>
          </w:p>
        </w:tc>
      </w:tr>
      <w:tr w:rsidR="00B4515B" w:rsidRPr="00355D96" w14:paraId="672E8CD9"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6C56900D" w14:textId="77777777" w:rsidR="00B4515B" w:rsidRPr="00355D96" w:rsidRDefault="00B4515B" w:rsidP="004C557B">
            <w:pPr>
              <w:pStyle w:val="TabelalevoUMAR"/>
            </w:pPr>
            <w:r w:rsidRPr="00355D96">
              <w:t>Število gospodarskih družb</w:t>
            </w:r>
          </w:p>
        </w:tc>
        <w:tc>
          <w:tcPr>
            <w:cnfStyle w:val="000010000000" w:firstRow="0" w:lastRow="0" w:firstColumn="0" w:lastColumn="0" w:oddVBand="1" w:evenVBand="0" w:oddHBand="0" w:evenHBand="0" w:firstRowFirstColumn="0" w:firstRowLastColumn="0" w:lastRowFirstColumn="0" w:lastRowLastColumn="0"/>
            <w:tcW w:w="756" w:type="dxa"/>
          </w:tcPr>
          <w:p w14:paraId="4FE14001" w14:textId="77777777" w:rsidR="00B4515B" w:rsidRPr="00355D96" w:rsidRDefault="00B4515B" w:rsidP="004C557B">
            <w:pPr>
              <w:pStyle w:val="TabeladesnoUMAR"/>
            </w:pPr>
            <w:r w:rsidRPr="00355D96">
              <w:t>13.456</w:t>
            </w:r>
          </w:p>
        </w:tc>
        <w:tc>
          <w:tcPr>
            <w:cnfStyle w:val="000001000000" w:firstRow="0" w:lastRow="0" w:firstColumn="0" w:lastColumn="0" w:oddVBand="0" w:evenVBand="1" w:oddHBand="0" w:evenHBand="0" w:firstRowFirstColumn="0" w:firstRowLastColumn="0" w:lastRowFirstColumn="0" w:lastRowLastColumn="0"/>
            <w:tcW w:w="756" w:type="dxa"/>
          </w:tcPr>
          <w:p w14:paraId="0F6134D1" w14:textId="77777777" w:rsidR="00B4515B" w:rsidRPr="00355D96" w:rsidRDefault="00B4515B" w:rsidP="004C557B">
            <w:pPr>
              <w:pStyle w:val="TabeladesnoUMAR"/>
            </w:pPr>
            <w:r w:rsidRPr="00355D96">
              <w:t>13.947</w:t>
            </w:r>
          </w:p>
        </w:tc>
        <w:tc>
          <w:tcPr>
            <w:cnfStyle w:val="000010000000" w:firstRow="0" w:lastRow="0" w:firstColumn="0" w:lastColumn="0" w:oddVBand="1" w:evenVBand="0" w:oddHBand="0" w:evenHBand="0" w:firstRowFirstColumn="0" w:firstRowLastColumn="0" w:lastRowFirstColumn="0" w:lastRowLastColumn="0"/>
            <w:tcW w:w="757" w:type="dxa"/>
          </w:tcPr>
          <w:p w14:paraId="1F33F039" w14:textId="77777777" w:rsidR="00B4515B" w:rsidRPr="00355D96" w:rsidRDefault="00B4515B" w:rsidP="004C557B">
            <w:pPr>
              <w:pStyle w:val="TabeladesnoUMAR"/>
            </w:pPr>
            <w:r w:rsidRPr="00355D96">
              <w:t>15.354</w:t>
            </w:r>
          </w:p>
        </w:tc>
        <w:tc>
          <w:tcPr>
            <w:cnfStyle w:val="000001000000" w:firstRow="0" w:lastRow="0" w:firstColumn="0" w:lastColumn="0" w:oddVBand="0" w:evenVBand="1" w:oddHBand="0" w:evenHBand="0" w:firstRowFirstColumn="0" w:firstRowLastColumn="0" w:lastRowFirstColumn="0" w:lastRowLastColumn="0"/>
            <w:tcW w:w="756" w:type="dxa"/>
          </w:tcPr>
          <w:p w14:paraId="26937A53" w14:textId="77777777" w:rsidR="00B4515B" w:rsidRPr="00355D96" w:rsidRDefault="00B4515B" w:rsidP="004C557B">
            <w:pPr>
              <w:pStyle w:val="TabeladesnoUMAR"/>
            </w:pPr>
            <w:r w:rsidRPr="00355D96">
              <w:t>15.084</w:t>
            </w:r>
          </w:p>
        </w:tc>
        <w:tc>
          <w:tcPr>
            <w:cnfStyle w:val="000010000000" w:firstRow="0" w:lastRow="0" w:firstColumn="0" w:lastColumn="0" w:oddVBand="1" w:evenVBand="0" w:oddHBand="0" w:evenHBand="0" w:firstRowFirstColumn="0" w:firstRowLastColumn="0" w:lastRowFirstColumn="0" w:lastRowLastColumn="0"/>
            <w:tcW w:w="757" w:type="dxa"/>
          </w:tcPr>
          <w:p w14:paraId="02C87DCD" w14:textId="77777777" w:rsidR="00B4515B" w:rsidRPr="00355D96" w:rsidRDefault="00B4515B" w:rsidP="004C557B">
            <w:pPr>
              <w:pStyle w:val="TabeladesnoUMAR"/>
            </w:pPr>
            <w:r w:rsidRPr="00355D96">
              <w:t>15.167</w:t>
            </w:r>
          </w:p>
        </w:tc>
        <w:tc>
          <w:tcPr>
            <w:cnfStyle w:val="000001000000" w:firstRow="0" w:lastRow="0" w:firstColumn="0" w:lastColumn="0" w:oddVBand="0" w:evenVBand="1" w:oddHBand="0" w:evenHBand="0" w:firstRowFirstColumn="0" w:firstRowLastColumn="0" w:lastRowFirstColumn="0" w:lastRowLastColumn="0"/>
            <w:tcW w:w="756" w:type="dxa"/>
          </w:tcPr>
          <w:p w14:paraId="608EC510" w14:textId="77777777" w:rsidR="00B4515B" w:rsidRPr="00355D96" w:rsidRDefault="00B4515B" w:rsidP="004C557B">
            <w:pPr>
              <w:pStyle w:val="TabeladesnoUMAR"/>
            </w:pPr>
            <w:r w:rsidRPr="00355D96">
              <w:t>15.002</w:t>
            </w:r>
          </w:p>
        </w:tc>
        <w:tc>
          <w:tcPr>
            <w:cnfStyle w:val="000100000000" w:firstRow="0" w:lastRow="0" w:firstColumn="0" w:lastColumn="1" w:oddVBand="0" w:evenVBand="0" w:oddHBand="0" w:evenHBand="0" w:firstRowFirstColumn="0" w:firstRowLastColumn="0" w:lastRowFirstColumn="0" w:lastRowLastColumn="0"/>
            <w:tcW w:w="757" w:type="dxa"/>
          </w:tcPr>
          <w:p w14:paraId="602ADB5E" w14:textId="5FD5EB3C" w:rsidR="00B4515B" w:rsidRPr="00355D96" w:rsidRDefault="00B4515B" w:rsidP="004C557B">
            <w:pPr>
              <w:pStyle w:val="TabeladesnoUMAR"/>
            </w:pPr>
            <w:r>
              <w:t>14.873</w:t>
            </w:r>
          </w:p>
        </w:tc>
      </w:tr>
      <w:tr w:rsidR="00B4515B" w:rsidRPr="00355D96" w14:paraId="162422C0"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7FDE49A7" w14:textId="77777777" w:rsidR="00B4515B" w:rsidRPr="00355D96" w:rsidRDefault="00B4515B" w:rsidP="004C557B">
            <w:pPr>
              <w:pStyle w:val="TabelalevoUMAR"/>
              <w:rPr>
                <w:vertAlign w:val="superscript"/>
              </w:rPr>
            </w:pPr>
            <w:r w:rsidRPr="00355D96">
              <w:t>Število zaposlenih</w:t>
            </w:r>
            <w:r w:rsidRPr="00355D96">
              <w:rPr>
                <w:vertAlign w:val="superscript"/>
              </w:rPr>
              <w:t>1</w:t>
            </w:r>
          </w:p>
        </w:tc>
        <w:tc>
          <w:tcPr>
            <w:cnfStyle w:val="000010000000" w:firstRow="0" w:lastRow="0" w:firstColumn="0" w:lastColumn="0" w:oddVBand="1" w:evenVBand="0" w:oddHBand="0" w:evenHBand="0" w:firstRowFirstColumn="0" w:firstRowLastColumn="0" w:lastRowFirstColumn="0" w:lastRowLastColumn="0"/>
            <w:tcW w:w="756" w:type="dxa"/>
          </w:tcPr>
          <w:p w14:paraId="0DBC904B" w14:textId="77777777" w:rsidR="00B4515B" w:rsidRPr="00355D96" w:rsidRDefault="00B4515B" w:rsidP="004C557B">
            <w:pPr>
              <w:pStyle w:val="TabeladesnoUMAR"/>
            </w:pPr>
            <w:r w:rsidRPr="00355D96">
              <w:t>90.311</w:t>
            </w:r>
          </w:p>
        </w:tc>
        <w:tc>
          <w:tcPr>
            <w:cnfStyle w:val="000001000000" w:firstRow="0" w:lastRow="0" w:firstColumn="0" w:lastColumn="0" w:oddVBand="0" w:evenVBand="1" w:oddHBand="0" w:evenHBand="0" w:firstRowFirstColumn="0" w:firstRowLastColumn="0" w:lastRowFirstColumn="0" w:lastRowLastColumn="0"/>
            <w:tcW w:w="756" w:type="dxa"/>
          </w:tcPr>
          <w:p w14:paraId="15F85435" w14:textId="77777777" w:rsidR="00B4515B" w:rsidRPr="00355D96" w:rsidRDefault="00B4515B" w:rsidP="004C557B">
            <w:pPr>
              <w:pStyle w:val="TabeladesnoUMAR"/>
            </w:pPr>
            <w:r w:rsidRPr="00355D96">
              <w:t>86.871</w:t>
            </w:r>
          </w:p>
        </w:tc>
        <w:tc>
          <w:tcPr>
            <w:cnfStyle w:val="000010000000" w:firstRow="0" w:lastRow="0" w:firstColumn="0" w:lastColumn="0" w:oddVBand="1" w:evenVBand="0" w:oddHBand="0" w:evenHBand="0" w:firstRowFirstColumn="0" w:firstRowLastColumn="0" w:lastRowFirstColumn="0" w:lastRowLastColumn="0"/>
            <w:tcW w:w="757" w:type="dxa"/>
          </w:tcPr>
          <w:p w14:paraId="72C32940" w14:textId="77777777" w:rsidR="00B4515B" w:rsidRPr="00355D96" w:rsidRDefault="00B4515B" w:rsidP="004C557B">
            <w:pPr>
              <w:pStyle w:val="TabeladesnoUMAR"/>
            </w:pPr>
            <w:r w:rsidRPr="00355D96">
              <w:t>79.770</w:t>
            </w:r>
          </w:p>
        </w:tc>
        <w:tc>
          <w:tcPr>
            <w:cnfStyle w:val="000001000000" w:firstRow="0" w:lastRow="0" w:firstColumn="0" w:lastColumn="0" w:oddVBand="0" w:evenVBand="1" w:oddHBand="0" w:evenHBand="0" w:firstRowFirstColumn="0" w:firstRowLastColumn="0" w:lastRowFirstColumn="0" w:lastRowLastColumn="0"/>
            <w:tcW w:w="756" w:type="dxa"/>
          </w:tcPr>
          <w:p w14:paraId="44127EB3" w14:textId="77777777" w:rsidR="00B4515B" w:rsidRPr="00355D96" w:rsidRDefault="00B4515B" w:rsidP="004C557B">
            <w:pPr>
              <w:pStyle w:val="TabeladesnoUMAR"/>
            </w:pPr>
            <w:r w:rsidRPr="00355D96">
              <w:t>88.872</w:t>
            </w:r>
          </w:p>
        </w:tc>
        <w:tc>
          <w:tcPr>
            <w:cnfStyle w:val="000010000000" w:firstRow="0" w:lastRow="0" w:firstColumn="0" w:lastColumn="0" w:oddVBand="1" w:evenVBand="0" w:oddHBand="0" w:evenHBand="0" w:firstRowFirstColumn="0" w:firstRowLastColumn="0" w:lastRowFirstColumn="0" w:lastRowLastColumn="0"/>
            <w:tcW w:w="757" w:type="dxa"/>
          </w:tcPr>
          <w:p w14:paraId="14937C03" w14:textId="77777777" w:rsidR="00B4515B" w:rsidRPr="00355D96" w:rsidRDefault="00B4515B" w:rsidP="004C557B">
            <w:pPr>
              <w:pStyle w:val="TabeladesnoUMAR"/>
            </w:pPr>
            <w:r w:rsidRPr="00355D96">
              <w:t>88.828</w:t>
            </w:r>
          </w:p>
        </w:tc>
        <w:tc>
          <w:tcPr>
            <w:cnfStyle w:val="000001000000" w:firstRow="0" w:lastRow="0" w:firstColumn="0" w:lastColumn="0" w:oddVBand="0" w:evenVBand="1" w:oddHBand="0" w:evenHBand="0" w:firstRowFirstColumn="0" w:firstRowLastColumn="0" w:lastRowFirstColumn="0" w:lastRowLastColumn="0"/>
            <w:tcW w:w="756" w:type="dxa"/>
          </w:tcPr>
          <w:p w14:paraId="7909308A" w14:textId="77777777" w:rsidR="00B4515B" w:rsidRPr="00355D96" w:rsidRDefault="00B4515B" w:rsidP="004C557B">
            <w:pPr>
              <w:pStyle w:val="TabeladesnoUMAR"/>
            </w:pPr>
            <w:r w:rsidRPr="00355D96">
              <w:t>90.357</w:t>
            </w:r>
          </w:p>
        </w:tc>
        <w:tc>
          <w:tcPr>
            <w:cnfStyle w:val="000100000000" w:firstRow="0" w:lastRow="0" w:firstColumn="0" w:lastColumn="1" w:oddVBand="0" w:evenVBand="0" w:oddHBand="0" w:evenHBand="0" w:firstRowFirstColumn="0" w:firstRowLastColumn="0" w:lastRowFirstColumn="0" w:lastRowLastColumn="0"/>
            <w:tcW w:w="757" w:type="dxa"/>
          </w:tcPr>
          <w:p w14:paraId="709819D6" w14:textId="59B302F7" w:rsidR="00B4515B" w:rsidRPr="00355D96" w:rsidRDefault="00B4515B" w:rsidP="004C557B">
            <w:pPr>
              <w:pStyle w:val="TabeladesnoUMAR"/>
            </w:pPr>
            <w:r>
              <w:t>91.800</w:t>
            </w:r>
          </w:p>
        </w:tc>
      </w:tr>
      <w:tr w:rsidR="00B4515B" w:rsidRPr="00355D96" w14:paraId="79133403"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0355EAE8" w14:textId="77777777" w:rsidR="00B4515B" w:rsidRPr="00355D96" w:rsidRDefault="00B4515B" w:rsidP="004C557B">
            <w:pPr>
              <w:pStyle w:val="TabelalevoUMAR"/>
            </w:pPr>
            <w:r w:rsidRPr="00355D96">
              <w:t>Delež zaposlenih v vseh družbah (v %)</w:t>
            </w:r>
          </w:p>
        </w:tc>
        <w:tc>
          <w:tcPr>
            <w:cnfStyle w:val="000010000000" w:firstRow="0" w:lastRow="0" w:firstColumn="0" w:lastColumn="0" w:oddVBand="1" w:evenVBand="0" w:oddHBand="0" w:evenHBand="0" w:firstRowFirstColumn="0" w:firstRowLastColumn="0" w:lastRowFirstColumn="0" w:lastRowLastColumn="0"/>
            <w:tcW w:w="756" w:type="dxa"/>
          </w:tcPr>
          <w:p w14:paraId="122180E1" w14:textId="77777777" w:rsidR="00B4515B" w:rsidRPr="00355D96" w:rsidRDefault="00B4515B" w:rsidP="004C557B">
            <w:pPr>
              <w:pStyle w:val="TabeladesnoUMAR"/>
            </w:pPr>
            <w:r w:rsidRPr="00355D96">
              <w:t>17,7</w:t>
            </w:r>
          </w:p>
        </w:tc>
        <w:tc>
          <w:tcPr>
            <w:cnfStyle w:val="000001000000" w:firstRow="0" w:lastRow="0" w:firstColumn="0" w:lastColumn="0" w:oddVBand="0" w:evenVBand="1" w:oddHBand="0" w:evenHBand="0" w:firstRowFirstColumn="0" w:firstRowLastColumn="0" w:lastRowFirstColumn="0" w:lastRowLastColumn="0"/>
            <w:tcW w:w="756" w:type="dxa"/>
          </w:tcPr>
          <w:p w14:paraId="2A59ECDD" w14:textId="77777777" w:rsidR="00B4515B" w:rsidRPr="00355D96" w:rsidRDefault="00B4515B" w:rsidP="004C557B">
            <w:pPr>
              <w:pStyle w:val="TabeladesnoUMAR"/>
            </w:pPr>
            <w:r w:rsidRPr="00355D96">
              <w:t>18,8</w:t>
            </w:r>
          </w:p>
        </w:tc>
        <w:tc>
          <w:tcPr>
            <w:cnfStyle w:val="000010000000" w:firstRow="0" w:lastRow="0" w:firstColumn="0" w:lastColumn="0" w:oddVBand="1" w:evenVBand="0" w:oddHBand="0" w:evenHBand="0" w:firstRowFirstColumn="0" w:firstRowLastColumn="0" w:lastRowFirstColumn="0" w:lastRowLastColumn="0"/>
            <w:tcW w:w="757" w:type="dxa"/>
          </w:tcPr>
          <w:p w14:paraId="56E0ABCE" w14:textId="77777777" w:rsidR="00B4515B" w:rsidRPr="00355D96" w:rsidRDefault="00B4515B" w:rsidP="004C557B">
            <w:pPr>
              <w:pStyle w:val="TabeladesnoUMAR"/>
            </w:pPr>
            <w:r w:rsidRPr="00355D96">
              <w:t xml:space="preserve"> 17,9</w:t>
            </w:r>
          </w:p>
        </w:tc>
        <w:tc>
          <w:tcPr>
            <w:cnfStyle w:val="000001000000" w:firstRow="0" w:lastRow="0" w:firstColumn="0" w:lastColumn="0" w:oddVBand="0" w:evenVBand="1" w:oddHBand="0" w:evenHBand="0" w:firstRowFirstColumn="0" w:firstRowLastColumn="0" w:lastRowFirstColumn="0" w:lastRowLastColumn="0"/>
            <w:tcW w:w="756" w:type="dxa"/>
          </w:tcPr>
          <w:p w14:paraId="042BEFA8" w14:textId="77777777" w:rsidR="00B4515B" w:rsidRPr="00355D96" w:rsidRDefault="00B4515B" w:rsidP="004C557B">
            <w:pPr>
              <w:pStyle w:val="TabeladesnoUMAR"/>
            </w:pPr>
            <w:r w:rsidRPr="00355D96">
              <w:t>17,1</w:t>
            </w:r>
          </w:p>
        </w:tc>
        <w:tc>
          <w:tcPr>
            <w:cnfStyle w:val="000010000000" w:firstRow="0" w:lastRow="0" w:firstColumn="0" w:lastColumn="0" w:oddVBand="1" w:evenVBand="0" w:oddHBand="0" w:evenHBand="0" w:firstRowFirstColumn="0" w:firstRowLastColumn="0" w:lastRowFirstColumn="0" w:lastRowLastColumn="0"/>
            <w:tcW w:w="757" w:type="dxa"/>
          </w:tcPr>
          <w:p w14:paraId="2495B023" w14:textId="77777777" w:rsidR="00B4515B" w:rsidRPr="00355D96" w:rsidRDefault="00B4515B" w:rsidP="004C557B">
            <w:pPr>
              <w:pStyle w:val="TabeladesnoUMAR"/>
            </w:pPr>
            <w:r w:rsidRPr="00355D96">
              <w:t>17,4</w:t>
            </w:r>
          </w:p>
        </w:tc>
        <w:tc>
          <w:tcPr>
            <w:cnfStyle w:val="000001000000" w:firstRow="0" w:lastRow="0" w:firstColumn="0" w:lastColumn="0" w:oddVBand="0" w:evenVBand="1" w:oddHBand="0" w:evenHBand="0" w:firstRowFirstColumn="0" w:firstRowLastColumn="0" w:lastRowFirstColumn="0" w:lastRowLastColumn="0"/>
            <w:tcW w:w="756" w:type="dxa"/>
          </w:tcPr>
          <w:p w14:paraId="1D92F9B8" w14:textId="77777777" w:rsidR="00B4515B" w:rsidRPr="00355D96" w:rsidRDefault="00B4515B" w:rsidP="004C557B">
            <w:pPr>
              <w:pStyle w:val="TabeladesnoUMAR"/>
            </w:pPr>
            <w:r w:rsidRPr="00355D96">
              <w:t>17,3</w:t>
            </w:r>
          </w:p>
        </w:tc>
        <w:tc>
          <w:tcPr>
            <w:cnfStyle w:val="000100000000" w:firstRow="0" w:lastRow="0" w:firstColumn="0" w:lastColumn="1" w:oddVBand="0" w:evenVBand="0" w:oddHBand="0" w:evenHBand="0" w:firstRowFirstColumn="0" w:firstRowLastColumn="0" w:lastRowFirstColumn="0" w:lastRowLastColumn="0"/>
            <w:tcW w:w="757" w:type="dxa"/>
          </w:tcPr>
          <w:p w14:paraId="2A82DADE" w14:textId="025A2516" w:rsidR="00B4515B" w:rsidRPr="00355D96" w:rsidRDefault="00B4515B" w:rsidP="004C557B">
            <w:pPr>
              <w:pStyle w:val="TabeladesnoUMAR"/>
            </w:pPr>
            <w:r>
              <w:t>17,1</w:t>
            </w:r>
          </w:p>
        </w:tc>
      </w:tr>
      <w:tr w:rsidR="00B4515B" w:rsidRPr="00355D96" w14:paraId="0BCCB1F7"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70BF4E39" w14:textId="77777777" w:rsidR="00B4515B" w:rsidRPr="00355D96" w:rsidRDefault="00B4515B" w:rsidP="004C557B">
            <w:pPr>
              <w:pStyle w:val="TabelalevoUMAR"/>
            </w:pPr>
            <w:r w:rsidRPr="00355D96">
              <w:t>Delež dodane vrednosti v vseh družbah (v %)</w:t>
            </w:r>
          </w:p>
        </w:tc>
        <w:tc>
          <w:tcPr>
            <w:cnfStyle w:val="000010000000" w:firstRow="0" w:lastRow="0" w:firstColumn="0" w:lastColumn="0" w:oddVBand="1" w:evenVBand="0" w:oddHBand="0" w:evenHBand="0" w:firstRowFirstColumn="0" w:firstRowLastColumn="0" w:lastRowFirstColumn="0" w:lastRowLastColumn="0"/>
            <w:tcW w:w="756" w:type="dxa"/>
          </w:tcPr>
          <w:p w14:paraId="7628D9B7" w14:textId="77777777" w:rsidR="00B4515B" w:rsidRPr="00355D96" w:rsidRDefault="00B4515B" w:rsidP="004C557B">
            <w:pPr>
              <w:pStyle w:val="TabeladesnoUMAR"/>
            </w:pPr>
            <w:r w:rsidRPr="00355D96">
              <w:t>18,9</w:t>
            </w:r>
          </w:p>
        </w:tc>
        <w:tc>
          <w:tcPr>
            <w:cnfStyle w:val="000001000000" w:firstRow="0" w:lastRow="0" w:firstColumn="0" w:lastColumn="0" w:oddVBand="0" w:evenVBand="1" w:oddHBand="0" w:evenHBand="0" w:firstRowFirstColumn="0" w:firstRowLastColumn="0" w:lastRowFirstColumn="0" w:lastRowLastColumn="0"/>
            <w:tcW w:w="756" w:type="dxa"/>
          </w:tcPr>
          <w:p w14:paraId="183528CF" w14:textId="77777777" w:rsidR="00B4515B" w:rsidRPr="00355D96" w:rsidRDefault="00B4515B" w:rsidP="004C557B">
            <w:pPr>
              <w:pStyle w:val="TabeladesnoUMAR"/>
            </w:pPr>
            <w:r w:rsidRPr="00355D96">
              <w:t>18,7</w:t>
            </w:r>
          </w:p>
        </w:tc>
        <w:tc>
          <w:tcPr>
            <w:cnfStyle w:val="000010000000" w:firstRow="0" w:lastRow="0" w:firstColumn="0" w:lastColumn="0" w:oddVBand="1" w:evenVBand="0" w:oddHBand="0" w:evenHBand="0" w:firstRowFirstColumn="0" w:firstRowLastColumn="0" w:lastRowFirstColumn="0" w:lastRowLastColumn="0"/>
            <w:tcW w:w="757" w:type="dxa"/>
          </w:tcPr>
          <w:p w14:paraId="4A6B5342" w14:textId="77777777" w:rsidR="00B4515B" w:rsidRPr="00355D96" w:rsidRDefault="00B4515B" w:rsidP="004C557B">
            <w:pPr>
              <w:pStyle w:val="TabeladesnoUMAR"/>
            </w:pPr>
            <w:r w:rsidRPr="00355D96">
              <w:t xml:space="preserve"> 17,1</w:t>
            </w:r>
          </w:p>
        </w:tc>
        <w:tc>
          <w:tcPr>
            <w:cnfStyle w:val="000001000000" w:firstRow="0" w:lastRow="0" w:firstColumn="0" w:lastColumn="0" w:oddVBand="0" w:evenVBand="1" w:oddHBand="0" w:evenHBand="0" w:firstRowFirstColumn="0" w:firstRowLastColumn="0" w:lastRowFirstColumn="0" w:lastRowLastColumn="0"/>
            <w:tcW w:w="756" w:type="dxa"/>
          </w:tcPr>
          <w:p w14:paraId="1265DE73" w14:textId="77777777" w:rsidR="00B4515B" w:rsidRPr="00355D96" w:rsidRDefault="00B4515B" w:rsidP="004C557B">
            <w:pPr>
              <w:pStyle w:val="TabeladesnoUMAR"/>
            </w:pPr>
            <w:r w:rsidRPr="00355D96">
              <w:t>17,6</w:t>
            </w:r>
          </w:p>
        </w:tc>
        <w:tc>
          <w:tcPr>
            <w:cnfStyle w:val="000010000000" w:firstRow="0" w:lastRow="0" w:firstColumn="0" w:lastColumn="0" w:oddVBand="1" w:evenVBand="0" w:oddHBand="0" w:evenHBand="0" w:firstRowFirstColumn="0" w:firstRowLastColumn="0" w:lastRowFirstColumn="0" w:lastRowLastColumn="0"/>
            <w:tcW w:w="757" w:type="dxa"/>
          </w:tcPr>
          <w:p w14:paraId="6913A297" w14:textId="77777777" w:rsidR="00B4515B" w:rsidRPr="00355D96" w:rsidRDefault="00B4515B" w:rsidP="004C557B">
            <w:pPr>
              <w:pStyle w:val="TabeladesnoUMAR"/>
            </w:pPr>
            <w:r w:rsidRPr="00355D96">
              <w:t>17,9</w:t>
            </w:r>
          </w:p>
        </w:tc>
        <w:tc>
          <w:tcPr>
            <w:cnfStyle w:val="000001000000" w:firstRow="0" w:lastRow="0" w:firstColumn="0" w:lastColumn="0" w:oddVBand="0" w:evenVBand="1" w:oddHBand="0" w:evenHBand="0" w:firstRowFirstColumn="0" w:firstRowLastColumn="0" w:lastRowFirstColumn="0" w:lastRowLastColumn="0"/>
            <w:tcW w:w="756" w:type="dxa"/>
          </w:tcPr>
          <w:p w14:paraId="31515944" w14:textId="77777777" w:rsidR="00B4515B" w:rsidRPr="00355D96" w:rsidRDefault="00B4515B" w:rsidP="004C557B">
            <w:pPr>
              <w:pStyle w:val="TabeladesnoUMAR"/>
            </w:pPr>
            <w:r w:rsidRPr="00355D96">
              <w:t>18,7</w:t>
            </w:r>
          </w:p>
        </w:tc>
        <w:tc>
          <w:tcPr>
            <w:cnfStyle w:val="000100000000" w:firstRow="0" w:lastRow="0" w:firstColumn="0" w:lastColumn="1" w:oddVBand="0" w:evenVBand="0" w:oddHBand="0" w:evenHBand="0" w:firstRowFirstColumn="0" w:firstRowLastColumn="0" w:lastRowFirstColumn="0" w:lastRowLastColumn="0"/>
            <w:tcW w:w="757" w:type="dxa"/>
          </w:tcPr>
          <w:p w14:paraId="18DA5A73" w14:textId="6961EE5E" w:rsidR="00B4515B" w:rsidRPr="00355D96" w:rsidRDefault="00B4515B" w:rsidP="004C557B">
            <w:pPr>
              <w:pStyle w:val="TabeladesnoUMAR"/>
            </w:pPr>
            <w:r>
              <w:t>17,9</w:t>
            </w:r>
          </w:p>
        </w:tc>
      </w:tr>
      <w:tr w:rsidR="00B4515B" w:rsidRPr="00355D96" w14:paraId="04C9C76F"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46D40F72" w14:textId="77777777" w:rsidR="00B4515B" w:rsidRPr="00355D96" w:rsidRDefault="00B4515B" w:rsidP="004C557B">
            <w:pPr>
              <w:pStyle w:val="TabelalevoUMAR"/>
            </w:pPr>
            <w:r w:rsidRPr="00355D96">
              <w:t>Neto</w:t>
            </w:r>
            <w:r w:rsidRPr="00355D96">
              <w:rPr>
                <w:vertAlign w:val="superscript"/>
              </w:rPr>
              <w:t>2</w:t>
            </w:r>
            <w:r w:rsidRPr="00355D96">
              <w:t xml:space="preserve"> čisti dobiček/izguba (v mio EUR)</w:t>
            </w:r>
          </w:p>
        </w:tc>
        <w:tc>
          <w:tcPr>
            <w:cnfStyle w:val="000010000000" w:firstRow="0" w:lastRow="0" w:firstColumn="0" w:lastColumn="0" w:oddVBand="1" w:evenVBand="0" w:oddHBand="0" w:evenHBand="0" w:firstRowFirstColumn="0" w:firstRowLastColumn="0" w:lastRowFirstColumn="0" w:lastRowLastColumn="0"/>
            <w:tcW w:w="756" w:type="dxa"/>
          </w:tcPr>
          <w:p w14:paraId="50616387" w14:textId="77777777" w:rsidR="00B4515B" w:rsidRPr="00355D96" w:rsidRDefault="00B4515B" w:rsidP="004C557B">
            <w:pPr>
              <w:pStyle w:val="TabeladesnoUMAR"/>
            </w:pPr>
            <w:r w:rsidRPr="00355D96">
              <w:t>443,5</w:t>
            </w:r>
          </w:p>
        </w:tc>
        <w:tc>
          <w:tcPr>
            <w:cnfStyle w:val="000001000000" w:firstRow="0" w:lastRow="0" w:firstColumn="0" w:lastColumn="0" w:oddVBand="0" w:evenVBand="1" w:oddHBand="0" w:evenHBand="0" w:firstRowFirstColumn="0" w:firstRowLastColumn="0" w:lastRowFirstColumn="0" w:lastRowLastColumn="0"/>
            <w:tcW w:w="756" w:type="dxa"/>
          </w:tcPr>
          <w:p w14:paraId="43340716" w14:textId="77777777" w:rsidR="00B4515B" w:rsidRPr="00355D96" w:rsidRDefault="00B4515B" w:rsidP="004C557B">
            <w:pPr>
              <w:pStyle w:val="TabeladesnoUMAR"/>
            </w:pPr>
            <w:r w:rsidRPr="00355D96">
              <w:t>155,0</w:t>
            </w:r>
          </w:p>
        </w:tc>
        <w:tc>
          <w:tcPr>
            <w:cnfStyle w:val="000010000000" w:firstRow="0" w:lastRow="0" w:firstColumn="0" w:lastColumn="0" w:oddVBand="1" w:evenVBand="0" w:oddHBand="0" w:evenHBand="0" w:firstRowFirstColumn="0" w:firstRowLastColumn="0" w:lastRowFirstColumn="0" w:lastRowLastColumn="0"/>
            <w:tcW w:w="757" w:type="dxa"/>
          </w:tcPr>
          <w:p w14:paraId="3E00B70D" w14:textId="77777777" w:rsidR="00B4515B" w:rsidRPr="00355D96" w:rsidRDefault="00B4515B" w:rsidP="004C557B">
            <w:pPr>
              <w:pStyle w:val="TabeladesnoUMAR"/>
            </w:pPr>
            <w:r w:rsidRPr="00355D96">
              <w:t>521,3</w:t>
            </w:r>
          </w:p>
        </w:tc>
        <w:tc>
          <w:tcPr>
            <w:cnfStyle w:val="000001000000" w:firstRow="0" w:lastRow="0" w:firstColumn="0" w:lastColumn="0" w:oddVBand="0" w:evenVBand="1" w:oddHBand="0" w:evenHBand="0" w:firstRowFirstColumn="0" w:firstRowLastColumn="0" w:lastRowFirstColumn="0" w:lastRowLastColumn="0"/>
            <w:tcW w:w="756" w:type="dxa"/>
          </w:tcPr>
          <w:p w14:paraId="3C7B4251" w14:textId="77777777" w:rsidR="00B4515B" w:rsidRPr="00355D96" w:rsidRDefault="00B4515B" w:rsidP="004C557B">
            <w:pPr>
              <w:pStyle w:val="TabeladesnoUMAR"/>
            </w:pPr>
            <w:r w:rsidRPr="00355D96">
              <w:t>793,7</w:t>
            </w:r>
          </w:p>
        </w:tc>
        <w:tc>
          <w:tcPr>
            <w:cnfStyle w:val="000010000000" w:firstRow="0" w:lastRow="0" w:firstColumn="0" w:lastColumn="0" w:oddVBand="1" w:evenVBand="0" w:oddHBand="0" w:evenHBand="0" w:firstRowFirstColumn="0" w:firstRowLastColumn="0" w:lastRowFirstColumn="0" w:lastRowLastColumn="0"/>
            <w:tcW w:w="757" w:type="dxa"/>
          </w:tcPr>
          <w:p w14:paraId="5FABFA09" w14:textId="77777777" w:rsidR="00B4515B" w:rsidRPr="00355D96" w:rsidRDefault="00B4515B" w:rsidP="004C557B">
            <w:pPr>
              <w:pStyle w:val="TabeladesnoUMAR"/>
            </w:pPr>
            <w:r w:rsidRPr="00355D96">
              <w:t>641,9</w:t>
            </w:r>
          </w:p>
        </w:tc>
        <w:tc>
          <w:tcPr>
            <w:cnfStyle w:val="000001000000" w:firstRow="0" w:lastRow="0" w:firstColumn="0" w:lastColumn="0" w:oddVBand="0" w:evenVBand="1" w:oddHBand="0" w:evenHBand="0" w:firstRowFirstColumn="0" w:firstRowLastColumn="0" w:lastRowFirstColumn="0" w:lastRowLastColumn="0"/>
            <w:tcW w:w="756" w:type="dxa"/>
          </w:tcPr>
          <w:p w14:paraId="63A41897" w14:textId="77777777" w:rsidR="00B4515B" w:rsidRPr="00355D96" w:rsidRDefault="00B4515B" w:rsidP="004C557B">
            <w:pPr>
              <w:pStyle w:val="TabeladesnoUMAR"/>
            </w:pPr>
            <w:r w:rsidRPr="00355D96">
              <w:t>1.326,4</w:t>
            </w:r>
          </w:p>
        </w:tc>
        <w:tc>
          <w:tcPr>
            <w:cnfStyle w:val="000100000000" w:firstRow="0" w:lastRow="0" w:firstColumn="0" w:lastColumn="1" w:oddVBand="0" w:evenVBand="0" w:oddHBand="0" w:evenHBand="0" w:firstRowFirstColumn="0" w:firstRowLastColumn="0" w:lastRowFirstColumn="0" w:lastRowLastColumn="0"/>
            <w:tcW w:w="757" w:type="dxa"/>
          </w:tcPr>
          <w:p w14:paraId="29503338" w14:textId="26F45F44" w:rsidR="00B4515B" w:rsidRPr="00355D96" w:rsidRDefault="005445BD" w:rsidP="004C557B">
            <w:pPr>
              <w:pStyle w:val="TabeladesnoUMAR"/>
            </w:pPr>
            <w:r>
              <w:t>1.220,4</w:t>
            </w:r>
          </w:p>
        </w:tc>
      </w:tr>
      <w:tr w:rsidR="00B4515B" w:rsidRPr="00355D96" w14:paraId="04257A80" w14:textId="77777777" w:rsidTr="004C557B">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8"/>
          </w:tcPr>
          <w:p w14:paraId="4BF4A9DE" w14:textId="77777777" w:rsidR="00B4515B" w:rsidRPr="00355D96" w:rsidRDefault="00B4515B" w:rsidP="004C557B">
            <w:pPr>
              <w:pStyle w:val="TabelalevoUMAR"/>
            </w:pPr>
            <w:r w:rsidRPr="00355D96">
              <w:t>VELIKOST</w:t>
            </w:r>
          </w:p>
        </w:tc>
      </w:tr>
      <w:tr w:rsidR="00B4515B" w:rsidRPr="00355D96" w14:paraId="32DF518E"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2CD9339A" w14:textId="77777777" w:rsidR="00B4515B" w:rsidRPr="00355D96" w:rsidRDefault="00B4515B" w:rsidP="004C557B">
            <w:pPr>
              <w:pStyle w:val="TabelalevoUMAR"/>
            </w:pPr>
            <w:r w:rsidRPr="00355D96">
              <w:t>Sredstva/podjetje (v tisoč EUR)</w:t>
            </w:r>
          </w:p>
        </w:tc>
        <w:tc>
          <w:tcPr>
            <w:cnfStyle w:val="000010000000" w:firstRow="0" w:lastRow="0" w:firstColumn="0" w:lastColumn="0" w:oddVBand="1" w:evenVBand="0" w:oddHBand="0" w:evenHBand="0" w:firstRowFirstColumn="0" w:firstRowLastColumn="0" w:lastRowFirstColumn="0" w:lastRowLastColumn="0"/>
            <w:tcW w:w="756" w:type="dxa"/>
          </w:tcPr>
          <w:p w14:paraId="239D7024" w14:textId="77777777" w:rsidR="00B4515B" w:rsidRPr="00355D96" w:rsidRDefault="00B4515B" w:rsidP="004C557B">
            <w:pPr>
              <w:pStyle w:val="TabeladesnoUMAR"/>
            </w:pPr>
            <w:r w:rsidRPr="00355D96">
              <w:t>1.356</w:t>
            </w:r>
          </w:p>
        </w:tc>
        <w:tc>
          <w:tcPr>
            <w:cnfStyle w:val="000001000000" w:firstRow="0" w:lastRow="0" w:firstColumn="0" w:lastColumn="0" w:oddVBand="0" w:evenVBand="1" w:oddHBand="0" w:evenHBand="0" w:firstRowFirstColumn="0" w:firstRowLastColumn="0" w:lastRowFirstColumn="0" w:lastRowLastColumn="0"/>
            <w:tcW w:w="756" w:type="dxa"/>
          </w:tcPr>
          <w:p w14:paraId="69E3DCB5" w14:textId="77777777" w:rsidR="00B4515B" w:rsidRPr="00355D96" w:rsidRDefault="00B4515B" w:rsidP="004C557B">
            <w:pPr>
              <w:pStyle w:val="TabeladesnoUMAR"/>
            </w:pPr>
            <w:r w:rsidRPr="00355D96">
              <w:t>1.274</w:t>
            </w:r>
          </w:p>
        </w:tc>
        <w:tc>
          <w:tcPr>
            <w:cnfStyle w:val="000010000000" w:firstRow="0" w:lastRow="0" w:firstColumn="0" w:lastColumn="0" w:oddVBand="1" w:evenVBand="0" w:oddHBand="0" w:evenHBand="0" w:firstRowFirstColumn="0" w:firstRowLastColumn="0" w:lastRowFirstColumn="0" w:lastRowLastColumn="0"/>
            <w:tcW w:w="757" w:type="dxa"/>
          </w:tcPr>
          <w:p w14:paraId="6596FE78" w14:textId="77777777" w:rsidR="00B4515B" w:rsidRPr="00355D96" w:rsidRDefault="00B4515B" w:rsidP="004C557B">
            <w:pPr>
              <w:pStyle w:val="TabeladesnoUMAR"/>
            </w:pPr>
            <w:r w:rsidRPr="00355D96">
              <w:t>1.038</w:t>
            </w:r>
          </w:p>
        </w:tc>
        <w:tc>
          <w:tcPr>
            <w:cnfStyle w:val="000001000000" w:firstRow="0" w:lastRow="0" w:firstColumn="0" w:lastColumn="0" w:oddVBand="0" w:evenVBand="1" w:oddHBand="0" w:evenHBand="0" w:firstRowFirstColumn="0" w:firstRowLastColumn="0" w:lastRowFirstColumn="0" w:lastRowLastColumn="0"/>
            <w:tcW w:w="756" w:type="dxa"/>
          </w:tcPr>
          <w:p w14:paraId="6CAD1EF4" w14:textId="77777777" w:rsidR="00B4515B" w:rsidRPr="00355D96" w:rsidRDefault="00B4515B" w:rsidP="004C557B">
            <w:pPr>
              <w:pStyle w:val="TabeladesnoUMAR"/>
            </w:pPr>
            <w:r w:rsidRPr="00355D96">
              <w:t>1.292</w:t>
            </w:r>
          </w:p>
        </w:tc>
        <w:tc>
          <w:tcPr>
            <w:cnfStyle w:val="000010000000" w:firstRow="0" w:lastRow="0" w:firstColumn="0" w:lastColumn="0" w:oddVBand="1" w:evenVBand="0" w:oddHBand="0" w:evenHBand="0" w:firstRowFirstColumn="0" w:firstRowLastColumn="0" w:lastRowFirstColumn="0" w:lastRowLastColumn="0"/>
            <w:tcW w:w="757" w:type="dxa"/>
          </w:tcPr>
          <w:p w14:paraId="48895CEB" w14:textId="77777777" w:rsidR="00B4515B" w:rsidRPr="00355D96" w:rsidRDefault="00B4515B" w:rsidP="004C557B">
            <w:pPr>
              <w:pStyle w:val="TabeladesnoUMAR"/>
            </w:pPr>
            <w:r w:rsidRPr="00355D96">
              <w:t>1.313</w:t>
            </w:r>
          </w:p>
        </w:tc>
        <w:tc>
          <w:tcPr>
            <w:cnfStyle w:val="000001000000" w:firstRow="0" w:lastRow="0" w:firstColumn="0" w:lastColumn="0" w:oddVBand="0" w:evenVBand="1" w:oddHBand="0" w:evenHBand="0" w:firstRowFirstColumn="0" w:firstRowLastColumn="0" w:lastRowFirstColumn="0" w:lastRowLastColumn="0"/>
            <w:tcW w:w="756" w:type="dxa"/>
          </w:tcPr>
          <w:p w14:paraId="58BE7AF6" w14:textId="77777777" w:rsidR="00B4515B" w:rsidRPr="00355D96" w:rsidRDefault="00B4515B" w:rsidP="004C557B">
            <w:pPr>
              <w:pStyle w:val="TabeladesnoUMAR"/>
            </w:pPr>
            <w:r w:rsidRPr="00355D96">
              <w:t>1.444</w:t>
            </w:r>
          </w:p>
        </w:tc>
        <w:tc>
          <w:tcPr>
            <w:cnfStyle w:val="000100000000" w:firstRow="0" w:lastRow="0" w:firstColumn="0" w:lastColumn="1" w:oddVBand="0" w:evenVBand="0" w:oddHBand="0" w:evenHBand="0" w:firstRowFirstColumn="0" w:firstRowLastColumn="0" w:lastRowFirstColumn="0" w:lastRowLastColumn="0"/>
            <w:tcW w:w="757" w:type="dxa"/>
          </w:tcPr>
          <w:p w14:paraId="1E80162C" w14:textId="28099D5E" w:rsidR="00B4515B" w:rsidRPr="00355D96" w:rsidRDefault="00995EE9" w:rsidP="004C557B">
            <w:pPr>
              <w:pStyle w:val="TabeladesnoUMAR"/>
            </w:pPr>
            <w:r>
              <w:t>1.566</w:t>
            </w:r>
          </w:p>
        </w:tc>
      </w:tr>
      <w:tr w:rsidR="00B4515B" w:rsidRPr="00355D96" w14:paraId="400F86A3"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3C487793" w14:textId="77777777" w:rsidR="00B4515B" w:rsidRPr="00355D96" w:rsidRDefault="00B4515B" w:rsidP="004C557B">
            <w:pPr>
              <w:pStyle w:val="TabelalevoUMAR"/>
            </w:pPr>
            <w:r w:rsidRPr="00355D96">
              <w:t>Število zaposlenih/podjetje</w:t>
            </w:r>
          </w:p>
        </w:tc>
        <w:tc>
          <w:tcPr>
            <w:cnfStyle w:val="000010000000" w:firstRow="0" w:lastRow="0" w:firstColumn="0" w:lastColumn="0" w:oddVBand="1" w:evenVBand="0" w:oddHBand="0" w:evenHBand="0" w:firstRowFirstColumn="0" w:firstRowLastColumn="0" w:lastRowFirstColumn="0" w:lastRowLastColumn="0"/>
            <w:tcW w:w="756" w:type="dxa"/>
          </w:tcPr>
          <w:p w14:paraId="432004B7" w14:textId="77777777" w:rsidR="00B4515B" w:rsidRPr="00355D96" w:rsidRDefault="00B4515B" w:rsidP="004C557B">
            <w:pPr>
              <w:pStyle w:val="TabeladesnoUMAR"/>
            </w:pPr>
            <w:r w:rsidRPr="00355D96">
              <w:t>6,7</w:t>
            </w:r>
          </w:p>
        </w:tc>
        <w:tc>
          <w:tcPr>
            <w:cnfStyle w:val="000001000000" w:firstRow="0" w:lastRow="0" w:firstColumn="0" w:lastColumn="0" w:oddVBand="0" w:evenVBand="1" w:oddHBand="0" w:evenHBand="0" w:firstRowFirstColumn="0" w:firstRowLastColumn="0" w:lastRowFirstColumn="0" w:lastRowLastColumn="0"/>
            <w:tcW w:w="756" w:type="dxa"/>
          </w:tcPr>
          <w:p w14:paraId="3E61B0CE" w14:textId="77777777" w:rsidR="00B4515B" w:rsidRPr="00355D96" w:rsidRDefault="00B4515B" w:rsidP="004C557B">
            <w:pPr>
              <w:pStyle w:val="TabeladesnoUMAR"/>
            </w:pPr>
            <w:r w:rsidRPr="00355D96">
              <w:t>6,2</w:t>
            </w:r>
          </w:p>
        </w:tc>
        <w:tc>
          <w:tcPr>
            <w:cnfStyle w:val="000010000000" w:firstRow="0" w:lastRow="0" w:firstColumn="0" w:lastColumn="0" w:oddVBand="1" w:evenVBand="0" w:oddHBand="0" w:evenHBand="0" w:firstRowFirstColumn="0" w:firstRowLastColumn="0" w:lastRowFirstColumn="0" w:lastRowLastColumn="0"/>
            <w:tcW w:w="757" w:type="dxa"/>
          </w:tcPr>
          <w:p w14:paraId="44C89DE3" w14:textId="77777777" w:rsidR="00B4515B" w:rsidRPr="00355D96" w:rsidRDefault="00B4515B" w:rsidP="004C557B">
            <w:pPr>
              <w:pStyle w:val="TabeladesnoUMAR"/>
            </w:pPr>
            <w:r w:rsidRPr="00355D96">
              <w:t>5,2</w:t>
            </w:r>
          </w:p>
        </w:tc>
        <w:tc>
          <w:tcPr>
            <w:cnfStyle w:val="000001000000" w:firstRow="0" w:lastRow="0" w:firstColumn="0" w:lastColumn="0" w:oddVBand="0" w:evenVBand="1" w:oddHBand="0" w:evenHBand="0" w:firstRowFirstColumn="0" w:firstRowLastColumn="0" w:lastRowFirstColumn="0" w:lastRowLastColumn="0"/>
            <w:tcW w:w="756" w:type="dxa"/>
          </w:tcPr>
          <w:p w14:paraId="5F5DD924" w14:textId="77777777" w:rsidR="00B4515B" w:rsidRPr="00355D96" w:rsidRDefault="00B4515B" w:rsidP="004C557B">
            <w:pPr>
              <w:pStyle w:val="TabeladesnoUMAR"/>
            </w:pPr>
            <w:r w:rsidRPr="00355D96">
              <w:t>5,9</w:t>
            </w:r>
          </w:p>
        </w:tc>
        <w:tc>
          <w:tcPr>
            <w:cnfStyle w:val="000010000000" w:firstRow="0" w:lastRow="0" w:firstColumn="0" w:lastColumn="0" w:oddVBand="1" w:evenVBand="0" w:oddHBand="0" w:evenHBand="0" w:firstRowFirstColumn="0" w:firstRowLastColumn="0" w:lastRowFirstColumn="0" w:lastRowLastColumn="0"/>
            <w:tcW w:w="757" w:type="dxa"/>
          </w:tcPr>
          <w:p w14:paraId="2E602574" w14:textId="77777777" w:rsidR="00B4515B" w:rsidRPr="00355D96" w:rsidRDefault="00B4515B" w:rsidP="004C557B">
            <w:pPr>
              <w:pStyle w:val="TabeladesnoUMAR"/>
            </w:pPr>
            <w:r w:rsidRPr="00355D96">
              <w:t>5,9</w:t>
            </w:r>
          </w:p>
        </w:tc>
        <w:tc>
          <w:tcPr>
            <w:cnfStyle w:val="000001000000" w:firstRow="0" w:lastRow="0" w:firstColumn="0" w:lastColumn="0" w:oddVBand="0" w:evenVBand="1" w:oddHBand="0" w:evenHBand="0" w:firstRowFirstColumn="0" w:firstRowLastColumn="0" w:lastRowFirstColumn="0" w:lastRowLastColumn="0"/>
            <w:tcW w:w="756" w:type="dxa"/>
          </w:tcPr>
          <w:p w14:paraId="398991C8" w14:textId="77777777" w:rsidR="00B4515B" w:rsidRPr="00355D96" w:rsidRDefault="00B4515B" w:rsidP="004C557B">
            <w:pPr>
              <w:pStyle w:val="TabeladesnoUMAR"/>
            </w:pPr>
            <w:r w:rsidRPr="00355D96">
              <w:t>6,0</w:t>
            </w:r>
          </w:p>
        </w:tc>
        <w:tc>
          <w:tcPr>
            <w:cnfStyle w:val="000100000000" w:firstRow="0" w:lastRow="0" w:firstColumn="0" w:lastColumn="1" w:oddVBand="0" w:evenVBand="0" w:oddHBand="0" w:evenHBand="0" w:firstRowFirstColumn="0" w:firstRowLastColumn="0" w:lastRowFirstColumn="0" w:lastRowLastColumn="0"/>
            <w:tcW w:w="757" w:type="dxa"/>
          </w:tcPr>
          <w:p w14:paraId="6DAA79CC" w14:textId="1056A979" w:rsidR="00B4515B" w:rsidRPr="00355D96" w:rsidRDefault="00995EE9" w:rsidP="004C557B">
            <w:pPr>
              <w:pStyle w:val="TabeladesnoUMAR"/>
            </w:pPr>
            <w:r>
              <w:t>6,2</w:t>
            </w:r>
          </w:p>
        </w:tc>
      </w:tr>
      <w:tr w:rsidR="00B4515B" w:rsidRPr="00355D96" w14:paraId="3D27E16A" w14:textId="77777777" w:rsidTr="004C557B">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8"/>
          </w:tcPr>
          <w:p w14:paraId="2EACFB0D" w14:textId="77777777" w:rsidR="00B4515B" w:rsidRPr="00355D96" w:rsidRDefault="00B4515B" w:rsidP="004C557B">
            <w:pPr>
              <w:pStyle w:val="TabelalevoUMAR"/>
            </w:pPr>
            <w:r w:rsidRPr="00355D96">
              <w:t>OPREMLJENOST DELA S SREDSTVI</w:t>
            </w:r>
          </w:p>
        </w:tc>
      </w:tr>
      <w:tr w:rsidR="00B4515B" w:rsidRPr="00355D96" w14:paraId="708BE811"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3DFF621F" w14:textId="77777777" w:rsidR="00B4515B" w:rsidRPr="00355D96" w:rsidRDefault="00B4515B" w:rsidP="004C557B">
            <w:pPr>
              <w:pStyle w:val="TabelalevoUMAR"/>
            </w:pPr>
            <w:r w:rsidRPr="00355D96">
              <w:t>Povprečna sredstva/zaposlenega (v tisoč EUR)</w:t>
            </w:r>
          </w:p>
        </w:tc>
        <w:tc>
          <w:tcPr>
            <w:cnfStyle w:val="000010000000" w:firstRow="0" w:lastRow="0" w:firstColumn="0" w:lastColumn="0" w:oddVBand="1" w:evenVBand="0" w:oddHBand="0" w:evenHBand="0" w:firstRowFirstColumn="0" w:firstRowLastColumn="0" w:lastRowFirstColumn="0" w:lastRowLastColumn="0"/>
            <w:tcW w:w="756" w:type="dxa"/>
          </w:tcPr>
          <w:p w14:paraId="09640519" w14:textId="77777777" w:rsidR="00B4515B" w:rsidRPr="00355D96" w:rsidRDefault="00B4515B" w:rsidP="004C557B">
            <w:pPr>
              <w:pStyle w:val="TabeladesnoUMAR"/>
            </w:pPr>
            <w:r w:rsidRPr="00355D96">
              <w:t>190</w:t>
            </w:r>
          </w:p>
        </w:tc>
        <w:tc>
          <w:tcPr>
            <w:cnfStyle w:val="000001000000" w:firstRow="0" w:lastRow="0" w:firstColumn="0" w:lastColumn="0" w:oddVBand="0" w:evenVBand="1" w:oddHBand="0" w:evenHBand="0" w:firstRowFirstColumn="0" w:firstRowLastColumn="0" w:lastRowFirstColumn="0" w:lastRowLastColumn="0"/>
            <w:tcW w:w="756" w:type="dxa"/>
          </w:tcPr>
          <w:p w14:paraId="5D244EA5" w14:textId="77777777" w:rsidR="00B4515B" w:rsidRPr="00355D96" w:rsidRDefault="00B4515B" w:rsidP="004C557B">
            <w:pPr>
              <w:pStyle w:val="TabeladesnoUMAR"/>
            </w:pPr>
            <w:r w:rsidRPr="00355D96">
              <w:t>202</w:t>
            </w:r>
          </w:p>
        </w:tc>
        <w:tc>
          <w:tcPr>
            <w:cnfStyle w:val="000010000000" w:firstRow="0" w:lastRow="0" w:firstColumn="0" w:lastColumn="0" w:oddVBand="1" w:evenVBand="0" w:oddHBand="0" w:evenHBand="0" w:firstRowFirstColumn="0" w:firstRowLastColumn="0" w:lastRowFirstColumn="0" w:lastRowLastColumn="0"/>
            <w:tcW w:w="757" w:type="dxa"/>
          </w:tcPr>
          <w:p w14:paraId="54EA037B" w14:textId="77777777" w:rsidR="00B4515B" w:rsidRPr="00355D96" w:rsidRDefault="00B4515B" w:rsidP="004C557B">
            <w:pPr>
              <w:pStyle w:val="TabeladesnoUMAR"/>
            </w:pPr>
            <w:r w:rsidRPr="00355D96">
              <w:t>198</w:t>
            </w:r>
          </w:p>
        </w:tc>
        <w:tc>
          <w:tcPr>
            <w:cnfStyle w:val="000001000000" w:firstRow="0" w:lastRow="0" w:firstColumn="0" w:lastColumn="0" w:oddVBand="0" w:evenVBand="1" w:oddHBand="0" w:evenHBand="0" w:firstRowFirstColumn="0" w:firstRowLastColumn="0" w:lastRowFirstColumn="0" w:lastRowLastColumn="0"/>
            <w:tcW w:w="756" w:type="dxa"/>
          </w:tcPr>
          <w:p w14:paraId="309462F8" w14:textId="77777777" w:rsidR="00B4515B" w:rsidRPr="00355D96" w:rsidRDefault="00B4515B" w:rsidP="004C557B">
            <w:pPr>
              <w:pStyle w:val="TabeladesnoUMAR"/>
            </w:pPr>
            <w:r w:rsidRPr="00355D96">
              <w:t>208</w:t>
            </w:r>
          </w:p>
        </w:tc>
        <w:tc>
          <w:tcPr>
            <w:cnfStyle w:val="000010000000" w:firstRow="0" w:lastRow="0" w:firstColumn="0" w:lastColumn="0" w:oddVBand="1" w:evenVBand="0" w:oddHBand="0" w:evenHBand="0" w:firstRowFirstColumn="0" w:firstRowLastColumn="0" w:lastRowFirstColumn="0" w:lastRowLastColumn="0"/>
            <w:tcW w:w="757" w:type="dxa"/>
          </w:tcPr>
          <w:p w14:paraId="47A5A367" w14:textId="77777777" w:rsidR="00B4515B" w:rsidRPr="00355D96" w:rsidRDefault="00B4515B" w:rsidP="004C557B">
            <w:pPr>
              <w:pStyle w:val="TabeladesnoUMAR"/>
            </w:pPr>
            <w:r w:rsidRPr="00355D96">
              <w:t>222</w:t>
            </w:r>
          </w:p>
        </w:tc>
        <w:tc>
          <w:tcPr>
            <w:cnfStyle w:val="000001000000" w:firstRow="0" w:lastRow="0" w:firstColumn="0" w:lastColumn="0" w:oddVBand="0" w:evenVBand="1" w:oddHBand="0" w:evenHBand="0" w:firstRowFirstColumn="0" w:firstRowLastColumn="0" w:lastRowFirstColumn="0" w:lastRowLastColumn="0"/>
            <w:tcW w:w="756" w:type="dxa"/>
          </w:tcPr>
          <w:p w14:paraId="387A820E" w14:textId="77777777" w:rsidR="00B4515B" w:rsidRPr="00355D96" w:rsidRDefault="00B4515B" w:rsidP="004C557B">
            <w:pPr>
              <w:pStyle w:val="TabeladesnoUMAR"/>
              <w:rPr>
                <w:rFonts w:eastAsia="Times New Roman"/>
                <w:lang w:eastAsia="sl-SI"/>
              </w:rPr>
            </w:pPr>
            <w:r>
              <w:t>229</w:t>
            </w:r>
          </w:p>
        </w:tc>
        <w:tc>
          <w:tcPr>
            <w:cnfStyle w:val="000100000000" w:firstRow="0" w:lastRow="0" w:firstColumn="0" w:lastColumn="1" w:oddVBand="0" w:evenVBand="0" w:oddHBand="0" w:evenHBand="0" w:firstRowFirstColumn="0" w:firstRowLastColumn="0" w:lastRowFirstColumn="0" w:lastRowLastColumn="0"/>
            <w:tcW w:w="757" w:type="dxa"/>
          </w:tcPr>
          <w:p w14:paraId="4EDC328B" w14:textId="3F3734C1" w:rsidR="00B4515B" w:rsidRPr="00355D96" w:rsidRDefault="00995EE9" w:rsidP="004C557B">
            <w:pPr>
              <w:pStyle w:val="TabeladesnoUMAR"/>
            </w:pPr>
            <w:r>
              <w:t>244</w:t>
            </w:r>
          </w:p>
        </w:tc>
      </w:tr>
      <w:tr w:rsidR="00B4515B" w:rsidRPr="00355D96" w14:paraId="7E45C36F" w14:textId="77777777" w:rsidTr="004C557B">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8"/>
          </w:tcPr>
          <w:p w14:paraId="4252D1C1" w14:textId="77777777" w:rsidR="00B4515B" w:rsidRPr="00355D96" w:rsidRDefault="00B4515B" w:rsidP="004C557B">
            <w:pPr>
              <w:pStyle w:val="TabelalevoUMAR"/>
            </w:pPr>
            <w:r w:rsidRPr="00355D96">
              <w:t>GOSPODARNOST</w:t>
            </w:r>
          </w:p>
        </w:tc>
      </w:tr>
      <w:tr w:rsidR="00B4515B" w:rsidRPr="00355D96" w14:paraId="6BB32E10"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55676FDC" w14:textId="77777777" w:rsidR="00B4515B" w:rsidRPr="00355D96" w:rsidRDefault="00B4515B" w:rsidP="004C557B">
            <w:pPr>
              <w:pStyle w:val="TabelalevoUMAR"/>
            </w:pPr>
            <w:r w:rsidRPr="00355D96">
              <w:t>Gospodarnost poslovanja</w:t>
            </w:r>
          </w:p>
        </w:tc>
        <w:tc>
          <w:tcPr>
            <w:cnfStyle w:val="000010000000" w:firstRow="0" w:lastRow="0" w:firstColumn="0" w:lastColumn="0" w:oddVBand="1" w:evenVBand="0" w:oddHBand="0" w:evenHBand="0" w:firstRowFirstColumn="0" w:firstRowLastColumn="0" w:lastRowFirstColumn="0" w:lastRowLastColumn="0"/>
            <w:tcW w:w="756" w:type="dxa"/>
          </w:tcPr>
          <w:p w14:paraId="7C3B328B" w14:textId="77777777" w:rsidR="00B4515B" w:rsidRPr="00355D96" w:rsidRDefault="00B4515B" w:rsidP="004C557B">
            <w:pPr>
              <w:pStyle w:val="TabeladesnoUMAR"/>
            </w:pPr>
            <w:r w:rsidRPr="00355D96">
              <w:t>1,032</w:t>
            </w:r>
          </w:p>
        </w:tc>
        <w:tc>
          <w:tcPr>
            <w:cnfStyle w:val="000001000000" w:firstRow="0" w:lastRow="0" w:firstColumn="0" w:lastColumn="0" w:oddVBand="0" w:evenVBand="1" w:oddHBand="0" w:evenHBand="0" w:firstRowFirstColumn="0" w:firstRowLastColumn="0" w:lastRowFirstColumn="0" w:lastRowLastColumn="0"/>
            <w:tcW w:w="756" w:type="dxa"/>
          </w:tcPr>
          <w:p w14:paraId="060F06B8" w14:textId="77777777" w:rsidR="00B4515B" w:rsidRPr="00355D96" w:rsidRDefault="00B4515B" w:rsidP="004C557B">
            <w:pPr>
              <w:pStyle w:val="TabeladesnoUMAR"/>
            </w:pPr>
            <w:r w:rsidRPr="00355D96">
              <w:t>1,025</w:t>
            </w:r>
          </w:p>
        </w:tc>
        <w:tc>
          <w:tcPr>
            <w:cnfStyle w:val="000010000000" w:firstRow="0" w:lastRow="0" w:firstColumn="0" w:lastColumn="0" w:oddVBand="1" w:evenVBand="0" w:oddHBand="0" w:evenHBand="0" w:firstRowFirstColumn="0" w:firstRowLastColumn="0" w:lastRowFirstColumn="0" w:lastRowLastColumn="0"/>
            <w:tcW w:w="757" w:type="dxa"/>
          </w:tcPr>
          <w:p w14:paraId="09817D04" w14:textId="77777777" w:rsidR="00B4515B" w:rsidRPr="00355D96" w:rsidRDefault="00B4515B" w:rsidP="004C557B">
            <w:pPr>
              <w:pStyle w:val="TabeladesnoUMAR"/>
            </w:pPr>
            <w:r w:rsidRPr="00355D96">
              <w:t>1,026</w:t>
            </w:r>
          </w:p>
        </w:tc>
        <w:tc>
          <w:tcPr>
            <w:cnfStyle w:val="000001000000" w:firstRow="0" w:lastRow="0" w:firstColumn="0" w:lastColumn="0" w:oddVBand="0" w:evenVBand="1" w:oddHBand="0" w:evenHBand="0" w:firstRowFirstColumn="0" w:firstRowLastColumn="0" w:lastRowFirstColumn="0" w:lastRowLastColumn="0"/>
            <w:tcW w:w="756" w:type="dxa"/>
          </w:tcPr>
          <w:p w14:paraId="47A5B075" w14:textId="77777777" w:rsidR="00B4515B" w:rsidRPr="00355D96" w:rsidRDefault="00B4515B" w:rsidP="004C557B">
            <w:pPr>
              <w:pStyle w:val="TabeladesnoUMAR"/>
            </w:pPr>
            <w:r w:rsidRPr="00355D96">
              <w:t>1,032</w:t>
            </w:r>
          </w:p>
        </w:tc>
        <w:tc>
          <w:tcPr>
            <w:cnfStyle w:val="000010000000" w:firstRow="0" w:lastRow="0" w:firstColumn="0" w:lastColumn="0" w:oddVBand="1" w:evenVBand="0" w:oddHBand="0" w:evenHBand="0" w:firstRowFirstColumn="0" w:firstRowLastColumn="0" w:lastRowFirstColumn="0" w:lastRowLastColumn="0"/>
            <w:tcW w:w="757" w:type="dxa"/>
          </w:tcPr>
          <w:p w14:paraId="3A6F6693" w14:textId="77777777" w:rsidR="00B4515B" w:rsidRPr="00355D96" w:rsidRDefault="00B4515B" w:rsidP="004C557B">
            <w:pPr>
              <w:pStyle w:val="TabeladesnoUMAR"/>
            </w:pPr>
            <w:r w:rsidRPr="00355D96">
              <w:t>1,031</w:t>
            </w:r>
          </w:p>
        </w:tc>
        <w:tc>
          <w:tcPr>
            <w:cnfStyle w:val="000001000000" w:firstRow="0" w:lastRow="0" w:firstColumn="0" w:lastColumn="0" w:oddVBand="0" w:evenVBand="1" w:oddHBand="0" w:evenHBand="0" w:firstRowFirstColumn="0" w:firstRowLastColumn="0" w:lastRowFirstColumn="0" w:lastRowLastColumn="0"/>
            <w:tcW w:w="756" w:type="dxa"/>
          </w:tcPr>
          <w:p w14:paraId="5EBEE8B9" w14:textId="77777777" w:rsidR="00B4515B" w:rsidRPr="00355D96" w:rsidRDefault="00B4515B" w:rsidP="004C557B">
            <w:pPr>
              <w:pStyle w:val="TabeladesnoUMAR"/>
              <w:rPr>
                <w:rFonts w:eastAsia="Times New Roman"/>
                <w:lang w:eastAsia="sl-SI"/>
              </w:rPr>
            </w:pPr>
            <w:r>
              <w:t>1,045</w:t>
            </w:r>
          </w:p>
        </w:tc>
        <w:tc>
          <w:tcPr>
            <w:cnfStyle w:val="000100000000" w:firstRow="0" w:lastRow="0" w:firstColumn="0" w:lastColumn="1" w:oddVBand="0" w:evenVBand="0" w:oddHBand="0" w:evenHBand="0" w:firstRowFirstColumn="0" w:firstRowLastColumn="0" w:lastRowFirstColumn="0" w:lastRowLastColumn="0"/>
            <w:tcW w:w="757" w:type="dxa"/>
          </w:tcPr>
          <w:p w14:paraId="5CF2DA72" w14:textId="460D21C4" w:rsidR="00B4515B" w:rsidRPr="00355D96" w:rsidRDefault="005445BD" w:rsidP="004C557B">
            <w:pPr>
              <w:pStyle w:val="TabeladesnoUMAR"/>
            </w:pPr>
            <w:r>
              <w:t>1,033</w:t>
            </w:r>
          </w:p>
        </w:tc>
      </w:tr>
      <w:tr w:rsidR="00B4515B" w:rsidRPr="00355D96" w14:paraId="628E6149" w14:textId="77777777" w:rsidTr="004C557B">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8"/>
          </w:tcPr>
          <w:p w14:paraId="53FB162B" w14:textId="77777777" w:rsidR="00B4515B" w:rsidRPr="00355D96" w:rsidRDefault="00B4515B" w:rsidP="004C557B">
            <w:pPr>
              <w:pStyle w:val="TabelalevoUMAR"/>
            </w:pPr>
            <w:r w:rsidRPr="00355D96">
              <w:t>DONOSNOST</w:t>
            </w:r>
          </w:p>
        </w:tc>
      </w:tr>
      <w:tr w:rsidR="00B4515B" w:rsidRPr="00355D96" w14:paraId="49198C3C"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0B371C6B" w14:textId="77777777" w:rsidR="00B4515B" w:rsidRPr="00355D96" w:rsidRDefault="00B4515B" w:rsidP="004C557B">
            <w:pPr>
              <w:pStyle w:val="TabelalevoUMAR"/>
            </w:pPr>
            <w:r w:rsidRPr="00355D96">
              <w:t>Donosnost sredstev (v %)</w:t>
            </w:r>
          </w:p>
        </w:tc>
        <w:tc>
          <w:tcPr>
            <w:cnfStyle w:val="000010000000" w:firstRow="0" w:lastRow="0" w:firstColumn="0" w:lastColumn="0" w:oddVBand="1" w:evenVBand="0" w:oddHBand="0" w:evenHBand="0" w:firstRowFirstColumn="0" w:firstRowLastColumn="0" w:lastRowFirstColumn="0" w:lastRowLastColumn="0"/>
            <w:tcW w:w="756" w:type="dxa"/>
          </w:tcPr>
          <w:p w14:paraId="5C49E1C0" w14:textId="77777777" w:rsidR="00B4515B" w:rsidRPr="00355D96" w:rsidRDefault="00B4515B" w:rsidP="004C557B">
            <w:pPr>
              <w:pStyle w:val="TabeladesnoUMAR"/>
            </w:pPr>
            <w:r w:rsidRPr="00355D96">
              <w:t>2,6</w:t>
            </w:r>
          </w:p>
        </w:tc>
        <w:tc>
          <w:tcPr>
            <w:cnfStyle w:val="000001000000" w:firstRow="0" w:lastRow="0" w:firstColumn="0" w:lastColumn="0" w:oddVBand="0" w:evenVBand="1" w:oddHBand="0" w:evenHBand="0" w:firstRowFirstColumn="0" w:firstRowLastColumn="0" w:lastRowFirstColumn="0" w:lastRowLastColumn="0"/>
            <w:tcW w:w="756" w:type="dxa"/>
          </w:tcPr>
          <w:p w14:paraId="19667B63" w14:textId="77777777" w:rsidR="00B4515B" w:rsidRPr="00355D96" w:rsidRDefault="00B4515B" w:rsidP="004C557B">
            <w:pPr>
              <w:pStyle w:val="TabeladesnoUMAR"/>
            </w:pPr>
            <w:r w:rsidRPr="00355D96">
              <w:t>0,9</w:t>
            </w:r>
          </w:p>
        </w:tc>
        <w:tc>
          <w:tcPr>
            <w:cnfStyle w:val="000010000000" w:firstRow="0" w:lastRow="0" w:firstColumn="0" w:lastColumn="0" w:oddVBand="1" w:evenVBand="0" w:oddHBand="0" w:evenHBand="0" w:firstRowFirstColumn="0" w:firstRowLastColumn="0" w:lastRowFirstColumn="0" w:lastRowLastColumn="0"/>
            <w:tcW w:w="757" w:type="dxa"/>
          </w:tcPr>
          <w:p w14:paraId="0B984961" w14:textId="77777777" w:rsidR="00B4515B" w:rsidRPr="00355D96" w:rsidRDefault="00B4515B" w:rsidP="004C557B">
            <w:pPr>
              <w:pStyle w:val="TabeladesnoUMAR"/>
            </w:pPr>
            <w:r w:rsidRPr="00355D96">
              <w:t>3,3</w:t>
            </w:r>
          </w:p>
        </w:tc>
        <w:tc>
          <w:tcPr>
            <w:cnfStyle w:val="000001000000" w:firstRow="0" w:lastRow="0" w:firstColumn="0" w:lastColumn="0" w:oddVBand="0" w:evenVBand="1" w:oddHBand="0" w:evenHBand="0" w:firstRowFirstColumn="0" w:firstRowLastColumn="0" w:lastRowFirstColumn="0" w:lastRowLastColumn="0"/>
            <w:tcW w:w="756" w:type="dxa"/>
          </w:tcPr>
          <w:p w14:paraId="6C43BB7E" w14:textId="77777777" w:rsidR="00B4515B" w:rsidRPr="00355D96" w:rsidRDefault="00B4515B" w:rsidP="004C557B">
            <w:pPr>
              <w:pStyle w:val="TabeladesnoUMAR"/>
            </w:pPr>
            <w:r w:rsidRPr="00355D96">
              <w:t>4,3</w:t>
            </w:r>
          </w:p>
        </w:tc>
        <w:tc>
          <w:tcPr>
            <w:cnfStyle w:val="000010000000" w:firstRow="0" w:lastRow="0" w:firstColumn="0" w:lastColumn="0" w:oddVBand="1" w:evenVBand="0" w:oddHBand="0" w:evenHBand="0" w:firstRowFirstColumn="0" w:firstRowLastColumn="0" w:lastRowFirstColumn="0" w:lastRowLastColumn="0"/>
            <w:tcW w:w="757" w:type="dxa"/>
          </w:tcPr>
          <w:p w14:paraId="7D7CC5E2" w14:textId="77777777" w:rsidR="00B4515B" w:rsidRPr="00355D96" w:rsidRDefault="00B4515B" w:rsidP="004C557B">
            <w:pPr>
              <w:pStyle w:val="TabeladesnoUMAR"/>
            </w:pPr>
            <w:r w:rsidRPr="00355D96">
              <w:t>3,3</w:t>
            </w:r>
          </w:p>
        </w:tc>
        <w:tc>
          <w:tcPr>
            <w:cnfStyle w:val="000001000000" w:firstRow="0" w:lastRow="0" w:firstColumn="0" w:lastColumn="0" w:oddVBand="0" w:evenVBand="1" w:oddHBand="0" w:evenHBand="0" w:firstRowFirstColumn="0" w:firstRowLastColumn="0" w:lastRowFirstColumn="0" w:lastRowLastColumn="0"/>
            <w:tcW w:w="756" w:type="dxa"/>
          </w:tcPr>
          <w:p w14:paraId="36C06BB5" w14:textId="77777777" w:rsidR="00B4515B" w:rsidRPr="00355D96" w:rsidRDefault="00B4515B" w:rsidP="004C557B">
            <w:pPr>
              <w:pStyle w:val="TabeladesnoUMAR"/>
            </w:pPr>
            <w:r w:rsidRPr="00355D96">
              <w:t>6,4</w:t>
            </w:r>
          </w:p>
        </w:tc>
        <w:tc>
          <w:tcPr>
            <w:cnfStyle w:val="000100000000" w:firstRow="0" w:lastRow="0" w:firstColumn="0" w:lastColumn="1" w:oddVBand="0" w:evenVBand="0" w:oddHBand="0" w:evenHBand="0" w:firstRowFirstColumn="0" w:firstRowLastColumn="0" w:lastRowFirstColumn="0" w:lastRowLastColumn="0"/>
            <w:tcW w:w="757" w:type="dxa"/>
          </w:tcPr>
          <w:p w14:paraId="0EF0DB4B" w14:textId="63D200E3" w:rsidR="00B4515B" w:rsidRPr="00355D96" w:rsidRDefault="00995EE9" w:rsidP="004C557B">
            <w:pPr>
              <w:pStyle w:val="TabeladesnoUMAR"/>
            </w:pPr>
            <w:r>
              <w:t>5,5</w:t>
            </w:r>
          </w:p>
        </w:tc>
      </w:tr>
      <w:tr w:rsidR="00B4515B" w:rsidRPr="00355D96" w14:paraId="607CED66"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7425B847" w14:textId="77777777" w:rsidR="00B4515B" w:rsidRPr="00355D96" w:rsidRDefault="00B4515B" w:rsidP="004C557B">
            <w:pPr>
              <w:pStyle w:val="TabelalevoUMAR"/>
            </w:pPr>
            <w:r w:rsidRPr="00355D96">
              <w:t>Donosnost prihodkov (v %)</w:t>
            </w:r>
          </w:p>
        </w:tc>
        <w:tc>
          <w:tcPr>
            <w:cnfStyle w:val="000010000000" w:firstRow="0" w:lastRow="0" w:firstColumn="0" w:lastColumn="0" w:oddVBand="1" w:evenVBand="0" w:oddHBand="0" w:evenHBand="0" w:firstRowFirstColumn="0" w:firstRowLastColumn="0" w:lastRowFirstColumn="0" w:lastRowLastColumn="0"/>
            <w:tcW w:w="756" w:type="dxa"/>
          </w:tcPr>
          <w:p w14:paraId="661B7DDE" w14:textId="77777777" w:rsidR="00B4515B" w:rsidRPr="00355D96" w:rsidRDefault="00B4515B" w:rsidP="004C557B">
            <w:pPr>
              <w:pStyle w:val="TabeladesnoUMAR"/>
            </w:pPr>
            <w:r w:rsidRPr="00355D96">
              <w:t>1,5</w:t>
            </w:r>
          </w:p>
        </w:tc>
        <w:tc>
          <w:tcPr>
            <w:cnfStyle w:val="000001000000" w:firstRow="0" w:lastRow="0" w:firstColumn="0" w:lastColumn="0" w:oddVBand="0" w:evenVBand="1" w:oddHBand="0" w:evenHBand="0" w:firstRowFirstColumn="0" w:firstRowLastColumn="0" w:lastRowFirstColumn="0" w:lastRowLastColumn="0"/>
            <w:tcW w:w="756" w:type="dxa"/>
          </w:tcPr>
          <w:p w14:paraId="47B89413" w14:textId="77777777" w:rsidR="00B4515B" w:rsidRPr="00355D96" w:rsidRDefault="00B4515B" w:rsidP="004C557B">
            <w:pPr>
              <w:pStyle w:val="TabeladesnoUMAR"/>
            </w:pPr>
            <w:r w:rsidRPr="00355D96">
              <w:t>0,6</w:t>
            </w:r>
          </w:p>
        </w:tc>
        <w:tc>
          <w:tcPr>
            <w:cnfStyle w:val="000010000000" w:firstRow="0" w:lastRow="0" w:firstColumn="0" w:lastColumn="0" w:oddVBand="1" w:evenVBand="0" w:oddHBand="0" w:evenHBand="0" w:firstRowFirstColumn="0" w:firstRowLastColumn="0" w:lastRowFirstColumn="0" w:lastRowLastColumn="0"/>
            <w:tcW w:w="757" w:type="dxa"/>
          </w:tcPr>
          <w:p w14:paraId="0F15825C" w14:textId="77777777" w:rsidR="00B4515B" w:rsidRPr="00355D96" w:rsidRDefault="00B4515B" w:rsidP="004C557B">
            <w:pPr>
              <w:pStyle w:val="TabeladesnoUMAR"/>
            </w:pPr>
            <w:r w:rsidRPr="00355D96">
              <w:t>1,9</w:t>
            </w:r>
          </w:p>
        </w:tc>
        <w:tc>
          <w:tcPr>
            <w:cnfStyle w:val="000001000000" w:firstRow="0" w:lastRow="0" w:firstColumn="0" w:lastColumn="0" w:oddVBand="0" w:evenVBand="1" w:oddHBand="0" w:evenHBand="0" w:firstRowFirstColumn="0" w:firstRowLastColumn="0" w:lastRowFirstColumn="0" w:lastRowLastColumn="0"/>
            <w:tcW w:w="756" w:type="dxa"/>
          </w:tcPr>
          <w:p w14:paraId="4736B4A6" w14:textId="77777777" w:rsidR="00B4515B" w:rsidRPr="00355D96" w:rsidRDefault="00B4515B" w:rsidP="004C557B">
            <w:pPr>
              <w:pStyle w:val="TabeladesnoUMAR"/>
            </w:pPr>
            <w:r w:rsidRPr="00355D96">
              <w:t>2,3</w:t>
            </w:r>
          </w:p>
        </w:tc>
        <w:tc>
          <w:tcPr>
            <w:cnfStyle w:val="000010000000" w:firstRow="0" w:lastRow="0" w:firstColumn="0" w:lastColumn="0" w:oddVBand="1" w:evenVBand="0" w:oddHBand="0" w:evenHBand="0" w:firstRowFirstColumn="0" w:firstRowLastColumn="0" w:lastRowFirstColumn="0" w:lastRowLastColumn="0"/>
            <w:tcW w:w="757" w:type="dxa"/>
          </w:tcPr>
          <w:p w14:paraId="18BD2B1C" w14:textId="77777777" w:rsidR="00B4515B" w:rsidRPr="00355D96" w:rsidRDefault="00B4515B" w:rsidP="004C557B">
            <w:pPr>
              <w:pStyle w:val="TabeladesnoUMAR"/>
            </w:pPr>
            <w:r w:rsidRPr="00355D96">
              <w:t>2,0</w:t>
            </w:r>
          </w:p>
        </w:tc>
        <w:tc>
          <w:tcPr>
            <w:cnfStyle w:val="000001000000" w:firstRow="0" w:lastRow="0" w:firstColumn="0" w:lastColumn="0" w:oddVBand="0" w:evenVBand="1" w:oddHBand="0" w:evenHBand="0" w:firstRowFirstColumn="0" w:firstRowLastColumn="0" w:lastRowFirstColumn="0" w:lastRowLastColumn="0"/>
            <w:tcW w:w="756" w:type="dxa"/>
          </w:tcPr>
          <w:p w14:paraId="2C2B8CBE" w14:textId="77777777" w:rsidR="00B4515B" w:rsidRPr="00355D96" w:rsidRDefault="00B4515B" w:rsidP="004C557B">
            <w:pPr>
              <w:pStyle w:val="TabeladesnoUMAR"/>
            </w:pPr>
            <w:r w:rsidRPr="00355D96">
              <w:t>3,5</w:t>
            </w:r>
          </w:p>
        </w:tc>
        <w:tc>
          <w:tcPr>
            <w:cnfStyle w:val="000100000000" w:firstRow="0" w:lastRow="0" w:firstColumn="0" w:lastColumn="1" w:oddVBand="0" w:evenVBand="0" w:oddHBand="0" w:evenHBand="0" w:firstRowFirstColumn="0" w:firstRowLastColumn="0" w:lastRowFirstColumn="0" w:lastRowLastColumn="0"/>
            <w:tcW w:w="757" w:type="dxa"/>
          </w:tcPr>
          <w:p w14:paraId="1DC31803" w14:textId="7FB9B641" w:rsidR="00B4515B" w:rsidRPr="00355D96" w:rsidRDefault="00995EE9" w:rsidP="004C557B">
            <w:pPr>
              <w:pStyle w:val="TabeladesnoUMAR"/>
            </w:pPr>
            <w:r>
              <w:t>2,6</w:t>
            </w:r>
          </w:p>
        </w:tc>
      </w:tr>
      <w:tr w:rsidR="00B4515B" w:rsidRPr="00355D96" w14:paraId="75D54012" w14:textId="77777777" w:rsidTr="004C557B">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8"/>
          </w:tcPr>
          <w:p w14:paraId="33AC58BE" w14:textId="77777777" w:rsidR="00B4515B" w:rsidRPr="00355D96" w:rsidRDefault="00B4515B" w:rsidP="004C557B">
            <w:pPr>
              <w:pStyle w:val="TabelalevoUMAR"/>
            </w:pPr>
            <w:r w:rsidRPr="00355D96">
              <w:t>PRODUKTIVNOST</w:t>
            </w:r>
          </w:p>
        </w:tc>
      </w:tr>
      <w:tr w:rsidR="00B4515B" w:rsidRPr="00355D96" w14:paraId="6FDFCD27"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1107E495" w14:textId="77777777" w:rsidR="00B4515B" w:rsidRPr="00355D96" w:rsidRDefault="00B4515B" w:rsidP="004C557B">
            <w:pPr>
              <w:pStyle w:val="TabelalevoUMAR"/>
            </w:pPr>
            <w:r w:rsidRPr="00355D96">
              <w:t>Dodana vrednost/zaposlenega (v EUR)</w:t>
            </w:r>
          </w:p>
        </w:tc>
        <w:tc>
          <w:tcPr>
            <w:cnfStyle w:val="000010000000" w:firstRow="0" w:lastRow="0" w:firstColumn="0" w:lastColumn="0" w:oddVBand="1" w:evenVBand="0" w:oddHBand="0" w:evenHBand="0" w:firstRowFirstColumn="0" w:firstRowLastColumn="0" w:lastRowFirstColumn="0" w:lastRowLastColumn="0"/>
            <w:tcW w:w="756" w:type="dxa"/>
          </w:tcPr>
          <w:p w14:paraId="76D8ED49" w14:textId="77777777" w:rsidR="00B4515B" w:rsidRPr="00355D96" w:rsidRDefault="00B4515B" w:rsidP="004C557B">
            <w:pPr>
              <w:pStyle w:val="TabeladesnoUMAR"/>
            </w:pPr>
            <w:r w:rsidRPr="00355D96">
              <w:t>37.698</w:t>
            </w:r>
          </w:p>
        </w:tc>
        <w:tc>
          <w:tcPr>
            <w:cnfStyle w:val="000001000000" w:firstRow="0" w:lastRow="0" w:firstColumn="0" w:lastColumn="0" w:oddVBand="0" w:evenVBand="1" w:oddHBand="0" w:evenHBand="0" w:firstRowFirstColumn="0" w:firstRowLastColumn="0" w:lastRowFirstColumn="0" w:lastRowLastColumn="0"/>
            <w:tcW w:w="756" w:type="dxa"/>
          </w:tcPr>
          <w:p w14:paraId="7B13FC75" w14:textId="77777777" w:rsidR="00B4515B" w:rsidRPr="00355D96" w:rsidRDefault="00B4515B" w:rsidP="004C557B">
            <w:pPr>
              <w:pStyle w:val="TabeladesnoUMAR"/>
            </w:pPr>
            <w:r w:rsidRPr="00355D96">
              <w:t>35.908</w:t>
            </w:r>
          </w:p>
        </w:tc>
        <w:tc>
          <w:tcPr>
            <w:cnfStyle w:val="000010000000" w:firstRow="0" w:lastRow="0" w:firstColumn="0" w:lastColumn="0" w:oddVBand="1" w:evenVBand="0" w:oddHBand="0" w:evenHBand="0" w:firstRowFirstColumn="0" w:firstRowLastColumn="0" w:lastRowFirstColumn="0" w:lastRowLastColumn="0"/>
            <w:tcW w:w="757" w:type="dxa"/>
          </w:tcPr>
          <w:p w14:paraId="48C906EB" w14:textId="77777777" w:rsidR="00B4515B" w:rsidRPr="00355D96" w:rsidRDefault="00B4515B" w:rsidP="004C557B">
            <w:pPr>
              <w:pStyle w:val="TabeladesnoUMAR"/>
            </w:pPr>
            <w:r w:rsidRPr="00355D96">
              <w:t>39.126</w:t>
            </w:r>
          </w:p>
        </w:tc>
        <w:tc>
          <w:tcPr>
            <w:cnfStyle w:val="000001000000" w:firstRow="0" w:lastRow="0" w:firstColumn="0" w:lastColumn="0" w:oddVBand="0" w:evenVBand="1" w:oddHBand="0" w:evenHBand="0" w:firstRowFirstColumn="0" w:firstRowLastColumn="0" w:lastRowFirstColumn="0" w:lastRowLastColumn="0"/>
            <w:tcW w:w="756" w:type="dxa"/>
          </w:tcPr>
          <w:p w14:paraId="631B4D4B" w14:textId="77777777" w:rsidR="00B4515B" w:rsidRPr="00355D96" w:rsidRDefault="00B4515B" w:rsidP="004C557B">
            <w:pPr>
              <w:pStyle w:val="TabeladesnoUMAR"/>
            </w:pPr>
            <w:r w:rsidRPr="00355D96">
              <w:t>48.125</w:t>
            </w:r>
          </w:p>
        </w:tc>
        <w:tc>
          <w:tcPr>
            <w:cnfStyle w:val="000010000000" w:firstRow="0" w:lastRow="0" w:firstColumn="0" w:lastColumn="0" w:oddVBand="1" w:evenVBand="0" w:oddHBand="0" w:evenHBand="0" w:firstRowFirstColumn="0" w:firstRowLastColumn="0" w:lastRowFirstColumn="0" w:lastRowLastColumn="0"/>
            <w:tcW w:w="757" w:type="dxa"/>
          </w:tcPr>
          <w:p w14:paraId="297133FA" w14:textId="77777777" w:rsidR="00B4515B" w:rsidRPr="00355D96" w:rsidRDefault="00B4515B" w:rsidP="004C557B">
            <w:pPr>
              <w:pStyle w:val="TabeladesnoUMAR"/>
            </w:pPr>
            <w:r w:rsidRPr="00355D96">
              <w:t>48.563</w:t>
            </w:r>
          </w:p>
        </w:tc>
        <w:tc>
          <w:tcPr>
            <w:cnfStyle w:val="000001000000" w:firstRow="0" w:lastRow="0" w:firstColumn="0" w:lastColumn="0" w:oddVBand="0" w:evenVBand="1" w:oddHBand="0" w:evenHBand="0" w:firstRowFirstColumn="0" w:firstRowLastColumn="0" w:lastRowFirstColumn="0" w:lastRowLastColumn="0"/>
            <w:tcW w:w="756" w:type="dxa"/>
          </w:tcPr>
          <w:p w14:paraId="76E3CFB7" w14:textId="77777777" w:rsidR="00B4515B" w:rsidRPr="00355D96" w:rsidRDefault="00B4515B" w:rsidP="004C557B">
            <w:pPr>
              <w:pStyle w:val="TabeladesnoUMAR"/>
            </w:pPr>
            <w:r w:rsidRPr="00355D96">
              <w:t>57.505</w:t>
            </w:r>
          </w:p>
        </w:tc>
        <w:tc>
          <w:tcPr>
            <w:cnfStyle w:val="000100000000" w:firstRow="0" w:lastRow="0" w:firstColumn="0" w:lastColumn="1" w:oddVBand="0" w:evenVBand="0" w:oddHBand="0" w:evenHBand="0" w:firstRowFirstColumn="0" w:firstRowLastColumn="0" w:lastRowFirstColumn="0" w:lastRowLastColumn="0"/>
            <w:tcW w:w="757" w:type="dxa"/>
          </w:tcPr>
          <w:p w14:paraId="1CA48DC7" w14:textId="34B80755" w:rsidR="00B4515B" w:rsidRPr="00355D96" w:rsidRDefault="005445BD" w:rsidP="004C557B">
            <w:pPr>
              <w:pStyle w:val="TabeladesnoUMAR"/>
            </w:pPr>
            <w:r>
              <w:t>58.040</w:t>
            </w:r>
          </w:p>
        </w:tc>
      </w:tr>
      <w:tr w:rsidR="00B4515B" w:rsidRPr="00355D96" w14:paraId="3F2331B5" w14:textId="77777777" w:rsidTr="004C557B">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8"/>
          </w:tcPr>
          <w:p w14:paraId="77CE4468" w14:textId="77777777" w:rsidR="00B4515B" w:rsidRPr="00355D96" w:rsidRDefault="00B4515B" w:rsidP="004C557B">
            <w:pPr>
              <w:pStyle w:val="TabelalevoUMAR"/>
            </w:pPr>
            <w:r w:rsidRPr="00355D96">
              <w:t>STROŠKI DELA</w:t>
            </w:r>
          </w:p>
        </w:tc>
      </w:tr>
      <w:tr w:rsidR="00B4515B" w:rsidRPr="00355D96" w14:paraId="7349307C"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4436C432" w14:textId="77777777" w:rsidR="00B4515B" w:rsidRPr="00355D96" w:rsidRDefault="00B4515B" w:rsidP="004C557B">
            <w:pPr>
              <w:pStyle w:val="TabelalevoUMAR"/>
            </w:pPr>
            <w:r w:rsidRPr="00355D96">
              <w:t>Stroški dela/zaposlenega (v EUR)</w:t>
            </w:r>
          </w:p>
        </w:tc>
        <w:tc>
          <w:tcPr>
            <w:cnfStyle w:val="000010000000" w:firstRow="0" w:lastRow="0" w:firstColumn="0" w:lastColumn="0" w:oddVBand="1" w:evenVBand="0" w:oddHBand="0" w:evenHBand="0" w:firstRowFirstColumn="0" w:firstRowLastColumn="0" w:lastRowFirstColumn="0" w:lastRowLastColumn="0"/>
            <w:tcW w:w="756" w:type="dxa"/>
          </w:tcPr>
          <w:p w14:paraId="04118B08" w14:textId="77777777" w:rsidR="00B4515B" w:rsidRPr="00355D96" w:rsidRDefault="00B4515B" w:rsidP="004C557B">
            <w:pPr>
              <w:pStyle w:val="TabeladesnoUMAR"/>
            </w:pPr>
            <w:r w:rsidRPr="00355D96">
              <w:t>21.170</w:t>
            </w:r>
          </w:p>
        </w:tc>
        <w:tc>
          <w:tcPr>
            <w:cnfStyle w:val="000001000000" w:firstRow="0" w:lastRow="0" w:firstColumn="0" w:lastColumn="0" w:oddVBand="0" w:evenVBand="1" w:oddHBand="0" w:evenHBand="0" w:firstRowFirstColumn="0" w:firstRowLastColumn="0" w:lastRowFirstColumn="0" w:lastRowLastColumn="0"/>
            <w:tcW w:w="756" w:type="dxa"/>
          </w:tcPr>
          <w:p w14:paraId="300F75B8" w14:textId="77777777" w:rsidR="00B4515B" w:rsidRPr="00355D96" w:rsidRDefault="00B4515B" w:rsidP="004C557B">
            <w:pPr>
              <w:pStyle w:val="TabeladesnoUMAR"/>
            </w:pPr>
            <w:r w:rsidRPr="00355D96">
              <w:t>22.142</w:t>
            </w:r>
          </w:p>
        </w:tc>
        <w:tc>
          <w:tcPr>
            <w:cnfStyle w:val="000010000000" w:firstRow="0" w:lastRow="0" w:firstColumn="0" w:lastColumn="0" w:oddVBand="1" w:evenVBand="0" w:oddHBand="0" w:evenHBand="0" w:firstRowFirstColumn="0" w:firstRowLastColumn="0" w:lastRowFirstColumn="0" w:lastRowLastColumn="0"/>
            <w:tcW w:w="757" w:type="dxa"/>
          </w:tcPr>
          <w:p w14:paraId="5C23D614" w14:textId="77777777" w:rsidR="00B4515B" w:rsidRPr="00355D96" w:rsidRDefault="00B4515B" w:rsidP="004C557B">
            <w:pPr>
              <w:pStyle w:val="TabeladesnoUMAR"/>
            </w:pPr>
            <w:r w:rsidRPr="00355D96">
              <w:t>24.053</w:t>
            </w:r>
          </w:p>
        </w:tc>
        <w:tc>
          <w:tcPr>
            <w:cnfStyle w:val="000001000000" w:firstRow="0" w:lastRow="0" w:firstColumn="0" w:lastColumn="0" w:oddVBand="0" w:evenVBand="1" w:oddHBand="0" w:evenHBand="0" w:firstRowFirstColumn="0" w:firstRowLastColumn="0" w:lastRowFirstColumn="0" w:lastRowLastColumn="0"/>
            <w:tcW w:w="756" w:type="dxa"/>
          </w:tcPr>
          <w:p w14:paraId="65D8ACFB" w14:textId="77777777" w:rsidR="00B4515B" w:rsidRPr="00355D96" w:rsidRDefault="00B4515B" w:rsidP="004C557B">
            <w:pPr>
              <w:pStyle w:val="TabeladesnoUMAR"/>
            </w:pPr>
            <w:r w:rsidRPr="00355D96">
              <w:t>27.547</w:t>
            </w:r>
          </w:p>
        </w:tc>
        <w:tc>
          <w:tcPr>
            <w:cnfStyle w:val="000010000000" w:firstRow="0" w:lastRow="0" w:firstColumn="0" w:lastColumn="0" w:oddVBand="1" w:evenVBand="0" w:oddHBand="0" w:evenHBand="0" w:firstRowFirstColumn="0" w:firstRowLastColumn="0" w:lastRowFirstColumn="0" w:lastRowLastColumn="0"/>
            <w:tcW w:w="757" w:type="dxa"/>
          </w:tcPr>
          <w:p w14:paraId="447112B8" w14:textId="77777777" w:rsidR="00B4515B" w:rsidRPr="00355D96" w:rsidRDefault="00B4515B" w:rsidP="004C557B">
            <w:pPr>
              <w:pStyle w:val="TabeladesnoUMAR"/>
            </w:pPr>
            <w:r w:rsidRPr="00355D96">
              <w:t>28.431</w:t>
            </w:r>
          </w:p>
        </w:tc>
        <w:tc>
          <w:tcPr>
            <w:cnfStyle w:val="000001000000" w:firstRow="0" w:lastRow="0" w:firstColumn="0" w:lastColumn="0" w:oddVBand="0" w:evenVBand="1" w:oddHBand="0" w:evenHBand="0" w:firstRowFirstColumn="0" w:firstRowLastColumn="0" w:lastRowFirstColumn="0" w:lastRowLastColumn="0"/>
            <w:tcW w:w="756" w:type="dxa"/>
          </w:tcPr>
          <w:p w14:paraId="40E7E826" w14:textId="77777777" w:rsidR="00B4515B" w:rsidRPr="00355D96" w:rsidRDefault="00B4515B" w:rsidP="004C557B">
            <w:pPr>
              <w:pStyle w:val="TabeladesnoUMAR"/>
            </w:pPr>
            <w:r w:rsidRPr="00355D96">
              <w:t>30.284</w:t>
            </w:r>
          </w:p>
        </w:tc>
        <w:tc>
          <w:tcPr>
            <w:cnfStyle w:val="000100000000" w:firstRow="0" w:lastRow="0" w:firstColumn="0" w:lastColumn="1" w:oddVBand="0" w:evenVBand="0" w:oddHBand="0" w:evenHBand="0" w:firstRowFirstColumn="0" w:firstRowLastColumn="0" w:lastRowFirstColumn="0" w:lastRowLastColumn="0"/>
            <w:tcW w:w="757" w:type="dxa"/>
          </w:tcPr>
          <w:p w14:paraId="1BC1C256" w14:textId="0E46A1FF" w:rsidR="00B4515B" w:rsidRPr="00355D96" w:rsidRDefault="005445BD" w:rsidP="004C557B">
            <w:pPr>
              <w:pStyle w:val="TabeladesnoUMAR"/>
            </w:pPr>
            <w:r>
              <w:t>32.379</w:t>
            </w:r>
          </w:p>
        </w:tc>
      </w:tr>
      <w:tr w:rsidR="00B4515B" w:rsidRPr="00355D96" w14:paraId="3F5F1A07"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59D5FDAE" w14:textId="77777777" w:rsidR="00B4515B" w:rsidRPr="00355D96" w:rsidRDefault="00B4515B" w:rsidP="004C557B">
            <w:pPr>
              <w:pStyle w:val="TabelalevoUMAR"/>
            </w:pPr>
            <w:r w:rsidRPr="00355D96">
              <w:t>Delež stroškov dela v dodani vrednosti (v %)</w:t>
            </w:r>
          </w:p>
        </w:tc>
        <w:tc>
          <w:tcPr>
            <w:cnfStyle w:val="000010000000" w:firstRow="0" w:lastRow="0" w:firstColumn="0" w:lastColumn="0" w:oddVBand="1" w:evenVBand="0" w:oddHBand="0" w:evenHBand="0" w:firstRowFirstColumn="0" w:firstRowLastColumn="0" w:lastRowFirstColumn="0" w:lastRowLastColumn="0"/>
            <w:tcW w:w="756" w:type="dxa"/>
          </w:tcPr>
          <w:p w14:paraId="0171E723" w14:textId="77777777" w:rsidR="00B4515B" w:rsidRPr="00355D96" w:rsidRDefault="00B4515B" w:rsidP="004C557B">
            <w:pPr>
              <w:pStyle w:val="TabeladesnoUMAR"/>
            </w:pPr>
            <w:r w:rsidRPr="00355D96">
              <w:t>56,2</w:t>
            </w:r>
          </w:p>
        </w:tc>
        <w:tc>
          <w:tcPr>
            <w:cnfStyle w:val="000001000000" w:firstRow="0" w:lastRow="0" w:firstColumn="0" w:lastColumn="0" w:oddVBand="0" w:evenVBand="1" w:oddHBand="0" w:evenHBand="0" w:firstRowFirstColumn="0" w:firstRowLastColumn="0" w:lastRowFirstColumn="0" w:lastRowLastColumn="0"/>
            <w:tcW w:w="756" w:type="dxa"/>
          </w:tcPr>
          <w:p w14:paraId="09BCE4E9" w14:textId="77777777" w:rsidR="00B4515B" w:rsidRPr="00355D96" w:rsidRDefault="00B4515B" w:rsidP="004C557B">
            <w:pPr>
              <w:pStyle w:val="TabeladesnoUMAR"/>
            </w:pPr>
            <w:r w:rsidRPr="00355D96">
              <w:t>61,7</w:t>
            </w:r>
          </w:p>
        </w:tc>
        <w:tc>
          <w:tcPr>
            <w:cnfStyle w:val="000010000000" w:firstRow="0" w:lastRow="0" w:firstColumn="0" w:lastColumn="0" w:oddVBand="1" w:evenVBand="0" w:oddHBand="0" w:evenHBand="0" w:firstRowFirstColumn="0" w:firstRowLastColumn="0" w:lastRowFirstColumn="0" w:lastRowLastColumn="0"/>
            <w:tcW w:w="757" w:type="dxa"/>
          </w:tcPr>
          <w:p w14:paraId="2EA68528" w14:textId="77777777" w:rsidR="00B4515B" w:rsidRPr="00355D96" w:rsidRDefault="00B4515B" w:rsidP="004C557B">
            <w:pPr>
              <w:pStyle w:val="TabeladesnoUMAR"/>
            </w:pPr>
            <w:r w:rsidRPr="00355D96">
              <w:t xml:space="preserve"> 61,5</w:t>
            </w:r>
          </w:p>
        </w:tc>
        <w:tc>
          <w:tcPr>
            <w:cnfStyle w:val="000001000000" w:firstRow="0" w:lastRow="0" w:firstColumn="0" w:lastColumn="0" w:oddVBand="0" w:evenVBand="1" w:oddHBand="0" w:evenHBand="0" w:firstRowFirstColumn="0" w:firstRowLastColumn="0" w:lastRowFirstColumn="0" w:lastRowLastColumn="0"/>
            <w:tcW w:w="756" w:type="dxa"/>
          </w:tcPr>
          <w:p w14:paraId="454F0B96" w14:textId="77777777" w:rsidR="00B4515B" w:rsidRPr="00355D96" w:rsidRDefault="00B4515B" w:rsidP="004C557B">
            <w:pPr>
              <w:pStyle w:val="TabeladesnoUMAR"/>
            </w:pPr>
            <w:r w:rsidRPr="00355D96">
              <w:t>57,2</w:t>
            </w:r>
          </w:p>
        </w:tc>
        <w:tc>
          <w:tcPr>
            <w:cnfStyle w:val="000010000000" w:firstRow="0" w:lastRow="0" w:firstColumn="0" w:lastColumn="0" w:oddVBand="1" w:evenVBand="0" w:oddHBand="0" w:evenHBand="0" w:firstRowFirstColumn="0" w:firstRowLastColumn="0" w:lastRowFirstColumn="0" w:lastRowLastColumn="0"/>
            <w:tcW w:w="757" w:type="dxa"/>
          </w:tcPr>
          <w:p w14:paraId="047C5698" w14:textId="77777777" w:rsidR="00B4515B" w:rsidRPr="00355D96" w:rsidRDefault="00B4515B" w:rsidP="004C557B">
            <w:pPr>
              <w:pStyle w:val="TabeladesnoUMAR"/>
            </w:pPr>
            <w:r w:rsidRPr="00355D96">
              <w:t>58,5</w:t>
            </w:r>
          </w:p>
        </w:tc>
        <w:tc>
          <w:tcPr>
            <w:cnfStyle w:val="000001000000" w:firstRow="0" w:lastRow="0" w:firstColumn="0" w:lastColumn="0" w:oddVBand="0" w:evenVBand="1" w:oddHBand="0" w:evenHBand="0" w:firstRowFirstColumn="0" w:firstRowLastColumn="0" w:lastRowFirstColumn="0" w:lastRowLastColumn="0"/>
            <w:tcW w:w="756" w:type="dxa"/>
          </w:tcPr>
          <w:p w14:paraId="3112BFF7" w14:textId="77777777" w:rsidR="00B4515B" w:rsidRPr="00355D96" w:rsidRDefault="00B4515B" w:rsidP="004C557B">
            <w:pPr>
              <w:pStyle w:val="TabeladesnoUMAR"/>
            </w:pPr>
            <w:r w:rsidRPr="00355D96">
              <w:t>52,7</w:t>
            </w:r>
          </w:p>
        </w:tc>
        <w:tc>
          <w:tcPr>
            <w:cnfStyle w:val="000100000000" w:firstRow="0" w:lastRow="0" w:firstColumn="0" w:lastColumn="1" w:oddVBand="0" w:evenVBand="0" w:oddHBand="0" w:evenHBand="0" w:firstRowFirstColumn="0" w:firstRowLastColumn="0" w:lastRowFirstColumn="0" w:lastRowLastColumn="0"/>
            <w:tcW w:w="757" w:type="dxa"/>
          </w:tcPr>
          <w:p w14:paraId="375B29CB" w14:textId="63FC0947" w:rsidR="00B4515B" w:rsidRPr="00355D96" w:rsidRDefault="005445BD" w:rsidP="004C557B">
            <w:pPr>
              <w:pStyle w:val="TabeladesnoUMAR"/>
            </w:pPr>
            <w:r>
              <w:t>55,8</w:t>
            </w:r>
          </w:p>
        </w:tc>
      </w:tr>
      <w:tr w:rsidR="00B4515B" w:rsidRPr="00355D96" w14:paraId="5B1E50CF" w14:textId="77777777" w:rsidTr="004C557B">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8"/>
          </w:tcPr>
          <w:p w14:paraId="3E764ABF" w14:textId="77777777" w:rsidR="00B4515B" w:rsidRPr="00355D96" w:rsidRDefault="00B4515B" w:rsidP="004C557B">
            <w:pPr>
              <w:pStyle w:val="TabelalevoUMAR"/>
            </w:pPr>
            <w:r w:rsidRPr="00355D96">
              <w:t>FINANCIRANJE IN PLAČILNA SPOSOBNOST</w:t>
            </w:r>
          </w:p>
        </w:tc>
      </w:tr>
      <w:tr w:rsidR="00B4515B" w:rsidRPr="00355D96" w14:paraId="574E1DB2"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350F03B8" w14:textId="77777777" w:rsidR="00B4515B" w:rsidRPr="00355D96" w:rsidRDefault="00B4515B" w:rsidP="004C557B">
            <w:pPr>
              <w:pStyle w:val="TabelalevoUMAR"/>
            </w:pPr>
            <w:r w:rsidRPr="00355D96">
              <w:t>Delež dolga v virih sredstev (v %)</w:t>
            </w:r>
          </w:p>
        </w:tc>
        <w:tc>
          <w:tcPr>
            <w:cnfStyle w:val="000010000000" w:firstRow="0" w:lastRow="0" w:firstColumn="0" w:lastColumn="0" w:oddVBand="1" w:evenVBand="0" w:oddHBand="0" w:evenHBand="0" w:firstRowFirstColumn="0" w:firstRowLastColumn="0" w:lastRowFirstColumn="0" w:lastRowLastColumn="0"/>
            <w:tcW w:w="756" w:type="dxa"/>
          </w:tcPr>
          <w:p w14:paraId="1C0E809D" w14:textId="77777777" w:rsidR="00B4515B" w:rsidRPr="00355D96" w:rsidRDefault="00B4515B" w:rsidP="004C557B">
            <w:pPr>
              <w:pStyle w:val="TabeladesnoUMAR"/>
            </w:pPr>
            <w:r w:rsidRPr="00355D96">
              <w:t>66,0</w:t>
            </w:r>
          </w:p>
        </w:tc>
        <w:tc>
          <w:tcPr>
            <w:cnfStyle w:val="000001000000" w:firstRow="0" w:lastRow="0" w:firstColumn="0" w:lastColumn="0" w:oddVBand="0" w:evenVBand="1" w:oddHBand="0" w:evenHBand="0" w:firstRowFirstColumn="0" w:firstRowLastColumn="0" w:lastRowFirstColumn="0" w:lastRowLastColumn="0"/>
            <w:tcW w:w="756" w:type="dxa"/>
          </w:tcPr>
          <w:p w14:paraId="7368C78C" w14:textId="77777777" w:rsidR="00B4515B" w:rsidRPr="00355D96" w:rsidRDefault="00B4515B" w:rsidP="004C557B">
            <w:pPr>
              <w:pStyle w:val="TabeladesnoUMAR"/>
            </w:pPr>
            <w:r w:rsidRPr="00355D96">
              <w:t>65,7</w:t>
            </w:r>
          </w:p>
        </w:tc>
        <w:tc>
          <w:tcPr>
            <w:cnfStyle w:val="000010000000" w:firstRow="0" w:lastRow="0" w:firstColumn="0" w:lastColumn="0" w:oddVBand="1" w:evenVBand="0" w:oddHBand="0" w:evenHBand="0" w:firstRowFirstColumn="0" w:firstRowLastColumn="0" w:lastRowFirstColumn="0" w:lastRowLastColumn="0"/>
            <w:tcW w:w="757" w:type="dxa"/>
          </w:tcPr>
          <w:p w14:paraId="15BC2EC3" w14:textId="77777777" w:rsidR="00B4515B" w:rsidRPr="00355D96" w:rsidRDefault="00B4515B" w:rsidP="004C557B">
            <w:pPr>
              <w:pStyle w:val="TabeladesnoUMAR"/>
            </w:pPr>
            <w:r w:rsidRPr="00355D96">
              <w:t>59,6</w:t>
            </w:r>
          </w:p>
        </w:tc>
        <w:tc>
          <w:tcPr>
            <w:cnfStyle w:val="000001000000" w:firstRow="0" w:lastRow="0" w:firstColumn="0" w:lastColumn="0" w:oddVBand="0" w:evenVBand="1" w:oddHBand="0" w:evenHBand="0" w:firstRowFirstColumn="0" w:firstRowLastColumn="0" w:lastRowFirstColumn="0" w:lastRowLastColumn="0"/>
            <w:tcW w:w="756" w:type="dxa"/>
          </w:tcPr>
          <w:p w14:paraId="6F5AADB4" w14:textId="77777777" w:rsidR="00B4515B" w:rsidRPr="00355D96" w:rsidRDefault="00B4515B" w:rsidP="004C557B">
            <w:pPr>
              <w:pStyle w:val="TabeladesnoUMAR"/>
            </w:pPr>
            <w:r w:rsidRPr="00355D96">
              <w:t>59,0</w:t>
            </w:r>
          </w:p>
        </w:tc>
        <w:tc>
          <w:tcPr>
            <w:cnfStyle w:val="000010000000" w:firstRow="0" w:lastRow="0" w:firstColumn="0" w:lastColumn="0" w:oddVBand="1" w:evenVBand="0" w:oddHBand="0" w:evenHBand="0" w:firstRowFirstColumn="0" w:firstRowLastColumn="0" w:lastRowFirstColumn="0" w:lastRowLastColumn="0"/>
            <w:tcW w:w="757" w:type="dxa"/>
          </w:tcPr>
          <w:p w14:paraId="04C6BB72" w14:textId="77777777" w:rsidR="00B4515B" w:rsidRPr="00355D96" w:rsidRDefault="00B4515B" w:rsidP="004C557B">
            <w:pPr>
              <w:pStyle w:val="TabeladesnoUMAR"/>
            </w:pPr>
            <w:r w:rsidRPr="00355D96">
              <w:t>57,1</w:t>
            </w:r>
          </w:p>
        </w:tc>
        <w:tc>
          <w:tcPr>
            <w:cnfStyle w:val="000001000000" w:firstRow="0" w:lastRow="0" w:firstColumn="0" w:lastColumn="0" w:oddVBand="0" w:evenVBand="1" w:oddHBand="0" w:evenHBand="0" w:firstRowFirstColumn="0" w:firstRowLastColumn="0" w:lastRowFirstColumn="0" w:lastRowLastColumn="0"/>
            <w:tcW w:w="756" w:type="dxa"/>
          </w:tcPr>
          <w:p w14:paraId="5711AB00" w14:textId="77777777" w:rsidR="00B4515B" w:rsidRPr="00355D96" w:rsidRDefault="00B4515B" w:rsidP="004C557B">
            <w:pPr>
              <w:pStyle w:val="TabeladesnoUMAR"/>
            </w:pPr>
            <w:r w:rsidRPr="00355D96">
              <w:t>57,1</w:t>
            </w:r>
          </w:p>
        </w:tc>
        <w:tc>
          <w:tcPr>
            <w:cnfStyle w:val="000100000000" w:firstRow="0" w:lastRow="0" w:firstColumn="0" w:lastColumn="1" w:oddVBand="0" w:evenVBand="0" w:oddHBand="0" w:evenHBand="0" w:firstRowFirstColumn="0" w:firstRowLastColumn="0" w:lastRowFirstColumn="0" w:lastRowLastColumn="0"/>
            <w:tcW w:w="757" w:type="dxa"/>
          </w:tcPr>
          <w:p w14:paraId="5BDA0DBE" w14:textId="39082C17" w:rsidR="00B4515B" w:rsidRPr="00355D96" w:rsidRDefault="00995EE9" w:rsidP="004C557B">
            <w:pPr>
              <w:pStyle w:val="TabeladesnoUMAR"/>
            </w:pPr>
            <w:r>
              <w:t>58,5</w:t>
            </w:r>
          </w:p>
        </w:tc>
      </w:tr>
      <w:tr w:rsidR="00B4515B" w:rsidRPr="00355D96" w14:paraId="14F130E4"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6AD6102D" w14:textId="77777777" w:rsidR="00B4515B" w:rsidRPr="00355D96" w:rsidRDefault="00B4515B" w:rsidP="004C557B">
            <w:pPr>
              <w:pStyle w:val="TabelalevoUMAR"/>
            </w:pPr>
            <w:r w:rsidRPr="00355D96">
              <w:t>Delež kratk. obveznosti v virih sredstev (v %)</w:t>
            </w:r>
          </w:p>
        </w:tc>
        <w:tc>
          <w:tcPr>
            <w:cnfStyle w:val="000010000000" w:firstRow="0" w:lastRow="0" w:firstColumn="0" w:lastColumn="0" w:oddVBand="1" w:evenVBand="0" w:oddHBand="0" w:evenHBand="0" w:firstRowFirstColumn="0" w:firstRowLastColumn="0" w:lastRowFirstColumn="0" w:lastRowLastColumn="0"/>
            <w:tcW w:w="756" w:type="dxa"/>
          </w:tcPr>
          <w:p w14:paraId="3137785F" w14:textId="77777777" w:rsidR="00B4515B" w:rsidRPr="00355D96" w:rsidRDefault="00B4515B" w:rsidP="004C557B">
            <w:pPr>
              <w:pStyle w:val="TabeladesnoUMAR"/>
            </w:pPr>
            <w:r w:rsidRPr="00355D96">
              <w:t>48,7</w:t>
            </w:r>
          </w:p>
        </w:tc>
        <w:tc>
          <w:tcPr>
            <w:cnfStyle w:val="000001000000" w:firstRow="0" w:lastRow="0" w:firstColumn="0" w:lastColumn="0" w:oddVBand="0" w:evenVBand="1" w:oddHBand="0" w:evenHBand="0" w:firstRowFirstColumn="0" w:firstRowLastColumn="0" w:lastRowFirstColumn="0" w:lastRowLastColumn="0"/>
            <w:tcW w:w="756" w:type="dxa"/>
          </w:tcPr>
          <w:p w14:paraId="3811AF40" w14:textId="77777777" w:rsidR="00B4515B" w:rsidRPr="00355D96" w:rsidRDefault="00B4515B" w:rsidP="004C557B">
            <w:pPr>
              <w:pStyle w:val="TabeladesnoUMAR"/>
            </w:pPr>
            <w:r w:rsidRPr="00355D96">
              <w:t>47,1</w:t>
            </w:r>
          </w:p>
        </w:tc>
        <w:tc>
          <w:tcPr>
            <w:cnfStyle w:val="000010000000" w:firstRow="0" w:lastRow="0" w:firstColumn="0" w:lastColumn="0" w:oddVBand="1" w:evenVBand="0" w:oddHBand="0" w:evenHBand="0" w:firstRowFirstColumn="0" w:firstRowLastColumn="0" w:lastRowFirstColumn="0" w:lastRowLastColumn="0"/>
            <w:tcW w:w="757" w:type="dxa"/>
          </w:tcPr>
          <w:p w14:paraId="197D02D1" w14:textId="77777777" w:rsidR="00B4515B" w:rsidRPr="00355D96" w:rsidRDefault="00B4515B" w:rsidP="004C557B">
            <w:pPr>
              <w:pStyle w:val="TabeladesnoUMAR"/>
            </w:pPr>
            <w:r w:rsidRPr="00355D96">
              <w:t>41,3</w:t>
            </w:r>
          </w:p>
        </w:tc>
        <w:tc>
          <w:tcPr>
            <w:cnfStyle w:val="000001000000" w:firstRow="0" w:lastRow="0" w:firstColumn="0" w:lastColumn="0" w:oddVBand="0" w:evenVBand="1" w:oddHBand="0" w:evenHBand="0" w:firstRowFirstColumn="0" w:firstRowLastColumn="0" w:lastRowFirstColumn="0" w:lastRowLastColumn="0"/>
            <w:tcW w:w="756" w:type="dxa"/>
          </w:tcPr>
          <w:p w14:paraId="6BE1DA39" w14:textId="77777777" w:rsidR="00B4515B" w:rsidRPr="00355D96" w:rsidRDefault="00B4515B" w:rsidP="004C557B">
            <w:pPr>
              <w:pStyle w:val="TabeladesnoUMAR"/>
            </w:pPr>
            <w:r w:rsidRPr="00355D96">
              <w:t>39,3</w:t>
            </w:r>
          </w:p>
        </w:tc>
        <w:tc>
          <w:tcPr>
            <w:cnfStyle w:val="000010000000" w:firstRow="0" w:lastRow="0" w:firstColumn="0" w:lastColumn="0" w:oddVBand="1" w:evenVBand="0" w:oddHBand="0" w:evenHBand="0" w:firstRowFirstColumn="0" w:firstRowLastColumn="0" w:lastRowFirstColumn="0" w:lastRowLastColumn="0"/>
            <w:tcW w:w="757" w:type="dxa"/>
          </w:tcPr>
          <w:p w14:paraId="527DB5CA" w14:textId="77777777" w:rsidR="00B4515B" w:rsidRPr="00355D96" w:rsidRDefault="00B4515B" w:rsidP="004C557B">
            <w:pPr>
              <w:pStyle w:val="TabeladesnoUMAR"/>
            </w:pPr>
            <w:r w:rsidRPr="00355D96">
              <w:t>38,2</w:t>
            </w:r>
          </w:p>
        </w:tc>
        <w:tc>
          <w:tcPr>
            <w:cnfStyle w:val="000001000000" w:firstRow="0" w:lastRow="0" w:firstColumn="0" w:lastColumn="0" w:oddVBand="0" w:evenVBand="1" w:oddHBand="0" w:evenHBand="0" w:firstRowFirstColumn="0" w:firstRowLastColumn="0" w:lastRowFirstColumn="0" w:lastRowLastColumn="0"/>
            <w:tcW w:w="756" w:type="dxa"/>
          </w:tcPr>
          <w:p w14:paraId="3BB3F49A" w14:textId="77777777" w:rsidR="00B4515B" w:rsidRPr="00355D96" w:rsidRDefault="00B4515B" w:rsidP="004C557B">
            <w:pPr>
              <w:pStyle w:val="TabeladesnoUMAR"/>
            </w:pPr>
            <w:r w:rsidRPr="00355D96">
              <w:t>37,7</w:t>
            </w:r>
          </w:p>
        </w:tc>
        <w:tc>
          <w:tcPr>
            <w:cnfStyle w:val="000100000000" w:firstRow="0" w:lastRow="0" w:firstColumn="0" w:lastColumn="1" w:oddVBand="0" w:evenVBand="0" w:oddHBand="0" w:evenHBand="0" w:firstRowFirstColumn="0" w:firstRowLastColumn="0" w:lastRowFirstColumn="0" w:lastRowLastColumn="0"/>
            <w:tcW w:w="757" w:type="dxa"/>
          </w:tcPr>
          <w:p w14:paraId="01BB9935" w14:textId="4412A85B" w:rsidR="00B4515B" w:rsidRPr="00355D96" w:rsidRDefault="00995EE9" w:rsidP="004C557B">
            <w:pPr>
              <w:pStyle w:val="TabeladesnoUMAR"/>
            </w:pPr>
            <w:r>
              <w:t>40,7</w:t>
            </w:r>
          </w:p>
        </w:tc>
      </w:tr>
      <w:tr w:rsidR="00B4515B" w:rsidRPr="00355D96" w14:paraId="08F68C27"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03ED5BDF" w14:textId="77777777" w:rsidR="00B4515B" w:rsidRPr="00355D96" w:rsidRDefault="00B4515B" w:rsidP="004C557B">
            <w:pPr>
              <w:pStyle w:val="TabelalevoUMAR"/>
            </w:pPr>
            <w:r w:rsidRPr="00355D96">
              <w:t>Kapitalska pokritost dolg. sredstev (v %)</w:t>
            </w:r>
          </w:p>
        </w:tc>
        <w:tc>
          <w:tcPr>
            <w:cnfStyle w:val="000010000000" w:firstRow="0" w:lastRow="0" w:firstColumn="0" w:lastColumn="0" w:oddVBand="1" w:evenVBand="0" w:oddHBand="0" w:evenHBand="0" w:firstRowFirstColumn="0" w:firstRowLastColumn="0" w:lastRowFirstColumn="0" w:lastRowLastColumn="0"/>
            <w:tcW w:w="756" w:type="dxa"/>
          </w:tcPr>
          <w:p w14:paraId="43EA379A" w14:textId="77777777" w:rsidR="00B4515B" w:rsidRPr="00355D96" w:rsidRDefault="00B4515B" w:rsidP="004C557B">
            <w:pPr>
              <w:pStyle w:val="TabeladesnoUMAR"/>
            </w:pPr>
            <w:r w:rsidRPr="00355D96">
              <w:t>73,1</w:t>
            </w:r>
          </w:p>
        </w:tc>
        <w:tc>
          <w:tcPr>
            <w:cnfStyle w:val="000001000000" w:firstRow="0" w:lastRow="0" w:firstColumn="0" w:lastColumn="0" w:oddVBand="0" w:evenVBand="1" w:oddHBand="0" w:evenHBand="0" w:firstRowFirstColumn="0" w:firstRowLastColumn="0" w:lastRowFirstColumn="0" w:lastRowLastColumn="0"/>
            <w:tcW w:w="756" w:type="dxa"/>
          </w:tcPr>
          <w:p w14:paraId="0B63F4A0" w14:textId="77777777" w:rsidR="00B4515B" w:rsidRPr="00355D96" w:rsidRDefault="00B4515B" w:rsidP="004C557B">
            <w:pPr>
              <w:pStyle w:val="TabeladesnoUMAR"/>
            </w:pPr>
            <w:r w:rsidRPr="00355D96">
              <w:t>68,0</w:t>
            </w:r>
          </w:p>
        </w:tc>
        <w:tc>
          <w:tcPr>
            <w:cnfStyle w:val="000010000000" w:firstRow="0" w:lastRow="0" w:firstColumn="0" w:lastColumn="0" w:oddVBand="1" w:evenVBand="0" w:oddHBand="0" w:evenHBand="0" w:firstRowFirstColumn="0" w:firstRowLastColumn="0" w:lastRowFirstColumn="0" w:lastRowLastColumn="0"/>
            <w:tcW w:w="757" w:type="dxa"/>
          </w:tcPr>
          <w:p w14:paraId="14AC6443" w14:textId="77777777" w:rsidR="00B4515B" w:rsidRPr="00355D96" w:rsidRDefault="00B4515B" w:rsidP="004C557B">
            <w:pPr>
              <w:pStyle w:val="TabeladesnoUMAR"/>
            </w:pPr>
            <w:r w:rsidRPr="00355D96">
              <w:t>92,2</w:t>
            </w:r>
          </w:p>
        </w:tc>
        <w:tc>
          <w:tcPr>
            <w:cnfStyle w:val="000001000000" w:firstRow="0" w:lastRow="0" w:firstColumn="0" w:lastColumn="0" w:oddVBand="0" w:evenVBand="1" w:oddHBand="0" w:evenHBand="0" w:firstRowFirstColumn="0" w:firstRowLastColumn="0" w:lastRowFirstColumn="0" w:lastRowLastColumn="0"/>
            <w:tcW w:w="756" w:type="dxa"/>
          </w:tcPr>
          <w:p w14:paraId="348F126B" w14:textId="77777777" w:rsidR="00B4515B" w:rsidRPr="00355D96" w:rsidRDefault="00B4515B" w:rsidP="004C557B">
            <w:pPr>
              <w:pStyle w:val="TabeladesnoUMAR"/>
            </w:pPr>
            <w:r w:rsidRPr="00355D96">
              <w:t>90,5</w:t>
            </w:r>
          </w:p>
        </w:tc>
        <w:tc>
          <w:tcPr>
            <w:cnfStyle w:val="000010000000" w:firstRow="0" w:lastRow="0" w:firstColumn="0" w:lastColumn="0" w:oddVBand="1" w:evenVBand="0" w:oddHBand="0" w:evenHBand="0" w:firstRowFirstColumn="0" w:firstRowLastColumn="0" w:lastRowFirstColumn="0" w:lastRowLastColumn="0"/>
            <w:tcW w:w="757" w:type="dxa"/>
          </w:tcPr>
          <w:p w14:paraId="6FC24F8F" w14:textId="77777777" w:rsidR="00B4515B" w:rsidRPr="00355D96" w:rsidRDefault="00B4515B" w:rsidP="004C557B">
            <w:pPr>
              <w:pStyle w:val="TabeladesnoUMAR"/>
            </w:pPr>
            <w:r w:rsidRPr="00355D96">
              <w:t>95,2</w:t>
            </w:r>
          </w:p>
        </w:tc>
        <w:tc>
          <w:tcPr>
            <w:cnfStyle w:val="000001000000" w:firstRow="0" w:lastRow="0" w:firstColumn="0" w:lastColumn="0" w:oddVBand="0" w:evenVBand="1" w:oddHBand="0" w:evenHBand="0" w:firstRowFirstColumn="0" w:firstRowLastColumn="0" w:lastRowFirstColumn="0" w:lastRowLastColumn="0"/>
            <w:tcW w:w="756" w:type="dxa"/>
          </w:tcPr>
          <w:p w14:paraId="0C73261A" w14:textId="77777777" w:rsidR="00B4515B" w:rsidRPr="00355D96" w:rsidRDefault="00B4515B" w:rsidP="004C557B">
            <w:pPr>
              <w:pStyle w:val="TabeladesnoUMAR"/>
            </w:pPr>
            <w:r w:rsidRPr="00355D96">
              <w:t>98,4</w:t>
            </w:r>
          </w:p>
        </w:tc>
        <w:tc>
          <w:tcPr>
            <w:cnfStyle w:val="000100000000" w:firstRow="0" w:lastRow="0" w:firstColumn="0" w:lastColumn="1" w:oddVBand="0" w:evenVBand="0" w:oddHBand="0" w:evenHBand="0" w:firstRowFirstColumn="0" w:firstRowLastColumn="0" w:lastRowFirstColumn="0" w:lastRowLastColumn="0"/>
            <w:tcW w:w="757" w:type="dxa"/>
          </w:tcPr>
          <w:p w14:paraId="38895E61" w14:textId="124DC1EB" w:rsidR="00B4515B" w:rsidRPr="00355D96" w:rsidRDefault="00995EE9" w:rsidP="004C557B">
            <w:pPr>
              <w:pStyle w:val="TabeladesnoUMAR"/>
            </w:pPr>
            <w:r>
              <w:t>101,7</w:t>
            </w:r>
          </w:p>
        </w:tc>
      </w:tr>
      <w:tr w:rsidR="00B4515B" w:rsidRPr="00355D96" w14:paraId="4B1C6364"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756B70A2" w14:textId="77777777" w:rsidR="00B4515B" w:rsidRPr="00355D96" w:rsidRDefault="00B4515B" w:rsidP="004C557B">
            <w:pPr>
              <w:pStyle w:val="TabelalevoUMAR"/>
            </w:pPr>
            <w:r w:rsidRPr="00355D96">
              <w:t>Dolg. pokritost dolg. sredstev in zalog (v %)</w:t>
            </w:r>
          </w:p>
        </w:tc>
        <w:tc>
          <w:tcPr>
            <w:cnfStyle w:val="000010000000" w:firstRow="0" w:lastRow="0" w:firstColumn="0" w:lastColumn="0" w:oddVBand="1" w:evenVBand="0" w:oddHBand="0" w:evenHBand="0" w:firstRowFirstColumn="0" w:firstRowLastColumn="0" w:lastRowFirstColumn="0" w:lastRowLastColumn="0"/>
            <w:tcW w:w="756" w:type="dxa"/>
          </w:tcPr>
          <w:p w14:paraId="35CCE718" w14:textId="77777777" w:rsidR="00B4515B" w:rsidRPr="00355D96" w:rsidRDefault="00B4515B" w:rsidP="004C557B">
            <w:pPr>
              <w:pStyle w:val="TabeladesnoUMAR"/>
            </w:pPr>
            <w:r w:rsidRPr="00355D96">
              <w:t>79,4</w:t>
            </w:r>
          </w:p>
        </w:tc>
        <w:tc>
          <w:tcPr>
            <w:cnfStyle w:val="000001000000" w:firstRow="0" w:lastRow="0" w:firstColumn="0" w:lastColumn="0" w:oddVBand="0" w:evenVBand="1" w:oddHBand="0" w:evenHBand="0" w:firstRowFirstColumn="0" w:firstRowLastColumn="0" w:lastRowFirstColumn="0" w:lastRowLastColumn="0"/>
            <w:tcW w:w="756" w:type="dxa"/>
          </w:tcPr>
          <w:p w14:paraId="10CA6175" w14:textId="77777777" w:rsidR="00B4515B" w:rsidRPr="00355D96" w:rsidRDefault="00B4515B" w:rsidP="004C557B">
            <w:pPr>
              <w:pStyle w:val="TabeladesnoUMAR"/>
            </w:pPr>
            <w:r w:rsidRPr="00355D96">
              <w:t>80,3</w:t>
            </w:r>
          </w:p>
        </w:tc>
        <w:tc>
          <w:tcPr>
            <w:cnfStyle w:val="000010000000" w:firstRow="0" w:lastRow="0" w:firstColumn="0" w:lastColumn="0" w:oddVBand="1" w:evenVBand="0" w:oddHBand="0" w:evenHBand="0" w:firstRowFirstColumn="0" w:firstRowLastColumn="0" w:lastRowFirstColumn="0" w:lastRowLastColumn="0"/>
            <w:tcW w:w="757" w:type="dxa"/>
          </w:tcPr>
          <w:p w14:paraId="3F0981E6" w14:textId="77777777" w:rsidR="00B4515B" w:rsidRPr="00355D96" w:rsidRDefault="00B4515B" w:rsidP="004C557B">
            <w:pPr>
              <w:pStyle w:val="TabeladesnoUMAR"/>
            </w:pPr>
            <w:r w:rsidRPr="00355D96">
              <w:t>96,2</w:t>
            </w:r>
          </w:p>
        </w:tc>
        <w:tc>
          <w:tcPr>
            <w:cnfStyle w:val="000001000000" w:firstRow="0" w:lastRow="0" w:firstColumn="0" w:lastColumn="0" w:oddVBand="0" w:evenVBand="1" w:oddHBand="0" w:evenHBand="0" w:firstRowFirstColumn="0" w:firstRowLastColumn="0" w:lastRowFirstColumn="0" w:lastRowLastColumn="0"/>
            <w:tcW w:w="756" w:type="dxa"/>
          </w:tcPr>
          <w:p w14:paraId="6AC91777" w14:textId="77777777" w:rsidR="00B4515B" w:rsidRPr="00355D96" w:rsidRDefault="00B4515B" w:rsidP="004C557B">
            <w:pPr>
              <w:pStyle w:val="TabeladesnoUMAR"/>
            </w:pPr>
            <w:r w:rsidRPr="00355D96">
              <w:t>94,6</w:t>
            </w:r>
          </w:p>
        </w:tc>
        <w:tc>
          <w:tcPr>
            <w:cnfStyle w:val="000010000000" w:firstRow="0" w:lastRow="0" w:firstColumn="0" w:lastColumn="0" w:oddVBand="1" w:evenVBand="0" w:oddHBand="0" w:evenHBand="0" w:firstRowFirstColumn="0" w:firstRowLastColumn="0" w:lastRowFirstColumn="0" w:lastRowLastColumn="0"/>
            <w:tcW w:w="757" w:type="dxa"/>
          </w:tcPr>
          <w:p w14:paraId="3F9611F0" w14:textId="77777777" w:rsidR="00B4515B" w:rsidRPr="00355D96" w:rsidRDefault="00B4515B" w:rsidP="004C557B">
            <w:pPr>
              <w:pStyle w:val="TabeladesnoUMAR"/>
            </w:pPr>
            <w:r w:rsidRPr="00355D96">
              <w:t>97,0</w:t>
            </w:r>
          </w:p>
        </w:tc>
        <w:tc>
          <w:tcPr>
            <w:cnfStyle w:val="000001000000" w:firstRow="0" w:lastRow="0" w:firstColumn="0" w:lastColumn="0" w:oddVBand="0" w:evenVBand="1" w:oddHBand="0" w:evenHBand="0" w:firstRowFirstColumn="0" w:firstRowLastColumn="0" w:lastRowFirstColumn="0" w:lastRowLastColumn="0"/>
            <w:tcW w:w="756" w:type="dxa"/>
          </w:tcPr>
          <w:p w14:paraId="7B3AF8A1" w14:textId="77777777" w:rsidR="00B4515B" w:rsidRPr="00355D96" w:rsidRDefault="00B4515B" w:rsidP="004C557B">
            <w:pPr>
              <w:pStyle w:val="TabeladesnoUMAR"/>
            </w:pPr>
            <w:r w:rsidRPr="00355D96">
              <w:t>100,6</w:t>
            </w:r>
          </w:p>
        </w:tc>
        <w:tc>
          <w:tcPr>
            <w:cnfStyle w:val="000100000000" w:firstRow="0" w:lastRow="0" w:firstColumn="0" w:lastColumn="1" w:oddVBand="0" w:evenVBand="0" w:oddHBand="0" w:evenHBand="0" w:firstRowFirstColumn="0" w:firstRowLastColumn="0" w:lastRowFirstColumn="0" w:lastRowLastColumn="0"/>
            <w:tcW w:w="757" w:type="dxa"/>
          </w:tcPr>
          <w:p w14:paraId="20612D87" w14:textId="16ABD5CA" w:rsidR="00B4515B" w:rsidRPr="00355D96" w:rsidRDefault="00995EE9" w:rsidP="004C557B">
            <w:pPr>
              <w:pStyle w:val="TabeladesnoUMAR"/>
            </w:pPr>
            <w:r>
              <w:t>95,8</w:t>
            </w:r>
          </w:p>
        </w:tc>
      </w:tr>
      <w:tr w:rsidR="00B4515B" w:rsidRPr="00355D96" w14:paraId="6362C4A0" w14:textId="77777777" w:rsidTr="004C557B">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8"/>
          </w:tcPr>
          <w:p w14:paraId="1B1DDAE2" w14:textId="77777777" w:rsidR="00B4515B" w:rsidRPr="00355D96" w:rsidRDefault="00B4515B" w:rsidP="004C557B">
            <w:pPr>
              <w:pStyle w:val="TabelalevoUMAR"/>
            </w:pPr>
            <w:r w:rsidRPr="00355D96">
              <w:t>IZVOZNA USMERJENOST</w:t>
            </w:r>
          </w:p>
        </w:tc>
      </w:tr>
      <w:tr w:rsidR="00B4515B" w:rsidRPr="00355D96" w14:paraId="59D8E299"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5F1E14A0" w14:textId="77777777" w:rsidR="00B4515B" w:rsidRPr="00355D96" w:rsidRDefault="00B4515B" w:rsidP="004C557B">
            <w:pPr>
              <w:pStyle w:val="TabelalevoUMAR"/>
            </w:pPr>
            <w:r w:rsidRPr="00355D96">
              <w:t>Delež čistih prihodkov od prodaje na tujem trgu (v %)</w:t>
            </w:r>
          </w:p>
        </w:tc>
        <w:tc>
          <w:tcPr>
            <w:cnfStyle w:val="000010000000" w:firstRow="0" w:lastRow="0" w:firstColumn="0" w:lastColumn="0" w:oddVBand="1" w:evenVBand="0" w:oddHBand="0" w:evenHBand="0" w:firstRowFirstColumn="0" w:firstRowLastColumn="0" w:lastRowFirstColumn="0" w:lastRowLastColumn="0"/>
            <w:tcW w:w="756" w:type="dxa"/>
          </w:tcPr>
          <w:p w14:paraId="200A2A8C" w14:textId="77777777" w:rsidR="00B4515B" w:rsidRPr="00355D96" w:rsidRDefault="00B4515B" w:rsidP="004C557B">
            <w:pPr>
              <w:pStyle w:val="TabeladesnoUMAR"/>
            </w:pPr>
            <w:r w:rsidRPr="00355D96">
              <w:t>17,2</w:t>
            </w:r>
          </w:p>
        </w:tc>
        <w:tc>
          <w:tcPr>
            <w:cnfStyle w:val="000001000000" w:firstRow="0" w:lastRow="0" w:firstColumn="0" w:lastColumn="0" w:oddVBand="0" w:evenVBand="1" w:oddHBand="0" w:evenHBand="0" w:firstRowFirstColumn="0" w:firstRowLastColumn="0" w:lastRowFirstColumn="0" w:lastRowLastColumn="0"/>
            <w:tcW w:w="756" w:type="dxa"/>
          </w:tcPr>
          <w:p w14:paraId="410F1054" w14:textId="77777777" w:rsidR="00B4515B" w:rsidRPr="00355D96" w:rsidRDefault="00B4515B" w:rsidP="004C557B">
            <w:pPr>
              <w:pStyle w:val="TabeladesnoUMAR"/>
            </w:pPr>
            <w:r w:rsidRPr="00355D96">
              <w:t>15,2</w:t>
            </w:r>
          </w:p>
        </w:tc>
        <w:tc>
          <w:tcPr>
            <w:cnfStyle w:val="000010000000" w:firstRow="0" w:lastRow="0" w:firstColumn="0" w:lastColumn="0" w:oddVBand="1" w:evenVBand="0" w:oddHBand="0" w:evenHBand="0" w:firstRowFirstColumn="0" w:firstRowLastColumn="0" w:lastRowFirstColumn="0" w:lastRowLastColumn="0"/>
            <w:tcW w:w="757" w:type="dxa"/>
          </w:tcPr>
          <w:p w14:paraId="79F24DB0" w14:textId="77777777" w:rsidR="00B4515B" w:rsidRPr="00355D96" w:rsidRDefault="00B4515B" w:rsidP="004C557B">
            <w:pPr>
              <w:pStyle w:val="TabeladesnoUMAR"/>
            </w:pPr>
            <w:r w:rsidRPr="00355D96">
              <w:t>21,4</w:t>
            </w:r>
          </w:p>
        </w:tc>
        <w:tc>
          <w:tcPr>
            <w:cnfStyle w:val="000001000000" w:firstRow="0" w:lastRow="0" w:firstColumn="0" w:lastColumn="0" w:oddVBand="0" w:evenVBand="1" w:oddHBand="0" w:evenHBand="0" w:firstRowFirstColumn="0" w:firstRowLastColumn="0" w:lastRowFirstColumn="0" w:lastRowLastColumn="0"/>
            <w:tcW w:w="756" w:type="dxa"/>
          </w:tcPr>
          <w:p w14:paraId="5F9B5DB5" w14:textId="77777777" w:rsidR="00B4515B" w:rsidRPr="00355D96" w:rsidRDefault="00B4515B" w:rsidP="004C557B">
            <w:pPr>
              <w:pStyle w:val="TabeladesnoUMAR"/>
            </w:pPr>
            <w:r w:rsidRPr="00355D96">
              <w:t>26,9</w:t>
            </w:r>
          </w:p>
        </w:tc>
        <w:tc>
          <w:tcPr>
            <w:cnfStyle w:val="000010000000" w:firstRow="0" w:lastRow="0" w:firstColumn="0" w:lastColumn="0" w:oddVBand="1" w:evenVBand="0" w:oddHBand="0" w:evenHBand="0" w:firstRowFirstColumn="0" w:firstRowLastColumn="0" w:lastRowFirstColumn="0" w:lastRowLastColumn="0"/>
            <w:tcW w:w="757" w:type="dxa"/>
          </w:tcPr>
          <w:p w14:paraId="6666E3DC" w14:textId="77777777" w:rsidR="00B4515B" w:rsidRPr="00355D96" w:rsidRDefault="00B4515B" w:rsidP="004C557B">
            <w:pPr>
              <w:pStyle w:val="TabeladesnoUMAR"/>
            </w:pPr>
            <w:r w:rsidRPr="00355D96">
              <w:t>25,8</w:t>
            </w:r>
          </w:p>
        </w:tc>
        <w:tc>
          <w:tcPr>
            <w:cnfStyle w:val="000001000000" w:firstRow="0" w:lastRow="0" w:firstColumn="0" w:lastColumn="0" w:oddVBand="0" w:evenVBand="1" w:oddHBand="0" w:evenHBand="0" w:firstRowFirstColumn="0" w:firstRowLastColumn="0" w:lastRowFirstColumn="0" w:lastRowLastColumn="0"/>
            <w:tcW w:w="756" w:type="dxa"/>
          </w:tcPr>
          <w:p w14:paraId="14405979" w14:textId="77777777" w:rsidR="00B4515B" w:rsidRPr="00355D96" w:rsidRDefault="00B4515B" w:rsidP="004C557B">
            <w:pPr>
              <w:pStyle w:val="TabeladesnoUMAR"/>
              <w:rPr>
                <w:rFonts w:eastAsia="Times New Roman"/>
                <w:lang w:eastAsia="sl-SI"/>
              </w:rPr>
            </w:pPr>
            <w:r>
              <w:t>25,5</w:t>
            </w:r>
          </w:p>
        </w:tc>
        <w:tc>
          <w:tcPr>
            <w:cnfStyle w:val="000100000000" w:firstRow="0" w:lastRow="0" w:firstColumn="0" w:lastColumn="1" w:oddVBand="0" w:evenVBand="0" w:oddHBand="0" w:evenHBand="0" w:firstRowFirstColumn="0" w:firstRowLastColumn="0" w:lastRowFirstColumn="0" w:lastRowLastColumn="0"/>
            <w:tcW w:w="757" w:type="dxa"/>
          </w:tcPr>
          <w:p w14:paraId="03B535AD" w14:textId="276D4A62" w:rsidR="00B4515B" w:rsidRPr="00355D96" w:rsidRDefault="00995EE9" w:rsidP="004C557B">
            <w:pPr>
              <w:pStyle w:val="TabeladesnoUMAR"/>
            </w:pPr>
            <w:r>
              <w:t>29,3</w:t>
            </w:r>
          </w:p>
        </w:tc>
      </w:tr>
      <w:tr w:rsidR="00B4515B" w:rsidRPr="00355D96" w14:paraId="0E11C630" w14:textId="77777777" w:rsidTr="004C557B">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8"/>
          </w:tcPr>
          <w:p w14:paraId="7079DC9F" w14:textId="77777777" w:rsidR="00B4515B" w:rsidRPr="00355D96" w:rsidRDefault="00B4515B" w:rsidP="004C557B">
            <w:pPr>
              <w:pStyle w:val="TabelalevoUMAR"/>
            </w:pPr>
            <w:r w:rsidRPr="00355D96">
              <w:t>STRUKTURA SREDSTEV</w:t>
            </w:r>
          </w:p>
        </w:tc>
      </w:tr>
      <w:tr w:rsidR="00B4515B" w:rsidRPr="00355D96" w14:paraId="1FA0AF35"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5AECCDD1" w14:textId="77777777" w:rsidR="00B4515B" w:rsidRPr="00355D96" w:rsidRDefault="00B4515B" w:rsidP="004C557B">
            <w:pPr>
              <w:pStyle w:val="TabelalevoUMAR"/>
            </w:pPr>
            <w:r w:rsidRPr="00355D96">
              <w:t>Delež dolg. sredstev v sredstvih (v %)</w:t>
            </w:r>
          </w:p>
        </w:tc>
        <w:tc>
          <w:tcPr>
            <w:cnfStyle w:val="000010000000" w:firstRow="0" w:lastRow="0" w:firstColumn="0" w:lastColumn="0" w:oddVBand="1" w:evenVBand="0" w:oddHBand="0" w:evenHBand="0" w:firstRowFirstColumn="0" w:firstRowLastColumn="0" w:lastRowFirstColumn="0" w:lastRowLastColumn="0"/>
            <w:tcW w:w="756" w:type="dxa"/>
          </w:tcPr>
          <w:p w14:paraId="49A0B579" w14:textId="77777777" w:rsidR="00B4515B" w:rsidRPr="00355D96" w:rsidRDefault="00B4515B" w:rsidP="004C557B">
            <w:pPr>
              <w:pStyle w:val="TabeladesnoUMAR"/>
            </w:pPr>
            <w:r w:rsidRPr="00355D96">
              <w:t>46,6</w:t>
            </w:r>
          </w:p>
        </w:tc>
        <w:tc>
          <w:tcPr>
            <w:cnfStyle w:val="000001000000" w:firstRow="0" w:lastRow="0" w:firstColumn="0" w:lastColumn="0" w:oddVBand="0" w:evenVBand="1" w:oddHBand="0" w:evenHBand="0" w:firstRowFirstColumn="0" w:firstRowLastColumn="0" w:lastRowFirstColumn="0" w:lastRowLastColumn="0"/>
            <w:tcW w:w="756" w:type="dxa"/>
          </w:tcPr>
          <w:p w14:paraId="355EC809" w14:textId="77777777" w:rsidR="00B4515B" w:rsidRPr="00355D96" w:rsidRDefault="00B4515B" w:rsidP="004C557B">
            <w:pPr>
              <w:pStyle w:val="TabeladesnoUMAR"/>
            </w:pPr>
            <w:r w:rsidRPr="00355D96">
              <w:t>50,4</w:t>
            </w:r>
          </w:p>
        </w:tc>
        <w:tc>
          <w:tcPr>
            <w:cnfStyle w:val="000010000000" w:firstRow="0" w:lastRow="0" w:firstColumn="0" w:lastColumn="0" w:oddVBand="1" w:evenVBand="0" w:oddHBand="0" w:evenHBand="0" w:firstRowFirstColumn="0" w:firstRowLastColumn="0" w:lastRowFirstColumn="0" w:lastRowLastColumn="0"/>
            <w:tcW w:w="757" w:type="dxa"/>
          </w:tcPr>
          <w:p w14:paraId="102CDC63" w14:textId="77777777" w:rsidR="00B4515B" w:rsidRPr="00355D96" w:rsidRDefault="00B4515B" w:rsidP="004C557B">
            <w:pPr>
              <w:pStyle w:val="TabeladesnoUMAR"/>
            </w:pPr>
            <w:r w:rsidRPr="00355D96">
              <w:t>43,8</w:t>
            </w:r>
          </w:p>
        </w:tc>
        <w:tc>
          <w:tcPr>
            <w:cnfStyle w:val="000001000000" w:firstRow="0" w:lastRow="0" w:firstColumn="0" w:lastColumn="0" w:oddVBand="0" w:evenVBand="1" w:oddHBand="0" w:evenHBand="0" w:firstRowFirstColumn="0" w:firstRowLastColumn="0" w:lastRowFirstColumn="0" w:lastRowLastColumn="0"/>
            <w:tcW w:w="756" w:type="dxa"/>
          </w:tcPr>
          <w:p w14:paraId="240F70A6" w14:textId="77777777" w:rsidR="00B4515B" w:rsidRPr="00355D96" w:rsidRDefault="00B4515B" w:rsidP="004C557B">
            <w:pPr>
              <w:pStyle w:val="TabeladesnoUMAR"/>
            </w:pPr>
            <w:r w:rsidRPr="00355D96">
              <w:t>45,3</w:t>
            </w:r>
          </w:p>
        </w:tc>
        <w:tc>
          <w:tcPr>
            <w:cnfStyle w:val="000010000000" w:firstRow="0" w:lastRow="0" w:firstColumn="0" w:lastColumn="0" w:oddVBand="1" w:evenVBand="0" w:oddHBand="0" w:evenHBand="0" w:firstRowFirstColumn="0" w:firstRowLastColumn="0" w:lastRowFirstColumn="0" w:lastRowLastColumn="0"/>
            <w:tcW w:w="757" w:type="dxa"/>
          </w:tcPr>
          <w:p w14:paraId="7F6149FF" w14:textId="77777777" w:rsidR="00B4515B" w:rsidRPr="00355D96" w:rsidRDefault="00B4515B" w:rsidP="004C557B">
            <w:pPr>
              <w:pStyle w:val="TabeladesnoUMAR"/>
            </w:pPr>
            <w:r w:rsidRPr="00355D96">
              <w:t>45,1</w:t>
            </w:r>
          </w:p>
        </w:tc>
        <w:tc>
          <w:tcPr>
            <w:cnfStyle w:val="000001000000" w:firstRow="0" w:lastRow="0" w:firstColumn="0" w:lastColumn="0" w:oddVBand="0" w:evenVBand="1" w:oddHBand="0" w:evenHBand="0" w:firstRowFirstColumn="0" w:firstRowLastColumn="0" w:lastRowFirstColumn="0" w:lastRowLastColumn="0"/>
            <w:tcW w:w="756" w:type="dxa"/>
          </w:tcPr>
          <w:p w14:paraId="5260B698" w14:textId="77777777" w:rsidR="00B4515B" w:rsidRPr="00355D96" w:rsidRDefault="00B4515B" w:rsidP="004C557B">
            <w:pPr>
              <w:pStyle w:val="TabeladesnoUMAR"/>
            </w:pPr>
            <w:r w:rsidRPr="00355D96">
              <w:t>43,6</w:t>
            </w:r>
          </w:p>
        </w:tc>
        <w:tc>
          <w:tcPr>
            <w:cnfStyle w:val="000100000000" w:firstRow="0" w:lastRow="0" w:firstColumn="0" w:lastColumn="1" w:oddVBand="0" w:evenVBand="0" w:oddHBand="0" w:evenHBand="0" w:firstRowFirstColumn="0" w:firstRowLastColumn="0" w:lastRowFirstColumn="0" w:lastRowLastColumn="0"/>
            <w:tcW w:w="757" w:type="dxa"/>
          </w:tcPr>
          <w:p w14:paraId="6349C1E7" w14:textId="1E7CE389" w:rsidR="00B4515B" w:rsidRPr="00355D96" w:rsidRDefault="00995EE9" w:rsidP="004C557B">
            <w:pPr>
              <w:pStyle w:val="TabeladesnoUMAR"/>
            </w:pPr>
            <w:r>
              <w:t>40,8</w:t>
            </w:r>
          </w:p>
        </w:tc>
      </w:tr>
      <w:tr w:rsidR="00B4515B" w:rsidRPr="00355D96" w14:paraId="07EE9B89" w14:textId="77777777" w:rsidTr="00B4515B">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726E5A7E" w14:textId="77777777" w:rsidR="00B4515B" w:rsidRPr="00355D96" w:rsidRDefault="00B4515B" w:rsidP="004C557B">
            <w:pPr>
              <w:pStyle w:val="TabelalevoUMAR"/>
            </w:pPr>
            <w:r w:rsidRPr="00355D96">
              <w:t>Delež strojev in naprav ter druge opreme in naprav v dolgoročnih sredstvih (v %)</w:t>
            </w:r>
          </w:p>
        </w:tc>
        <w:tc>
          <w:tcPr>
            <w:cnfStyle w:val="000010000000" w:firstRow="0" w:lastRow="0" w:firstColumn="0" w:lastColumn="0" w:oddVBand="1" w:evenVBand="0" w:oddHBand="0" w:evenHBand="0" w:firstRowFirstColumn="0" w:firstRowLastColumn="0" w:lastRowFirstColumn="0" w:lastRowLastColumn="0"/>
            <w:tcW w:w="756" w:type="dxa"/>
          </w:tcPr>
          <w:p w14:paraId="0E92969A" w14:textId="77777777" w:rsidR="00B4515B" w:rsidRPr="00355D96" w:rsidRDefault="00B4515B" w:rsidP="004C557B">
            <w:pPr>
              <w:pStyle w:val="TabeladesnoUMAR"/>
            </w:pPr>
            <w:r w:rsidRPr="00355D96">
              <w:t>10,2</w:t>
            </w:r>
          </w:p>
        </w:tc>
        <w:tc>
          <w:tcPr>
            <w:cnfStyle w:val="000001000000" w:firstRow="0" w:lastRow="0" w:firstColumn="0" w:lastColumn="0" w:oddVBand="0" w:evenVBand="1" w:oddHBand="0" w:evenHBand="0" w:firstRowFirstColumn="0" w:firstRowLastColumn="0" w:lastRowFirstColumn="0" w:lastRowLastColumn="0"/>
            <w:tcW w:w="756" w:type="dxa"/>
          </w:tcPr>
          <w:p w14:paraId="28A84B1E" w14:textId="77777777" w:rsidR="00B4515B" w:rsidRPr="00355D96" w:rsidRDefault="00B4515B" w:rsidP="004C557B">
            <w:pPr>
              <w:pStyle w:val="TabeladesnoUMAR"/>
            </w:pPr>
            <w:r w:rsidRPr="00355D96">
              <w:t>9,3</w:t>
            </w:r>
          </w:p>
        </w:tc>
        <w:tc>
          <w:tcPr>
            <w:cnfStyle w:val="000010000000" w:firstRow="0" w:lastRow="0" w:firstColumn="0" w:lastColumn="0" w:oddVBand="1" w:evenVBand="0" w:oddHBand="0" w:evenHBand="0" w:firstRowFirstColumn="0" w:firstRowLastColumn="0" w:lastRowFirstColumn="0" w:lastRowLastColumn="0"/>
            <w:tcW w:w="757" w:type="dxa"/>
          </w:tcPr>
          <w:p w14:paraId="5B568813" w14:textId="77777777" w:rsidR="00B4515B" w:rsidRPr="00355D96" w:rsidRDefault="00B4515B" w:rsidP="004C557B">
            <w:pPr>
              <w:pStyle w:val="TabeladesnoUMAR"/>
            </w:pPr>
            <w:r w:rsidRPr="00355D96">
              <w:t>10,8</w:t>
            </w:r>
          </w:p>
        </w:tc>
        <w:tc>
          <w:tcPr>
            <w:cnfStyle w:val="000001000000" w:firstRow="0" w:lastRow="0" w:firstColumn="0" w:lastColumn="0" w:oddVBand="0" w:evenVBand="1" w:oddHBand="0" w:evenHBand="0" w:firstRowFirstColumn="0" w:firstRowLastColumn="0" w:lastRowFirstColumn="0" w:lastRowLastColumn="0"/>
            <w:tcW w:w="756" w:type="dxa"/>
          </w:tcPr>
          <w:p w14:paraId="21AF3A5D" w14:textId="77777777" w:rsidR="00B4515B" w:rsidRPr="00355D96" w:rsidRDefault="00B4515B" w:rsidP="004C557B">
            <w:pPr>
              <w:pStyle w:val="TabeladesnoUMAR"/>
            </w:pPr>
            <w:r w:rsidRPr="00355D96">
              <w:t>12,0</w:t>
            </w:r>
          </w:p>
        </w:tc>
        <w:tc>
          <w:tcPr>
            <w:cnfStyle w:val="000010000000" w:firstRow="0" w:lastRow="0" w:firstColumn="0" w:lastColumn="0" w:oddVBand="1" w:evenVBand="0" w:oddHBand="0" w:evenHBand="0" w:firstRowFirstColumn="0" w:firstRowLastColumn="0" w:lastRowFirstColumn="0" w:lastRowLastColumn="0"/>
            <w:tcW w:w="757" w:type="dxa"/>
          </w:tcPr>
          <w:p w14:paraId="5A5EC61E" w14:textId="77777777" w:rsidR="00B4515B" w:rsidRPr="00355D96" w:rsidRDefault="00B4515B" w:rsidP="004C557B">
            <w:pPr>
              <w:pStyle w:val="TabeladesnoUMAR"/>
            </w:pPr>
            <w:r w:rsidRPr="00355D96">
              <w:t>12,0</w:t>
            </w:r>
          </w:p>
        </w:tc>
        <w:tc>
          <w:tcPr>
            <w:cnfStyle w:val="000001000000" w:firstRow="0" w:lastRow="0" w:firstColumn="0" w:lastColumn="0" w:oddVBand="0" w:evenVBand="1" w:oddHBand="0" w:evenHBand="0" w:firstRowFirstColumn="0" w:firstRowLastColumn="0" w:lastRowFirstColumn="0" w:lastRowLastColumn="0"/>
            <w:tcW w:w="756" w:type="dxa"/>
          </w:tcPr>
          <w:p w14:paraId="00E35FEB" w14:textId="77777777" w:rsidR="00B4515B" w:rsidRPr="00355D96" w:rsidRDefault="00B4515B" w:rsidP="004C557B">
            <w:pPr>
              <w:pStyle w:val="TabeladesnoUMAR"/>
            </w:pPr>
            <w:r w:rsidRPr="00355D96">
              <w:t>11,7</w:t>
            </w:r>
          </w:p>
        </w:tc>
        <w:tc>
          <w:tcPr>
            <w:cnfStyle w:val="000100000000" w:firstRow="0" w:lastRow="0" w:firstColumn="0" w:lastColumn="1" w:oddVBand="0" w:evenVBand="0" w:oddHBand="0" w:evenHBand="0" w:firstRowFirstColumn="0" w:firstRowLastColumn="0" w:lastRowFirstColumn="0" w:lastRowLastColumn="0"/>
            <w:tcW w:w="757" w:type="dxa"/>
          </w:tcPr>
          <w:p w14:paraId="2DE366E1" w14:textId="1A6C557F" w:rsidR="00B4515B" w:rsidRPr="00355D96" w:rsidRDefault="00995EE9" w:rsidP="004C557B">
            <w:pPr>
              <w:pStyle w:val="TabeladesnoUMAR"/>
            </w:pPr>
            <w:r>
              <w:t>12,7</w:t>
            </w:r>
          </w:p>
        </w:tc>
      </w:tr>
    </w:tbl>
    <w:p w14:paraId="09CF2C49" w14:textId="1754E12B" w:rsidR="00355D96" w:rsidRDefault="002F0A04" w:rsidP="00355D96">
      <w:pPr>
        <w:pStyle w:val="VirUMAR"/>
        <w:rPr>
          <w:rStyle w:val="DZBesediloChar"/>
          <w:noProof/>
        </w:rPr>
      </w:pPr>
      <w:r w:rsidRPr="008F6BED">
        <w:t>Vir podatkov:</w:t>
      </w:r>
      <w:r w:rsidR="0096000C">
        <w:t xml:space="preserve"> </w:t>
      </w:r>
      <w:r w:rsidR="0096000C">
        <w:fldChar w:fldCharType="begin"/>
      </w:r>
      <w:r w:rsidR="00EE3C5C">
        <w:instrText xml:space="preserve"> ADDIN ZOTERO_ITEM CSL_CITATION {"citationID":"TGPjuin1","properties":{"formattedCitation":"(AJPES,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96000C">
        <w:fldChar w:fldCharType="separate"/>
      </w:r>
      <w:r w:rsidR="0096000C" w:rsidRPr="0096000C">
        <w:t>AJPES</w:t>
      </w:r>
      <w:r w:rsidR="0096000C">
        <w:t xml:space="preserve"> (</w:t>
      </w:r>
      <w:r w:rsidR="0096000C" w:rsidRPr="0096000C">
        <w:t>2023)</w:t>
      </w:r>
      <w:r w:rsidR="0096000C">
        <w:fldChar w:fldCharType="end"/>
      </w:r>
      <w:r w:rsidRPr="008F6BED">
        <w:t>, lastni izračuni.</w:t>
      </w:r>
      <w:r w:rsidR="00B4515B">
        <w:t xml:space="preserve"> </w:t>
      </w:r>
      <w:r w:rsidR="00355D96" w:rsidRPr="008137B9">
        <w:rPr>
          <w:rStyle w:val="DZBesediloChar"/>
          <w:noProof/>
        </w:rPr>
        <w:t xml:space="preserve">Opombe: </w:t>
      </w:r>
      <w:r w:rsidR="00355D96" w:rsidRPr="008137B9">
        <w:rPr>
          <w:rStyle w:val="DZBesediloChar"/>
          <w:noProof/>
          <w:vertAlign w:val="superscript"/>
        </w:rPr>
        <w:t>1</w:t>
      </w:r>
      <w:r w:rsidR="00355D96" w:rsidRPr="008137B9">
        <w:rPr>
          <w:rStyle w:val="DZBesediloChar"/>
          <w:noProof/>
        </w:rPr>
        <w:t xml:space="preserve"> Podatki o številu zaposlenih pomenijo povprečno število zaposlen</w:t>
      </w:r>
      <w:r w:rsidR="00BF1A34">
        <w:rPr>
          <w:rStyle w:val="DZBesediloChar"/>
          <w:noProof/>
        </w:rPr>
        <w:t>ih</w:t>
      </w:r>
      <w:r w:rsidR="00355D96" w:rsidRPr="008137B9">
        <w:rPr>
          <w:rStyle w:val="DZBesediloChar"/>
          <w:noProof/>
        </w:rPr>
        <w:t xml:space="preserve"> na podlagi delovnih ur v obračunskem obdobju in se zato razlikujejo od podatkov o številu zaposlenih, ki jih objavlja SURS. </w:t>
      </w:r>
      <w:r w:rsidR="00355D96" w:rsidRPr="008137B9">
        <w:rPr>
          <w:rStyle w:val="DZBesediloChar"/>
          <w:noProof/>
          <w:vertAlign w:val="superscript"/>
        </w:rPr>
        <w:t>2</w:t>
      </w:r>
      <w:r w:rsidR="00355D96" w:rsidRPr="008137B9">
        <w:rPr>
          <w:rStyle w:val="DZBesediloChar"/>
          <w:noProof/>
        </w:rPr>
        <w:t xml:space="preserve"> Razlika med čistim dobičkom in izgubo obračunskega obdobja.</w:t>
      </w:r>
    </w:p>
    <w:p w14:paraId="2E4EF9B3" w14:textId="26CE2205" w:rsidR="00116CEE" w:rsidRDefault="00116CEE" w:rsidP="00355D96">
      <w:pPr>
        <w:pStyle w:val="VirUMAR"/>
        <w:rPr>
          <w:rStyle w:val="DZBesediloChar"/>
          <w:noProof/>
        </w:rPr>
      </w:pPr>
    </w:p>
    <w:p w14:paraId="73DCDDF5" w14:textId="77777777" w:rsidR="00116CEE" w:rsidRPr="0096000C" w:rsidRDefault="00116CEE" w:rsidP="00116CEE">
      <w:pPr>
        <w:pStyle w:val="Napis"/>
      </w:pPr>
      <w:r w:rsidRPr="00355D96">
        <w:lastRenderedPageBreak/>
        <w:t xml:space="preserve">Slika </w:t>
      </w:r>
      <w:r w:rsidRPr="00355D96">
        <w:fldChar w:fldCharType="begin"/>
      </w:r>
      <w:r w:rsidRPr="00355D96">
        <w:instrText xml:space="preserve"> SEQ Slika \* ARABIC </w:instrText>
      </w:r>
      <w:r w:rsidRPr="00355D96">
        <w:fldChar w:fldCharType="separate"/>
      </w:r>
      <w:r w:rsidRPr="00355D96">
        <w:t>2</w:t>
      </w:r>
      <w:r w:rsidRPr="00355D96">
        <w:fldChar w:fldCharType="end"/>
      </w:r>
      <w:r w:rsidRPr="00355D96">
        <w:rPr>
          <w:rStyle w:val="DZBesediloChar"/>
          <w:szCs w:val="20"/>
        </w:rPr>
        <w:t xml:space="preserve">: Rast </w:t>
      </w:r>
      <w:r>
        <w:rPr>
          <w:rStyle w:val="DZBesediloChar"/>
          <w:szCs w:val="20"/>
        </w:rPr>
        <w:t xml:space="preserve">stroškov dela na zaposlenega povprečne trgovske družbe je v letu 2022 presegla rast </w:t>
      </w:r>
      <w:r w:rsidRPr="00355D96">
        <w:rPr>
          <w:rStyle w:val="DZBesediloChar"/>
          <w:szCs w:val="20"/>
        </w:rPr>
        <w:t xml:space="preserve">dodane vrednosti na zaposlenega </w:t>
      </w:r>
    </w:p>
    <w:p w14:paraId="7B3BF557" w14:textId="000EA1F6" w:rsidR="00116CEE" w:rsidRPr="00C03361" w:rsidRDefault="0056590E" w:rsidP="00116CEE">
      <w:pPr>
        <w:pStyle w:val="BesediloUMAR"/>
      </w:pPr>
      <w:r w:rsidRPr="0056590E">
        <w:rPr>
          <w:noProof/>
        </w:rPr>
        <w:drawing>
          <wp:inline distT="0" distB="0" distL="0" distR="0" wp14:anchorId="2EC694A1" wp14:editId="6CDB1DE8">
            <wp:extent cx="5759450" cy="20968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096865"/>
                    </a:xfrm>
                    <a:prstGeom prst="rect">
                      <a:avLst/>
                    </a:prstGeom>
                    <a:noFill/>
                    <a:ln>
                      <a:noFill/>
                    </a:ln>
                  </pic:spPr>
                </pic:pic>
              </a:graphicData>
            </a:graphic>
          </wp:inline>
        </w:drawing>
      </w:r>
    </w:p>
    <w:p w14:paraId="4CFBD310" w14:textId="463FF5D4" w:rsidR="00116CEE" w:rsidRDefault="00116CEE" w:rsidP="00116CEE">
      <w:pPr>
        <w:pStyle w:val="VirUMAR"/>
        <w:rPr>
          <w:rStyle w:val="DZBesediloChar"/>
          <w:noProof/>
        </w:rPr>
      </w:pPr>
      <w:r w:rsidRPr="008F6BED">
        <w:t>Vir podatkov:</w:t>
      </w:r>
      <w:r>
        <w:t xml:space="preserve"> </w:t>
      </w:r>
      <w:r>
        <w:fldChar w:fldCharType="begin"/>
      </w:r>
      <w:r>
        <w:instrText xml:space="preserve"> ADDIN ZOTERO_ITEM CSL_CITATION {"citationID":"5olJDHaN","properties":{"formattedCitation":"(AJPES,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fldChar w:fldCharType="separate"/>
      </w:r>
      <w:r w:rsidRPr="0096000C">
        <w:t xml:space="preserve">AJPES </w:t>
      </w:r>
      <w:r>
        <w:t>(</w:t>
      </w:r>
      <w:r w:rsidRPr="0096000C">
        <w:t>2023)</w:t>
      </w:r>
      <w:r>
        <w:fldChar w:fldCharType="end"/>
      </w:r>
      <w:r w:rsidRPr="008F6BED">
        <w:t>, lastni izračuni.</w:t>
      </w:r>
    </w:p>
    <w:p w14:paraId="771DCF28" w14:textId="4DA12D3D" w:rsidR="00272502" w:rsidRDefault="00272502" w:rsidP="00355D96">
      <w:pPr>
        <w:pStyle w:val="VirUMAR"/>
      </w:pPr>
    </w:p>
    <w:p w14:paraId="7B59817D" w14:textId="3F9E83CC" w:rsidR="00272502" w:rsidRDefault="00272502" w:rsidP="00272502">
      <w:pPr>
        <w:pStyle w:val="BesediloUMAR"/>
      </w:pPr>
      <w:r w:rsidRPr="0096000C">
        <w:rPr>
          <w:rStyle w:val="VodilnistavekUMAR"/>
        </w:rPr>
        <w:t>Dodana</w:t>
      </w:r>
      <w:r w:rsidRPr="00C03361">
        <w:rPr>
          <w:rStyle w:val="VodilnistavekUMAR"/>
        </w:rPr>
        <w:t xml:space="preserve"> vrednost in produktivnost </w:t>
      </w:r>
      <w:r>
        <w:rPr>
          <w:rStyle w:val="VodilnistavekUMAR"/>
        </w:rPr>
        <w:t xml:space="preserve">se je </w:t>
      </w:r>
      <w:r w:rsidRPr="00C03361">
        <w:rPr>
          <w:rStyle w:val="VodilnistavekUMAR"/>
        </w:rPr>
        <w:t>v letu 202</w:t>
      </w:r>
      <w:r>
        <w:rPr>
          <w:rStyle w:val="VodilnistavekUMAR"/>
        </w:rPr>
        <w:t>2</w:t>
      </w:r>
      <w:r w:rsidRPr="00C03361">
        <w:rPr>
          <w:rStyle w:val="VodilnistavekUMAR"/>
        </w:rPr>
        <w:t xml:space="preserve"> </w:t>
      </w:r>
      <w:r>
        <w:rPr>
          <w:rStyle w:val="VodilnistavekUMAR"/>
        </w:rPr>
        <w:t xml:space="preserve">povečala v </w:t>
      </w:r>
      <w:r w:rsidRPr="00C03361">
        <w:rPr>
          <w:rStyle w:val="VodilnistavekUMAR"/>
        </w:rPr>
        <w:t>družb</w:t>
      </w:r>
      <w:r>
        <w:rPr>
          <w:rStyle w:val="VodilnistavekUMAR"/>
        </w:rPr>
        <w:t>ah</w:t>
      </w:r>
      <w:r w:rsidRPr="00C03361">
        <w:rPr>
          <w:rStyle w:val="VodilnistavekUMAR"/>
        </w:rPr>
        <w:t xml:space="preserve"> </w:t>
      </w:r>
      <w:r>
        <w:rPr>
          <w:rStyle w:val="VodilnistavekUMAR"/>
        </w:rPr>
        <w:t>trgovine z motornimi vozili in v družbah trgovine na debelo, zmanjšala pa v družbah trgovine na drobno</w:t>
      </w:r>
      <w:r w:rsidRPr="00C03361">
        <w:rPr>
          <w:rStyle w:val="VodilnistavekUMAR"/>
        </w:rPr>
        <w:t>.</w:t>
      </w:r>
      <w:r w:rsidRPr="00C03361">
        <w:t xml:space="preserve"> </w:t>
      </w:r>
      <w:r w:rsidRPr="006E3CFB">
        <w:t>Po visoki rasti v letu 2021 so</w:t>
      </w:r>
      <w:r>
        <w:t xml:space="preserve"> r</w:t>
      </w:r>
      <w:r w:rsidRPr="00C03361">
        <w:t>ast dodane vrednosti (</w:t>
      </w:r>
      <w:r>
        <w:t>8,2</w:t>
      </w:r>
      <w:r w:rsidRPr="00C03361">
        <w:t> %) dosegle družbe, ki se ukvarjajo s posredništvom in trgovino na debelo, razen z motornimi vozili, ki so edine izmed treh oddelkov tudi v letu 2020 poslovale z rastjo</w:t>
      </w:r>
      <w:r w:rsidRPr="00BC5EEC">
        <w:rPr>
          <w:bCs/>
        </w:rPr>
        <w:t>.</w:t>
      </w:r>
      <w:r w:rsidRPr="00C03361">
        <w:t xml:space="preserve"> Še višjo rast so dosegle družbe trgovine z motornimi vozili in njihovimi popravili (</w:t>
      </w:r>
      <w:r>
        <w:t>19,5</w:t>
      </w:r>
      <w:r w:rsidRPr="00C03361">
        <w:t> %)</w:t>
      </w:r>
      <w:r>
        <w:t>, katerih poslovanje se je močno izboljšalo že leta 2021. Po tem ko</w:t>
      </w:r>
      <w:r w:rsidRPr="00C03361">
        <w:t xml:space="preserve"> je bilo v letu 2020 pod vplivom omejitvenih ukrepov poslovanja ob razglašeni epidemiji </w:t>
      </w:r>
      <w:r>
        <w:t xml:space="preserve">poslovanje </w:t>
      </w:r>
      <w:r w:rsidRPr="00C03361">
        <w:t>slabše kot v letu 2019</w:t>
      </w:r>
      <w:r>
        <w:t xml:space="preserve">, so družbe </w:t>
      </w:r>
      <w:r w:rsidRPr="00C03361">
        <w:t xml:space="preserve">oddelka trgovine na drobno, razen z motornimi vozili </w:t>
      </w:r>
      <w:r>
        <w:t>svoje poslovanje v letu 2021 močno izboljšale, leta 2022 pa poslabšale. Leta 2022 se je dodana vrednost omenjenih družb zmanjšala za 5,</w:t>
      </w:r>
      <w:r w:rsidRPr="00554C4D">
        <w:t>9 %. Ob</w:t>
      </w:r>
      <w:r w:rsidRPr="00C03361">
        <w:t xml:space="preserve"> takšnih gibanjih so družbe v trgovini na debelo</w:t>
      </w:r>
      <w:r w:rsidRPr="00DC5966">
        <w:t xml:space="preserve"> </w:t>
      </w:r>
      <w:r>
        <w:t>svoj delež v dodani vrednosti in zaposlenosti celotne trgovske dejavnosti</w:t>
      </w:r>
      <w:r w:rsidRPr="00C03361">
        <w:t xml:space="preserve"> </w:t>
      </w:r>
      <w:r>
        <w:t>povečale, družbe v trgovini na drobno pa zmanjšale.</w:t>
      </w:r>
      <w:r w:rsidRPr="00C03361">
        <w:t xml:space="preserve"> Ob rasti števila zaposlenih se je produktivnost dela </w:t>
      </w:r>
      <w:r>
        <w:t>v dejavnosti le malenkostno povečala (1,5 %), pri čemer se je produktivnost v družbah trgovine na drobno, razen z motornimi vozili zmanjšala za 6,6 %.</w:t>
      </w:r>
    </w:p>
    <w:p w14:paraId="3099D3FC" w14:textId="77777777" w:rsidR="00272502" w:rsidRDefault="00272502" w:rsidP="00272502">
      <w:pPr>
        <w:pStyle w:val="Napis"/>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Pr="00355D96">
        <w:t>3</w:t>
      </w:r>
      <w:r w:rsidRPr="00355D96">
        <w:fldChar w:fldCharType="end"/>
      </w:r>
      <w:r w:rsidRPr="00355D96">
        <w:rPr>
          <w:rStyle w:val="DZBesediloChar"/>
          <w:szCs w:val="20"/>
        </w:rPr>
        <w:t>:</w:t>
      </w:r>
      <w:r w:rsidRPr="00355D96">
        <w:t xml:space="preserve"> Leta 202</w:t>
      </w:r>
      <w:r>
        <w:t>2</w:t>
      </w:r>
      <w:r w:rsidRPr="00355D96">
        <w:t xml:space="preserve"> so svoje poslovanje močno </w:t>
      </w:r>
      <w:r>
        <w:t>poslabšale</w:t>
      </w:r>
      <w:r w:rsidRPr="00355D96">
        <w:t xml:space="preserve"> </w:t>
      </w:r>
      <w:r>
        <w:t xml:space="preserve">le </w:t>
      </w:r>
      <w:r w:rsidRPr="00355D96">
        <w:t xml:space="preserve">družbe </w:t>
      </w:r>
      <w:r>
        <w:t>trgovine na drobno</w:t>
      </w:r>
      <w:r w:rsidRPr="00355D96">
        <w:rPr>
          <w:rStyle w:val="DZBesediloChar"/>
          <w:szCs w:val="20"/>
        </w:rPr>
        <w:t xml:space="preserve"> </w:t>
      </w:r>
    </w:p>
    <w:p w14:paraId="186628AA" w14:textId="1159CAFE" w:rsidR="00272502" w:rsidRPr="00355D96" w:rsidRDefault="0056590E" w:rsidP="00272502">
      <w:pPr>
        <w:pStyle w:val="BesediloUMAR"/>
      </w:pPr>
      <w:r w:rsidRPr="0056590E">
        <w:rPr>
          <w:noProof/>
        </w:rPr>
        <w:drawing>
          <wp:inline distT="0" distB="0" distL="0" distR="0" wp14:anchorId="1F50392F" wp14:editId="35939D96">
            <wp:extent cx="5759450" cy="20968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096865"/>
                    </a:xfrm>
                    <a:prstGeom prst="rect">
                      <a:avLst/>
                    </a:prstGeom>
                    <a:noFill/>
                    <a:ln>
                      <a:noFill/>
                    </a:ln>
                  </pic:spPr>
                </pic:pic>
              </a:graphicData>
            </a:graphic>
          </wp:inline>
        </w:drawing>
      </w:r>
    </w:p>
    <w:p w14:paraId="5888E9DA" w14:textId="34F8770E" w:rsidR="00272502" w:rsidRPr="00355D96" w:rsidRDefault="00272502" w:rsidP="00967352">
      <w:pPr>
        <w:pStyle w:val="VirUMAR"/>
      </w:pPr>
      <w:r w:rsidRPr="008F6BED">
        <w:t xml:space="preserve">Vir podatkov: </w:t>
      </w:r>
      <w:bookmarkStart w:id="10" w:name="_Hlk138249086"/>
      <w:r>
        <w:fldChar w:fldCharType="begin"/>
      </w:r>
      <w:r>
        <w:instrText xml:space="preserve"> ADDIN ZOTERO_ITEM CSL_CITATION {"citationID":"hitdmYMC","properties":{"formattedCitation":"(AJPES,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fldChar w:fldCharType="separate"/>
      </w:r>
      <w:r w:rsidRPr="00F379D2">
        <w:t xml:space="preserve">AJPES </w:t>
      </w:r>
      <w:r>
        <w:t>(</w:t>
      </w:r>
      <w:r w:rsidRPr="00F379D2">
        <w:t>2023)</w:t>
      </w:r>
      <w:r>
        <w:fldChar w:fldCharType="end"/>
      </w:r>
      <w:bookmarkEnd w:id="10"/>
      <w:r w:rsidRPr="008F6BED">
        <w:t>, lastni izračuni.</w:t>
      </w:r>
    </w:p>
    <w:p w14:paraId="6BE29055" w14:textId="2D4ADAC3" w:rsidR="00355D96" w:rsidRDefault="00355D96" w:rsidP="00C03361">
      <w:pPr>
        <w:pStyle w:val="BesediloUMAR"/>
        <w:rPr>
          <w:sz w:val="16"/>
        </w:rPr>
      </w:pPr>
    </w:p>
    <w:p w14:paraId="2BB72B94" w14:textId="2D0FA435" w:rsidR="00116CEE" w:rsidRDefault="00116CEE" w:rsidP="00C03361">
      <w:pPr>
        <w:pStyle w:val="BesediloUMAR"/>
        <w:rPr>
          <w:sz w:val="16"/>
        </w:rPr>
      </w:pPr>
    </w:p>
    <w:p w14:paraId="4C1B5E1E" w14:textId="50F68F12" w:rsidR="00116CEE" w:rsidRDefault="00116CEE" w:rsidP="00C03361">
      <w:pPr>
        <w:pStyle w:val="BesediloUMAR"/>
        <w:rPr>
          <w:sz w:val="16"/>
        </w:rPr>
      </w:pPr>
    </w:p>
    <w:p w14:paraId="1DDB8E24" w14:textId="7B1153BD" w:rsidR="00116CEE" w:rsidRDefault="00116CEE" w:rsidP="00C03361">
      <w:pPr>
        <w:pStyle w:val="BesediloUMAR"/>
        <w:rPr>
          <w:sz w:val="16"/>
        </w:rPr>
      </w:pPr>
    </w:p>
    <w:p w14:paraId="62C6681A" w14:textId="6F4FD8CA" w:rsidR="0056590E" w:rsidRDefault="0056590E" w:rsidP="00C03361">
      <w:pPr>
        <w:pStyle w:val="BesediloUMAR"/>
        <w:rPr>
          <w:sz w:val="16"/>
        </w:rPr>
      </w:pPr>
    </w:p>
    <w:p w14:paraId="653CB4D1" w14:textId="77777777" w:rsidR="0056590E" w:rsidRDefault="0056590E" w:rsidP="00C03361">
      <w:pPr>
        <w:pStyle w:val="BesediloUMAR"/>
        <w:rPr>
          <w:sz w:val="16"/>
        </w:rPr>
      </w:pPr>
    </w:p>
    <w:p w14:paraId="1EC4A97F" w14:textId="77777777" w:rsidR="00116CEE" w:rsidRDefault="00116CEE" w:rsidP="00C03361">
      <w:pPr>
        <w:pStyle w:val="BesediloUMAR"/>
        <w:rPr>
          <w:sz w:val="16"/>
        </w:rPr>
      </w:pPr>
    </w:p>
    <w:tbl>
      <w:tblPr>
        <w:tblStyle w:val="UMARokvir1"/>
        <w:tblW w:w="0" w:type="auto"/>
        <w:tblLook w:val="04A0" w:firstRow="1" w:lastRow="0" w:firstColumn="1" w:lastColumn="0" w:noHBand="0" w:noVBand="1"/>
      </w:tblPr>
      <w:tblGrid>
        <w:gridCol w:w="9060"/>
      </w:tblGrid>
      <w:tr w:rsidR="003A4800" w:rsidRPr="008D75F2" w14:paraId="7234B08C" w14:textId="77777777" w:rsidTr="003A4800">
        <w:tc>
          <w:tcPr>
            <w:tcW w:w="9060" w:type="dxa"/>
          </w:tcPr>
          <w:p w14:paraId="2E121D90" w14:textId="77777777" w:rsidR="003A4800" w:rsidRPr="003A4800" w:rsidRDefault="003A4800" w:rsidP="003A4800">
            <w:pPr>
              <w:pStyle w:val="BesediloUMAR"/>
              <w:rPr>
                <w:b/>
                <w:noProof/>
              </w:rPr>
            </w:pPr>
            <w:r w:rsidRPr="003A4800">
              <w:rPr>
                <w:b/>
                <w:noProof/>
              </w:rPr>
              <w:t xml:space="preserve">Okvir </w:t>
            </w:r>
            <w:r w:rsidRPr="003A4800">
              <w:rPr>
                <w:b/>
                <w:noProof/>
              </w:rPr>
              <w:fldChar w:fldCharType="begin"/>
            </w:r>
            <w:r w:rsidRPr="003A4800">
              <w:rPr>
                <w:b/>
                <w:noProof/>
              </w:rPr>
              <w:instrText xml:space="preserve"> SEQ Okvir \* ARABIC </w:instrText>
            </w:r>
            <w:r w:rsidRPr="003A4800">
              <w:rPr>
                <w:b/>
                <w:noProof/>
              </w:rPr>
              <w:fldChar w:fldCharType="separate"/>
            </w:r>
            <w:r w:rsidRPr="003A4800">
              <w:rPr>
                <w:b/>
                <w:noProof/>
              </w:rPr>
              <w:t>1</w:t>
            </w:r>
            <w:r w:rsidRPr="003A4800">
              <w:rPr>
                <w:b/>
                <w:noProof/>
              </w:rPr>
              <w:fldChar w:fldCharType="end"/>
            </w:r>
            <w:r w:rsidRPr="003A4800">
              <w:rPr>
                <w:b/>
                <w:noProof/>
              </w:rPr>
              <w:t>: Ukrepi vlade za ohranjanje delovnih mest</w:t>
            </w:r>
          </w:p>
          <w:p w14:paraId="0804F3B5" w14:textId="77777777" w:rsidR="003A4800" w:rsidRDefault="003A4800" w:rsidP="003A4800">
            <w:pPr>
              <w:pStyle w:val="BesediloUMAR"/>
              <w:rPr>
                <w:noProof/>
              </w:rPr>
            </w:pPr>
          </w:p>
          <w:p w14:paraId="41062ACA" w14:textId="7385F7C4" w:rsidR="003A4800" w:rsidRDefault="003A4800" w:rsidP="003A4800">
            <w:pPr>
              <w:pStyle w:val="BesediloUMAR"/>
            </w:pPr>
            <w:r w:rsidRPr="003A4800">
              <w:rPr>
                <w:b/>
              </w:rPr>
              <w:t>Vlada je od prve razglasitve epidemije sprejela vrsto ukrepov za ohranitev delovnih mest.</w:t>
            </w:r>
            <w:r w:rsidRPr="003C6DCB">
              <w:t xml:space="preserve"> Namen ukrepov je bil z</w:t>
            </w:r>
            <w:r w:rsidR="00BC66B6">
              <w:t>manjšanje</w:t>
            </w:r>
            <w:r w:rsidRPr="003C6DCB">
              <w:t xml:space="preserve"> stroškov </w:t>
            </w:r>
            <w:r w:rsidRPr="001C6951">
              <w:t>dela, s čimer</w:t>
            </w:r>
            <w:r w:rsidRPr="00737926">
              <w:t xml:space="preserve"> bi</w:t>
            </w:r>
            <w:r w:rsidRPr="003C6DCB">
              <w:t xml:space="preserve"> se povečale možnosti ohranitve delovnih mest in zaposlenih do obdobja, ko bi se znova okrepila gospodarska aktivnost. Eden izmed pomembnejših ukrepov je bil ukrep povračil</w:t>
            </w:r>
            <w:r>
              <w:t>a</w:t>
            </w:r>
            <w:r w:rsidRPr="003C6DCB">
              <w:t xml:space="preserve"> nadomestila plače za zaposlene na čakanju na delo, ki je med drugim določil pravico do delnega povračila izplačanih nadomestil plače delavcem, ki jim delodajalec zaradi epidemije ni mogel zagotavljati dela in jih je napotil na začasno čakanje na delo</w:t>
            </w:r>
            <w:r w:rsidRPr="003C6DCB">
              <w:rPr>
                <w:sz w:val="18"/>
                <w:vertAlign w:val="superscript"/>
              </w:rPr>
              <w:footnoteReference w:id="6"/>
            </w:r>
            <w:r w:rsidRPr="003C6DCB">
              <w:t xml:space="preserve">. </w:t>
            </w:r>
            <w:r w:rsidRPr="00934CF5">
              <w:t>Sredi leta 2020 je bil sprejet tudi ukrep delnega subvencioniranja skrajšanja polnega delovnega časa</w:t>
            </w:r>
            <w:r>
              <w:t xml:space="preserve">, ki je </w:t>
            </w:r>
            <w:r w:rsidRPr="00934CF5">
              <w:t>omogočal, da delodajalec delavcem začasno odredi delo s skrajšanim delovnim časom (za največ polovični delovni čas), za preostali del časa pa je bil delavec napoten na začasno čakanje na delo</w:t>
            </w:r>
            <w:r>
              <w:rPr>
                <w:rStyle w:val="Sprotnaopomba-sklic"/>
              </w:rPr>
              <w:footnoteReference w:id="7"/>
            </w:r>
            <w:r w:rsidRPr="00934CF5">
              <w:t xml:space="preserve">. </w:t>
            </w:r>
            <w:r w:rsidRPr="003C6DCB">
              <w:t xml:space="preserve">V okviru ukrepov za ohranjanje delovnih mest so bili sprejeti tudi </w:t>
            </w:r>
            <w:r>
              <w:t xml:space="preserve">številni </w:t>
            </w:r>
            <w:r w:rsidRPr="003C6DCB">
              <w:t>drugi ukrepi</w:t>
            </w:r>
            <w:r>
              <w:rPr>
                <w:rStyle w:val="Sprotnaopomba-sklic"/>
              </w:rPr>
              <w:footnoteReference w:id="8"/>
            </w:r>
            <w:r w:rsidRPr="003C6DCB">
              <w:t>.</w:t>
            </w:r>
            <w:r w:rsidRPr="00032D50">
              <w:t xml:space="preserve"> </w:t>
            </w:r>
            <w:r w:rsidRPr="003C6DCB">
              <w:t xml:space="preserve">Zaradi </w:t>
            </w:r>
            <w:r>
              <w:t xml:space="preserve">obsežnih </w:t>
            </w:r>
            <w:r w:rsidRPr="00E937C6">
              <w:t>omejitev pri poslovanju je bil</w:t>
            </w:r>
            <w:r w:rsidRPr="003C6DCB">
              <w:t xml:space="preserve"> v ukrepe vključen </w:t>
            </w:r>
            <w:r>
              <w:t xml:space="preserve">tudi </w:t>
            </w:r>
            <w:r w:rsidRPr="003C6DCB">
              <w:t xml:space="preserve">velik delež zaposlenih in podjetij iz </w:t>
            </w:r>
            <w:r>
              <w:t>trgovine (dejavnost G)</w:t>
            </w:r>
            <w:r w:rsidRPr="003C6DCB">
              <w:t xml:space="preserve">. </w:t>
            </w:r>
            <w:r>
              <w:t>Skoraj polovica</w:t>
            </w:r>
            <w:r w:rsidRPr="003C6DCB">
              <w:t xml:space="preserve"> </w:t>
            </w:r>
            <w:r>
              <w:t>(47</w:t>
            </w:r>
            <w:r w:rsidRPr="003C6DCB">
              <w:t> %</w:t>
            </w:r>
            <w:r>
              <w:t>)</w:t>
            </w:r>
            <w:r w:rsidRPr="003C6DCB">
              <w:t xml:space="preserve"> vseh podjetij v </w:t>
            </w:r>
            <w:r>
              <w:t>trgovini</w:t>
            </w:r>
            <w:r w:rsidRPr="003C6DCB">
              <w:t xml:space="preserve"> je v obdobju veljavnosti ukrepa vsaj enkrat koristil</w:t>
            </w:r>
            <w:r w:rsidR="00674240">
              <w:t>a</w:t>
            </w:r>
            <w:r w:rsidRPr="003C6DCB">
              <w:t xml:space="preserve"> ukrep čakanje na delo</w:t>
            </w:r>
            <w:r w:rsidRPr="003C6DCB">
              <w:rPr>
                <w:sz w:val="18"/>
                <w:vertAlign w:val="superscript"/>
              </w:rPr>
              <w:footnoteReference w:id="9"/>
            </w:r>
            <w:r w:rsidRPr="003C6DCB">
              <w:t xml:space="preserve">. </w:t>
            </w:r>
          </w:p>
          <w:p w14:paraId="24A45E87" w14:textId="5011C36C" w:rsidR="003A4800" w:rsidRPr="003A4800" w:rsidRDefault="003A4800" w:rsidP="003A4800">
            <w:pPr>
              <w:pStyle w:val="Napis"/>
              <w:rPr>
                <w:rStyle w:val="DZBesediloChar"/>
                <w:szCs w:val="20"/>
              </w:rPr>
            </w:pPr>
            <w:r w:rsidRPr="003A4800">
              <w:t xml:space="preserve">Slika </w:t>
            </w:r>
            <w:r w:rsidRPr="003A4800">
              <w:fldChar w:fldCharType="begin"/>
            </w:r>
            <w:r w:rsidRPr="003A4800">
              <w:instrText xml:space="preserve"> SEQ Slika \* ARABIC </w:instrText>
            </w:r>
            <w:r w:rsidRPr="003A4800">
              <w:fldChar w:fldCharType="separate"/>
            </w:r>
            <w:r w:rsidR="00116CEE">
              <w:t>4</w:t>
            </w:r>
            <w:r w:rsidRPr="003A4800">
              <w:fldChar w:fldCharType="end"/>
            </w:r>
            <w:r w:rsidRPr="003A4800">
              <w:rPr>
                <w:rStyle w:val="DZBesediloChar"/>
                <w:szCs w:val="20"/>
              </w:rPr>
              <w:t xml:space="preserve">: </w:t>
            </w:r>
            <w:r>
              <w:rPr>
                <w:rStyle w:val="DZBesediloChar"/>
                <w:szCs w:val="20"/>
              </w:rPr>
              <w:t>Skoraj polovica podjetij v trgovini je</w:t>
            </w:r>
            <w:r w:rsidRPr="003A4800">
              <w:t xml:space="preserve"> koristila ukrep čakanje na delo </w:t>
            </w:r>
          </w:p>
          <w:p w14:paraId="50CB1E09" w14:textId="7132960F" w:rsidR="003A4800" w:rsidRDefault="0056590E" w:rsidP="003A4800">
            <w:pPr>
              <w:spacing w:after="0" w:line="288" w:lineRule="auto"/>
              <w:jc w:val="both"/>
              <w:rPr>
                <w:rFonts w:ascii="Myriad Pro" w:hAnsi="Myriad Pro"/>
                <w:sz w:val="20"/>
              </w:rPr>
            </w:pPr>
            <w:r w:rsidRPr="0056590E">
              <w:rPr>
                <w:rFonts w:ascii="Myriad Pro" w:hAnsi="Myriad Pro"/>
                <w:noProof/>
                <w:sz w:val="20"/>
              </w:rPr>
              <w:drawing>
                <wp:inline distT="0" distB="0" distL="0" distR="0" wp14:anchorId="32D25A98" wp14:editId="5C9F9561">
                  <wp:extent cx="5759450" cy="2876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876550"/>
                          </a:xfrm>
                          <a:prstGeom prst="rect">
                            <a:avLst/>
                          </a:prstGeom>
                          <a:noFill/>
                          <a:ln>
                            <a:noFill/>
                          </a:ln>
                        </pic:spPr>
                      </pic:pic>
                    </a:graphicData>
                  </a:graphic>
                </wp:inline>
              </w:drawing>
            </w:r>
          </w:p>
          <w:p w14:paraId="1B4C1391" w14:textId="77777777" w:rsidR="003A4800" w:rsidRDefault="003A4800" w:rsidP="003A4800">
            <w:pPr>
              <w:pStyle w:val="VirUMAR"/>
            </w:pPr>
            <w:r w:rsidRPr="008F6BED">
              <w:t xml:space="preserve">Vir podatkov: </w:t>
            </w:r>
            <w:r>
              <w:fldChar w:fldCharType="begin"/>
            </w:r>
            <w:r>
              <w:instrText xml:space="preserve"> ADDIN ZOTERO_ITEM CSL_CITATION {"citationID":"2l3OSAnK","properties":{"formattedCitation":"(ZRSZ, 2021)","plainCitation":"(ZRSZ, 2021)","dontUpdate":true,"noteIndex":0},"citationItems":[{"id":1813,"uris":["http://zotero.org/users/8372339/items/DV3DZSL2"],"uri":["http://zotero.org/users/8372339/items/DV3DZSL2"],"itemData":{"id":1813,"type":"report","event-place":"Ljubljana","genre":"Interni podatki","publisher":"Zavod RS za zaposlovanje","publisher-place":"Ljubljana","title":"Delodajalci vključeni v interventne ukrepe","author":[{"family":"ZRSZ","given":""}],"issued":{"date-parts":[["2021"]]}}}],"schema":"https://github.com/citation-style-language/schema/raw/master/csl-citation.json"} </w:instrText>
            </w:r>
            <w:r>
              <w:fldChar w:fldCharType="separate"/>
            </w:r>
            <w:r w:rsidRPr="00231C02">
              <w:t>ZRSZ</w:t>
            </w:r>
            <w:r>
              <w:t xml:space="preserve"> (</w:t>
            </w:r>
            <w:r w:rsidRPr="00231C02">
              <w:t>2021)</w:t>
            </w:r>
            <w:r>
              <w:fldChar w:fldCharType="end"/>
            </w:r>
            <w:r>
              <w:t>.</w:t>
            </w:r>
          </w:p>
          <w:p w14:paraId="5097626A" w14:textId="77777777" w:rsidR="003A4800" w:rsidRDefault="003A4800" w:rsidP="003A4800">
            <w:pPr>
              <w:pStyle w:val="VirUMAR"/>
            </w:pPr>
          </w:p>
          <w:p w14:paraId="5AA753F3" w14:textId="61B40138" w:rsidR="003A4800" w:rsidRDefault="003A4800" w:rsidP="003A4800">
            <w:pPr>
              <w:pStyle w:val="BesediloUMAR"/>
            </w:pPr>
            <w:r w:rsidRPr="003A4800">
              <w:rPr>
                <w:b/>
              </w:rPr>
              <w:t>Gibanje obsega izplačil čakanja na delo in skrajšanega delovnega časa je bilo močno povezano z razvojem epidemije oziroma njenim negativnim učinkom na posamezne dejavnosti.</w:t>
            </w:r>
            <w:r w:rsidRPr="003C6DCB">
              <w:t xml:space="preserve"> </w:t>
            </w:r>
            <w:r w:rsidRPr="00D0780C">
              <w:t xml:space="preserve">Prvi val epidemije je skupaj z zajezitvenimi ukrepi močno prizadel storitvene dejavnosti in industrijo. Po okrevanju </w:t>
            </w:r>
            <w:r w:rsidRPr="00D0780C">
              <w:lastRenderedPageBreak/>
              <w:t>v tretjem četrtletju je bil negativni učinek drugega vala na gospodarsko aktivnost manjši, prizadete pa so bile predvsem storitvene dejavnosti</w:t>
            </w:r>
            <w:r>
              <w:t>, med njimi močneje gostinstvo, pa tudi trgovina</w:t>
            </w:r>
            <w:r w:rsidRPr="00D0780C">
              <w:t>. Skladno s tem se je gibala tudi višina zneskov, izplačanih v okviru interventnih ukrepov čakanja na delo in skrajšanega polnega delovnega časa.</w:t>
            </w:r>
            <w:r w:rsidRPr="00032D50">
              <w:t xml:space="preserve"> </w:t>
            </w:r>
          </w:p>
          <w:p w14:paraId="604C6A24" w14:textId="4DDEC3CA" w:rsidR="003A4800" w:rsidRPr="00355D96" w:rsidRDefault="003A4800" w:rsidP="003A4800">
            <w:pPr>
              <w:pStyle w:val="Napis"/>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00116CEE">
              <w:t>5</w:t>
            </w:r>
            <w:r w:rsidRPr="00355D96">
              <w:fldChar w:fldCharType="end"/>
            </w:r>
            <w:r w:rsidRPr="00355D96">
              <w:rPr>
                <w:rStyle w:val="DZBesediloChar"/>
                <w:szCs w:val="20"/>
              </w:rPr>
              <w:t xml:space="preserve">: </w:t>
            </w:r>
            <w:r>
              <w:t>Znesek izplačil iz naslova interventnih ukrepov čakanja na delo in skrajšanega delovnega časa je bil med podjetji v trgovini visok</w:t>
            </w:r>
          </w:p>
          <w:p w14:paraId="6E90D140" w14:textId="4E576F3B" w:rsidR="003A4800" w:rsidRDefault="0056590E" w:rsidP="003A4800">
            <w:pPr>
              <w:spacing w:after="0" w:line="288" w:lineRule="auto"/>
              <w:jc w:val="both"/>
              <w:rPr>
                <w:rFonts w:ascii="Myriad Pro" w:hAnsi="Myriad Pro"/>
                <w:sz w:val="20"/>
              </w:rPr>
            </w:pPr>
            <w:r w:rsidRPr="0056590E">
              <w:rPr>
                <w:rFonts w:ascii="Myriad Pro" w:hAnsi="Myriad Pro"/>
                <w:noProof/>
                <w:sz w:val="20"/>
              </w:rPr>
              <w:drawing>
                <wp:inline distT="0" distB="0" distL="0" distR="0" wp14:anchorId="24E8AC8B" wp14:editId="4FCB8919">
                  <wp:extent cx="5759450" cy="2095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095500"/>
                          </a:xfrm>
                          <a:prstGeom prst="rect">
                            <a:avLst/>
                          </a:prstGeom>
                          <a:noFill/>
                          <a:ln>
                            <a:noFill/>
                          </a:ln>
                        </pic:spPr>
                      </pic:pic>
                    </a:graphicData>
                  </a:graphic>
                </wp:inline>
              </w:drawing>
            </w:r>
          </w:p>
          <w:p w14:paraId="44B86CDA" w14:textId="77777777" w:rsidR="003A4800" w:rsidRPr="008D75F2" w:rsidRDefault="003A4800" w:rsidP="003A4800">
            <w:pPr>
              <w:pStyle w:val="VirUMAR"/>
            </w:pPr>
            <w:r w:rsidRPr="008F6BED">
              <w:t xml:space="preserve">Vir podatkov: </w:t>
            </w:r>
            <w:r>
              <w:fldChar w:fldCharType="begin"/>
            </w:r>
            <w:r>
              <w:instrText xml:space="preserve"> ADDIN ZOTERO_ITEM CSL_CITATION {"citationID":"Wa6StrTH","properties":{"formattedCitation":"(ZRSZ, 2021)","plainCitation":"(ZRSZ, 2021)","dontUpdate":true,"noteIndex":0},"citationItems":[{"id":1813,"uris":["http://zotero.org/users/8372339/items/DV3DZSL2"],"uri":["http://zotero.org/users/8372339/items/DV3DZSL2"],"itemData":{"id":1813,"type":"report","event-place":"Ljubljana","genre":"Interni podatki","publisher":"Zavod RS za zaposlovanje","publisher-place":"Ljubljana","title":"Delodajalci vključeni v interventne ukrepe","author":[{"family":"ZRSZ","given":""}],"issued":{"date-parts":[["2021"]]}}}],"schema":"https://github.com/citation-style-language/schema/raw/master/csl-citation.json"} </w:instrText>
            </w:r>
            <w:r>
              <w:fldChar w:fldCharType="separate"/>
            </w:r>
            <w:r w:rsidRPr="00231C02">
              <w:t>ZRSZ</w:t>
            </w:r>
            <w:r>
              <w:t xml:space="preserve"> (</w:t>
            </w:r>
            <w:r w:rsidRPr="00231C02">
              <w:t>2021)</w:t>
            </w:r>
            <w:r>
              <w:fldChar w:fldCharType="end"/>
            </w:r>
          </w:p>
        </w:tc>
      </w:tr>
    </w:tbl>
    <w:p w14:paraId="77382F16" w14:textId="29E9241E" w:rsidR="005B3835" w:rsidRPr="005B3835" w:rsidRDefault="00355D96" w:rsidP="005B3835">
      <w:pPr>
        <w:pStyle w:val="Napis"/>
      </w:pPr>
      <w:r w:rsidRPr="005B3835">
        <w:lastRenderedPageBreak/>
        <w:t xml:space="preserve">Slika </w:t>
      </w:r>
      <w:r w:rsidRPr="005B3835">
        <w:fldChar w:fldCharType="begin"/>
      </w:r>
      <w:r w:rsidRPr="005B3835">
        <w:instrText xml:space="preserve"> SEQ Slika \* ARABIC </w:instrText>
      </w:r>
      <w:r w:rsidRPr="005B3835">
        <w:fldChar w:fldCharType="separate"/>
      </w:r>
      <w:r w:rsidR="00116CEE">
        <w:t>6</w:t>
      </w:r>
      <w:r w:rsidRPr="005B3835">
        <w:fldChar w:fldCharType="end"/>
      </w:r>
      <w:r w:rsidRPr="005B3835">
        <w:rPr>
          <w:rStyle w:val="DZBesediloChar"/>
          <w:szCs w:val="20"/>
        </w:rPr>
        <w:t xml:space="preserve">: </w:t>
      </w:r>
      <w:r w:rsidR="005B3835" w:rsidRPr="005B3835">
        <w:t>Leta 202</w:t>
      </w:r>
      <w:r w:rsidR="00794B3C">
        <w:t>2</w:t>
      </w:r>
      <w:r w:rsidR="005B3835" w:rsidRPr="005B3835">
        <w:t xml:space="preserve"> so se </w:t>
      </w:r>
      <w:r w:rsidR="004D6AE4" w:rsidRPr="005B3835">
        <w:t>finančni prihodki</w:t>
      </w:r>
      <w:r w:rsidR="00231A3E">
        <w:t xml:space="preserve"> trgovskih družb</w:t>
      </w:r>
      <w:r w:rsidR="004D6AE4">
        <w:t xml:space="preserve"> </w:t>
      </w:r>
      <w:r w:rsidR="00232FA4">
        <w:t>bolj</w:t>
      </w:r>
      <w:r w:rsidR="00794B3C">
        <w:t xml:space="preserve"> povečali kot</w:t>
      </w:r>
      <w:r w:rsidR="005B3835" w:rsidRPr="005B3835">
        <w:t xml:space="preserve"> finančni odhodki, </w:t>
      </w:r>
      <w:r w:rsidR="00232FA4">
        <w:t>tako da se je izguba iz financiranja zmanjšala za tretjino</w:t>
      </w:r>
    </w:p>
    <w:p w14:paraId="417361E4" w14:textId="3C305342" w:rsidR="00355D96" w:rsidRDefault="0056590E" w:rsidP="005B3835">
      <w:pPr>
        <w:pStyle w:val="BesediloUMAR"/>
        <w:rPr>
          <w:rStyle w:val="DZBesediloChar"/>
          <w:szCs w:val="20"/>
        </w:rPr>
      </w:pPr>
      <w:r w:rsidRPr="0056590E">
        <w:rPr>
          <w:rStyle w:val="DZBesediloChar"/>
          <w:noProof/>
        </w:rPr>
        <w:drawing>
          <wp:inline distT="0" distB="0" distL="0" distR="0" wp14:anchorId="4415250D" wp14:editId="2804D182">
            <wp:extent cx="5759450" cy="209518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095185"/>
                    </a:xfrm>
                    <a:prstGeom prst="rect">
                      <a:avLst/>
                    </a:prstGeom>
                    <a:noFill/>
                    <a:ln>
                      <a:noFill/>
                    </a:ln>
                  </pic:spPr>
                </pic:pic>
              </a:graphicData>
            </a:graphic>
          </wp:inline>
        </w:drawing>
      </w:r>
    </w:p>
    <w:p w14:paraId="027F4E42" w14:textId="06E55D92" w:rsidR="002F0A04" w:rsidRDefault="002F0A04" w:rsidP="002F0A04">
      <w:pPr>
        <w:pStyle w:val="VirUMAR"/>
      </w:pPr>
      <w:r w:rsidRPr="008F6BED">
        <w:t>Vir podatkov:</w:t>
      </w:r>
      <w:r w:rsidR="00794B3C" w:rsidRPr="00794B3C">
        <w:t xml:space="preserve"> </w:t>
      </w:r>
      <w:r w:rsidR="00794B3C">
        <w:fldChar w:fldCharType="begin"/>
      </w:r>
      <w:r w:rsidR="00AA4E7F">
        <w:instrText xml:space="preserve"> ADDIN ZOTERO_ITEM CSL_CITATION {"citationID":"wNnWpcnN","properties":{"formattedCitation":"(AJPES,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794B3C">
        <w:fldChar w:fldCharType="separate"/>
      </w:r>
      <w:r w:rsidR="00794B3C" w:rsidRPr="00F379D2">
        <w:t xml:space="preserve">AJPES </w:t>
      </w:r>
      <w:r w:rsidR="00794B3C">
        <w:t>(</w:t>
      </w:r>
      <w:r w:rsidR="00794B3C" w:rsidRPr="00F379D2">
        <w:t>2023)</w:t>
      </w:r>
      <w:r w:rsidR="00794B3C">
        <w:fldChar w:fldCharType="end"/>
      </w:r>
      <w:r w:rsidRPr="008F6BED">
        <w:t>, lastni izračuni.</w:t>
      </w:r>
    </w:p>
    <w:p w14:paraId="7C1500CC" w14:textId="0961658B" w:rsidR="00043FF1" w:rsidRPr="005B3835" w:rsidRDefault="00043FF1" w:rsidP="00043FF1">
      <w:pPr>
        <w:pStyle w:val="Napis"/>
      </w:pPr>
      <w:r w:rsidRPr="005B3835">
        <w:lastRenderedPageBreak/>
        <w:t xml:space="preserve">Slika </w:t>
      </w:r>
      <w:r w:rsidRPr="005B3835">
        <w:fldChar w:fldCharType="begin"/>
      </w:r>
      <w:r w:rsidRPr="005B3835">
        <w:instrText xml:space="preserve"> SEQ Slika \* ARABIC </w:instrText>
      </w:r>
      <w:r w:rsidRPr="005B3835">
        <w:fldChar w:fldCharType="separate"/>
      </w:r>
      <w:r w:rsidR="00116CEE">
        <w:t>7</w:t>
      </w:r>
      <w:r w:rsidRPr="005B3835">
        <w:fldChar w:fldCharType="end"/>
      </w:r>
      <w:r w:rsidRPr="005B3835">
        <w:rPr>
          <w:rStyle w:val="DZBesediloChar"/>
          <w:szCs w:val="20"/>
        </w:rPr>
        <w:t xml:space="preserve">: </w:t>
      </w:r>
      <w:r w:rsidR="00DB0C00" w:rsidRPr="00CE2BF4">
        <w:t>Presežek prihodkov od prodaje nad stroški blaga, materiala, storitev in dela</w:t>
      </w:r>
      <w:r w:rsidR="00DB0C00">
        <w:rPr>
          <w:rStyle w:val="DZBesediloChar"/>
          <w:szCs w:val="20"/>
        </w:rPr>
        <w:t xml:space="preserve"> </w:t>
      </w:r>
      <w:r w:rsidR="000E33B4">
        <w:rPr>
          <w:rStyle w:val="DZBesediloChar"/>
          <w:szCs w:val="20"/>
        </w:rPr>
        <w:t xml:space="preserve">se je </w:t>
      </w:r>
      <w:r w:rsidR="000E33B4">
        <w:t>l</w:t>
      </w:r>
      <w:r w:rsidRPr="005B3835">
        <w:t>eta 202</w:t>
      </w:r>
      <w:r w:rsidR="00232FA4">
        <w:t>2</w:t>
      </w:r>
      <w:r w:rsidRPr="005B3835">
        <w:t xml:space="preserve"> </w:t>
      </w:r>
      <w:r w:rsidR="00232FA4">
        <w:t>povečal le</w:t>
      </w:r>
      <w:r w:rsidR="000E33B4">
        <w:t xml:space="preserve"> </w:t>
      </w:r>
      <w:r w:rsidR="0030159B">
        <w:t>pri</w:t>
      </w:r>
      <w:r w:rsidR="000E33B4">
        <w:t xml:space="preserve"> </w:t>
      </w:r>
      <w:r w:rsidR="0030159B">
        <w:t xml:space="preserve">družbah </w:t>
      </w:r>
      <w:r w:rsidR="00232FA4">
        <w:t>trgovine z motornimi vozili</w:t>
      </w:r>
    </w:p>
    <w:p w14:paraId="68E9F910" w14:textId="6B848877" w:rsidR="002F0A04" w:rsidRDefault="0056590E" w:rsidP="005B3835">
      <w:pPr>
        <w:pStyle w:val="BesediloUMAR"/>
        <w:rPr>
          <w:rStyle w:val="BoldpoudarekUMAR"/>
        </w:rPr>
      </w:pPr>
      <w:r w:rsidRPr="0056590E">
        <w:rPr>
          <w:rStyle w:val="BoldpoudarekUMAR"/>
          <w:b w:val="0"/>
          <w:noProof/>
        </w:rPr>
        <w:drawing>
          <wp:inline distT="0" distB="0" distL="0" distR="0" wp14:anchorId="5BAEB3C9" wp14:editId="3426FF15">
            <wp:extent cx="5759450" cy="20968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096865"/>
                    </a:xfrm>
                    <a:prstGeom prst="rect">
                      <a:avLst/>
                    </a:prstGeom>
                    <a:noFill/>
                    <a:ln>
                      <a:noFill/>
                    </a:ln>
                  </pic:spPr>
                </pic:pic>
              </a:graphicData>
            </a:graphic>
          </wp:inline>
        </w:drawing>
      </w:r>
    </w:p>
    <w:p w14:paraId="69634312" w14:textId="31C3C514" w:rsidR="000E33B4" w:rsidRDefault="000E33B4" w:rsidP="000E33B4">
      <w:pPr>
        <w:pStyle w:val="VirUMAR"/>
      </w:pPr>
      <w:r w:rsidRPr="008F6BED">
        <w:t xml:space="preserve">Vir podatkov: </w:t>
      </w:r>
      <w:r w:rsidR="00794B3C">
        <w:fldChar w:fldCharType="begin"/>
      </w:r>
      <w:r w:rsidR="00AA4E7F">
        <w:instrText xml:space="preserve"> ADDIN ZOTERO_ITEM CSL_CITATION {"citationID":"uIR7s5y1","properties":{"formattedCitation":"(AJPES,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794B3C">
        <w:fldChar w:fldCharType="separate"/>
      </w:r>
      <w:r w:rsidR="00794B3C" w:rsidRPr="00F379D2">
        <w:t xml:space="preserve">AJPES </w:t>
      </w:r>
      <w:r w:rsidR="00794B3C">
        <w:t>(</w:t>
      </w:r>
      <w:r w:rsidR="00794B3C" w:rsidRPr="00F379D2">
        <w:t>2023)</w:t>
      </w:r>
      <w:r w:rsidR="00794B3C">
        <w:fldChar w:fldCharType="end"/>
      </w:r>
      <w:r w:rsidRPr="008F6BED">
        <w:t>, lastni izračuni.</w:t>
      </w:r>
    </w:p>
    <w:p w14:paraId="6D445FAB" w14:textId="77777777" w:rsidR="000E33B4" w:rsidRDefault="000E33B4" w:rsidP="005B3835">
      <w:pPr>
        <w:pStyle w:val="BesediloUMAR"/>
        <w:rPr>
          <w:rStyle w:val="BoldpoudarekUMAR"/>
        </w:rPr>
      </w:pPr>
    </w:p>
    <w:p w14:paraId="7304D8C4" w14:textId="1CB226B1" w:rsidR="005B3835" w:rsidRPr="005B3835" w:rsidRDefault="005B3835" w:rsidP="005B3835">
      <w:pPr>
        <w:pStyle w:val="BesediloUMAR"/>
        <w:rPr>
          <w:bCs/>
        </w:rPr>
      </w:pPr>
      <w:r w:rsidRPr="00232FA4">
        <w:rPr>
          <w:rStyle w:val="BoldpoudarekUMAR"/>
        </w:rPr>
        <w:t>Gospoda</w:t>
      </w:r>
      <w:r w:rsidRPr="0046590F">
        <w:rPr>
          <w:rStyle w:val="BoldpoudarekUMAR"/>
        </w:rPr>
        <w:t>rnost poslovanja</w:t>
      </w:r>
      <w:r w:rsidR="00B36F9A">
        <w:rPr>
          <w:rStyle w:val="BoldpoudarekUMAR"/>
        </w:rPr>
        <w:t xml:space="preserve"> in pribitek nad stroški</w:t>
      </w:r>
      <w:r w:rsidRPr="0046590F">
        <w:rPr>
          <w:rStyle w:val="BoldpoudarekUMAR"/>
        </w:rPr>
        <w:t xml:space="preserve"> trgovskih družb</w:t>
      </w:r>
      <w:r w:rsidR="00B36F9A">
        <w:rPr>
          <w:rStyle w:val="BoldpoudarekUMAR"/>
        </w:rPr>
        <w:t>, ki</w:t>
      </w:r>
      <w:r w:rsidRPr="0046590F">
        <w:rPr>
          <w:rStyle w:val="BoldpoudarekUMAR"/>
        </w:rPr>
        <w:t xml:space="preserve"> s</w:t>
      </w:r>
      <w:r w:rsidR="00B36F9A">
        <w:rPr>
          <w:rStyle w:val="BoldpoudarekUMAR"/>
        </w:rPr>
        <w:t>ta se</w:t>
      </w:r>
      <w:r w:rsidRPr="0046590F">
        <w:rPr>
          <w:rStyle w:val="BoldpoudarekUMAR"/>
        </w:rPr>
        <w:t xml:space="preserve"> </w:t>
      </w:r>
      <w:r w:rsidR="00B36F9A">
        <w:rPr>
          <w:rStyle w:val="BoldpoudarekUMAR"/>
        </w:rPr>
        <w:t>v letu</w:t>
      </w:r>
      <w:r w:rsidRPr="0046590F">
        <w:rPr>
          <w:rStyle w:val="BoldpoudarekUMAR"/>
        </w:rPr>
        <w:t xml:space="preserve"> </w:t>
      </w:r>
      <w:r w:rsidR="006A57F3">
        <w:rPr>
          <w:rStyle w:val="BoldpoudarekUMAR"/>
        </w:rPr>
        <w:t xml:space="preserve">2021 </w:t>
      </w:r>
      <w:r w:rsidRPr="0046590F">
        <w:rPr>
          <w:rStyle w:val="BoldpoudarekUMAR"/>
        </w:rPr>
        <w:t>močno izboljšala</w:t>
      </w:r>
      <w:r w:rsidR="004D6AE4" w:rsidRPr="0046590F">
        <w:rPr>
          <w:rStyle w:val="BoldpoudarekUMAR"/>
        </w:rPr>
        <w:t xml:space="preserve">, </w:t>
      </w:r>
      <w:r w:rsidR="00B36F9A">
        <w:rPr>
          <w:rStyle w:val="BoldpoudarekUMAR"/>
        </w:rPr>
        <w:t>sta se v letu 2022 poslabšala</w:t>
      </w:r>
      <w:r w:rsidRPr="0046590F">
        <w:rPr>
          <w:rStyle w:val="BoldpoudarekUMAR"/>
        </w:rPr>
        <w:t>.</w:t>
      </w:r>
      <w:r w:rsidR="00B36F9A">
        <w:rPr>
          <w:b/>
        </w:rPr>
        <w:t xml:space="preserve"> </w:t>
      </w:r>
      <w:r w:rsidR="00B36F9A" w:rsidRPr="00B36F9A">
        <w:t>L</w:t>
      </w:r>
      <w:r w:rsidR="00B36F9A" w:rsidRPr="00B36F9A">
        <w:rPr>
          <w:bCs/>
        </w:rPr>
        <w:t>et</w:t>
      </w:r>
      <w:r w:rsidR="00B36F9A">
        <w:rPr>
          <w:bCs/>
        </w:rPr>
        <w:t>a 2021 so se poslovni prihodki pod vplivom</w:t>
      </w:r>
      <w:r w:rsidR="00B36F9A" w:rsidRPr="0046590F">
        <w:rPr>
          <w:bCs/>
        </w:rPr>
        <w:t xml:space="preserve"> odboj</w:t>
      </w:r>
      <w:r w:rsidR="00B36F9A">
        <w:rPr>
          <w:bCs/>
        </w:rPr>
        <w:t>a</w:t>
      </w:r>
      <w:r w:rsidR="00B36F9A" w:rsidRPr="0046590F">
        <w:rPr>
          <w:bCs/>
        </w:rPr>
        <w:t xml:space="preserve"> pri trošenju gospodinjstev po epidemiji in </w:t>
      </w:r>
      <w:r w:rsidR="00B36F9A" w:rsidRPr="0046590F">
        <w:t>rast</w:t>
      </w:r>
      <w:r w:rsidR="00B36F9A">
        <w:t>i</w:t>
      </w:r>
      <w:r w:rsidR="00B36F9A" w:rsidRPr="0046590F">
        <w:t xml:space="preserve"> aktivnosti v dejavnostih, s katerimi je povezana trgovina na debelo</w:t>
      </w:r>
      <w:r w:rsidR="00B36F9A">
        <w:t xml:space="preserve">, povečali bolj </w:t>
      </w:r>
      <w:r w:rsidR="00BA3897">
        <w:t xml:space="preserve">od </w:t>
      </w:r>
      <w:r w:rsidR="00B36F9A">
        <w:t>poslovni</w:t>
      </w:r>
      <w:r w:rsidR="00BA3897">
        <w:t>h</w:t>
      </w:r>
      <w:r w:rsidR="00B36F9A">
        <w:t xml:space="preserve"> odhodk</w:t>
      </w:r>
      <w:r w:rsidR="00BA3897">
        <w:t>ov</w:t>
      </w:r>
      <w:r w:rsidR="00B36F9A">
        <w:t xml:space="preserve">, tako da </w:t>
      </w:r>
      <w:r w:rsidR="00231A3E">
        <w:t xml:space="preserve">sta </w:t>
      </w:r>
      <w:r w:rsidR="00B36F9A">
        <w:t>se gospodarnost poslovanja in pribitek</w:t>
      </w:r>
      <w:r w:rsidR="00B36F9A" w:rsidRPr="0046590F">
        <w:rPr>
          <w:bCs/>
          <w:vertAlign w:val="superscript"/>
        </w:rPr>
        <w:footnoteReference w:id="10"/>
      </w:r>
      <w:r w:rsidR="00B36F9A">
        <w:t xml:space="preserve"> </w:t>
      </w:r>
      <w:r w:rsidR="00B36F9A" w:rsidRPr="0046590F">
        <w:rPr>
          <w:bCs/>
        </w:rPr>
        <w:t>povprečne trgovske družbe</w:t>
      </w:r>
      <w:r w:rsidR="00B36F9A">
        <w:rPr>
          <w:bCs/>
        </w:rPr>
        <w:t xml:space="preserve"> močno povečala in bila najvišja </w:t>
      </w:r>
      <w:r w:rsidR="00FB07D2">
        <w:rPr>
          <w:bCs/>
        </w:rPr>
        <w:t>po letu 2008</w:t>
      </w:r>
      <w:r w:rsidR="00B36F9A" w:rsidRPr="0046590F">
        <w:rPr>
          <w:bCs/>
        </w:rPr>
        <w:t>.</w:t>
      </w:r>
      <w:r w:rsidR="00FB07D2">
        <w:rPr>
          <w:bCs/>
        </w:rPr>
        <w:t xml:space="preserve"> R</w:t>
      </w:r>
      <w:r w:rsidR="00C06547">
        <w:rPr>
          <w:bCs/>
        </w:rPr>
        <w:t>a</w:t>
      </w:r>
      <w:r w:rsidR="00FB07D2">
        <w:rPr>
          <w:bCs/>
        </w:rPr>
        <w:t>st poslovnih prihodkov je bila tudi v letu 2022 zelo visoka, a je bila generirana tudi pod vplivom višjih cen, ki pa so vplivale tudi na še višjo rast poslovnih odhodkov. Med</w:t>
      </w:r>
      <w:r w:rsidRPr="0046590F">
        <w:rPr>
          <w:bCs/>
        </w:rPr>
        <w:t xml:space="preserve"> poslovni odhodki</w:t>
      </w:r>
      <w:r w:rsidR="00FB07D2">
        <w:rPr>
          <w:bCs/>
        </w:rPr>
        <w:t xml:space="preserve"> so se za največ, 28 %, povečali </w:t>
      </w:r>
      <w:r w:rsidRPr="0046590F">
        <w:rPr>
          <w:bCs/>
        </w:rPr>
        <w:t xml:space="preserve">stroški blaga, materiala in storitev, ki </w:t>
      </w:r>
      <w:r w:rsidR="00AF0606">
        <w:rPr>
          <w:bCs/>
        </w:rPr>
        <w:t>predstavljajo</w:t>
      </w:r>
      <w:r w:rsidR="0089066D">
        <w:rPr>
          <w:bCs/>
        </w:rPr>
        <w:t xml:space="preserve"> </w:t>
      </w:r>
      <w:r w:rsidRPr="0046590F">
        <w:rPr>
          <w:bCs/>
        </w:rPr>
        <w:t xml:space="preserve">90 % vseh poslovnih odhodkov. Za </w:t>
      </w:r>
      <w:r w:rsidR="00FB07D2">
        <w:rPr>
          <w:bCs/>
        </w:rPr>
        <w:t>9</w:t>
      </w:r>
      <w:r w:rsidRPr="0046590F">
        <w:rPr>
          <w:bCs/>
        </w:rPr>
        <w:t xml:space="preserve"> % so bili višji tudi stroški dela, na kar sta vplivala tudi 2</w:t>
      </w:r>
      <w:r w:rsidR="00D3176B" w:rsidRPr="0046590F">
        <w:rPr>
          <w:bCs/>
        </w:rPr>
        <w:t>-odstotna</w:t>
      </w:r>
      <w:r w:rsidRPr="0046590F">
        <w:rPr>
          <w:bCs/>
        </w:rPr>
        <w:t xml:space="preserve"> rast števila zaposlenih in povišanje minimalne </w:t>
      </w:r>
      <w:r w:rsidR="004A7084" w:rsidRPr="0046590F">
        <w:rPr>
          <w:bCs/>
        </w:rPr>
        <w:t>ter</w:t>
      </w:r>
      <w:r w:rsidR="00C971BD" w:rsidRPr="0046590F">
        <w:rPr>
          <w:bCs/>
        </w:rPr>
        <w:t xml:space="preserve"> povprečne </w:t>
      </w:r>
      <w:r w:rsidRPr="0046590F">
        <w:rPr>
          <w:bCs/>
        </w:rPr>
        <w:t>plače. Ob takšnih gibanjih se je obremenjenost poslovnih prihodkov s stroški blaga, materiala in storitev</w:t>
      </w:r>
      <w:r w:rsidR="00FB07D2">
        <w:rPr>
          <w:bCs/>
        </w:rPr>
        <w:t>, ki je bila</w:t>
      </w:r>
      <w:r w:rsidRPr="0046590F">
        <w:rPr>
          <w:bCs/>
        </w:rPr>
        <w:t xml:space="preserve"> leta 20</w:t>
      </w:r>
      <w:r w:rsidR="00FB07D2">
        <w:rPr>
          <w:bCs/>
        </w:rPr>
        <w:t>2</w:t>
      </w:r>
      <w:r w:rsidRPr="0046590F">
        <w:rPr>
          <w:bCs/>
        </w:rPr>
        <w:t>1 s 85,3 % najnižja od leta 2008</w:t>
      </w:r>
      <w:r w:rsidR="00FB07D2">
        <w:rPr>
          <w:bCs/>
        </w:rPr>
        <w:t xml:space="preserve">, </w:t>
      </w:r>
      <w:r w:rsidR="007E4D4A">
        <w:rPr>
          <w:bCs/>
        </w:rPr>
        <w:t>povečala na 87,3 %</w:t>
      </w:r>
      <w:r w:rsidRPr="0046590F">
        <w:rPr>
          <w:bCs/>
        </w:rPr>
        <w:t xml:space="preserve">. </w:t>
      </w:r>
      <w:bookmarkStart w:id="11" w:name="_Hlk108790188"/>
      <w:r w:rsidRPr="0046590F">
        <w:rPr>
          <w:bCs/>
        </w:rPr>
        <w:t>Po okrepi</w:t>
      </w:r>
      <w:r w:rsidR="007E4D4A">
        <w:rPr>
          <w:bCs/>
        </w:rPr>
        <w:t>tvi v letu 2021 se je zmanjšal</w:t>
      </w:r>
      <w:r w:rsidRPr="0046590F">
        <w:rPr>
          <w:bCs/>
        </w:rPr>
        <w:t xml:space="preserve"> tudi pribitek</w:t>
      </w:r>
      <w:r w:rsidR="007E4D4A">
        <w:rPr>
          <w:bCs/>
        </w:rPr>
        <w:t xml:space="preserve"> povprečne trgovske družbe.</w:t>
      </w:r>
      <w:r w:rsidRPr="0046590F">
        <w:rPr>
          <w:bCs/>
        </w:rPr>
        <w:t xml:space="preserve"> Pri</w:t>
      </w:r>
      <w:r w:rsidR="007E4D4A">
        <w:rPr>
          <w:bCs/>
        </w:rPr>
        <w:t xml:space="preserve"> tem </w:t>
      </w:r>
      <w:r w:rsidRPr="0046590F">
        <w:rPr>
          <w:bCs/>
        </w:rPr>
        <w:t xml:space="preserve">se je povečal pri družbah </w:t>
      </w:r>
      <w:r w:rsidR="007E4D4A">
        <w:rPr>
          <w:bCs/>
        </w:rPr>
        <w:t>trgovine z motornimi vozili, močno pa zmanjšal pri</w:t>
      </w:r>
      <w:r w:rsidRPr="0046590F">
        <w:rPr>
          <w:bCs/>
        </w:rPr>
        <w:t xml:space="preserve"> družbah v trgovini na drobno</w:t>
      </w:r>
      <w:r w:rsidR="00231A3E">
        <w:rPr>
          <w:bCs/>
        </w:rPr>
        <w:t>, razen z motornimi vozili</w:t>
      </w:r>
      <w:r w:rsidR="007E4D4A">
        <w:rPr>
          <w:bCs/>
        </w:rPr>
        <w:t xml:space="preserve"> in v trgovini na debelo</w:t>
      </w:r>
      <w:r w:rsidR="00231A3E">
        <w:rPr>
          <w:bCs/>
        </w:rPr>
        <w:t>, razen z motornimi vozili</w:t>
      </w:r>
      <w:r w:rsidRPr="0046590F">
        <w:rPr>
          <w:bCs/>
        </w:rPr>
        <w:t>.</w:t>
      </w:r>
    </w:p>
    <w:bookmarkEnd w:id="11"/>
    <w:p w14:paraId="1BFCD503" w14:textId="1517A146" w:rsidR="005B3835" w:rsidRDefault="00355D96" w:rsidP="00355D96">
      <w:pPr>
        <w:pStyle w:val="Napis"/>
      </w:pPr>
      <w:r w:rsidRPr="00355D96">
        <w:t xml:space="preserve">Slika </w:t>
      </w:r>
      <w:r w:rsidRPr="00355D96">
        <w:fldChar w:fldCharType="begin"/>
      </w:r>
      <w:r w:rsidRPr="00355D96">
        <w:instrText xml:space="preserve"> SEQ Slika \* ARABIC </w:instrText>
      </w:r>
      <w:r w:rsidRPr="00355D96">
        <w:fldChar w:fldCharType="separate"/>
      </w:r>
      <w:r w:rsidR="00116CEE">
        <w:t>8</w:t>
      </w:r>
      <w:r w:rsidRPr="00355D96">
        <w:fldChar w:fldCharType="end"/>
      </w:r>
      <w:r w:rsidRPr="00355D96">
        <w:rPr>
          <w:rStyle w:val="DZBesediloChar"/>
          <w:szCs w:val="20"/>
        </w:rPr>
        <w:t xml:space="preserve">: </w:t>
      </w:r>
      <w:r w:rsidR="005B3835" w:rsidRPr="005B3835">
        <w:t>Obremenjenost poslovnih prihodkov s stroški blaga, materiala in storitev se je leta 202</w:t>
      </w:r>
      <w:r w:rsidR="00E40ABF">
        <w:t>2</w:t>
      </w:r>
      <w:r w:rsidR="005B3835" w:rsidRPr="005B3835">
        <w:t xml:space="preserve"> v večini trgovskih panog </w:t>
      </w:r>
      <w:r w:rsidR="00E40ABF">
        <w:t>povečala</w:t>
      </w:r>
    </w:p>
    <w:p w14:paraId="4D8486AA" w14:textId="234C9CB1" w:rsidR="00355D96" w:rsidRDefault="0056590E" w:rsidP="00355D96">
      <w:pPr>
        <w:pStyle w:val="Napis"/>
        <w:rPr>
          <w:rStyle w:val="DZBesediloChar"/>
          <w:szCs w:val="20"/>
        </w:rPr>
      </w:pPr>
      <w:r w:rsidRPr="0056590E">
        <w:rPr>
          <w:rStyle w:val="DZBesediloChar"/>
          <w:szCs w:val="20"/>
        </w:rPr>
        <w:drawing>
          <wp:inline distT="0" distB="0" distL="0" distR="0" wp14:anchorId="1E4A656B" wp14:editId="360C2200">
            <wp:extent cx="5759450" cy="209518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095185"/>
                    </a:xfrm>
                    <a:prstGeom prst="rect">
                      <a:avLst/>
                    </a:prstGeom>
                    <a:noFill/>
                    <a:ln>
                      <a:noFill/>
                    </a:ln>
                  </pic:spPr>
                </pic:pic>
              </a:graphicData>
            </a:graphic>
          </wp:inline>
        </w:drawing>
      </w:r>
      <w:r w:rsidR="00355D96" w:rsidRPr="00355D96">
        <w:rPr>
          <w:rStyle w:val="DZBesediloChar"/>
          <w:szCs w:val="20"/>
        </w:rPr>
        <w:t xml:space="preserve"> </w:t>
      </w:r>
    </w:p>
    <w:p w14:paraId="702F18E6" w14:textId="594B1920" w:rsidR="002F0A04" w:rsidRDefault="002F0A04" w:rsidP="002F0A04">
      <w:pPr>
        <w:pStyle w:val="VirUMAR"/>
      </w:pPr>
      <w:r w:rsidRPr="008F6BED">
        <w:t xml:space="preserve">Vir podatkov: </w:t>
      </w:r>
      <w:r w:rsidR="00794B3C">
        <w:fldChar w:fldCharType="begin"/>
      </w:r>
      <w:r w:rsidR="00AA4E7F">
        <w:instrText xml:space="preserve"> ADDIN ZOTERO_ITEM CSL_CITATION {"citationID":"ra6W6k4l","properties":{"formattedCitation":"(AJPES,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794B3C">
        <w:fldChar w:fldCharType="separate"/>
      </w:r>
      <w:r w:rsidR="00794B3C" w:rsidRPr="00F379D2">
        <w:t xml:space="preserve">AJPES </w:t>
      </w:r>
      <w:r w:rsidR="00794B3C">
        <w:t>(</w:t>
      </w:r>
      <w:r w:rsidR="00794B3C" w:rsidRPr="00F379D2">
        <w:t>2023)</w:t>
      </w:r>
      <w:r w:rsidR="00794B3C">
        <w:fldChar w:fldCharType="end"/>
      </w:r>
      <w:r>
        <w:fldChar w:fldCharType="begin"/>
      </w:r>
      <w:r w:rsidR="00F379D2">
        <w:instrText xml:space="preserve"> ADDIN ZOTERO_ITEM CSL_CITATION {"citationID":"FhFPzOUW","properties":{"formattedCitation":"(AJPES,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fldChar w:fldCharType="end"/>
      </w:r>
      <w:r w:rsidRPr="008F6BED">
        <w:t>, lastni izračuni.</w:t>
      </w:r>
    </w:p>
    <w:p w14:paraId="59DB1408" w14:textId="65652EEB" w:rsidR="005B3835" w:rsidRDefault="00355D96" w:rsidP="00355D96">
      <w:pPr>
        <w:pStyle w:val="Napis"/>
      </w:pPr>
      <w:r w:rsidRPr="00355D96">
        <w:lastRenderedPageBreak/>
        <w:t xml:space="preserve">Slika </w:t>
      </w:r>
      <w:r w:rsidRPr="00355D96">
        <w:fldChar w:fldCharType="begin"/>
      </w:r>
      <w:r w:rsidRPr="00355D96">
        <w:instrText xml:space="preserve"> SEQ Slika \* ARABIC </w:instrText>
      </w:r>
      <w:r w:rsidRPr="00355D96">
        <w:fldChar w:fldCharType="separate"/>
      </w:r>
      <w:r w:rsidR="00116CEE">
        <w:t>9</w:t>
      </w:r>
      <w:r w:rsidRPr="00355D96">
        <w:fldChar w:fldCharType="end"/>
      </w:r>
      <w:r w:rsidRPr="00355D96">
        <w:rPr>
          <w:rStyle w:val="DZBesediloChar"/>
          <w:szCs w:val="20"/>
        </w:rPr>
        <w:t xml:space="preserve">: </w:t>
      </w:r>
      <w:r w:rsidR="005B3835" w:rsidRPr="005B3835">
        <w:t>Prodaja družb v trgovini z motornimi vozili se je leta 202</w:t>
      </w:r>
      <w:r w:rsidR="00E40ABF">
        <w:t>2</w:t>
      </w:r>
      <w:r w:rsidR="005B3835" w:rsidRPr="005B3835">
        <w:t xml:space="preserve"> </w:t>
      </w:r>
      <w:r w:rsidR="00E40ABF">
        <w:t xml:space="preserve">še </w:t>
      </w:r>
      <w:r w:rsidR="005B3835" w:rsidRPr="005B3835">
        <w:t>okrepila na domačem trgu</w:t>
      </w:r>
    </w:p>
    <w:p w14:paraId="449C6713" w14:textId="0D5485D7" w:rsidR="00355D96" w:rsidRDefault="0056590E" w:rsidP="00355D96">
      <w:pPr>
        <w:pStyle w:val="Napis"/>
        <w:rPr>
          <w:rStyle w:val="DZBesediloChar"/>
          <w:szCs w:val="20"/>
        </w:rPr>
      </w:pPr>
      <w:r w:rsidRPr="0056590E">
        <w:rPr>
          <w:rStyle w:val="DZBesediloChar"/>
          <w:szCs w:val="20"/>
        </w:rPr>
        <w:drawing>
          <wp:inline distT="0" distB="0" distL="0" distR="0" wp14:anchorId="42458D2A" wp14:editId="376207F6">
            <wp:extent cx="5759450" cy="209518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2095185"/>
                    </a:xfrm>
                    <a:prstGeom prst="rect">
                      <a:avLst/>
                    </a:prstGeom>
                    <a:noFill/>
                    <a:ln>
                      <a:noFill/>
                    </a:ln>
                  </pic:spPr>
                </pic:pic>
              </a:graphicData>
            </a:graphic>
          </wp:inline>
        </w:drawing>
      </w:r>
      <w:r w:rsidR="00355D96" w:rsidRPr="00355D96">
        <w:rPr>
          <w:rStyle w:val="DZBesediloChar"/>
          <w:szCs w:val="20"/>
        </w:rPr>
        <w:t xml:space="preserve"> </w:t>
      </w:r>
    </w:p>
    <w:p w14:paraId="3F2B1A85" w14:textId="73BBF600" w:rsidR="002F0A04" w:rsidRDefault="002F0A04" w:rsidP="002F0A04">
      <w:pPr>
        <w:pStyle w:val="VirUMAR"/>
      </w:pPr>
      <w:r w:rsidRPr="008F6BED">
        <w:t xml:space="preserve">Vir podatkov: </w:t>
      </w:r>
      <w:r w:rsidR="00794B3C">
        <w:fldChar w:fldCharType="begin"/>
      </w:r>
      <w:r w:rsidR="00AA4E7F">
        <w:instrText xml:space="preserve"> ADDIN ZOTERO_ITEM CSL_CITATION {"citationID":"wbi3DkRo","properties":{"formattedCitation":"(AJPES,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794B3C">
        <w:fldChar w:fldCharType="separate"/>
      </w:r>
      <w:r w:rsidR="00794B3C" w:rsidRPr="00F379D2">
        <w:t xml:space="preserve">AJPES </w:t>
      </w:r>
      <w:r w:rsidR="00794B3C">
        <w:t>(</w:t>
      </w:r>
      <w:r w:rsidR="00794B3C" w:rsidRPr="00F379D2">
        <w:t>2023)</w:t>
      </w:r>
      <w:r w:rsidR="00794B3C">
        <w:fldChar w:fldCharType="end"/>
      </w:r>
      <w:r w:rsidRPr="008F6BED">
        <w:t>, lastni izračuni.</w:t>
      </w:r>
    </w:p>
    <w:p w14:paraId="73A53941" w14:textId="77777777" w:rsidR="005B3835" w:rsidRDefault="005B3835" w:rsidP="00355D96">
      <w:pPr>
        <w:pStyle w:val="VirUMAR"/>
      </w:pPr>
    </w:p>
    <w:p w14:paraId="438DDEDC" w14:textId="392DED22" w:rsidR="005732E6" w:rsidRPr="001F7A99" w:rsidRDefault="00DB0C00" w:rsidP="001F7A99">
      <w:pPr>
        <w:pStyle w:val="BesediloUMAR"/>
      </w:pPr>
      <w:r w:rsidRPr="00740621">
        <w:rPr>
          <w:rStyle w:val="BoldpoudarekUMAR"/>
        </w:rPr>
        <w:br w:type="page"/>
      </w:r>
    </w:p>
    <w:tbl>
      <w:tblPr>
        <w:tblStyle w:val="UMARokvir"/>
        <w:tblW w:w="0" w:type="auto"/>
        <w:tblLook w:val="04A0" w:firstRow="1" w:lastRow="0" w:firstColumn="1" w:lastColumn="0" w:noHBand="0" w:noVBand="1"/>
      </w:tblPr>
      <w:tblGrid>
        <w:gridCol w:w="9060"/>
      </w:tblGrid>
      <w:tr w:rsidR="00590676" w14:paraId="5617D42B" w14:textId="77777777" w:rsidTr="008F6BED">
        <w:tc>
          <w:tcPr>
            <w:tcW w:w="9060" w:type="dxa"/>
          </w:tcPr>
          <w:p w14:paraId="34AB6C4C" w14:textId="73D2B7F2" w:rsidR="00590676" w:rsidRDefault="00747002" w:rsidP="0004147D">
            <w:pPr>
              <w:pStyle w:val="Napis"/>
            </w:pPr>
            <w:bookmarkStart w:id="12" w:name="_Toc528327256"/>
            <w:r>
              <w:lastRenderedPageBreak/>
              <w:t xml:space="preserve">Okvir </w:t>
            </w:r>
            <w:r w:rsidR="00717AD3">
              <w:fldChar w:fldCharType="begin"/>
            </w:r>
            <w:r w:rsidR="00717AD3">
              <w:instrText xml:space="preserve"> SEQ Okvir \* ARABIC </w:instrText>
            </w:r>
            <w:r w:rsidR="00717AD3">
              <w:fldChar w:fldCharType="separate"/>
            </w:r>
            <w:r w:rsidR="00116CEE">
              <w:t>2</w:t>
            </w:r>
            <w:r w:rsidR="00717AD3">
              <w:fldChar w:fldCharType="end"/>
            </w:r>
            <w:r>
              <w:t xml:space="preserve"> </w:t>
            </w:r>
            <w:bookmarkEnd w:id="12"/>
            <w:r w:rsidR="00A43E6A">
              <w:t xml:space="preserve">: </w:t>
            </w:r>
            <w:r w:rsidR="00A43E6A" w:rsidRPr="00A43E6A">
              <w:t>Koncentracija v nespecializiranih pretežno živilskih prodajalnah na drobno</w:t>
            </w:r>
          </w:p>
          <w:p w14:paraId="2F66794D" w14:textId="77777777" w:rsidR="000F128C" w:rsidRPr="000F128C" w:rsidRDefault="000F128C" w:rsidP="000F128C">
            <w:pPr>
              <w:pStyle w:val="BesediloUMAR"/>
            </w:pPr>
          </w:p>
          <w:p w14:paraId="094842B6" w14:textId="0B4EA35A" w:rsidR="00C40E92" w:rsidRDefault="00A43E6A" w:rsidP="00A43E6A">
            <w:pPr>
              <w:pStyle w:val="BesediloUMAR"/>
            </w:pPr>
            <w:r w:rsidRPr="001F7A99">
              <w:rPr>
                <w:b/>
              </w:rPr>
              <w:t>Zmanjševa</w:t>
            </w:r>
            <w:r w:rsidRPr="00A43E6A">
              <w:rPr>
                <w:b/>
              </w:rPr>
              <w:t>nje koncentracije pretežno živilskih prodajaln v Sloveniji, ki se je začel</w:t>
            </w:r>
            <w:r w:rsidR="00A007A6">
              <w:rPr>
                <w:b/>
              </w:rPr>
              <w:t>o</w:t>
            </w:r>
            <w:r w:rsidRPr="00A43E6A">
              <w:rPr>
                <w:b/>
              </w:rPr>
              <w:t xml:space="preserve"> leta 2007, se je</w:t>
            </w:r>
            <w:r w:rsidR="00B860A2">
              <w:rPr>
                <w:b/>
              </w:rPr>
              <w:t xml:space="preserve">, po nihanjih med epidemijo, </w:t>
            </w:r>
            <w:r w:rsidRPr="00A43E6A">
              <w:rPr>
                <w:b/>
              </w:rPr>
              <w:t>v letu 202</w:t>
            </w:r>
            <w:r w:rsidR="00B860A2">
              <w:rPr>
                <w:b/>
              </w:rPr>
              <w:t>2</w:t>
            </w:r>
            <w:r w:rsidRPr="00A43E6A">
              <w:rPr>
                <w:b/>
              </w:rPr>
              <w:t xml:space="preserve"> nadaljevalo</w:t>
            </w:r>
            <w:r w:rsidR="00B860A2">
              <w:rPr>
                <w:b/>
              </w:rPr>
              <w:t xml:space="preserve">. </w:t>
            </w:r>
            <w:r w:rsidRPr="00A43E6A">
              <w:t>Za nespecializirane prodajalne, ki pretežno prodajajo živila (hipermarketi, marketi, diskonti …)</w:t>
            </w:r>
            <w:r w:rsidRPr="00A43E6A">
              <w:rPr>
                <w:vertAlign w:val="superscript"/>
              </w:rPr>
              <w:footnoteReference w:id="11"/>
            </w:r>
            <w:r w:rsidRPr="00A43E6A">
              <w:t>, je bila po letu 2000 značilna krepitev koncentracije, ki je bila posledica propadanja manjših družb oz. njihovega povezovanja ali prevzemanja s strani večjih podjetij. Stopnja koncentracije, merjena s Hirschman-Herfindahlovim indeksom (HHI), je v tej panogi leta 2005 presegla mejo visoke koncentracije (1800). Potem ko je leta 2006 dosegla najvišjo vrednost (3387), se je v naslednjih letih zniževala in leta 2017 z vrednostjo 1798 prvič padla pod mejo visoke koncentracije (1800). Leta 2018 se je še nekoliko znižala</w:t>
            </w:r>
            <w:r w:rsidR="002E0017">
              <w:t xml:space="preserve"> in ostala podobna tudi v 2019</w:t>
            </w:r>
            <w:r w:rsidR="003E174E">
              <w:t xml:space="preserve">. </w:t>
            </w:r>
            <w:r w:rsidRPr="00A43E6A">
              <w:t xml:space="preserve">Zniževanje koncentracije je bilo predvsem posledica krepitve prodaje v diskontih, ki so na slovenski trg vstopili v letih 2005 in 2007. Ti so s širitvijo svojih poslovnih mrež in spreminjanjem nakupovalnih navad kupcev, do katerih je prišlo tudi zaradi gospodarske krize, v letu 2019 skupaj ustvarili 27,7 % celotnega prihodka od prodaje panoge na slovenskem trgu (leta 2007 6,5 %, v letu 2018 26,4 %). Delež največjih treh tradicionalnih družb v prihodku panoge se je tako v </w:t>
            </w:r>
            <w:r w:rsidR="00740947">
              <w:t xml:space="preserve">dobrem </w:t>
            </w:r>
            <w:r w:rsidRPr="00A43E6A">
              <w:t>desetletju močno znižal (z 82,9 % leta 2007 na 61,1 % v letu 2019). Ob razmahu epidemije covid</w:t>
            </w:r>
            <w:r w:rsidR="00924590">
              <w:t>a</w:t>
            </w:r>
            <w:r w:rsidRPr="00A43E6A">
              <w:t>-19 v letu 2020 so se razmere močno spremenile. Delež prodaje v treh največjih tradicionalnih trgovinah v čistih prihodkih od prodaje panoge se je prvič po dolgih letih povečal (na 63,8</w:t>
            </w:r>
            <w:r w:rsidR="003E174E">
              <w:t> </w:t>
            </w:r>
            <w:r w:rsidRPr="00A43E6A">
              <w:t xml:space="preserve">%), na kar so </w:t>
            </w:r>
            <w:r w:rsidR="00924590">
              <w:t>najverjetneje</w:t>
            </w:r>
            <w:r w:rsidR="00924590" w:rsidRPr="00A43E6A">
              <w:t xml:space="preserve"> </w:t>
            </w:r>
            <w:r w:rsidRPr="00A43E6A">
              <w:t>med drugim vplivale tudi večje možnosti dostopa do spletnih trgovin oz. dostave in večj</w:t>
            </w:r>
            <w:r w:rsidR="00E35666">
              <w:t>a</w:t>
            </w:r>
            <w:r w:rsidRPr="00A43E6A">
              <w:t xml:space="preserve"> razpredenost trgovin, kar je bilo predvsem pomembno v časih, ko je bilo gibanje omejeno na občine in/ali pokrajine</w:t>
            </w:r>
            <w:r w:rsidR="00924590">
              <w:t>,</w:t>
            </w:r>
            <w:r w:rsidRPr="00A43E6A">
              <w:t xml:space="preserve"> ter ob karanten</w:t>
            </w:r>
            <w:r w:rsidR="00D644A2">
              <w:t>i</w:t>
            </w:r>
            <w:r w:rsidRPr="00A43E6A">
              <w:t xml:space="preserve"> in obolevnosti. Delež se je </w:t>
            </w:r>
            <w:r w:rsidR="003E174E">
              <w:t>nato</w:t>
            </w:r>
            <w:r w:rsidRPr="00A43E6A">
              <w:t xml:space="preserve"> v letu 2021, ob manj pogostih omejitvah gibanja, </w:t>
            </w:r>
            <w:r w:rsidR="003E174E">
              <w:t xml:space="preserve">in nadalje še v letu 2022 </w:t>
            </w:r>
            <w:r w:rsidRPr="00A43E6A">
              <w:t>ponovno zmanjšal in padel pod 60 % (57,</w:t>
            </w:r>
            <w:r w:rsidR="003E174E">
              <w:t>1</w:t>
            </w:r>
            <w:r w:rsidRPr="00A43E6A">
              <w:t>%</w:t>
            </w:r>
            <w:r w:rsidR="00493E08">
              <w:t xml:space="preserve"> v letu 2022</w:t>
            </w:r>
            <w:r w:rsidRPr="00A43E6A">
              <w:t xml:space="preserve">). Ob tem se je delež diskontov </w:t>
            </w:r>
            <w:r w:rsidR="003E174E">
              <w:t xml:space="preserve">v obeh letih </w:t>
            </w:r>
            <w:r w:rsidRPr="00E6402A">
              <w:t>poveč</w:t>
            </w:r>
            <w:r w:rsidR="003E174E">
              <w:t>eval</w:t>
            </w:r>
            <w:r w:rsidRPr="00A43E6A">
              <w:t xml:space="preserve"> </w:t>
            </w:r>
            <w:r w:rsidR="003E174E">
              <w:t>v letu 2022</w:t>
            </w:r>
            <w:r w:rsidR="00652CD0">
              <w:t xml:space="preserve"> znašal 32,3</w:t>
            </w:r>
            <w:r w:rsidR="00652CD0" w:rsidRPr="00A43E6A">
              <w:t> %</w:t>
            </w:r>
            <w:r w:rsidRPr="00A43E6A">
              <w:t>.</w:t>
            </w:r>
            <w:r>
              <w:t xml:space="preserve"> </w:t>
            </w:r>
            <w:r w:rsidR="00493E08">
              <w:t>S</w:t>
            </w:r>
            <w:r w:rsidR="00493E08" w:rsidRPr="00A43E6A">
              <w:t>topnja koncentracije, merjena s Hirschman-Herfindahlovim indeksom (HHI)</w:t>
            </w:r>
            <w:r w:rsidR="00493E08">
              <w:t>,</w:t>
            </w:r>
            <w:r w:rsidR="00493E08" w:rsidRPr="00A43E6A">
              <w:t xml:space="preserve"> </w:t>
            </w:r>
            <w:r w:rsidR="00493E08">
              <w:t xml:space="preserve">je bila tako, po nihanju med epidemijo, </w:t>
            </w:r>
            <w:r w:rsidR="00493E08" w:rsidRPr="00A43E6A">
              <w:t>leta 202</w:t>
            </w:r>
            <w:r w:rsidR="00493E08">
              <w:t>2</w:t>
            </w:r>
            <w:r w:rsidR="00493E08" w:rsidRPr="00A43E6A">
              <w:t xml:space="preserve"> </w:t>
            </w:r>
            <w:r w:rsidR="00493E08">
              <w:t>z vrednostjo 1717 nižja kot leta 2019</w:t>
            </w:r>
            <w:r w:rsidR="00740947">
              <w:t xml:space="preserve"> in nekoliko pod mejo visoke koncentracije (1800)</w:t>
            </w:r>
            <w:r w:rsidR="00493E08">
              <w:t>.</w:t>
            </w:r>
          </w:p>
          <w:p w14:paraId="3433FB63" w14:textId="6FF81707" w:rsidR="00A43E6A" w:rsidRDefault="00A43E6A" w:rsidP="00A43E6A">
            <w:pPr>
              <w:pStyle w:val="Napis"/>
            </w:pPr>
            <w:r>
              <w:t xml:space="preserve">Slika </w:t>
            </w:r>
            <w:r>
              <w:fldChar w:fldCharType="begin"/>
            </w:r>
            <w:r>
              <w:instrText xml:space="preserve"> SEQ Slika \* ARABIC </w:instrText>
            </w:r>
            <w:r>
              <w:fldChar w:fldCharType="separate"/>
            </w:r>
            <w:r w:rsidR="00116CEE">
              <w:t>10</w:t>
            </w:r>
            <w:r>
              <w:fldChar w:fldCharType="end"/>
            </w:r>
            <w:r>
              <w:t xml:space="preserve"> : </w:t>
            </w:r>
            <w:r w:rsidRPr="00A43E6A">
              <w:t>Koncentracija družb v nespecializiranih, pretežno živilskih prodajalnah na drobno se je</w:t>
            </w:r>
            <w:r w:rsidR="001F7A99">
              <w:t>, po nihanjih</w:t>
            </w:r>
            <w:r w:rsidRPr="00A43E6A">
              <w:t xml:space="preserve"> v let</w:t>
            </w:r>
            <w:r w:rsidR="001F7A99">
              <w:t>ih 2020 in</w:t>
            </w:r>
            <w:r w:rsidRPr="00A43E6A">
              <w:t xml:space="preserve"> 2021</w:t>
            </w:r>
            <w:r w:rsidR="001F7A99">
              <w:t>, v letu 2022 nadalje</w:t>
            </w:r>
            <w:r w:rsidRPr="00A43E6A">
              <w:t xml:space="preserve"> zmanjšala</w:t>
            </w:r>
          </w:p>
          <w:p w14:paraId="30790BD9" w14:textId="6E65910D" w:rsidR="00A43E6A" w:rsidRPr="00A43E6A" w:rsidRDefault="0056590E" w:rsidP="00A43E6A">
            <w:pPr>
              <w:pStyle w:val="BesediloUMAR"/>
            </w:pPr>
            <w:r w:rsidRPr="0056590E">
              <w:rPr>
                <w:noProof/>
              </w:rPr>
              <w:drawing>
                <wp:inline distT="0" distB="0" distL="0" distR="0" wp14:anchorId="14A20379" wp14:editId="48F15C0F">
                  <wp:extent cx="5759450" cy="2095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095500"/>
                          </a:xfrm>
                          <a:prstGeom prst="rect">
                            <a:avLst/>
                          </a:prstGeom>
                          <a:noFill/>
                          <a:ln>
                            <a:noFill/>
                          </a:ln>
                        </pic:spPr>
                      </pic:pic>
                    </a:graphicData>
                  </a:graphic>
                </wp:inline>
              </w:drawing>
            </w:r>
          </w:p>
          <w:p w14:paraId="36ED8A08" w14:textId="4F317123" w:rsidR="00C40E92" w:rsidRDefault="002F0A04" w:rsidP="008F6BED">
            <w:pPr>
              <w:pStyle w:val="VirUMAR"/>
            </w:pPr>
            <w:r w:rsidRPr="008F6BED">
              <w:t xml:space="preserve">Vir podatkov: </w:t>
            </w:r>
            <w:r w:rsidR="00794B3C">
              <w:fldChar w:fldCharType="begin"/>
            </w:r>
            <w:r w:rsidR="00DD0A07">
              <w:instrText xml:space="preserve"> ADDIN ZOTERO_ITEM CSL_CITATION {"citationID":"FPm6W6HB","properties":{"formattedCitation":"(AJPES,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794B3C">
              <w:fldChar w:fldCharType="separate"/>
            </w:r>
            <w:r w:rsidR="00AA4E7F" w:rsidRPr="00AA4E7F">
              <w:t xml:space="preserve">AJPES </w:t>
            </w:r>
            <w:r w:rsidR="00C60D31">
              <w:t>(</w:t>
            </w:r>
            <w:r w:rsidR="00AA4E7F" w:rsidRPr="00AA4E7F">
              <w:t>2023)</w:t>
            </w:r>
            <w:r w:rsidR="00794B3C">
              <w:fldChar w:fldCharType="end"/>
            </w:r>
            <w:r w:rsidRPr="008F6BED">
              <w:t>, lastni izračuni.</w:t>
            </w:r>
            <w:r>
              <w:t xml:space="preserve"> </w:t>
            </w:r>
            <w:r w:rsidR="008F6BED" w:rsidRPr="007309C9">
              <w:t>Opomba: HHI – Hirschman-Herfindahlov indeks koncentracije.</w:t>
            </w:r>
            <w:r w:rsidR="008F6BED" w:rsidRPr="00923B83">
              <w:t xml:space="preserve"> </w:t>
            </w:r>
          </w:p>
          <w:p w14:paraId="2EC852A8" w14:textId="5B85CBEF" w:rsidR="00342089" w:rsidRPr="00747002" w:rsidRDefault="00342089" w:rsidP="008F6BED">
            <w:pPr>
              <w:pStyle w:val="VirUMAR"/>
            </w:pPr>
          </w:p>
        </w:tc>
      </w:tr>
    </w:tbl>
    <w:p w14:paraId="4508502D" w14:textId="1C0D731E" w:rsidR="00DB0C00" w:rsidRDefault="00DB0C00" w:rsidP="00DB0C00">
      <w:pPr>
        <w:pStyle w:val="BesediloUMAR"/>
        <w:rPr>
          <w:rStyle w:val="BoldpoudarekUMAR"/>
        </w:rPr>
      </w:pPr>
      <w:bookmarkStart w:id="13" w:name="_Toc528327260"/>
    </w:p>
    <w:p w14:paraId="4B060450" w14:textId="40E056AA" w:rsidR="001F7A99" w:rsidRDefault="001F7A99" w:rsidP="00DB0C00">
      <w:pPr>
        <w:pStyle w:val="BesediloUMAR"/>
        <w:rPr>
          <w:rStyle w:val="BoldpoudarekUMAR"/>
        </w:rPr>
      </w:pPr>
    </w:p>
    <w:p w14:paraId="3CAA06D5" w14:textId="62DD740F" w:rsidR="00116CEE" w:rsidRPr="00355D96" w:rsidRDefault="00116CEE" w:rsidP="00116CEE">
      <w:pPr>
        <w:pStyle w:val="BesediloUMAR"/>
      </w:pPr>
      <w:r w:rsidRPr="00E40ABF">
        <w:rPr>
          <w:rStyle w:val="BoldpoudarekUMAR"/>
        </w:rPr>
        <w:lastRenderedPageBreak/>
        <w:t>Neto čisti</w:t>
      </w:r>
      <w:r w:rsidRPr="005B3835">
        <w:rPr>
          <w:rStyle w:val="BoldpoudarekUMAR"/>
        </w:rPr>
        <w:t xml:space="preserve"> dobiček poslovnega leta v družbah trgovine z motornimi vozili se je po zmanjšanju leta 2020 v </w:t>
      </w:r>
      <w:r>
        <w:rPr>
          <w:rStyle w:val="BoldpoudarekUMAR"/>
        </w:rPr>
        <w:t>naslednjih dveh letih močneje okrepil</w:t>
      </w:r>
      <w:r w:rsidRPr="005B3835">
        <w:rPr>
          <w:rStyle w:val="BoldpoudarekUMAR"/>
        </w:rPr>
        <w:t>.</w:t>
      </w:r>
      <w:r w:rsidRPr="005B3835">
        <w:t xml:space="preserve"> </w:t>
      </w:r>
      <w:r w:rsidRPr="005B3835">
        <w:rPr>
          <w:i/>
          <w:iCs/>
        </w:rPr>
        <w:t>Neto dobiček iz poslovanja</w:t>
      </w:r>
      <w:r w:rsidRPr="005B3835">
        <w:t xml:space="preserve"> je </w:t>
      </w:r>
      <w:r>
        <w:t xml:space="preserve">bil tako </w:t>
      </w:r>
      <w:r w:rsidRPr="005B3835">
        <w:t>leta 202</w:t>
      </w:r>
      <w:r>
        <w:t>2</w:t>
      </w:r>
      <w:r w:rsidRPr="005B3835">
        <w:t xml:space="preserve"> </w:t>
      </w:r>
      <w:r>
        <w:t>enkrat večji</w:t>
      </w:r>
      <w:r w:rsidRPr="005B3835">
        <w:t xml:space="preserve"> kot leta 2019. Prodaja novih osebnih avtomobilov </w:t>
      </w:r>
      <w:r>
        <w:t xml:space="preserve">se </w:t>
      </w:r>
      <w:r w:rsidRPr="005B3835">
        <w:t xml:space="preserve">je sicer ob podaljšanih rokih dobave </w:t>
      </w:r>
      <w:r>
        <w:t>predvsem v prvi polovici leta 2022 še zmanjšala</w:t>
      </w:r>
      <w:r w:rsidRPr="005B3835">
        <w:rPr>
          <w:vertAlign w:val="superscript"/>
        </w:rPr>
        <w:footnoteReference w:id="12"/>
      </w:r>
      <w:r w:rsidRPr="005B3835">
        <w:t xml:space="preserve">, se je pa v </w:t>
      </w:r>
      <w:r>
        <w:t>zadnjih letih</w:t>
      </w:r>
      <w:r w:rsidRPr="005B3835">
        <w:t xml:space="preserve"> močneje okrepila prodaja rabljenih avtov. Prodaja se je </w:t>
      </w:r>
      <w:r>
        <w:t xml:space="preserve">v letih 2021 in 2022 </w:t>
      </w:r>
      <w:r w:rsidRPr="005B3835">
        <w:t>močno povečala na domačem trgu, kjer se je v letu 2020 tudi najbolj zmanjšala, kar je ob podobni prodaji na tujih trgih kot v prejšnjih letih precej zmanjšalo izvozno usmerjenost družb te panoge. Po poslabšanju v letu 2020</w:t>
      </w:r>
      <w:r>
        <w:t xml:space="preserve"> (</w:t>
      </w:r>
      <w:r w:rsidRPr="005B3835">
        <w:t>ko so družbe poslovale z izgubo iz financiranja</w:t>
      </w:r>
      <w:r w:rsidRPr="005B3835">
        <w:rPr>
          <w:iCs/>
        </w:rPr>
        <w:t xml:space="preserve"> v višini 5,2 </w:t>
      </w:r>
      <w:bookmarkStart w:id="14" w:name="_Hlk108776011"/>
      <w:r w:rsidRPr="005B3835">
        <w:t>mio evrov</w:t>
      </w:r>
      <w:bookmarkEnd w:id="14"/>
      <w:r>
        <w:t>) in močnem izboljšanju v letu 2021 (ko so družbe poslovale z dobičkom iz financiranja v višini 14,9 mio evrov)</w:t>
      </w:r>
      <w:r w:rsidRPr="005B3835">
        <w:t xml:space="preserve">, se je </w:t>
      </w:r>
      <w:r w:rsidR="008D0724">
        <w:t xml:space="preserve">lani </w:t>
      </w:r>
      <w:r w:rsidRPr="005B3835">
        <w:t xml:space="preserve">finančno poslovanje </w:t>
      </w:r>
      <w:r>
        <w:t>spet poslabšalo</w:t>
      </w:r>
      <w:r w:rsidRPr="005B3835">
        <w:t xml:space="preserve">. </w:t>
      </w:r>
      <w:r w:rsidRPr="00B91C3F">
        <w:t xml:space="preserve">Ob hkratnem zmanjšanju finančnih prihodkov za 10,8 mio evrov in povečanju finančnih odhodkov za 5,1 mio evrov </w:t>
      </w:r>
      <w:r w:rsidRPr="0091466F">
        <w:t xml:space="preserve">so družbe leto 2022 zaključile z </w:t>
      </w:r>
      <w:r w:rsidRPr="0091466F">
        <w:rPr>
          <w:i/>
          <w:iCs/>
        </w:rPr>
        <w:t xml:space="preserve">neto finančno izgubo </w:t>
      </w:r>
      <w:r w:rsidRPr="0091466F">
        <w:rPr>
          <w:iCs/>
        </w:rPr>
        <w:t>v višini 1</w:t>
      </w:r>
      <w:r w:rsidRPr="0091466F">
        <w:rPr>
          <w:i/>
          <w:iCs/>
        </w:rPr>
        <w:t xml:space="preserve"> </w:t>
      </w:r>
      <w:r w:rsidRPr="0091466F">
        <w:t xml:space="preserve">mio evrov in </w:t>
      </w:r>
      <w:r w:rsidRPr="0091466F">
        <w:rPr>
          <w:i/>
        </w:rPr>
        <w:t>neto čistim dobičkom</w:t>
      </w:r>
      <w:r w:rsidRPr="0091466F">
        <w:t xml:space="preserve"> poslovnega leta v </w:t>
      </w:r>
      <w:r w:rsidRPr="00882C58">
        <w:t>višini 196,6 mio evrov (leta 2021 pa 159,3 mio evrov).</w:t>
      </w:r>
    </w:p>
    <w:p w14:paraId="61D4F038" w14:textId="653C8D50" w:rsidR="00116CEE" w:rsidRDefault="00116CEE" w:rsidP="00116CEE">
      <w:pPr>
        <w:pStyle w:val="Napis"/>
      </w:pPr>
      <w:bookmarkStart w:id="15" w:name="_Hlk109044836"/>
      <w:r w:rsidRPr="00355D96">
        <w:t xml:space="preserve">Slika </w:t>
      </w:r>
      <w:r w:rsidRPr="00355D96">
        <w:fldChar w:fldCharType="begin"/>
      </w:r>
      <w:r w:rsidRPr="00355D96">
        <w:instrText xml:space="preserve"> SEQ Slika \* ARABIC </w:instrText>
      </w:r>
      <w:r w:rsidRPr="00355D96">
        <w:fldChar w:fldCharType="separate"/>
      </w:r>
      <w:r w:rsidR="005E01EE">
        <w:t>11</w:t>
      </w:r>
      <w:r w:rsidRPr="00355D96">
        <w:fldChar w:fldCharType="end"/>
      </w:r>
      <w:r w:rsidRPr="00355D96">
        <w:rPr>
          <w:rStyle w:val="DZBesediloChar"/>
          <w:szCs w:val="20"/>
        </w:rPr>
        <w:t xml:space="preserve">: </w:t>
      </w:r>
      <w:r w:rsidRPr="005B3835">
        <w:t>Neto dobiček iz poslovanja se je</w:t>
      </w:r>
      <w:r>
        <w:t xml:space="preserve"> med epidemijo </w:t>
      </w:r>
      <w:r w:rsidRPr="005B3835">
        <w:t xml:space="preserve">najbolj povečal v trgovini na debelo s farmacevtskimi izdelki in medicinskim materialom, </w:t>
      </w:r>
      <w:r>
        <w:t xml:space="preserve">v </w:t>
      </w:r>
      <w:r w:rsidRPr="005B3835">
        <w:t>let</w:t>
      </w:r>
      <w:r>
        <w:t>ih</w:t>
      </w:r>
      <w:r w:rsidRPr="005B3835">
        <w:t xml:space="preserve"> 2021 </w:t>
      </w:r>
      <w:r>
        <w:t xml:space="preserve">in 2022 </w:t>
      </w:r>
      <w:r w:rsidRPr="005B3835">
        <w:t xml:space="preserve">pa v trgovini na debelo s primarnimi proizvodi </w:t>
      </w:r>
    </w:p>
    <w:p w14:paraId="41108230" w14:textId="73D7C3F6" w:rsidR="00116CEE" w:rsidRDefault="0056590E" w:rsidP="00116CEE">
      <w:pPr>
        <w:pStyle w:val="Napis"/>
        <w:rPr>
          <w:rStyle w:val="DZBesediloChar"/>
          <w:szCs w:val="20"/>
        </w:rPr>
      </w:pPr>
      <w:r w:rsidRPr="0056590E">
        <w:rPr>
          <w:rStyle w:val="DZBesediloChar"/>
          <w:szCs w:val="20"/>
        </w:rPr>
        <w:drawing>
          <wp:inline distT="0" distB="0" distL="0" distR="0" wp14:anchorId="280C8077" wp14:editId="0A19905B">
            <wp:extent cx="5759450" cy="20968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2096865"/>
                    </a:xfrm>
                    <a:prstGeom prst="rect">
                      <a:avLst/>
                    </a:prstGeom>
                    <a:noFill/>
                    <a:ln>
                      <a:noFill/>
                    </a:ln>
                  </pic:spPr>
                </pic:pic>
              </a:graphicData>
            </a:graphic>
          </wp:inline>
        </w:drawing>
      </w:r>
      <w:r w:rsidR="00116CEE" w:rsidRPr="00355D96">
        <w:rPr>
          <w:rStyle w:val="DZBesediloChar"/>
          <w:szCs w:val="20"/>
        </w:rPr>
        <w:t xml:space="preserve"> </w:t>
      </w:r>
    </w:p>
    <w:p w14:paraId="315F5038" w14:textId="6909A989" w:rsidR="00116CEE" w:rsidRDefault="00116CEE" w:rsidP="00116CEE">
      <w:pPr>
        <w:pStyle w:val="VirUMAR"/>
      </w:pPr>
      <w:r w:rsidRPr="008F6BED">
        <w:t xml:space="preserve">Vir podatkov: </w:t>
      </w:r>
      <w:r>
        <w:fldChar w:fldCharType="begin"/>
      </w:r>
      <w:r w:rsidR="00DD0A07">
        <w:instrText xml:space="preserve"> ADDIN ZOTERO_ITEM CSL_CITATION {"citationID":"RujMNz8y","properties":{"formattedCitation":"(AJPES,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fldChar w:fldCharType="separate"/>
      </w:r>
      <w:r w:rsidRPr="00AA4E7F">
        <w:t xml:space="preserve">AJPES </w:t>
      </w:r>
      <w:r>
        <w:t>(</w:t>
      </w:r>
      <w:r w:rsidRPr="00AA4E7F">
        <w:t>2023)</w:t>
      </w:r>
      <w:r>
        <w:fldChar w:fldCharType="end"/>
      </w:r>
      <w:r>
        <w:fldChar w:fldCharType="begin"/>
      </w:r>
      <w:r>
        <w:instrText xml:space="preserve"> ADDIN ZOTERO_ITEM CSL_CITATION {"citationID":"6QdKJKF4","properties":{"formattedCitation":"(AJPES,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fldChar w:fldCharType="end"/>
      </w:r>
      <w:r w:rsidRPr="008F6BED">
        <w:t>, lastni izračuni.</w:t>
      </w:r>
    </w:p>
    <w:p w14:paraId="30953396" w14:textId="77777777" w:rsidR="00116CEE" w:rsidRDefault="00116CEE" w:rsidP="00116CEE">
      <w:pPr>
        <w:pStyle w:val="VirUMAR"/>
      </w:pPr>
    </w:p>
    <w:bookmarkEnd w:id="15"/>
    <w:p w14:paraId="79699D48" w14:textId="6CB5BCA5" w:rsidR="001F7A99" w:rsidRDefault="00116CEE" w:rsidP="00116CEE">
      <w:pPr>
        <w:pStyle w:val="BesediloUMAR"/>
      </w:pPr>
      <w:r w:rsidRPr="001F7A99">
        <w:rPr>
          <w:rStyle w:val="BoldpoudarekUMAR"/>
        </w:rPr>
        <w:t>V družbah</w:t>
      </w:r>
      <w:r w:rsidRPr="00CE2BF4">
        <w:rPr>
          <w:rStyle w:val="BoldpoudarekUMAR"/>
        </w:rPr>
        <w:t xml:space="preserve"> trgovine na debelo se je neto čisti dobiček poslovnega leta</w:t>
      </w:r>
      <w:r>
        <w:rPr>
          <w:rStyle w:val="BoldpoudarekUMAR"/>
        </w:rPr>
        <w:t>, ki se je močno povečal med epidemijo, v 2022</w:t>
      </w:r>
      <w:r w:rsidRPr="00CE2BF4">
        <w:rPr>
          <w:rStyle w:val="BoldpoudarekUMAR"/>
        </w:rPr>
        <w:t xml:space="preserve"> </w:t>
      </w:r>
      <w:r>
        <w:rPr>
          <w:rStyle w:val="BoldpoudarekUMAR"/>
        </w:rPr>
        <w:t>še nekoliko okrepil</w:t>
      </w:r>
      <w:r w:rsidRPr="00CE2BF4">
        <w:rPr>
          <w:rStyle w:val="BoldpoudarekUMAR"/>
        </w:rPr>
        <w:t>.</w:t>
      </w:r>
      <w:r w:rsidRPr="005B3835">
        <w:t xml:space="preserve"> </w:t>
      </w:r>
      <w:r w:rsidRPr="005B3835">
        <w:rPr>
          <w:i/>
        </w:rPr>
        <w:t>Neto dobiček iz poslovanja</w:t>
      </w:r>
      <w:r w:rsidRPr="005B3835">
        <w:t xml:space="preserve"> družb oddelka posredništvo in trgovina na debelo, ki se je v letih 2012 in 2013 zmanjšal, se je v naslednjih letih do </w:t>
      </w:r>
      <w:r w:rsidR="00872B17">
        <w:t>lani</w:t>
      </w:r>
      <w:r w:rsidRPr="005B3835">
        <w:t xml:space="preserve"> povečal na 8</w:t>
      </w:r>
      <w:r>
        <w:t>98</w:t>
      </w:r>
      <w:r w:rsidRPr="005B3835">
        <w:t>,</w:t>
      </w:r>
      <w:r>
        <w:t>3</w:t>
      </w:r>
      <w:r w:rsidRPr="005B3835">
        <w:t xml:space="preserve"> mio evrov. Na povečanje je močno vplivalo prenehanje poslovanja večje družbe leta 2014</w:t>
      </w:r>
      <w:r w:rsidRPr="005B3835">
        <w:rPr>
          <w:vertAlign w:val="superscript"/>
        </w:rPr>
        <w:footnoteReference w:id="13"/>
      </w:r>
      <w:r w:rsidRPr="005B3835">
        <w:t>, izboljševanje poslovnega rezultata zaradi povečanja prodaje v večini panog trgovine na debelo v letih 2015–2019 in izboljšanje poslovanja predvsem farmacevtskih in medicinskih panog v letu 2020, ki se jim je v let</w:t>
      </w:r>
      <w:r>
        <w:t>ih</w:t>
      </w:r>
      <w:r w:rsidRPr="005B3835">
        <w:t xml:space="preserve"> 2021</w:t>
      </w:r>
      <w:r>
        <w:t xml:space="preserve"> in 2022 </w:t>
      </w:r>
      <w:r w:rsidRPr="005B3835">
        <w:t>pridružilo še izboljšanje poslovanja panog, ki se ukvarjajo s prodajo primarnih proizvodov</w:t>
      </w:r>
      <w:r w:rsidRPr="005B3835">
        <w:rPr>
          <w:vertAlign w:val="superscript"/>
          <w:lang w:val="en-US"/>
        </w:rPr>
        <w:footnoteReference w:id="14"/>
      </w:r>
      <w:r>
        <w:t>, pa tudi pijač, sadja in zelenjave ter oblačil</w:t>
      </w:r>
      <w:r w:rsidRPr="005B3835">
        <w:t>. Povečana prodaja v letih 2015–2019 je bila posledica visoke proizvodne aktivnosti panog</w:t>
      </w:r>
      <w:r>
        <w:t>,</w:t>
      </w:r>
      <w:r w:rsidRPr="005B3835">
        <w:t xml:space="preserve"> povezanih s trgovino (predelovalne dejavnosti, promet, gradbeništvo), v letih 2017 in 2018 tudi povečanja prodaje primarnih proizvodov (goriva, kovine, rude), v letih 2017–2019 pa tudi farmacevtskih proizvodov na </w:t>
      </w:r>
      <w:r w:rsidRPr="005B3835">
        <w:lastRenderedPageBreak/>
        <w:t xml:space="preserve">tuje trge (predvsem v EU). Ob izbruhu epidemije v letu 2020 in nadaljevanju v letu 2021 se je nadaljevala visoka rast prodaje farmacevtskih izdelkov ter medicinskih potrebščin in materialov, kar je </w:t>
      </w:r>
      <w:r>
        <w:t>močno</w:t>
      </w:r>
      <w:r w:rsidRPr="005B3835">
        <w:t xml:space="preserve"> povečalo neto dobiček iz poslovanja te panoge</w:t>
      </w:r>
      <w:r>
        <w:t xml:space="preserve">. V letu 2022 se je sicer ta ob normalizaciji zdravstvenih razmer zmanjšal, a bil še vedno za četrtino večji od neto dobička iz poslovanja iz leta 2019. </w:t>
      </w:r>
      <w:r w:rsidRPr="005B3835">
        <w:t xml:space="preserve">Visoke rasti prodaje in neto čistega dobička iz poslovanja so leta 2020 dosegle tudi družbe, ki se ukvarjajo s prodajo računalniških naprav, lesom, gradbenim materialom in kemičnimi izdelki, </w:t>
      </w:r>
      <w:r>
        <w:t xml:space="preserve">v </w:t>
      </w:r>
      <w:r w:rsidRPr="005B3835">
        <w:t>let</w:t>
      </w:r>
      <w:r>
        <w:t>ih</w:t>
      </w:r>
      <w:r w:rsidRPr="005B3835">
        <w:t xml:space="preserve"> 2021 </w:t>
      </w:r>
      <w:r>
        <w:t xml:space="preserve">in 2022 </w:t>
      </w:r>
      <w:r w:rsidRPr="005B3835">
        <w:t>pa poleg omenjenih tudi družbe, ki se ukvarjajo s prodajo električnih in telekomunikacijs</w:t>
      </w:r>
      <w:r>
        <w:t>k</w:t>
      </w:r>
      <w:r w:rsidRPr="005B3835">
        <w:t>ih naprav, kovinami, rudami in kovinskimi proizvodi</w:t>
      </w:r>
      <w:r>
        <w:t xml:space="preserve">. V letu 2021 se je močno izboljšalo tudi poslovanje družb, ki se ukvarjajo s prodajo na debelo z gorivi, </w:t>
      </w:r>
      <w:r w:rsidRPr="00922920">
        <w:t xml:space="preserve">ki pa se je v letu 2022, najbrž tudi </w:t>
      </w:r>
      <w:r>
        <w:t xml:space="preserve">zaradi </w:t>
      </w:r>
      <w:r w:rsidRPr="00922920">
        <w:t>visokih nabavnih cen in regulacije prodajnih cen,</w:t>
      </w:r>
      <w:r>
        <w:t xml:space="preserve"> močno poslabšalo. Po tem, ko se je poslovanje</w:t>
      </w:r>
      <w:r w:rsidRPr="004C557B">
        <w:t xml:space="preserve"> </w:t>
      </w:r>
      <w:r w:rsidRPr="005B3835">
        <w:t>družb, ki prodajajo pijačo, sadje in zelenjavo ter oblačila in obutev</w:t>
      </w:r>
      <w:r w:rsidR="00B230BB">
        <w:t>,</w:t>
      </w:r>
      <w:r w:rsidRPr="005B3835">
        <w:t xml:space="preserve"> v letu 2020, zaradi večmesečnega zaprtja gostinskih in nastanitvenih obratov ter šol, pa tudi prodajaln z oblačili in obutvijo med razglasitvijo epidemije, močno poslabšalo</w:t>
      </w:r>
      <w:r>
        <w:t xml:space="preserve">, se je to v naslednjih dveh letih ponovno izboljšalo. </w:t>
      </w:r>
      <w:r w:rsidRPr="005B3835">
        <w:t>Leta 202</w:t>
      </w:r>
      <w:r>
        <w:t>2</w:t>
      </w:r>
      <w:r w:rsidRPr="005B3835">
        <w:t xml:space="preserve"> so družbe v trgovini na debelo </w:t>
      </w:r>
      <w:r>
        <w:t xml:space="preserve">ohranile visok </w:t>
      </w:r>
      <w:r w:rsidRPr="00C1746F">
        <w:rPr>
          <w:i/>
        </w:rPr>
        <w:t>neto dobič</w:t>
      </w:r>
      <w:r>
        <w:rPr>
          <w:i/>
        </w:rPr>
        <w:t>ek</w:t>
      </w:r>
      <w:r w:rsidRPr="00C1746F">
        <w:rPr>
          <w:i/>
        </w:rPr>
        <w:t xml:space="preserve"> iz financiranja</w:t>
      </w:r>
      <w:r w:rsidRPr="005B3835">
        <w:t xml:space="preserve"> (v višini </w:t>
      </w:r>
      <w:r>
        <w:t>27</w:t>
      </w:r>
      <w:r w:rsidRPr="005B3835">
        <w:t>,</w:t>
      </w:r>
      <w:r>
        <w:t>5</w:t>
      </w:r>
      <w:r w:rsidRPr="005B3835">
        <w:t xml:space="preserve"> mio evrov)</w:t>
      </w:r>
      <w:r>
        <w:t xml:space="preserve">, </w:t>
      </w:r>
      <w:r w:rsidRPr="00740947">
        <w:rPr>
          <w:i/>
        </w:rPr>
        <w:t>neto čisti dobiček</w:t>
      </w:r>
      <w:r>
        <w:t xml:space="preserve"> pa se je tako v letu 2022 povečal še za 4 % na 760,3 mio evrov</w:t>
      </w:r>
      <w:r w:rsidRPr="005B3835">
        <w:t>.</w:t>
      </w:r>
    </w:p>
    <w:p w14:paraId="60C29FBE" w14:textId="77777777" w:rsidR="00116CEE" w:rsidRDefault="00116CEE" w:rsidP="00116CEE">
      <w:pPr>
        <w:pStyle w:val="BesediloUMAR"/>
        <w:rPr>
          <w:rStyle w:val="BoldpoudarekUMAR"/>
        </w:rPr>
      </w:pPr>
    </w:p>
    <w:p w14:paraId="26BF9055" w14:textId="6B426314" w:rsidR="00DB0C00" w:rsidRDefault="00DB0C00" w:rsidP="00DB0C00">
      <w:pPr>
        <w:pStyle w:val="BesediloUMAR"/>
      </w:pPr>
      <w:r w:rsidRPr="001F7A99">
        <w:rPr>
          <w:rStyle w:val="BoldpoudarekUMAR"/>
        </w:rPr>
        <w:t>Neto čisti</w:t>
      </w:r>
      <w:r w:rsidRPr="00CE2BF4">
        <w:rPr>
          <w:rStyle w:val="BoldpoudarekUMAR"/>
        </w:rPr>
        <w:t xml:space="preserve"> dobiček v trgovini na drobno se je</w:t>
      </w:r>
      <w:r w:rsidR="00815AA9">
        <w:rPr>
          <w:rStyle w:val="BoldpoudarekUMAR"/>
        </w:rPr>
        <w:t>,</w:t>
      </w:r>
      <w:r w:rsidRPr="00CE2BF4">
        <w:rPr>
          <w:rStyle w:val="BoldpoudarekUMAR"/>
        </w:rPr>
        <w:t xml:space="preserve"> po </w:t>
      </w:r>
      <w:r w:rsidR="00301925">
        <w:rPr>
          <w:rStyle w:val="BoldpoudarekUMAR"/>
        </w:rPr>
        <w:t>skokovitem povečanju</w:t>
      </w:r>
      <w:r w:rsidRPr="00CE2BF4">
        <w:rPr>
          <w:rStyle w:val="BoldpoudarekUMAR"/>
        </w:rPr>
        <w:t xml:space="preserve"> leta 202</w:t>
      </w:r>
      <w:r w:rsidR="00301925">
        <w:rPr>
          <w:rStyle w:val="BoldpoudarekUMAR"/>
        </w:rPr>
        <w:t>1</w:t>
      </w:r>
      <w:r w:rsidR="00815AA9">
        <w:rPr>
          <w:rStyle w:val="BoldpoudarekUMAR"/>
        </w:rPr>
        <w:t>,</w:t>
      </w:r>
      <w:r w:rsidRPr="00CE2BF4">
        <w:rPr>
          <w:rStyle w:val="BoldpoudarekUMAR"/>
        </w:rPr>
        <w:t xml:space="preserve"> v letu 202</w:t>
      </w:r>
      <w:r w:rsidR="00E935A1">
        <w:rPr>
          <w:rStyle w:val="BoldpoudarekUMAR"/>
        </w:rPr>
        <w:t>2</w:t>
      </w:r>
      <w:r w:rsidRPr="00CE2BF4">
        <w:rPr>
          <w:rStyle w:val="BoldpoudarekUMAR"/>
        </w:rPr>
        <w:t xml:space="preserve"> močno </w:t>
      </w:r>
      <w:r w:rsidR="00E935A1">
        <w:rPr>
          <w:rStyle w:val="BoldpoudarekUMAR"/>
        </w:rPr>
        <w:t>zmanjšal</w:t>
      </w:r>
      <w:r w:rsidRPr="00CE2BF4">
        <w:rPr>
          <w:rStyle w:val="BoldpoudarekUMAR"/>
        </w:rPr>
        <w:t xml:space="preserve">, na kar je vplivalo predvsem </w:t>
      </w:r>
      <w:r w:rsidR="00E935A1">
        <w:rPr>
          <w:rStyle w:val="BoldpoudarekUMAR"/>
        </w:rPr>
        <w:t>zmanjšanje</w:t>
      </w:r>
      <w:r w:rsidRPr="00CE2BF4">
        <w:rPr>
          <w:rStyle w:val="BoldpoudarekUMAR"/>
        </w:rPr>
        <w:t xml:space="preserve"> neto dobička iz poslovanja.</w:t>
      </w:r>
      <w:r w:rsidRPr="00CE2BF4">
        <w:rPr>
          <w:b/>
        </w:rPr>
        <w:t xml:space="preserve"> </w:t>
      </w:r>
      <w:r w:rsidRPr="00CE2BF4">
        <w:t>Po</w:t>
      </w:r>
      <w:r w:rsidR="00E935A1">
        <w:t xml:space="preserve"> tem, ko se je leta 2021 </w:t>
      </w:r>
      <w:r w:rsidR="00483AC2">
        <w:t>po</w:t>
      </w:r>
      <w:r w:rsidRPr="00CE2BF4">
        <w:t xml:space="preserve">večal za 459 % oz. </w:t>
      </w:r>
      <w:r w:rsidRPr="00BE66DE">
        <w:t>358,7 mio evrov</w:t>
      </w:r>
      <w:r w:rsidRPr="00CE2BF4">
        <w:t xml:space="preserve"> na 436,8 mio evrov</w:t>
      </w:r>
      <w:r w:rsidR="002F1176">
        <w:t>, se je leta 2022 neto čisti dobiček zmanjšal za 40 %, a bil s 263,4 mio evrov še vedno višji kot pred epidemijo (leta 2019)</w:t>
      </w:r>
      <w:r w:rsidRPr="00CE2BF4">
        <w:t>. Na poslovanje celotne panoge najbolj vplivajo družbe dveh skupin, k</w:t>
      </w:r>
      <w:r w:rsidR="002F1176">
        <w:t xml:space="preserve">jer je </w:t>
      </w:r>
      <w:r w:rsidR="002F1176" w:rsidRPr="00CE2BF4">
        <w:t xml:space="preserve">neto dobiček iz poslovanja </w:t>
      </w:r>
      <w:r w:rsidR="002F1176">
        <w:t>v zadnjih dveh letih najbolj nihal</w:t>
      </w:r>
      <w:r w:rsidR="002F1176">
        <w:rPr>
          <w:rStyle w:val="Sprotnaopomba-sklic"/>
        </w:rPr>
        <w:footnoteReference w:id="15"/>
      </w:r>
      <w:r w:rsidRPr="00CE2BF4">
        <w:t xml:space="preserve"> </w:t>
      </w:r>
      <w:r w:rsidR="00E57B7F">
        <w:t>–</w:t>
      </w:r>
      <w:r w:rsidRPr="00CE2BF4">
        <w:t xml:space="preserve"> </w:t>
      </w:r>
      <w:bookmarkStart w:id="16" w:name="_Hlk138239032"/>
      <w:r w:rsidR="00A21BD6" w:rsidRPr="00CE2BF4">
        <w:t>trgovine na drobno v nespecializiranih prodajalnah</w:t>
      </w:r>
      <w:bookmarkEnd w:id="16"/>
      <w:r w:rsidR="00A21BD6" w:rsidRPr="00CE2BF4">
        <w:t xml:space="preserve"> (G 47.1)</w:t>
      </w:r>
      <w:r w:rsidR="00A21BD6">
        <w:t xml:space="preserve"> in t</w:t>
      </w:r>
      <w:r w:rsidRPr="00CE2BF4">
        <w:t xml:space="preserve">rgovine na drobno v specializiranih prodajalnah z motornimi gorivi (G 47.3). V zadnjih </w:t>
      </w:r>
      <w:r w:rsidR="002F1176">
        <w:t>tre</w:t>
      </w:r>
      <w:r w:rsidRPr="00CE2BF4">
        <w:t>h letih so na poslovanje celotnega oddelka močno vplivale tudi družbe manjših panog, katerih poslovanje se je v letu 2020, zaradi omejitev pri poslovanju, močno poslabšalo, v let</w:t>
      </w:r>
      <w:r w:rsidR="002F1176">
        <w:t>ih</w:t>
      </w:r>
      <w:r w:rsidRPr="00CE2BF4">
        <w:t xml:space="preserve"> 2021</w:t>
      </w:r>
      <w:r w:rsidR="002F1176">
        <w:t xml:space="preserve"> in 2022</w:t>
      </w:r>
      <w:r w:rsidRPr="00CE2BF4">
        <w:t xml:space="preserve"> pa ponovno oživelo. Gre predvsem za družbe trgovine na drobno v specializiranih prodajalnah z drugo gospodinjsko opremo (G 47.5), družbe trgovine na drobno v specializiranih prodajalnah z izdelki za kulturo, šport in zabavo (G 47.6) </w:t>
      </w:r>
      <w:r w:rsidR="00AD5EBB">
        <w:t>ter</w:t>
      </w:r>
      <w:r w:rsidRPr="00CE2BF4">
        <w:t xml:space="preserve"> družbe trgovine na drobno v specializiranih prodajalnah z drugimi izdelki (G 47.7). Skupaj so družbe teh panog zaradi manjše prodaje v letu 2020 glede na leto 2019 zmanjšale svoj neto dobiček iz poslovanja za 85,2 mio evrov; ob oživitvi poslovanja v </w:t>
      </w:r>
      <w:r w:rsidR="00A21BD6">
        <w:t>naslednjih dveh letih</w:t>
      </w:r>
      <w:r w:rsidRPr="00CE2BF4">
        <w:t xml:space="preserve"> pa se je </w:t>
      </w:r>
      <w:r w:rsidR="00C60D31">
        <w:t xml:space="preserve">do leta 2022 </w:t>
      </w:r>
      <w:r w:rsidRPr="00CE2BF4">
        <w:t>spet povečal za 1</w:t>
      </w:r>
      <w:r w:rsidR="00A21BD6">
        <w:t>15</w:t>
      </w:r>
      <w:r w:rsidRPr="00CE2BF4">
        <w:t>,</w:t>
      </w:r>
      <w:r w:rsidR="00A21BD6">
        <w:t>3</w:t>
      </w:r>
      <w:r w:rsidRPr="00CE2BF4">
        <w:t xml:space="preserve"> mio evrov.</w:t>
      </w:r>
    </w:p>
    <w:p w14:paraId="1E10C18E" w14:textId="63FF6A19" w:rsidR="00DB0C00" w:rsidRDefault="00DB0C00" w:rsidP="00DB0C00">
      <w:pPr>
        <w:pStyle w:val="Napis"/>
      </w:pPr>
      <w:r w:rsidRPr="00355D96">
        <w:t xml:space="preserve">Slika </w:t>
      </w:r>
      <w:r w:rsidRPr="00355D96">
        <w:fldChar w:fldCharType="begin"/>
      </w:r>
      <w:r w:rsidRPr="00355D96">
        <w:instrText xml:space="preserve"> SEQ Slika \* ARABIC </w:instrText>
      </w:r>
      <w:r w:rsidRPr="00355D96">
        <w:fldChar w:fldCharType="separate"/>
      </w:r>
      <w:r w:rsidR="005E01EE">
        <w:t>12</w:t>
      </w:r>
      <w:r w:rsidRPr="00355D96">
        <w:fldChar w:fldCharType="end"/>
      </w:r>
      <w:r w:rsidRPr="00355D96">
        <w:rPr>
          <w:rStyle w:val="DZBesediloChar"/>
          <w:szCs w:val="20"/>
        </w:rPr>
        <w:t xml:space="preserve">: </w:t>
      </w:r>
      <w:r w:rsidRPr="00CE2BF4">
        <w:t>Finančni odhodki iz oslabitev gospodarskih družb v trgovini na drobno v nespecializiranih prodajalnah so se v let</w:t>
      </w:r>
      <w:r w:rsidR="001F7A99">
        <w:t>ih</w:t>
      </w:r>
      <w:r w:rsidRPr="00CE2BF4">
        <w:t xml:space="preserve"> 2021 </w:t>
      </w:r>
      <w:r w:rsidR="001F7A99">
        <w:t xml:space="preserve">in 2022 </w:t>
      </w:r>
      <w:r w:rsidRPr="00CE2BF4">
        <w:t xml:space="preserve">precej zmanjšali </w:t>
      </w:r>
    </w:p>
    <w:p w14:paraId="03DE32AA" w14:textId="1A99BCE0" w:rsidR="00DB0C00" w:rsidRDefault="0056590E" w:rsidP="00DB0C00">
      <w:pPr>
        <w:pStyle w:val="Napis"/>
        <w:rPr>
          <w:rStyle w:val="DZBesediloChar"/>
          <w:szCs w:val="20"/>
        </w:rPr>
      </w:pPr>
      <w:r w:rsidRPr="0056590E">
        <w:rPr>
          <w:rStyle w:val="DZBesediloChar"/>
          <w:szCs w:val="20"/>
        </w:rPr>
        <w:drawing>
          <wp:inline distT="0" distB="0" distL="0" distR="0" wp14:anchorId="1E0963F8" wp14:editId="23D2E80B">
            <wp:extent cx="5759450" cy="20968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2096865"/>
                    </a:xfrm>
                    <a:prstGeom prst="rect">
                      <a:avLst/>
                    </a:prstGeom>
                    <a:noFill/>
                    <a:ln>
                      <a:noFill/>
                    </a:ln>
                  </pic:spPr>
                </pic:pic>
              </a:graphicData>
            </a:graphic>
          </wp:inline>
        </w:drawing>
      </w:r>
      <w:r w:rsidR="00DB0C00" w:rsidRPr="00355D96">
        <w:rPr>
          <w:rStyle w:val="DZBesediloChar"/>
          <w:szCs w:val="20"/>
        </w:rPr>
        <w:t xml:space="preserve"> </w:t>
      </w:r>
    </w:p>
    <w:p w14:paraId="7E4A6192" w14:textId="01A5FC3C" w:rsidR="00DB0C00" w:rsidRDefault="00DB0C00" w:rsidP="00DB0C00">
      <w:pPr>
        <w:pStyle w:val="VirUMAR"/>
      </w:pPr>
      <w:r w:rsidRPr="008F6BED">
        <w:t xml:space="preserve">Vir podatkov: </w:t>
      </w:r>
      <w:r w:rsidR="00794B3C">
        <w:fldChar w:fldCharType="begin"/>
      </w:r>
      <w:r w:rsidR="00DD0A07">
        <w:instrText xml:space="preserve"> ADDIN ZOTERO_ITEM CSL_CITATION {"citationID":"ferTL3rX","properties":{"formattedCitation":"(AJPES,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794B3C">
        <w:fldChar w:fldCharType="separate"/>
      </w:r>
      <w:r w:rsidR="00AA4E7F" w:rsidRPr="00AA4E7F">
        <w:t xml:space="preserve">AJPES </w:t>
      </w:r>
      <w:r w:rsidR="00794812">
        <w:t>(</w:t>
      </w:r>
      <w:r w:rsidR="00AA4E7F" w:rsidRPr="00AA4E7F">
        <w:t>2023)</w:t>
      </w:r>
      <w:r w:rsidR="00794B3C">
        <w:fldChar w:fldCharType="end"/>
      </w:r>
      <w:r w:rsidRPr="008F6BED">
        <w:t>, lastni izračuni.</w:t>
      </w:r>
    </w:p>
    <w:p w14:paraId="068E18A0" w14:textId="77777777" w:rsidR="00DB0C00" w:rsidRDefault="00DB0C00" w:rsidP="00DB0C00">
      <w:pPr>
        <w:pStyle w:val="VirUMAR"/>
      </w:pPr>
    </w:p>
    <w:p w14:paraId="48D97E98" w14:textId="3DBE2772" w:rsidR="00B20507" w:rsidRDefault="00DB0C00" w:rsidP="00DB0C00">
      <w:pPr>
        <w:pStyle w:val="BesediloUMAR"/>
      </w:pPr>
      <w:r w:rsidRPr="001F7A99">
        <w:rPr>
          <w:b/>
        </w:rPr>
        <w:t>Poslovni r</w:t>
      </w:r>
      <w:r w:rsidRPr="00CE2BF4">
        <w:rPr>
          <w:b/>
        </w:rPr>
        <w:t>ezultat v družbah trgovine na drobno v nespecializiranih prodajalnah se je</w:t>
      </w:r>
      <w:r w:rsidR="0057224B">
        <w:rPr>
          <w:b/>
        </w:rPr>
        <w:t>,</w:t>
      </w:r>
      <w:r w:rsidRPr="00CE2BF4">
        <w:rPr>
          <w:b/>
        </w:rPr>
        <w:t xml:space="preserve"> </w:t>
      </w:r>
      <w:r w:rsidR="0057224B">
        <w:rPr>
          <w:b/>
        </w:rPr>
        <w:t xml:space="preserve">po občutnem izboljšanju v predhodnem letu, </w:t>
      </w:r>
      <w:r w:rsidRPr="00CE2BF4">
        <w:rPr>
          <w:b/>
        </w:rPr>
        <w:t>v letu 202</w:t>
      </w:r>
      <w:r w:rsidR="0057224B">
        <w:rPr>
          <w:b/>
        </w:rPr>
        <w:t>2</w:t>
      </w:r>
      <w:r w:rsidRPr="00CE2BF4">
        <w:rPr>
          <w:b/>
        </w:rPr>
        <w:t xml:space="preserve"> </w:t>
      </w:r>
      <w:r w:rsidR="00FB65FB">
        <w:rPr>
          <w:b/>
        </w:rPr>
        <w:t>precej poslabšal</w:t>
      </w:r>
      <w:r w:rsidRPr="00CE2BF4">
        <w:rPr>
          <w:b/>
        </w:rPr>
        <w:t>.</w:t>
      </w:r>
      <w:r w:rsidRPr="00CE2BF4">
        <w:t xml:space="preserve"> Po neto čisti izgubi leta 2017 je celotna skupina, </w:t>
      </w:r>
      <w:bookmarkStart w:id="17" w:name="_Hlk138239151"/>
      <w:r w:rsidRPr="00CE2BF4">
        <w:t>v kateri prevladujejo hipermarketi, marketi in diskonti</w:t>
      </w:r>
      <w:bookmarkEnd w:id="17"/>
      <w:r w:rsidRPr="00CE2BF4">
        <w:t xml:space="preserve"> (G 47.110), leto 2018 zaključila z </w:t>
      </w:r>
      <w:r w:rsidRPr="00C1746F">
        <w:rPr>
          <w:i/>
        </w:rPr>
        <w:t>neto čistim dobičkom</w:t>
      </w:r>
      <w:r w:rsidR="00EB73DC" w:rsidRPr="00CE2BF4">
        <w:rPr>
          <w:vertAlign w:val="superscript"/>
        </w:rPr>
        <w:footnoteReference w:id="16"/>
      </w:r>
      <w:r w:rsidR="00EB73DC">
        <w:rPr>
          <w:i/>
        </w:rPr>
        <w:t xml:space="preserve"> </w:t>
      </w:r>
      <w:r w:rsidR="00EB73DC" w:rsidRPr="00EB73DC">
        <w:t>v višini</w:t>
      </w:r>
      <w:r w:rsidR="00EB73DC">
        <w:t xml:space="preserve"> 57,8 mio evrov. Do l</w:t>
      </w:r>
      <w:r w:rsidRPr="00CE2BF4">
        <w:t>eta 20</w:t>
      </w:r>
      <w:r w:rsidR="00EB73DC">
        <w:t>20 se je ta precej zmanjšal (na 11,4 mio evrov)</w:t>
      </w:r>
      <w:r w:rsidR="009C3CF5">
        <w:t xml:space="preserve">, </w:t>
      </w:r>
      <w:r w:rsidR="00EB73DC">
        <w:t xml:space="preserve">leta 2021 skokovito povečal na 207,1 mio evrov, </w:t>
      </w:r>
      <w:r w:rsidR="004A553E">
        <w:t xml:space="preserve">lani </w:t>
      </w:r>
      <w:r w:rsidR="00EB73DC">
        <w:t xml:space="preserve">pa </w:t>
      </w:r>
      <w:r w:rsidR="002634D6">
        <w:t xml:space="preserve">skoraj </w:t>
      </w:r>
      <w:r w:rsidR="00EB73DC">
        <w:t xml:space="preserve">prepolovil na </w:t>
      </w:r>
      <w:r w:rsidR="002634D6">
        <w:t xml:space="preserve">111,1 mio evrov. Zmanjšanje v letu 2020 je bilo predvsem posledica skoraj podvojene </w:t>
      </w:r>
      <w:r w:rsidR="002634D6" w:rsidRPr="002634D6">
        <w:rPr>
          <w:i/>
        </w:rPr>
        <w:t>i</w:t>
      </w:r>
      <w:r w:rsidRPr="00C971BD">
        <w:rPr>
          <w:i/>
        </w:rPr>
        <w:t>zgub</w:t>
      </w:r>
      <w:r w:rsidR="002634D6">
        <w:rPr>
          <w:i/>
        </w:rPr>
        <w:t>e</w:t>
      </w:r>
      <w:r w:rsidRPr="00C971BD">
        <w:rPr>
          <w:i/>
        </w:rPr>
        <w:t xml:space="preserve"> iz financiranja</w:t>
      </w:r>
      <w:r w:rsidR="002634D6">
        <w:rPr>
          <w:rStyle w:val="Sprotnaopomba-sklic"/>
          <w:i/>
        </w:rPr>
        <w:footnoteReference w:id="17"/>
      </w:r>
      <w:r w:rsidR="002634D6">
        <w:t xml:space="preserve">, ki se je v naslednjih dveh letih precej zmanjšala </w:t>
      </w:r>
      <w:r w:rsidRPr="00CE2BF4">
        <w:t>(</w:t>
      </w:r>
      <w:r w:rsidR="002634D6">
        <w:t>iz</w:t>
      </w:r>
      <w:r w:rsidRPr="00CE2BF4">
        <w:t xml:space="preserve"> 101,4 mio evrov</w:t>
      </w:r>
      <w:r w:rsidR="002634D6">
        <w:t xml:space="preserve"> v letu 2019</w:t>
      </w:r>
      <w:r w:rsidRPr="00CE2BF4">
        <w:t xml:space="preserve"> na 4</w:t>
      </w:r>
      <w:r w:rsidR="0057224B">
        <w:t>8</w:t>
      </w:r>
      <w:r w:rsidRPr="00CE2BF4">
        <w:t>,</w:t>
      </w:r>
      <w:r w:rsidR="0057224B">
        <w:t>1</w:t>
      </w:r>
      <w:r w:rsidRPr="00CE2BF4">
        <w:t xml:space="preserve"> mio evrov</w:t>
      </w:r>
      <w:r w:rsidR="002634D6">
        <w:t xml:space="preserve"> v letu 2022</w:t>
      </w:r>
      <w:r w:rsidR="0057224B">
        <w:t>)</w:t>
      </w:r>
      <w:r w:rsidR="00677B8B">
        <w:t>, n</w:t>
      </w:r>
      <w:r w:rsidR="002634D6">
        <w:t>a gibanje v letih 2021 in 2022 pa je najbolj vplival</w:t>
      </w:r>
      <w:r w:rsidR="00677B8B">
        <w:t xml:space="preserve"> </w:t>
      </w:r>
      <w:r w:rsidR="00677B8B" w:rsidRPr="00677B8B">
        <w:rPr>
          <w:i/>
        </w:rPr>
        <w:t>neto dobiček iz poslovanja</w:t>
      </w:r>
      <w:r w:rsidR="00677B8B">
        <w:t>. Ta se je že v letu 2020, še bolj pa v letu 2021</w:t>
      </w:r>
      <w:r w:rsidR="00BE66DE">
        <w:t>,</w:t>
      </w:r>
      <w:r w:rsidR="00677B8B">
        <w:t xml:space="preserve"> močno povečal, na kar </w:t>
      </w:r>
      <w:r w:rsidRPr="00CE2BF4">
        <w:t>je vplivala povečana prodaj</w:t>
      </w:r>
      <w:r>
        <w:t>a</w:t>
      </w:r>
      <w:r w:rsidRPr="00CE2BF4">
        <w:t xml:space="preserve"> zaradi nabav zalog neživil in živil, ki so si jih ljudje naredili predvsem ob prvem valu epidemije in pred zaprtjem javnega življenja ter večjega prehranjevanja doma zaradi nedelovanja gostinskih obratov ter dela in šolanja na daljavo. Poleg večje prodaje v klasičnih trgovinah se je močno povečala tudi </w:t>
      </w:r>
      <w:r w:rsidR="006C56C9">
        <w:t xml:space="preserve">spletna </w:t>
      </w:r>
      <w:r w:rsidRPr="00CE2BF4">
        <w:t xml:space="preserve">prodaja. </w:t>
      </w:r>
      <w:r w:rsidR="00B20507">
        <w:t xml:space="preserve">Po zelo ugodnem poslovnem letu 2021 so se lani razmere poslovanja zaostrile. </w:t>
      </w:r>
      <w:r w:rsidR="00C3693B">
        <w:t>Višje nabavne cene so občutneje povečale višino n</w:t>
      </w:r>
      <w:r w:rsidR="00B20507">
        <w:t>ajpomembnejš</w:t>
      </w:r>
      <w:r w:rsidR="00C3693B">
        <w:t>e</w:t>
      </w:r>
      <w:r w:rsidR="00B20507">
        <w:t xml:space="preserve"> postavk</w:t>
      </w:r>
      <w:r w:rsidR="00C3693B">
        <w:t>e</w:t>
      </w:r>
      <w:r w:rsidR="00B20507">
        <w:t xml:space="preserve"> poslovnih odhodkov </w:t>
      </w:r>
      <w:r w:rsidR="008309D5">
        <w:t xml:space="preserve">trgovcev </w:t>
      </w:r>
      <w:r w:rsidR="003F1B8F">
        <w:t>–</w:t>
      </w:r>
      <w:r w:rsidR="00B20507">
        <w:t xml:space="preserve"> stroški blaga, materiala in storitev, ki </w:t>
      </w:r>
      <w:r w:rsidR="006A1F26">
        <w:t>pomenijo</w:t>
      </w:r>
      <w:r w:rsidR="00C16CB6">
        <w:t xml:space="preserve"> </w:t>
      </w:r>
      <w:r w:rsidR="00B20507">
        <w:t>8</w:t>
      </w:r>
      <w:r w:rsidR="00C3693B">
        <w:t>3</w:t>
      </w:r>
      <w:r w:rsidR="00B20507">
        <w:t xml:space="preserve"> % vseh poslovnih odhodkov, so se lani namreč povečali </w:t>
      </w:r>
      <w:r w:rsidR="00C3693B">
        <w:t xml:space="preserve">za </w:t>
      </w:r>
      <w:r w:rsidR="0006399C">
        <w:t>11 %</w:t>
      </w:r>
      <w:r w:rsidR="00C3693B">
        <w:t>.</w:t>
      </w:r>
      <w:r w:rsidR="00B20507">
        <w:t xml:space="preserve"> </w:t>
      </w:r>
      <w:r w:rsidR="008309D5">
        <w:t xml:space="preserve">Pri tem se je za </w:t>
      </w:r>
      <w:r w:rsidR="0006399C">
        <w:t>11 %</w:t>
      </w:r>
      <w:r w:rsidR="008309D5">
        <w:t xml:space="preserve"> povečala nabavna vrednost prodanega blaga in materiala (ki sicer </w:t>
      </w:r>
      <w:r w:rsidR="0022784D">
        <w:t>vključuje</w:t>
      </w:r>
      <w:r w:rsidR="008309D5">
        <w:t xml:space="preserve"> večino, 86 %, vseh stroškov blaga, materiala in storitev), stroški porabljenega materiala, kamor spadajo tudi stroški energije</w:t>
      </w:r>
      <w:r w:rsidR="006A1F26">
        <w:t>,</w:t>
      </w:r>
      <w:r w:rsidR="008309D5">
        <w:t xml:space="preserve"> pa za </w:t>
      </w:r>
      <w:r w:rsidR="0006399C">
        <w:t>29 %</w:t>
      </w:r>
      <w:r w:rsidR="008309D5">
        <w:t xml:space="preserve">. </w:t>
      </w:r>
      <w:r w:rsidR="00B20507">
        <w:t xml:space="preserve">Ob povečanju stroškov dela za </w:t>
      </w:r>
      <w:r w:rsidR="0006399C">
        <w:t>7</w:t>
      </w:r>
      <w:r w:rsidR="00B20507">
        <w:t xml:space="preserve"> %, na kar je vplivala višja minimalna in povprečna plača, so se poslovni odhodki povečali za </w:t>
      </w:r>
      <w:r w:rsidR="0006399C">
        <w:t>desetino.</w:t>
      </w:r>
      <w:r w:rsidR="00B20507">
        <w:t xml:space="preserve"> </w:t>
      </w:r>
      <w:r w:rsidR="00A134AA">
        <w:t xml:space="preserve">Visoka rast zasebne potrošnje, ki je leta 2021 botrovala tudi </w:t>
      </w:r>
      <w:r w:rsidR="00176B80">
        <w:t>visoki rasti prihodkov v trgovini, se je lani sicer nadaljevala, vendar pa se je rast potrošnje preusmerila k storitvam, medtem ko so bili nakupi hrane, pijače in nekaterih trajnih dobrin racionalnejši. Tako so bili</w:t>
      </w:r>
      <w:r w:rsidR="0006399C">
        <w:t xml:space="preserve"> </w:t>
      </w:r>
      <w:r w:rsidR="00176B80">
        <w:t>p</w:t>
      </w:r>
      <w:r w:rsidR="0006399C">
        <w:t>oslovni prihodki</w:t>
      </w:r>
      <w:r w:rsidR="00B20507">
        <w:t xml:space="preserve"> </w:t>
      </w:r>
      <w:r w:rsidR="00176B80">
        <w:t>oz</w:t>
      </w:r>
      <w:r w:rsidR="00C60D31">
        <w:t>iroma</w:t>
      </w:r>
      <w:r w:rsidR="00176B80">
        <w:t xml:space="preserve"> čisti prihodki od prodaje predvsem na račun višjih cen medletno višji </w:t>
      </w:r>
      <w:r w:rsidR="0006399C">
        <w:t>za</w:t>
      </w:r>
      <w:r w:rsidR="00FB65FB">
        <w:t xml:space="preserve"> 8 %</w:t>
      </w:r>
      <w:r w:rsidR="00176B80">
        <w:t xml:space="preserve"> oziroma </w:t>
      </w:r>
      <w:r w:rsidR="00FB65FB">
        <w:t>9 %, vendar je njihova rast zaostajala za rastjo poslovnih odhodkov</w:t>
      </w:r>
      <w:r w:rsidR="00B20507">
        <w:t>, tako da</w:t>
      </w:r>
      <w:r w:rsidR="00FB65FB">
        <w:t xml:space="preserve"> se</w:t>
      </w:r>
      <w:r w:rsidR="00B20507">
        <w:t xml:space="preserve"> je dobiček iz poslovanja</w:t>
      </w:r>
      <w:r w:rsidR="00FB65FB">
        <w:t xml:space="preserve"> v letu 2022 zmanjšal za 36 % oz. za 108,2 mio evr</w:t>
      </w:r>
      <w:r w:rsidR="00786F74">
        <w:t>ov</w:t>
      </w:r>
      <w:r w:rsidR="00FB65FB">
        <w:t xml:space="preserve">. Kljub </w:t>
      </w:r>
      <w:r w:rsidR="00FB65FB" w:rsidRPr="00A42053">
        <w:t>temu je z 190 mio evr</w:t>
      </w:r>
      <w:r w:rsidR="00A42053" w:rsidRPr="00030C99">
        <w:t>ov</w:t>
      </w:r>
      <w:r w:rsidR="00FB65FB" w:rsidRPr="00A42053">
        <w:t>, z izjemo leta 2021</w:t>
      </w:r>
      <w:r w:rsidR="00FB65FB">
        <w:t>, ostal najvišji v zadnjih letih.</w:t>
      </w:r>
    </w:p>
    <w:p w14:paraId="5F5F0BC1" w14:textId="77777777" w:rsidR="00DB0C00" w:rsidRDefault="00DB0C00" w:rsidP="00DB0C00">
      <w:pPr>
        <w:pStyle w:val="BesediloUMAR"/>
        <w:rPr>
          <w:b/>
        </w:rPr>
      </w:pPr>
    </w:p>
    <w:p w14:paraId="5C52C39A" w14:textId="59FB7EA4" w:rsidR="00DB0C00" w:rsidRPr="00CE2BF4" w:rsidRDefault="00DB0C00" w:rsidP="00DB0C00">
      <w:pPr>
        <w:pStyle w:val="BesediloUMAR"/>
      </w:pPr>
      <w:bookmarkStart w:id="18" w:name="_Hlk138239879"/>
      <w:r w:rsidRPr="001F7A99">
        <w:rPr>
          <w:b/>
        </w:rPr>
        <w:t>Družbe trgovine</w:t>
      </w:r>
      <w:r w:rsidRPr="00DE0B02">
        <w:rPr>
          <w:b/>
        </w:rPr>
        <w:t xml:space="preserve"> na drobno v specializiranih prodajalnah z motornimi gorivi </w:t>
      </w:r>
      <w:bookmarkEnd w:id="18"/>
      <w:r w:rsidRPr="00DE0B02">
        <w:rPr>
          <w:b/>
        </w:rPr>
        <w:t>so leta 202</w:t>
      </w:r>
      <w:r w:rsidR="00DE0B02">
        <w:rPr>
          <w:b/>
        </w:rPr>
        <w:t>2</w:t>
      </w:r>
      <w:r w:rsidRPr="00DE0B02">
        <w:rPr>
          <w:b/>
        </w:rPr>
        <w:t xml:space="preserve"> </w:t>
      </w:r>
      <w:r w:rsidR="00DE0B02">
        <w:rPr>
          <w:b/>
        </w:rPr>
        <w:t xml:space="preserve">ustvarile le slabo desetino </w:t>
      </w:r>
      <w:r w:rsidRPr="00DE0B02">
        <w:rPr>
          <w:b/>
        </w:rPr>
        <w:t>neto čist</w:t>
      </w:r>
      <w:r w:rsidR="00BF183F">
        <w:rPr>
          <w:b/>
        </w:rPr>
        <w:t>ega</w:t>
      </w:r>
      <w:r w:rsidRPr="00DE0B02">
        <w:rPr>
          <w:b/>
        </w:rPr>
        <w:t xml:space="preserve"> dobičk</w:t>
      </w:r>
      <w:r w:rsidR="00BF183F">
        <w:rPr>
          <w:b/>
        </w:rPr>
        <w:t>a iz predhodnega leta</w:t>
      </w:r>
      <w:r w:rsidRPr="00DE0B02">
        <w:rPr>
          <w:b/>
        </w:rPr>
        <w:t>.</w:t>
      </w:r>
      <w:r w:rsidRPr="00DE0B02">
        <w:t xml:space="preserve"> Po rekordni višini v letu 2018 se je </w:t>
      </w:r>
      <w:r w:rsidRPr="00922920">
        <w:rPr>
          <w:i/>
        </w:rPr>
        <w:t>neto čisti dobiček</w:t>
      </w:r>
      <w:r w:rsidRPr="00DE0B02">
        <w:t xml:space="preserve"> v letu 2019 zmanjšal za skoraj tretjino</w:t>
      </w:r>
      <w:r w:rsidRPr="00DE0B02">
        <w:rPr>
          <w:vertAlign w:val="superscript"/>
          <w:lang w:val="en-US"/>
        </w:rPr>
        <w:footnoteReference w:id="18"/>
      </w:r>
      <w:r w:rsidRPr="00DE0B02">
        <w:t>, v letu 2020 pa se je predvsem zaradi manjše prodaje ob omejitvah gibanja in delovanja med epidemijo še več kot prepolovil in bil s 41,6 mio evri najnižji po letu 2012. Ob povečanem povpraševanju in s tem višj</w:t>
      </w:r>
      <w:r w:rsidR="00242897" w:rsidRPr="00DE0B02">
        <w:t>i</w:t>
      </w:r>
      <w:r w:rsidRPr="00DE0B02">
        <w:t xml:space="preserve"> prodaj</w:t>
      </w:r>
      <w:r w:rsidR="00B21EFB" w:rsidRPr="00DE0B02">
        <w:t>i</w:t>
      </w:r>
      <w:r w:rsidRPr="00DE0B02">
        <w:t xml:space="preserve"> proizvodov iz nafte ter tudi višjih cenah se je </w:t>
      </w:r>
      <w:r w:rsidR="00BF183F">
        <w:t xml:space="preserve">leta 2021 </w:t>
      </w:r>
      <w:r w:rsidRPr="00DE0B02">
        <w:t>močno povečal in znašal 106,3 mio evrov</w:t>
      </w:r>
      <w:r w:rsidR="00BF183F">
        <w:t xml:space="preserve">. Poslovanje družb se je </w:t>
      </w:r>
      <w:r w:rsidR="00B01493">
        <w:t xml:space="preserve">lani </w:t>
      </w:r>
      <w:r w:rsidR="00BF183F">
        <w:t xml:space="preserve">izrazito poslabšalo, na kar je vplivala tudi vladna regulacija cen goriv, električne energije in zemeljskega plina, ki </w:t>
      </w:r>
      <w:r w:rsidR="00D6498D">
        <w:t>je bila vzpostavljena</w:t>
      </w:r>
      <w:r w:rsidR="00BF183F">
        <w:t xml:space="preserve"> zaradi visokih cen goriv in energentov ter naraščajoč</w:t>
      </w:r>
      <w:r w:rsidR="00D6498D">
        <w:t>e</w:t>
      </w:r>
      <w:r w:rsidR="00BF183F">
        <w:t xml:space="preserve"> inflacij</w:t>
      </w:r>
      <w:r w:rsidR="00D6498D">
        <w:t>e</w:t>
      </w:r>
      <w:r w:rsidR="00BF183F">
        <w:t xml:space="preserve">. </w:t>
      </w:r>
      <w:r w:rsidR="00241ED7">
        <w:t>Tudi za</w:t>
      </w:r>
      <w:r w:rsidR="00D6498D">
        <w:t>radi visokih nabavnih cen energentov so se poslovni odhodki v letu 2022 skoraj podvojili</w:t>
      </w:r>
      <w:r w:rsidR="00D6498D">
        <w:rPr>
          <w:rStyle w:val="Sprotnaopomba-sklic"/>
        </w:rPr>
        <w:footnoteReference w:id="19"/>
      </w:r>
      <w:r w:rsidR="00D6498D">
        <w:t xml:space="preserve">, poslovni prihodki pa so se povečali za 91 %. </w:t>
      </w:r>
      <w:r w:rsidR="00D6498D" w:rsidRPr="00922920">
        <w:rPr>
          <w:i/>
        </w:rPr>
        <w:t>Dobiček iz poslovanja</w:t>
      </w:r>
      <w:r w:rsidR="00D6498D">
        <w:t xml:space="preserve"> se je tako zmanjšal za 96 % na rekordno nizkih 5,4 mio evrov.</w:t>
      </w:r>
      <w:r w:rsidR="00481E90">
        <w:t xml:space="preserve"> </w:t>
      </w:r>
      <w:r w:rsidR="00922920">
        <w:t xml:space="preserve">Ob zmanjšanju </w:t>
      </w:r>
      <w:r w:rsidR="00922920" w:rsidRPr="00922920">
        <w:rPr>
          <w:i/>
        </w:rPr>
        <w:t>izgube iz financiranja</w:t>
      </w:r>
      <w:r w:rsidR="00922920">
        <w:t xml:space="preserve"> (za 93 % oz. 16,6 mio evrov) so družbe poslovno leto zaključile z neto čistim dobičkom v višini 8,7 mio evrov, kar je bilo najmanj po letu 2008, ko so družbe poslovale z neto čisto izgubo.</w:t>
      </w:r>
    </w:p>
    <w:p w14:paraId="29376228" w14:textId="203641BB" w:rsidR="00CE2BF4" w:rsidRDefault="00CE2BF4" w:rsidP="00CE2BF4">
      <w:pPr>
        <w:pStyle w:val="Napis"/>
        <w:rPr>
          <w:rStyle w:val="DZBesediloChar"/>
          <w:szCs w:val="20"/>
        </w:rPr>
      </w:pPr>
      <w:r w:rsidRPr="00355D96">
        <w:lastRenderedPageBreak/>
        <w:t xml:space="preserve">Slika </w:t>
      </w:r>
      <w:r w:rsidRPr="00355D96">
        <w:fldChar w:fldCharType="begin"/>
      </w:r>
      <w:r w:rsidRPr="00355D96">
        <w:instrText xml:space="preserve"> SEQ Slika \* ARABIC </w:instrText>
      </w:r>
      <w:r w:rsidRPr="00355D96">
        <w:fldChar w:fldCharType="separate"/>
      </w:r>
      <w:r w:rsidR="005E01EE">
        <w:t>13</w:t>
      </w:r>
      <w:r w:rsidRPr="00355D96">
        <w:fldChar w:fldCharType="end"/>
      </w:r>
      <w:r w:rsidRPr="00355D96">
        <w:rPr>
          <w:rStyle w:val="DZBesediloChar"/>
          <w:szCs w:val="20"/>
        </w:rPr>
        <w:t xml:space="preserve">: </w:t>
      </w:r>
      <w:r w:rsidRPr="00CE2BF4">
        <w:t xml:space="preserve">Presežek prihodkov od prodaje nad stroški blaga, materiala, storitev in dela </w:t>
      </w:r>
      <w:r w:rsidR="006C15DE">
        <w:t xml:space="preserve">v družbah trgovine na drobno v nespecializiranih prodajalnah </w:t>
      </w:r>
      <w:r w:rsidR="0030159B">
        <w:t xml:space="preserve">in trgovine na drobno z motornimi gorivi </w:t>
      </w:r>
      <w:r w:rsidRPr="00CE2BF4">
        <w:t>se je v letu 20</w:t>
      </w:r>
      <w:r w:rsidR="001F7A99">
        <w:t>22 zmanjšal</w:t>
      </w:r>
      <w:r w:rsidRPr="00355D96">
        <w:rPr>
          <w:rStyle w:val="DZBesediloChar"/>
          <w:szCs w:val="20"/>
        </w:rPr>
        <w:t xml:space="preserve"> </w:t>
      </w:r>
    </w:p>
    <w:p w14:paraId="4CBD50F4" w14:textId="39088C08" w:rsidR="00CE2BF4" w:rsidRPr="00CE2BF4" w:rsidRDefault="0056590E" w:rsidP="00CE2BF4">
      <w:pPr>
        <w:pStyle w:val="BesediloUMAR"/>
      </w:pPr>
      <w:r w:rsidRPr="0056590E">
        <w:rPr>
          <w:noProof/>
        </w:rPr>
        <w:drawing>
          <wp:inline distT="0" distB="0" distL="0" distR="0" wp14:anchorId="6209269A" wp14:editId="007D5A1A">
            <wp:extent cx="5759450" cy="20968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2096865"/>
                    </a:xfrm>
                    <a:prstGeom prst="rect">
                      <a:avLst/>
                    </a:prstGeom>
                    <a:noFill/>
                    <a:ln>
                      <a:noFill/>
                    </a:ln>
                  </pic:spPr>
                </pic:pic>
              </a:graphicData>
            </a:graphic>
          </wp:inline>
        </w:drawing>
      </w:r>
    </w:p>
    <w:p w14:paraId="15D771DE" w14:textId="0EBAC1B9" w:rsidR="002F0A04" w:rsidRDefault="002F0A04" w:rsidP="002F0A04">
      <w:pPr>
        <w:pStyle w:val="VirUMAR"/>
      </w:pPr>
      <w:r w:rsidRPr="008F6BED">
        <w:t xml:space="preserve">Vir podatkov: </w:t>
      </w:r>
      <w:r w:rsidR="00794B3C">
        <w:fldChar w:fldCharType="begin"/>
      </w:r>
      <w:r w:rsidR="00AA4E7F">
        <w:instrText xml:space="preserve"> ADDIN ZOTERO_ITEM CSL_CITATION {"citationID":"UNm6tw8R","properties":{"formattedCitation":"(AJPES,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794B3C">
        <w:fldChar w:fldCharType="separate"/>
      </w:r>
      <w:r w:rsidR="00794B3C" w:rsidRPr="00F379D2">
        <w:t xml:space="preserve">AJPES </w:t>
      </w:r>
      <w:r w:rsidR="00794B3C">
        <w:t>(</w:t>
      </w:r>
      <w:r w:rsidR="00794B3C" w:rsidRPr="00F379D2">
        <w:t>2023)</w:t>
      </w:r>
      <w:r w:rsidR="00794B3C">
        <w:fldChar w:fldCharType="end"/>
      </w:r>
      <w:r w:rsidRPr="008F6BED">
        <w:t>, lastni izračuni.</w:t>
      </w:r>
    </w:p>
    <w:p w14:paraId="0538013B" w14:textId="77777777" w:rsidR="001C45CE" w:rsidRDefault="001C45CE" w:rsidP="00CE2BF4">
      <w:pPr>
        <w:pStyle w:val="VirUMAR"/>
      </w:pPr>
    </w:p>
    <w:p w14:paraId="5093F505" w14:textId="6E700265" w:rsidR="001C45CE" w:rsidRPr="001C45CE" w:rsidRDefault="001C45CE" w:rsidP="001C45CE">
      <w:pPr>
        <w:pStyle w:val="BesediloUMAR"/>
        <w:rPr>
          <w:b/>
        </w:rPr>
      </w:pPr>
      <w:r w:rsidRPr="00922920">
        <w:rPr>
          <w:b/>
        </w:rPr>
        <w:t>Družbam trgovine na drobno v nespecializiranih prodajalnah in v specializiranih prodajalnah z motornimi gorivi so se</w:t>
      </w:r>
      <w:r w:rsidR="00922920">
        <w:rPr>
          <w:b/>
        </w:rPr>
        <w:t>,</w:t>
      </w:r>
      <w:r w:rsidRPr="00922920">
        <w:rPr>
          <w:b/>
        </w:rPr>
        <w:t xml:space="preserve"> </w:t>
      </w:r>
      <w:r w:rsidR="00922920">
        <w:rPr>
          <w:b/>
        </w:rPr>
        <w:t xml:space="preserve">po močnem povečanju v predhodnem letu, </w:t>
      </w:r>
      <w:r w:rsidRPr="00922920">
        <w:rPr>
          <w:b/>
        </w:rPr>
        <w:t>v letu 202</w:t>
      </w:r>
      <w:r w:rsidR="00922920">
        <w:rPr>
          <w:b/>
        </w:rPr>
        <w:t>2 zmanjšali</w:t>
      </w:r>
      <w:r w:rsidRPr="00922920">
        <w:rPr>
          <w:b/>
        </w:rPr>
        <w:t xml:space="preserve"> tudi pribitki. </w:t>
      </w:r>
      <w:r w:rsidRPr="00922920">
        <w:t>Pri družbah obeh panog je bil</w:t>
      </w:r>
      <w:r w:rsidRPr="00922920">
        <w:rPr>
          <w:b/>
        </w:rPr>
        <w:t xml:space="preserve"> </w:t>
      </w:r>
      <w:r w:rsidRPr="00922920">
        <w:t>pribitek, izračunan kot razmerje med prihodki od prodaje in stroški za nabavo blaga, materiala in storitev ter stroški dela</w:t>
      </w:r>
      <w:r w:rsidR="00B21EFB" w:rsidRPr="00922920">
        <w:t>,</w:t>
      </w:r>
      <w:r w:rsidRPr="00922920">
        <w:t xml:space="preserve"> v letu 2021</w:t>
      </w:r>
      <w:r w:rsidR="005F40ED" w:rsidRPr="00922920">
        <w:t xml:space="preserve"> </w:t>
      </w:r>
      <w:r w:rsidRPr="00922920">
        <w:t>najvišji v celotnem obdobju. Družbam trgovine na drobno v nespecializiranih prodajalnah</w:t>
      </w:r>
      <w:r w:rsidR="001D7A57">
        <w:t>, ki</w:t>
      </w:r>
      <w:r w:rsidRPr="00922920">
        <w:t xml:space="preserve"> se </w:t>
      </w:r>
      <w:r w:rsidR="001D7A57">
        <w:t xml:space="preserve">jim </w:t>
      </w:r>
      <w:r w:rsidRPr="00922920">
        <w:t>je krepil po letu 2016, močneje v letih 2020 in 2021</w:t>
      </w:r>
      <w:r w:rsidR="001D7A57">
        <w:t>, se je lani zmanjšal na približno raven iz leta 2019</w:t>
      </w:r>
      <w:r w:rsidRPr="00922920">
        <w:t xml:space="preserve">. </w:t>
      </w:r>
      <w:r w:rsidR="00FD407F">
        <w:t xml:space="preserve">Družbam </w:t>
      </w:r>
      <w:r w:rsidR="00FD407F" w:rsidRPr="00922920">
        <w:t>v specializiranih prodajalnah z motornimi gorivi</w:t>
      </w:r>
      <w:r w:rsidR="00FD407F">
        <w:rPr>
          <w:bCs/>
        </w:rPr>
        <w:t>, ki se jim je p</w:t>
      </w:r>
      <w:r w:rsidRPr="00922920">
        <w:rPr>
          <w:bCs/>
        </w:rPr>
        <w:t xml:space="preserve">o zmanjšanju v letu 2020 </w:t>
      </w:r>
      <w:r w:rsidR="00FD407F">
        <w:rPr>
          <w:bCs/>
        </w:rPr>
        <w:t>leta 2021</w:t>
      </w:r>
      <w:r w:rsidRPr="00922920">
        <w:rPr>
          <w:bCs/>
        </w:rPr>
        <w:t xml:space="preserve"> močneje okrepil</w:t>
      </w:r>
      <w:r w:rsidR="00FD407F">
        <w:rPr>
          <w:bCs/>
        </w:rPr>
        <w:t xml:space="preserve">, pa se je </w:t>
      </w:r>
      <w:r w:rsidR="006C0F34">
        <w:rPr>
          <w:bCs/>
        </w:rPr>
        <w:t xml:space="preserve">pribitek </w:t>
      </w:r>
      <w:r w:rsidR="00FD407F">
        <w:rPr>
          <w:bCs/>
        </w:rPr>
        <w:t>zmanjšal na najnižjo raven od leta 2008</w:t>
      </w:r>
      <w:r w:rsidRPr="00922920">
        <w:rPr>
          <w:bCs/>
        </w:rPr>
        <w:t>.</w:t>
      </w:r>
      <w:r w:rsidRPr="001C45CE">
        <w:rPr>
          <w:b/>
        </w:rPr>
        <w:t xml:space="preserve"> </w:t>
      </w:r>
    </w:p>
    <w:p w14:paraId="572BB0AF" w14:textId="77777777" w:rsidR="001C45CE" w:rsidRPr="001C45CE" w:rsidRDefault="001C45CE" w:rsidP="001C45CE">
      <w:pPr>
        <w:pStyle w:val="BesediloUMAR"/>
        <w:rPr>
          <w:b/>
        </w:rPr>
      </w:pPr>
    </w:p>
    <w:p w14:paraId="42260AAE" w14:textId="2A88AB6C" w:rsidR="001C45CE" w:rsidRDefault="001C45CE" w:rsidP="001C45CE">
      <w:pPr>
        <w:pStyle w:val="BesediloUMAR"/>
      </w:pPr>
      <w:r w:rsidRPr="001F7A99">
        <w:rPr>
          <w:b/>
        </w:rPr>
        <w:t>Zadolženost t</w:t>
      </w:r>
      <w:r w:rsidRPr="001C45CE">
        <w:rPr>
          <w:b/>
        </w:rPr>
        <w:t>rgovinskih družb se je</w:t>
      </w:r>
      <w:r w:rsidR="006C2260">
        <w:rPr>
          <w:b/>
        </w:rPr>
        <w:t xml:space="preserve"> v letu 2022 precej povečala. </w:t>
      </w:r>
      <w:r w:rsidR="006C2260">
        <w:t>Z</w:t>
      </w:r>
      <w:r w:rsidR="006C2260" w:rsidRPr="001C45CE">
        <w:t>adolženost, merjena z deležem dolga v virih sredstev</w:t>
      </w:r>
      <w:r w:rsidR="006C2260">
        <w:t>, ki je bila v letih 2020 in 2021 r</w:t>
      </w:r>
      <w:r w:rsidR="00924713">
        <w:t>azmeroma</w:t>
      </w:r>
      <w:r w:rsidR="006C2260">
        <w:t xml:space="preserve"> nizka, se je lani precej povečala in bila z 58,5 % najvišja po letu 2017. Povečale so se predvsem kratkoročne obveznosti</w:t>
      </w:r>
      <w:r w:rsidR="0046590F">
        <w:t xml:space="preserve">, ki so prvič po letu 2018 predstavljale čez 40 % celotnega dolga. </w:t>
      </w:r>
      <w:r w:rsidRPr="001C45CE">
        <w:t>Dolg se je v letu 202</w:t>
      </w:r>
      <w:r w:rsidR="006C2260">
        <w:t>2 precej povečal predvsem družbam trgovine z motornimi vozili,</w:t>
      </w:r>
      <w:r w:rsidR="0046590F">
        <w:t xml:space="preserve"> ki so po enoletnem premoru ponovno postale </w:t>
      </w:r>
      <w:r w:rsidR="0046590F" w:rsidRPr="001C45CE">
        <w:t>najbolj zadolžene med vsemi tremi panogami</w:t>
      </w:r>
      <w:r w:rsidRPr="001C45CE">
        <w:t xml:space="preserve">. Zadolženost se je </w:t>
      </w:r>
      <w:r w:rsidR="0046590F">
        <w:t>povečala tudi</w:t>
      </w:r>
      <w:r w:rsidRPr="001C45CE">
        <w:t xml:space="preserve"> družbam v trgovini na debelo in v trgovini na drobno</w:t>
      </w:r>
      <w:r w:rsidR="0046590F">
        <w:t xml:space="preserve"> (</w:t>
      </w:r>
      <w:r w:rsidRPr="001C45CE">
        <w:t xml:space="preserve">ki so </w:t>
      </w:r>
      <w:r w:rsidR="0046590F">
        <w:t>bile v letu 2021 najbolj zadolžene v trgovini)</w:t>
      </w:r>
      <w:r w:rsidRPr="001C45CE">
        <w:t>.</w:t>
      </w:r>
      <w:r w:rsidR="0046590F">
        <w:t xml:space="preserve"> </w:t>
      </w:r>
    </w:p>
    <w:p w14:paraId="48749EA3" w14:textId="08C1AA0D" w:rsidR="00CE2BF4" w:rsidRDefault="00CE2BF4" w:rsidP="00CE2BF4">
      <w:pPr>
        <w:pStyle w:val="Napis"/>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005E01EE">
        <w:t>14</w:t>
      </w:r>
      <w:r w:rsidRPr="00355D96">
        <w:fldChar w:fldCharType="end"/>
      </w:r>
      <w:r w:rsidRPr="00355D96">
        <w:rPr>
          <w:rStyle w:val="DZBesediloChar"/>
          <w:szCs w:val="20"/>
        </w:rPr>
        <w:t xml:space="preserve">: </w:t>
      </w:r>
      <w:r w:rsidR="001C45CE" w:rsidRPr="001C45CE">
        <w:t>V letu 202</w:t>
      </w:r>
      <w:r w:rsidR="007B17CD">
        <w:t>2</w:t>
      </w:r>
      <w:r w:rsidR="001C45CE" w:rsidRPr="001C45CE">
        <w:t xml:space="preserve"> so najbolj zadolžene </w:t>
      </w:r>
      <w:r w:rsidR="007B17CD">
        <w:t xml:space="preserve">ponovno </w:t>
      </w:r>
      <w:r w:rsidR="001C45CE" w:rsidRPr="001C45CE">
        <w:t xml:space="preserve">postale družbe v trgovini </w:t>
      </w:r>
      <w:r w:rsidR="007B17CD">
        <w:t>z motornimi vozili</w:t>
      </w:r>
      <w:r w:rsidR="001C45CE" w:rsidRPr="001C45CE">
        <w:t xml:space="preserve"> </w:t>
      </w:r>
    </w:p>
    <w:p w14:paraId="3CF69C7F" w14:textId="2FBB4544" w:rsidR="001C45CE" w:rsidRPr="001C45CE" w:rsidRDefault="0056590E" w:rsidP="001C45CE">
      <w:pPr>
        <w:pStyle w:val="BesediloUMAR"/>
      </w:pPr>
      <w:r w:rsidRPr="0056590E">
        <w:rPr>
          <w:noProof/>
        </w:rPr>
        <w:drawing>
          <wp:inline distT="0" distB="0" distL="0" distR="0" wp14:anchorId="449ACDB4" wp14:editId="2EBFE086">
            <wp:extent cx="5759450" cy="209518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2095185"/>
                    </a:xfrm>
                    <a:prstGeom prst="rect">
                      <a:avLst/>
                    </a:prstGeom>
                    <a:noFill/>
                    <a:ln>
                      <a:noFill/>
                    </a:ln>
                  </pic:spPr>
                </pic:pic>
              </a:graphicData>
            </a:graphic>
          </wp:inline>
        </w:drawing>
      </w:r>
    </w:p>
    <w:p w14:paraId="5BDE8056" w14:textId="79EE62E3" w:rsidR="002F0A04" w:rsidRDefault="002F0A04" w:rsidP="002F0A04">
      <w:pPr>
        <w:pStyle w:val="VirUMAR"/>
      </w:pPr>
      <w:r w:rsidRPr="008F6BED">
        <w:t xml:space="preserve">Vir podatkov: </w:t>
      </w:r>
      <w:r w:rsidR="00794B3C">
        <w:fldChar w:fldCharType="begin"/>
      </w:r>
      <w:r w:rsidR="00AA4E7F">
        <w:instrText xml:space="preserve"> ADDIN ZOTERO_ITEM CSL_CITATION {"citationID":"h6xSIJa0","properties":{"formattedCitation":"(AJPES, 2023)","plainCitation":"(AJPES, 2023)","dontUpdate":true,"noteIndex":0},"citationItems":[{"id":1801,"uris":["http://zotero.org/users/8372339/items/IC2SCV5C"],"uri":["http://zotero.org/users/8372339/items/IC2SCV5C"],"itemData":{"id":1801,"type":"report","event-place":"Ljubljana","publisher":"Agencija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podjetnike","author":[{"family":"AJPES","given":""}],"issued":{"date-parts":[["2023"]]}}}],"schema":"https://github.com/citation-style-language/schema/raw/master/csl-citation.json"} </w:instrText>
      </w:r>
      <w:r w:rsidR="00794B3C">
        <w:fldChar w:fldCharType="separate"/>
      </w:r>
      <w:r w:rsidR="00794B3C" w:rsidRPr="00F379D2">
        <w:t xml:space="preserve">AJPES </w:t>
      </w:r>
      <w:r w:rsidR="00794B3C">
        <w:t>(</w:t>
      </w:r>
      <w:r w:rsidR="00794B3C" w:rsidRPr="00F379D2">
        <w:t>2023)</w:t>
      </w:r>
      <w:r w:rsidR="00794B3C">
        <w:fldChar w:fldCharType="end"/>
      </w:r>
      <w:r w:rsidRPr="008F6BED">
        <w:t>, lastni izračuni.</w:t>
      </w:r>
    </w:p>
    <w:p w14:paraId="01EE5909" w14:textId="77777777" w:rsidR="00CE2BF4" w:rsidRDefault="00CE2BF4" w:rsidP="00390A78">
      <w:pPr>
        <w:pStyle w:val="BesediloUMAR"/>
      </w:pPr>
    </w:p>
    <w:bookmarkEnd w:id="13"/>
    <w:p w14:paraId="2FDA5010" w14:textId="77777777" w:rsidR="008F6BED" w:rsidRDefault="008F6BED" w:rsidP="008F6BED">
      <w:pPr>
        <w:pStyle w:val="Naslov1"/>
      </w:pPr>
      <w:r>
        <w:lastRenderedPageBreak/>
        <w:t xml:space="preserve">Zaključek </w:t>
      </w:r>
    </w:p>
    <w:p w14:paraId="42E6BCE6" w14:textId="7226F44A" w:rsidR="004548C9" w:rsidRPr="00726E04" w:rsidRDefault="004548C9" w:rsidP="004548C9">
      <w:pPr>
        <w:pStyle w:val="BesediloUMAR"/>
      </w:pPr>
      <w:bookmarkStart w:id="19" w:name="_Hlk138240985"/>
      <w:r w:rsidRPr="004548C9">
        <w:t>Gospodarske družbe trgovine ter vzdrževanja in popravil motornih vozil (G) so po letu 2013, ko so imele manjšo izgubo, v nadaljnjih letih poslovale z neto čistim dobičkom</w:t>
      </w:r>
      <w:r w:rsidR="00103A5E">
        <w:t>, ki pa se je</w:t>
      </w:r>
      <w:r w:rsidR="001579F2">
        <w:t>,</w:t>
      </w:r>
      <w:r w:rsidR="00103A5E">
        <w:t xml:space="preserve"> po močnem povečanju v letu 2021, v letu 2022 nekoliko zmanjšal</w:t>
      </w:r>
      <w:r w:rsidRPr="004548C9">
        <w:t xml:space="preserve">. Po tem, ko se je v letu 2021 poslovanje izboljšalo v večini panog, se je rast dodane vrednosti, produktivnosti in dobička </w:t>
      </w:r>
      <w:r w:rsidR="00BD46AE">
        <w:t xml:space="preserve">lani </w:t>
      </w:r>
      <w:r w:rsidRPr="004548C9">
        <w:t>nadaljevala le v družbah trgovine na debelo in trgovine z motornimi vozili. Poslovanje družb v trgovini na drobno, ki se je leta 2021 tudi pod vplivom visoke rasti trošenja gospodinjstev skokovito izboljšalo, pa se je v letu 2022 poslabšalo. Ob trošenju gospodinjstev, ki se je lani bolj preusmerilo</w:t>
      </w:r>
      <w:r w:rsidR="00046F07">
        <w:t xml:space="preserve"> v</w:t>
      </w:r>
      <w:r w:rsidRPr="004548C9">
        <w:t xml:space="preserve"> storitve, je bil neto čisti dobiček družb trgovine na drobno v nespecializiranih prodajalnah, v katerih prevladujejo hipermarketi, marketi in diskonti, za polovico nižji od vrednosti iz leta 2021</w:t>
      </w:r>
      <w:r w:rsidR="009B1371">
        <w:t>,</w:t>
      </w:r>
      <w:r w:rsidR="0080245D">
        <w:t xml:space="preserve"> </w:t>
      </w:r>
      <w:r w:rsidRPr="004548C9">
        <w:t xml:space="preserve">a še vedno enkrat večji kot leta 2019. </w:t>
      </w:r>
      <w:r w:rsidR="00C06547">
        <w:t>Še i</w:t>
      </w:r>
      <w:r w:rsidRPr="004548C9">
        <w:t>zraziteje, za 92 %, se je zmanjšal neto čisti dobiček družb trgovine na drobno v specializiranih prodajalnah z motornimi gorivi, na kar so vplivale tudi visoke nabavne cene energentov ob vladni regulaciji cen goriv, električne energije in zemeljskega plina.</w:t>
      </w:r>
      <w:bookmarkEnd w:id="19"/>
      <w:r w:rsidR="00103A5E" w:rsidRPr="00103A5E">
        <w:t xml:space="preserve"> </w:t>
      </w:r>
      <w:r w:rsidR="00103A5E" w:rsidRPr="00726E04">
        <w:t xml:space="preserve">V letu 2022 se je družbam obeh panog poslabšala tudi gospodarnost poslovanja, </w:t>
      </w:r>
      <w:r w:rsidR="00EA6EFE" w:rsidRPr="00726E04">
        <w:t>prav tako s</w:t>
      </w:r>
      <w:r w:rsidR="00D76DA4" w:rsidRPr="00726E04">
        <w:t>e</w:t>
      </w:r>
      <w:r w:rsidR="00EA6EFE" w:rsidRPr="00726E04">
        <w:t xml:space="preserve"> j</w:t>
      </w:r>
      <w:r w:rsidR="00D76DA4" w:rsidRPr="00726E04">
        <w:t>e</w:t>
      </w:r>
      <w:r w:rsidR="00EA6EFE" w:rsidRPr="00726E04">
        <w:t xml:space="preserve"> </w:t>
      </w:r>
      <w:r w:rsidR="00103A5E" w:rsidRPr="00726E04">
        <w:t>zmanjšal presežek prihodkov od prodaje nad stroški blaga, materiala, storitev in dela</w:t>
      </w:r>
      <w:r w:rsidR="00C06547" w:rsidRPr="00726E04">
        <w:t>, ki je bil v letu 2021 najvišji v celotnem obdobju</w:t>
      </w:r>
      <w:r w:rsidR="00103A5E" w:rsidRPr="00726E04">
        <w:t>.</w:t>
      </w:r>
    </w:p>
    <w:bookmarkEnd w:id="5"/>
    <w:p w14:paraId="653E4C94" w14:textId="3810B04F" w:rsidR="001908FD" w:rsidRDefault="001908FD" w:rsidP="004F2D70">
      <w:pPr>
        <w:pStyle w:val="BesediloUMAR"/>
      </w:pPr>
      <w:r w:rsidRPr="00726E04">
        <w:br w:type="page"/>
      </w:r>
    </w:p>
    <w:p w14:paraId="220CC7A6" w14:textId="77777777" w:rsidR="001908FD" w:rsidRDefault="001908FD" w:rsidP="001908FD">
      <w:pPr>
        <w:pStyle w:val="Naslov3"/>
        <w:numPr>
          <w:ilvl w:val="0"/>
          <w:numId w:val="0"/>
        </w:numPr>
      </w:pPr>
      <w:bookmarkStart w:id="20" w:name="_Hlk109113743"/>
      <w:r>
        <w:lastRenderedPageBreak/>
        <w:t>Literatura in viri</w:t>
      </w:r>
      <w:r w:rsidR="005A6C05">
        <w:t xml:space="preserve"> </w:t>
      </w:r>
    </w:p>
    <w:bookmarkEnd w:id="20"/>
    <w:p w14:paraId="4DBB1107" w14:textId="77777777" w:rsidR="00DD0A07" w:rsidRPr="00DD0A07" w:rsidRDefault="00DD0A07" w:rsidP="00DD0A07">
      <w:pPr>
        <w:pStyle w:val="Bibliografija"/>
        <w:rPr>
          <w:rFonts w:ascii="Myriad Pro" w:hAnsi="Myriad Pro" w:cs="Times New Roman"/>
          <w:sz w:val="20"/>
          <w:szCs w:val="24"/>
        </w:rPr>
      </w:pPr>
      <w:r>
        <w:rPr>
          <w:lang w:val="en-US"/>
        </w:rPr>
        <w:fldChar w:fldCharType="begin"/>
      </w:r>
      <w:r>
        <w:instrText xml:space="preserve"> ADDIN ZOTERO_BIBL {"uncited":[["http://zotero.org/users/8372339/items/DV3DZSL2"],["http://zotero.org/users/8372339/items/MZRN9VT3"],["http://zotero.org/users/8372339/items/Z72ALN3M"],["http://zotero.org/users/8372339/items/6NN5NQDI"],["http://zotero.org/users/8372339/items/32UQ6MY7"],["http://zotero.org/users/8372339/items/N94XZGUG"],["http://zotero.org/users/8372339/items/43TWQMSV"],["http://zotero.org/users/8372339/items/V9BBB2XH"],["http://zotero.org/users/8372339/items/QZ8I7YHY"],["http://zotero.org/users/8372339/items/SNM7U9WZ"],["http://zotero.org/users/8372339/items/IC2SCV5C"]],"omitted":[],"custom":[]} CSL_BIBLIOGRAPHY </w:instrText>
      </w:r>
      <w:r>
        <w:rPr>
          <w:lang w:val="en-US"/>
        </w:rPr>
        <w:fldChar w:fldCharType="separate"/>
      </w:r>
      <w:r w:rsidRPr="00DD0A07">
        <w:rPr>
          <w:rFonts w:ascii="Myriad Pro" w:hAnsi="Myriad Pro" w:cs="Times New Roman"/>
          <w:sz w:val="20"/>
          <w:szCs w:val="24"/>
        </w:rPr>
        <w:t>AJPES. (2023). Statistični podatki iz bilance stanja in izkaza poslovnega izida za gospodarske družbe in samostojne podjetnike. Ljubljana: Agencija Republike Slovenije za javnopravne evidence in storitve.</w:t>
      </w:r>
    </w:p>
    <w:p w14:paraId="1C8918C8"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Mercator. (2013). Letno poročilo poslovnega sistema Mercator d.d. za leto 2012. Ljubljana: Mercator, d.d. Pridobljeno s http://www.mercator.si</w:t>
      </w:r>
    </w:p>
    <w:p w14:paraId="52885EF6"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Mercator. (2021). Letno poročilo poslovnega sistema Mercator d.d. za leto 2020. Ljubljana: Mercator, d.d. Pridobljeno s http://www.mercator.si</w:t>
      </w:r>
    </w:p>
    <w:p w14:paraId="54AFE6F2"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Mercator. (2022). Letno poročilo poslovnega sistema Mercator d. d. za leto 2021. Ljubljana: Mercator, d.d. Pridobljeno s https://www.mercator-ip.si/letna-porocila/</w:t>
      </w:r>
    </w:p>
    <w:p w14:paraId="7B3BBB1C"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MJU. (2023). Odprti podatki Slovenije. Ljubljana: Ministrstvo za javno upravo. Pridobljeno s https://podatki.gov.si/dataset/prvic-registrirana-vozila-po-mesecih</w:t>
      </w:r>
    </w:p>
    <w:p w14:paraId="3D862246"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Petrol. (2021). Letno poročilo skupine Petrol in družbe Petrol d.d. za leto 2020. Ljubljana: Petrol, d.d. Pridobljeno s http://www.petrol.si</w:t>
      </w:r>
    </w:p>
    <w:p w14:paraId="5DDDB012"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Petrol. (2022). Letno poročilo skupine Petrol in družbe Petrol d. d. za leto 2021. Ljubljana: Petrol, d.d. Pridobljeno s http://www.petrol.eu</w:t>
      </w:r>
    </w:p>
    <w:p w14:paraId="1CB877CF"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Petrol. (2023). letno-porocilo-petrol_2022.pdf. Pridobljeno s https://www.petrol.eu/binaries/content/assets/skupina-petrol-slo/2023/porocila/letno-porocilo-petrol_2022.pdf</w:t>
      </w:r>
    </w:p>
    <w:p w14:paraId="6BD90ECC"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SURS. (2023). Podatkovna baza. Ljubljana: Statistični urad RS. Pridobljeno s https://pxweb.stat.si/SiStatData</w:t>
      </w:r>
    </w:p>
    <w:p w14:paraId="011996B5"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UMAR. (2022). Poročilo o produktivnosti 2021. Ljubljana: Urad RS za makroekonomske analize in razvoj. Pridobljeno s https://www.umar.gov.si/publikacije/porocilo-o-produktivnosti/</w:t>
      </w:r>
    </w:p>
    <w:p w14:paraId="4DB75520" w14:textId="77777777" w:rsidR="00DD0A07" w:rsidRPr="00DD0A07" w:rsidRDefault="00DD0A07" w:rsidP="00DD0A07">
      <w:pPr>
        <w:pStyle w:val="Bibliografija"/>
        <w:rPr>
          <w:rFonts w:ascii="Myriad Pro" w:hAnsi="Myriad Pro" w:cs="Times New Roman"/>
          <w:sz w:val="20"/>
          <w:szCs w:val="24"/>
        </w:rPr>
      </w:pPr>
      <w:r w:rsidRPr="00DD0A07">
        <w:rPr>
          <w:rFonts w:ascii="Myriad Pro" w:hAnsi="Myriad Pro" w:cs="Times New Roman"/>
          <w:sz w:val="20"/>
          <w:szCs w:val="24"/>
        </w:rPr>
        <w:t>ZRSZ. (2021). Delodajalci vključeni v interventne ukrepe [interni podatki]. Ljubljana: Zavod RS za zaposlovanje.</w:t>
      </w:r>
    </w:p>
    <w:p w14:paraId="6BA0C270" w14:textId="0D498F63" w:rsidR="007309C9" w:rsidRPr="007309C9" w:rsidRDefault="00DD0A07" w:rsidP="00342089">
      <w:pPr>
        <w:pStyle w:val="BesediloUMAR"/>
        <w:spacing w:before="60"/>
      </w:pPr>
      <w:r>
        <w:fldChar w:fldCharType="end"/>
      </w:r>
    </w:p>
    <w:p w14:paraId="4B2CBBF4" w14:textId="77777777" w:rsidR="00103A5E" w:rsidRDefault="00103A5E" w:rsidP="00342089">
      <w:pPr>
        <w:tabs>
          <w:tab w:val="left" w:pos="3585"/>
        </w:tabs>
        <w:spacing w:after="0" w:line="288" w:lineRule="auto"/>
      </w:pPr>
      <w:bookmarkStart w:id="21" w:name="_Toc90552431"/>
    </w:p>
    <w:p w14:paraId="6286BAA8" w14:textId="77777777" w:rsidR="00103A5E" w:rsidRDefault="00103A5E" w:rsidP="00342089">
      <w:pPr>
        <w:tabs>
          <w:tab w:val="left" w:pos="3585"/>
        </w:tabs>
        <w:spacing w:after="0" w:line="288" w:lineRule="auto"/>
      </w:pPr>
    </w:p>
    <w:p w14:paraId="383E3AB1" w14:textId="77777777" w:rsidR="00103A5E" w:rsidRDefault="00103A5E" w:rsidP="00342089">
      <w:pPr>
        <w:tabs>
          <w:tab w:val="left" w:pos="3585"/>
        </w:tabs>
        <w:spacing w:after="0" w:line="288" w:lineRule="auto"/>
      </w:pPr>
    </w:p>
    <w:p w14:paraId="2CD568B7" w14:textId="77777777" w:rsidR="00103A5E" w:rsidRDefault="00103A5E" w:rsidP="00342089">
      <w:pPr>
        <w:tabs>
          <w:tab w:val="left" w:pos="3585"/>
        </w:tabs>
        <w:spacing w:after="0" w:line="288" w:lineRule="auto"/>
      </w:pPr>
    </w:p>
    <w:p w14:paraId="47C0C7A6" w14:textId="77777777" w:rsidR="00103A5E" w:rsidRDefault="00103A5E" w:rsidP="00342089">
      <w:pPr>
        <w:tabs>
          <w:tab w:val="left" w:pos="3585"/>
        </w:tabs>
        <w:spacing w:after="0" w:line="288" w:lineRule="auto"/>
      </w:pPr>
    </w:p>
    <w:p w14:paraId="33A74E3E" w14:textId="77777777" w:rsidR="00103A5E" w:rsidRDefault="00103A5E" w:rsidP="00342089">
      <w:pPr>
        <w:tabs>
          <w:tab w:val="left" w:pos="3585"/>
        </w:tabs>
        <w:spacing w:after="0" w:line="288" w:lineRule="auto"/>
      </w:pPr>
    </w:p>
    <w:p w14:paraId="00FCED20" w14:textId="77777777" w:rsidR="00103A5E" w:rsidRDefault="00103A5E" w:rsidP="00342089">
      <w:pPr>
        <w:tabs>
          <w:tab w:val="left" w:pos="3585"/>
        </w:tabs>
        <w:spacing w:after="0" w:line="288" w:lineRule="auto"/>
      </w:pPr>
    </w:p>
    <w:p w14:paraId="7580BB7F" w14:textId="5A0E70FA" w:rsidR="00DD0A07" w:rsidRPr="00DD0A07" w:rsidRDefault="00342089" w:rsidP="00DD0A07">
      <w:pPr>
        <w:tabs>
          <w:tab w:val="left" w:pos="3585"/>
        </w:tabs>
        <w:spacing w:after="0" w:line="288" w:lineRule="auto"/>
        <w:rPr>
          <w:rFonts w:ascii="Myriad Pro" w:hAnsi="Myriad Pro" w:cs="Arial"/>
          <w:b/>
          <w:bCs/>
          <w:color w:val="9E001A" w:themeColor="accent1"/>
          <w:sz w:val="24"/>
          <w:szCs w:val="26"/>
        </w:rPr>
      </w:pPr>
      <w:r>
        <w:tab/>
      </w:r>
      <w:r w:rsidR="00DD0A07">
        <w:br w:type="page"/>
      </w:r>
    </w:p>
    <w:p w14:paraId="4CCD1179" w14:textId="5A57CDD8" w:rsidR="004F2D70" w:rsidRPr="004F2D70" w:rsidRDefault="004F2D70" w:rsidP="004F2D70">
      <w:pPr>
        <w:pStyle w:val="Naslov3"/>
        <w:numPr>
          <w:ilvl w:val="0"/>
          <w:numId w:val="0"/>
        </w:numPr>
      </w:pPr>
      <w:r w:rsidRPr="004F2D70">
        <w:lastRenderedPageBreak/>
        <w:t>Priloga: Opredelitev kazalnikov, uporabljenih v analizi poslovanja gospodarskih družb</w:t>
      </w:r>
      <w:bookmarkEnd w:id="21"/>
    </w:p>
    <w:p w14:paraId="72243C80" w14:textId="77777777" w:rsidR="004F2D70" w:rsidRPr="004F2D70" w:rsidRDefault="004F2D70" w:rsidP="004F2D70">
      <w:pPr>
        <w:spacing w:after="0" w:line="288" w:lineRule="auto"/>
        <w:jc w:val="both"/>
        <w:rPr>
          <w:rFonts w:ascii="Myriad Pro" w:hAnsi="Myriad Pro"/>
          <w:sz w:val="20"/>
        </w:rPr>
      </w:pPr>
    </w:p>
    <w:p w14:paraId="7331E9C4" w14:textId="77777777" w:rsidR="004F2D70" w:rsidRPr="004F2D70" w:rsidRDefault="004F2D70" w:rsidP="004F2D70">
      <w:pPr>
        <w:pStyle w:val="BesediloUMAR"/>
      </w:pPr>
      <w:r w:rsidRPr="004F2D70">
        <w:t>KAZALNIKA VELIKOSTI</w:t>
      </w:r>
    </w:p>
    <w:p w14:paraId="5CE1FA5D" w14:textId="77777777" w:rsidR="004F2D70" w:rsidRPr="004F2D70" w:rsidRDefault="004F2D70" w:rsidP="004F2D70">
      <w:pPr>
        <w:pStyle w:val="BesediloUMAR"/>
        <w:rPr>
          <w:b/>
        </w:rPr>
      </w:pPr>
      <w:r w:rsidRPr="004F2D70">
        <w:rPr>
          <w:b/>
        </w:rPr>
        <w:t xml:space="preserve">Sredstva na podjetje </w:t>
      </w:r>
    </w:p>
    <w:p w14:paraId="644EACDB" w14:textId="77777777" w:rsidR="004F2D70" w:rsidRPr="004F2D70" w:rsidRDefault="004F2D70" w:rsidP="004F2D70">
      <w:pPr>
        <w:pStyle w:val="BesediloUMAR"/>
      </w:pPr>
      <w:r w:rsidRPr="004F2D70">
        <w:t>001/število podjetij</w:t>
      </w:r>
    </w:p>
    <w:p w14:paraId="394A3D0D" w14:textId="77777777" w:rsidR="004F2D70" w:rsidRPr="004F2D70" w:rsidRDefault="004F2D70" w:rsidP="004F2D70">
      <w:pPr>
        <w:pStyle w:val="BesediloUMAR"/>
        <w:rPr>
          <w:b/>
        </w:rPr>
      </w:pPr>
      <w:r w:rsidRPr="004F2D70">
        <w:rPr>
          <w:b/>
        </w:rPr>
        <w:t xml:space="preserve">Število zaposlenih na podjetje </w:t>
      </w:r>
    </w:p>
    <w:p w14:paraId="70150059" w14:textId="77777777" w:rsidR="004F2D70" w:rsidRPr="004F2D70" w:rsidRDefault="004F2D70" w:rsidP="004F2D70">
      <w:pPr>
        <w:pStyle w:val="BesediloUMAR"/>
      </w:pPr>
      <w:r w:rsidRPr="004F2D70">
        <w:t>188/število podjetij</w:t>
      </w:r>
    </w:p>
    <w:p w14:paraId="70BB545C" w14:textId="77777777" w:rsidR="004F2D70" w:rsidRPr="004F2D70" w:rsidRDefault="004F2D70" w:rsidP="004F2D70">
      <w:pPr>
        <w:pStyle w:val="BesediloUMAR"/>
      </w:pPr>
    </w:p>
    <w:p w14:paraId="5DA03B57" w14:textId="77777777" w:rsidR="004F2D70" w:rsidRPr="004F2D70" w:rsidRDefault="004F2D70" w:rsidP="004F2D70">
      <w:pPr>
        <w:pStyle w:val="BesediloUMAR"/>
      </w:pPr>
      <w:r w:rsidRPr="004F2D70">
        <w:t>KAZALNIK OPREMLJENOSTI DELA S SREDSTVI</w:t>
      </w:r>
    </w:p>
    <w:p w14:paraId="6711646D" w14:textId="77777777" w:rsidR="004F2D70" w:rsidRPr="004F2D70" w:rsidRDefault="004F2D70" w:rsidP="004F2D70">
      <w:pPr>
        <w:pStyle w:val="BesediloUMAR"/>
        <w:rPr>
          <w:b/>
        </w:rPr>
      </w:pPr>
      <w:r w:rsidRPr="004F2D70">
        <w:rPr>
          <w:b/>
        </w:rPr>
        <w:t>Povprečna* sredstva na zaposlenega</w:t>
      </w:r>
    </w:p>
    <w:p w14:paraId="2146920D" w14:textId="77777777" w:rsidR="004F2D70" w:rsidRPr="004F2D70" w:rsidRDefault="004F2D70" w:rsidP="004F2D70">
      <w:pPr>
        <w:pStyle w:val="BesediloUMAR"/>
      </w:pPr>
      <w:r w:rsidRPr="004F2D70">
        <w:t>((001</w:t>
      </w:r>
      <w:r w:rsidRPr="004F2D70">
        <w:rPr>
          <w:vertAlign w:val="subscript"/>
        </w:rPr>
        <w:t>1</w:t>
      </w:r>
      <w:r w:rsidRPr="004F2D70">
        <w:t xml:space="preserve"> + 001</w:t>
      </w:r>
      <w:r w:rsidRPr="004F2D70">
        <w:rPr>
          <w:vertAlign w:val="subscript"/>
        </w:rPr>
        <w:t>0</w:t>
      </w:r>
      <w:r w:rsidRPr="004F2D70">
        <w:t>)/2)/188</w:t>
      </w:r>
    </w:p>
    <w:p w14:paraId="2B5DB824" w14:textId="77777777" w:rsidR="004F2D70" w:rsidRPr="004F2D70" w:rsidRDefault="004F2D70" w:rsidP="004F2D70">
      <w:pPr>
        <w:pStyle w:val="BesediloUMAR"/>
      </w:pPr>
    </w:p>
    <w:p w14:paraId="456E187E" w14:textId="77777777" w:rsidR="004F2D70" w:rsidRPr="004F2D70" w:rsidRDefault="004F2D70" w:rsidP="004F2D70">
      <w:pPr>
        <w:pStyle w:val="BesediloUMAR"/>
      </w:pPr>
      <w:r w:rsidRPr="004F2D70">
        <w:t>KAZALNIK GOSPODARNOSTI</w:t>
      </w:r>
    </w:p>
    <w:p w14:paraId="2BAE6454" w14:textId="77777777" w:rsidR="004F2D70" w:rsidRPr="004F2D70" w:rsidRDefault="004F2D70" w:rsidP="004F2D70">
      <w:pPr>
        <w:pStyle w:val="BesediloUMAR"/>
        <w:rPr>
          <w:b/>
        </w:rPr>
      </w:pPr>
      <w:r w:rsidRPr="004F2D70">
        <w:rPr>
          <w:b/>
        </w:rPr>
        <w:t xml:space="preserve">Gospodarnost poslovanja = poslovni prihodki/poslovni odhodki </w:t>
      </w:r>
    </w:p>
    <w:p w14:paraId="5C4BBA17" w14:textId="77777777" w:rsidR="004F2D70" w:rsidRPr="004F2D70" w:rsidRDefault="004F2D70" w:rsidP="004F2D70">
      <w:pPr>
        <w:pStyle w:val="BesediloUMAR"/>
      </w:pPr>
      <w:r w:rsidRPr="004F2D70">
        <w:t>(126/127)</w:t>
      </w:r>
    </w:p>
    <w:p w14:paraId="602EDA72" w14:textId="77777777" w:rsidR="004F2D70" w:rsidRPr="004F2D70" w:rsidRDefault="004F2D70" w:rsidP="004F2D70">
      <w:pPr>
        <w:pStyle w:val="BesediloUMAR"/>
      </w:pPr>
    </w:p>
    <w:p w14:paraId="007F3C4E" w14:textId="77777777" w:rsidR="004F2D70" w:rsidRPr="004F2D70" w:rsidRDefault="004F2D70" w:rsidP="004F2D70">
      <w:pPr>
        <w:pStyle w:val="BesediloUMAR"/>
      </w:pPr>
      <w:r w:rsidRPr="004F2D70">
        <w:t>KAZALNIKI DONOSNOSTI</w:t>
      </w:r>
    </w:p>
    <w:p w14:paraId="2C393D9A" w14:textId="77777777" w:rsidR="004F2D70" w:rsidRPr="004F2D70" w:rsidRDefault="004F2D70" w:rsidP="004F2D70">
      <w:pPr>
        <w:pStyle w:val="BesediloUMAR"/>
        <w:rPr>
          <w:b/>
        </w:rPr>
      </w:pPr>
      <w:r w:rsidRPr="004F2D70">
        <w:rPr>
          <w:b/>
        </w:rPr>
        <w:t>Donosnost sredstev = neto čisti dobiček (izguba) obračunskega obdobja/povprečna* sredstva</w:t>
      </w:r>
    </w:p>
    <w:p w14:paraId="2AFCF871" w14:textId="77777777" w:rsidR="004F2D70" w:rsidRPr="004F2D70" w:rsidRDefault="004F2D70" w:rsidP="004F2D70">
      <w:pPr>
        <w:pStyle w:val="BesediloUMAR"/>
      </w:pPr>
      <w:r w:rsidRPr="004F2D70">
        <w:t>(186–187)/((001</w:t>
      </w:r>
      <w:r w:rsidRPr="004F2D70">
        <w:rPr>
          <w:vertAlign w:val="subscript"/>
        </w:rPr>
        <w:t>1</w:t>
      </w:r>
      <w:r w:rsidRPr="004F2D70">
        <w:t xml:space="preserve"> + 001</w:t>
      </w:r>
      <w:r w:rsidRPr="004F2D70">
        <w:rPr>
          <w:vertAlign w:val="subscript"/>
        </w:rPr>
        <w:t>0</w:t>
      </w:r>
      <w:r w:rsidRPr="004F2D70">
        <w:t xml:space="preserve">)/2) </w:t>
      </w:r>
    </w:p>
    <w:p w14:paraId="45D3CE92" w14:textId="77777777" w:rsidR="004F2D70" w:rsidRPr="004F2D70" w:rsidRDefault="004F2D70" w:rsidP="004F2D70">
      <w:pPr>
        <w:pStyle w:val="BesediloUMAR"/>
        <w:rPr>
          <w:b/>
        </w:rPr>
      </w:pPr>
      <w:r w:rsidRPr="004F2D70">
        <w:rPr>
          <w:b/>
        </w:rPr>
        <w:t>Donosnost prihodkov = neto čisti dobiček (izguba) obračunskega obdobja/celotni prihodki</w:t>
      </w:r>
    </w:p>
    <w:p w14:paraId="69A88C1E" w14:textId="77777777" w:rsidR="004F2D70" w:rsidRPr="004F2D70" w:rsidRDefault="004F2D70" w:rsidP="004F2D70">
      <w:pPr>
        <w:pStyle w:val="BesediloUMAR"/>
      </w:pPr>
      <w:r w:rsidRPr="004F2D70">
        <w:t>(186–187)/(126 + 153 + 178)</w:t>
      </w:r>
    </w:p>
    <w:p w14:paraId="02145197" w14:textId="77777777" w:rsidR="004F2D70" w:rsidRPr="004F2D70" w:rsidRDefault="004F2D70" w:rsidP="004F2D70">
      <w:pPr>
        <w:pStyle w:val="BesediloUMAR"/>
        <w:rPr>
          <w:b/>
        </w:rPr>
      </w:pPr>
      <w:r w:rsidRPr="004F2D70">
        <w:rPr>
          <w:b/>
        </w:rPr>
        <w:t>Donosnost kapitala = neto čisti dobiček (izguba) obračunskega obdobja/povprečni* kapital</w:t>
      </w:r>
    </w:p>
    <w:p w14:paraId="608AB68A" w14:textId="77777777" w:rsidR="004F2D70" w:rsidRPr="004F2D70" w:rsidRDefault="004F2D70" w:rsidP="004F2D70">
      <w:pPr>
        <w:pStyle w:val="BesediloUMAR"/>
      </w:pPr>
      <w:r w:rsidRPr="004F2D70">
        <w:t>(186–187)/((056</w:t>
      </w:r>
      <w:r w:rsidRPr="004F2D70">
        <w:rPr>
          <w:vertAlign w:val="subscript"/>
        </w:rPr>
        <w:t>1</w:t>
      </w:r>
      <w:r w:rsidRPr="004F2D70">
        <w:t xml:space="preserve"> + 056</w:t>
      </w:r>
      <w:r w:rsidRPr="004F2D70">
        <w:rPr>
          <w:vertAlign w:val="subscript"/>
        </w:rPr>
        <w:t>0</w:t>
      </w:r>
      <w:r w:rsidRPr="004F2D70">
        <w:t>)/2)</w:t>
      </w:r>
    </w:p>
    <w:p w14:paraId="4489BE2D" w14:textId="77777777" w:rsidR="004F2D70" w:rsidRPr="004F2D70" w:rsidRDefault="004F2D70" w:rsidP="004F2D70">
      <w:pPr>
        <w:pStyle w:val="BesediloUMAR"/>
      </w:pPr>
    </w:p>
    <w:p w14:paraId="7351A05B" w14:textId="77777777" w:rsidR="004F2D70" w:rsidRPr="004F2D70" w:rsidRDefault="004F2D70" w:rsidP="004F2D70">
      <w:pPr>
        <w:pStyle w:val="BesediloUMAR"/>
      </w:pPr>
      <w:r w:rsidRPr="004F2D70">
        <w:t>KAZALNIK PRODUKTIVNOSTI</w:t>
      </w:r>
    </w:p>
    <w:p w14:paraId="1D81C55C" w14:textId="77777777" w:rsidR="004F2D70" w:rsidRPr="004F2D70" w:rsidRDefault="004F2D70" w:rsidP="004F2D70">
      <w:pPr>
        <w:pStyle w:val="BesediloUMAR"/>
        <w:rPr>
          <w:b/>
        </w:rPr>
      </w:pPr>
      <w:r w:rsidRPr="004F2D70">
        <w:rPr>
          <w:b/>
        </w:rPr>
        <w:t xml:space="preserve">Dodana vrednost na zaposlenega </w:t>
      </w:r>
    </w:p>
    <w:p w14:paraId="167D2F78" w14:textId="77777777" w:rsidR="004F2D70" w:rsidRPr="004F2D70" w:rsidRDefault="004F2D70" w:rsidP="004F2D70">
      <w:pPr>
        <w:pStyle w:val="BesediloUMAR"/>
      </w:pPr>
      <w:r w:rsidRPr="004F2D70">
        <w:t xml:space="preserve">(126–128–148)/188 </w:t>
      </w:r>
    </w:p>
    <w:p w14:paraId="5B92C84A" w14:textId="77777777" w:rsidR="004F2D70" w:rsidRPr="004F2D70" w:rsidRDefault="004F2D70" w:rsidP="004F2D70">
      <w:pPr>
        <w:pStyle w:val="BesediloUMAR"/>
      </w:pPr>
    </w:p>
    <w:p w14:paraId="291A937B" w14:textId="77777777" w:rsidR="004F2D70" w:rsidRPr="004F2D70" w:rsidRDefault="004F2D70" w:rsidP="004F2D70">
      <w:pPr>
        <w:pStyle w:val="BesediloUMAR"/>
      </w:pPr>
      <w:r w:rsidRPr="004F2D70">
        <w:t>KAZALNIKA STROŠKOV DELA</w:t>
      </w:r>
    </w:p>
    <w:p w14:paraId="7B988BEE" w14:textId="77777777" w:rsidR="004F2D70" w:rsidRPr="004F2D70" w:rsidRDefault="004F2D70" w:rsidP="004F2D70">
      <w:pPr>
        <w:pStyle w:val="BesediloUMAR"/>
        <w:rPr>
          <w:b/>
        </w:rPr>
      </w:pPr>
      <w:r w:rsidRPr="004F2D70">
        <w:rPr>
          <w:b/>
        </w:rPr>
        <w:t xml:space="preserve">Stroški dela na zaposlenega </w:t>
      </w:r>
    </w:p>
    <w:p w14:paraId="263D16C9" w14:textId="77777777" w:rsidR="004F2D70" w:rsidRPr="004F2D70" w:rsidRDefault="004F2D70" w:rsidP="004F2D70">
      <w:pPr>
        <w:pStyle w:val="BesediloUMAR"/>
      </w:pPr>
      <w:r w:rsidRPr="004F2D70">
        <w:t>(139/188)</w:t>
      </w:r>
    </w:p>
    <w:p w14:paraId="109FD119" w14:textId="77777777" w:rsidR="004F2D70" w:rsidRPr="004F2D70" w:rsidRDefault="004F2D70" w:rsidP="004F2D70">
      <w:pPr>
        <w:pStyle w:val="BesediloUMAR"/>
        <w:rPr>
          <w:b/>
        </w:rPr>
      </w:pPr>
      <w:r w:rsidRPr="004F2D70">
        <w:rPr>
          <w:b/>
        </w:rPr>
        <w:t>Delež stroškov dela v dodani vrednosti</w:t>
      </w:r>
    </w:p>
    <w:p w14:paraId="5E2568C6" w14:textId="77777777" w:rsidR="004F2D70" w:rsidRPr="004F2D70" w:rsidRDefault="004F2D70" w:rsidP="004F2D70">
      <w:pPr>
        <w:pStyle w:val="BesediloUMAR"/>
      </w:pPr>
      <w:r w:rsidRPr="004F2D70">
        <w:t>(139/(126–128–148))</w:t>
      </w:r>
    </w:p>
    <w:p w14:paraId="5C3152B6" w14:textId="77777777" w:rsidR="004F2D70" w:rsidRPr="004F2D70" w:rsidRDefault="004F2D70" w:rsidP="004F2D70">
      <w:pPr>
        <w:pStyle w:val="BesediloUMAR"/>
      </w:pPr>
    </w:p>
    <w:p w14:paraId="6B3F07B3" w14:textId="77777777" w:rsidR="004F2D70" w:rsidRPr="004F2D70" w:rsidRDefault="004F2D70" w:rsidP="004F2D70">
      <w:pPr>
        <w:pStyle w:val="BesediloUMAR"/>
      </w:pPr>
      <w:r w:rsidRPr="004F2D70">
        <w:t>KAZALNIKI FINANCIRANJA IN PLAČILNE SPOSOBNOSTI</w:t>
      </w:r>
    </w:p>
    <w:p w14:paraId="6C175A55" w14:textId="77777777" w:rsidR="004F2D70" w:rsidRPr="004F2D70" w:rsidRDefault="004F2D70" w:rsidP="004F2D70">
      <w:pPr>
        <w:pStyle w:val="BesediloUMAR"/>
        <w:rPr>
          <w:b/>
        </w:rPr>
      </w:pPr>
      <w:r w:rsidRPr="004F2D70">
        <w:rPr>
          <w:b/>
        </w:rPr>
        <w:t>Delež dolga (kratkoročne in dolgoročne finančne ter poslovne obveznosti, rezervacije in pasivne časovne razmejitve) v virih sredstev</w:t>
      </w:r>
    </w:p>
    <w:p w14:paraId="56F155E7" w14:textId="77777777" w:rsidR="004F2D70" w:rsidRPr="004F2D70" w:rsidRDefault="004F2D70" w:rsidP="004F2D70">
      <w:pPr>
        <w:pStyle w:val="BesediloUMAR"/>
      </w:pPr>
      <w:r w:rsidRPr="004F2D70">
        <w:t>((072 + 075 + 085 + 095)/055)</w:t>
      </w:r>
    </w:p>
    <w:p w14:paraId="037975D5" w14:textId="77777777" w:rsidR="004F2D70" w:rsidRPr="004F2D70" w:rsidRDefault="004F2D70" w:rsidP="004F2D70">
      <w:pPr>
        <w:pStyle w:val="BesediloUMAR"/>
        <w:rPr>
          <w:b/>
        </w:rPr>
      </w:pPr>
      <w:r w:rsidRPr="004F2D70">
        <w:rPr>
          <w:b/>
        </w:rPr>
        <w:t xml:space="preserve">Delež kratkoročnih obveznosti (s pasivnimi časovnimi razmejitvami) v virih sredstev </w:t>
      </w:r>
    </w:p>
    <w:p w14:paraId="65AA29F8" w14:textId="77777777" w:rsidR="004F2D70" w:rsidRPr="004F2D70" w:rsidRDefault="004F2D70" w:rsidP="004F2D70">
      <w:pPr>
        <w:pStyle w:val="BesediloUMAR"/>
      </w:pPr>
      <w:r w:rsidRPr="004F2D70">
        <w:t>((085 + 095)/055)</w:t>
      </w:r>
    </w:p>
    <w:p w14:paraId="4C18F4C5" w14:textId="77777777" w:rsidR="004F2D70" w:rsidRPr="004F2D70" w:rsidRDefault="004F2D70" w:rsidP="004F2D70">
      <w:pPr>
        <w:pStyle w:val="BesediloUMAR"/>
        <w:rPr>
          <w:b/>
        </w:rPr>
      </w:pPr>
      <w:r w:rsidRPr="004F2D70">
        <w:rPr>
          <w:b/>
        </w:rPr>
        <w:t>Kapitalska pokritost dolgoročnih sredstev</w:t>
      </w:r>
    </w:p>
    <w:p w14:paraId="7473160F" w14:textId="77777777" w:rsidR="004F2D70" w:rsidRPr="004F2D70" w:rsidRDefault="004F2D70" w:rsidP="004F2D70">
      <w:pPr>
        <w:pStyle w:val="BesediloUMAR"/>
      </w:pPr>
      <w:r w:rsidRPr="004F2D70">
        <w:t>(056/002)</w:t>
      </w:r>
    </w:p>
    <w:p w14:paraId="7E223E3F" w14:textId="77777777" w:rsidR="004F2D70" w:rsidRPr="004F2D70" w:rsidRDefault="004F2D70" w:rsidP="004F2D70">
      <w:pPr>
        <w:pStyle w:val="BesediloUMAR"/>
        <w:rPr>
          <w:b/>
        </w:rPr>
      </w:pPr>
      <w:r w:rsidRPr="004F2D70">
        <w:rPr>
          <w:b/>
        </w:rPr>
        <w:t>Dolgoročna pokritost dolgoročnih sredstev in zalog</w:t>
      </w:r>
    </w:p>
    <w:p w14:paraId="02BB0062" w14:textId="77777777" w:rsidR="004F2D70" w:rsidRPr="004F2D70" w:rsidRDefault="004F2D70" w:rsidP="004F2D70">
      <w:pPr>
        <w:pStyle w:val="BesediloUMAR"/>
      </w:pPr>
      <w:r w:rsidRPr="004F2D70">
        <w:t>(056 + 072 + 075)/(002 + 034)</w:t>
      </w:r>
    </w:p>
    <w:p w14:paraId="5B0A6F11" w14:textId="77777777" w:rsidR="004F2D70" w:rsidRDefault="004F2D70" w:rsidP="004F2D70">
      <w:pPr>
        <w:pStyle w:val="BesediloUMAR"/>
      </w:pPr>
    </w:p>
    <w:p w14:paraId="3A53B340" w14:textId="77777777" w:rsidR="004F2D70" w:rsidRDefault="004F2D70" w:rsidP="004F2D70">
      <w:pPr>
        <w:pStyle w:val="BesediloUMAR"/>
      </w:pPr>
    </w:p>
    <w:p w14:paraId="38106116" w14:textId="77777777" w:rsidR="004F2D70" w:rsidRPr="004F2D70" w:rsidRDefault="004F2D70" w:rsidP="004F2D70">
      <w:pPr>
        <w:pStyle w:val="BesediloUMAR"/>
      </w:pPr>
    </w:p>
    <w:p w14:paraId="676963BA" w14:textId="77777777" w:rsidR="004F2D70" w:rsidRPr="004F2D70" w:rsidRDefault="004F2D70" w:rsidP="004F2D70">
      <w:pPr>
        <w:pStyle w:val="BesediloUMAR"/>
      </w:pPr>
      <w:r w:rsidRPr="004F2D70">
        <w:t>KAZALNIK IZVOZNE USMERJENOSTI</w:t>
      </w:r>
    </w:p>
    <w:p w14:paraId="5123D580" w14:textId="77777777" w:rsidR="004F2D70" w:rsidRPr="004F2D70" w:rsidRDefault="004F2D70" w:rsidP="004F2D70">
      <w:pPr>
        <w:pStyle w:val="BesediloUMAR"/>
        <w:rPr>
          <w:b/>
        </w:rPr>
      </w:pPr>
      <w:r w:rsidRPr="004F2D70">
        <w:rPr>
          <w:b/>
        </w:rPr>
        <w:t xml:space="preserve">Delež čistih prihodkov od prodaje na tujem trgu v celotnih čistih prihodkih od prodaje </w:t>
      </w:r>
    </w:p>
    <w:p w14:paraId="66C25DCC" w14:textId="77777777" w:rsidR="004F2D70" w:rsidRPr="004F2D70" w:rsidRDefault="004F2D70" w:rsidP="004F2D70">
      <w:pPr>
        <w:pStyle w:val="BesediloUMAR"/>
      </w:pPr>
      <w:r w:rsidRPr="004F2D70">
        <w:t>(115 + 118)/110</w:t>
      </w:r>
    </w:p>
    <w:p w14:paraId="49955431" w14:textId="77777777" w:rsidR="004F2D70" w:rsidRPr="004F2D70" w:rsidRDefault="004F2D70" w:rsidP="004F2D70">
      <w:pPr>
        <w:pStyle w:val="BesediloUMAR"/>
      </w:pPr>
    </w:p>
    <w:p w14:paraId="00CBCA06" w14:textId="77777777" w:rsidR="004F2D70" w:rsidRPr="004F2D70" w:rsidRDefault="004F2D70" w:rsidP="004F2D70">
      <w:pPr>
        <w:pStyle w:val="BesediloUMAR"/>
      </w:pPr>
      <w:r w:rsidRPr="004F2D70">
        <w:t xml:space="preserve">KAZALNIKA STRUKTURE SREDSTEV </w:t>
      </w:r>
    </w:p>
    <w:p w14:paraId="25120313" w14:textId="77777777" w:rsidR="004F2D70" w:rsidRPr="004F2D70" w:rsidRDefault="004F2D70" w:rsidP="004F2D70">
      <w:pPr>
        <w:pStyle w:val="BesediloUMAR"/>
        <w:rPr>
          <w:b/>
        </w:rPr>
      </w:pPr>
      <w:r w:rsidRPr="004F2D70">
        <w:rPr>
          <w:b/>
        </w:rPr>
        <w:t xml:space="preserve">Delež dolgoročnih sredstev v sredstvih </w:t>
      </w:r>
    </w:p>
    <w:p w14:paraId="3F0CC0E7" w14:textId="77777777" w:rsidR="004F2D70" w:rsidRPr="004F2D70" w:rsidRDefault="004F2D70" w:rsidP="004F2D70">
      <w:pPr>
        <w:pStyle w:val="BesediloUMAR"/>
      </w:pPr>
      <w:r w:rsidRPr="004F2D70">
        <w:t>(002/001)</w:t>
      </w:r>
    </w:p>
    <w:p w14:paraId="67512A75" w14:textId="77777777" w:rsidR="004F2D70" w:rsidRPr="004F2D70" w:rsidRDefault="004F2D70" w:rsidP="004F2D70">
      <w:pPr>
        <w:pStyle w:val="BesediloUMAR"/>
        <w:rPr>
          <w:b/>
        </w:rPr>
      </w:pPr>
      <w:r w:rsidRPr="004F2D70">
        <w:rPr>
          <w:b/>
        </w:rPr>
        <w:t xml:space="preserve">Delež proizvajalnih strojev in naprav ter druge opreme in naprav v dolgoročnih sredstvih </w:t>
      </w:r>
    </w:p>
    <w:p w14:paraId="2FD6A611" w14:textId="77777777" w:rsidR="004F2D70" w:rsidRPr="004F2D70" w:rsidRDefault="004F2D70" w:rsidP="004F2D70">
      <w:pPr>
        <w:pStyle w:val="BesediloUMAR"/>
      </w:pPr>
      <w:r w:rsidRPr="004F2D70">
        <w:t>((013 + 014)/002)</w:t>
      </w:r>
    </w:p>
    <w:p w14:paraId="58ADB2AA" w14:textId="77777777" w:rsidR="004F2D70" w:rsidRPr="004F2D70" w:rsidRDefault="004F2D70" w:rsidP="004F2D70">
      <w:pPr>
        <w:pStyle w:val="BesediloUMAR"/>
      </w:pPr>
    </w:p>
    <w:p w14:paraId="1AAC1175" w14:textId="77777777" w:rsidR="004F2D70" w:rsidRPr="004F2D70" w:rsidRDefault="004F2D70" w:rsidP="004F2D70">
      <w:pPr>
        <w:pStyle w:val="BesediloUMAR"/>
        <w:rPr>
          <w:sz w:val="16"/>
        </w:rPr>
      </w:pPr>
      <w:r w:rsidRPr="004F2D70">
        <w:rPr>
          <w:sz w:val="16"/>
        </w:rPr>
        <w:t>Opombi: Številke v formulah pomenijo ustrezno šifro AOP. * Pri izračunu povprečne vrednosti sredstev in kapitala se upošteva podatek o vrednosti sredstev/kapitala ob koncu tekočega in ob koncu preteklega leta za družbe, ki so poslovale v tekočem letu.</w:t>
      </w:r>
    </w:p>
    <w:bookmarkEnd w:id="0"/>
    <w:p w14:paraId="562665FB" w14:textId="77777777" w:rsidR="00433EC8" w:rsidRPr="00740621" w:rsidRDefault="00433EC8" w:rsidP="00AC6CC1">
      <w:pPr>
        <w:spacing w:after="0" w:line="240" w:lineRule="auto"/>
        <w:rPr>
          <w:rFonts w:ascii="Myriad Pro" w:hAnsi="Myriad Pro"/>
          <w:sz w:val="16"/>
        </w:rPr>
      </w:pPr>
    </w:p>
    <w:sectPr w:rsidR="00433EC8" w:rsidRPr="00740621" w:rsidSect="00DA3486">
      <w:headerReference w:type="default" r:id="rId25"/>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B772" w14:textId="77777777" w:rsidR="006A0C6A" w:rsidRDefault="006A0C6A" w:rsidP="009E1648">
      <w:r>
        <w:separator/>
      </w:r>
    </w:p>
    <w:p w14:paraId="27A3793E" w14:textId="77777777" w:rsidR="006A0C6A" w:rsidRDefault="006A0C6A" w:rsidP="009E1648"/>
    <w:p w14:paraId="456EF76C" w14:textId="77777777" w:rsidR="006A0C6A" w:rsidRDefault="006A0C6A" w:rsidP="009E1648"/>
    <w:p w14:paraId="4D16B10B" w14:textId="77777777" w:rsidR="006A0C6A" w:rsidRDefault="006A0C6A" w:rsidP="009E1648"/>
    <w:p w14:paraId="7A92BF6B" w14:textId="77777777" w:rsidR="006A0C6A" w:rsidRDefault="006A0C6A" w:rsidP="009E1648"/>
    <w:p w14:paraId="6AC67690" w14:textId="77777777" w:rsidR="006A0C6A" w:rsidRDefault="006A0C6A" w:rsidP="009E1648"/>
    <w:p w14:paraId="5ABF548B" w14:textId="77777777" w:rsidR="006A0C6A" w:rsidRDefault="006A0C6A" w:rsidP="009E1648"/>
    <w:p w14:paraId="791B376D" w14:textId="77777777" w:rsidR="006A0C6A" w:rsidRDefault="006A0C6A" w:rsidP="009E1648"/>
    <w:p w14:paraId="242A561F" w14:textId="77777777" w:rsidR="006A0C6A" w:rsidRDefault="006A0C6A"/>
    <w:p w14:paraId="0736B11E" w14:textId="77777777" w:rsidR="006A0C6A" w:rsidRDefault="006A0C6A"/>
    <w:p w14:paraId="583574CF" w14:textId="77777777" w:rsidR="006A0C6A" w:rsidRDefault="006A0C6A" w:rsidP="00A540FA"/>
    <w:p w14:paraId="15CF09C9" w14:textId="77777777" w:rsidR="006A0C6A" w:rsidRDefault="006A0C6A" w:rsidP="00A540FA"/>
    <w:p w14:paraId="42B71CAA" w14:textId="77777777" w:rsidR="006A0C6A" w:rsidRDefault="006A0C6A" w:rsidP="00A540FA"/>
    <w:p w14:paraId="05D38BE4" w14:textId="77777777" w:rsidR="006A0C6A" w:rsidRDefault="006A0C6A" w:rsidP="00A540FA"/>
    <w:p w14:paraId="1FAA4D0C" w14:textId="77777777" w:rsidR="006A0C6A" w:rsidRDefault="006A0C6A" w:rsidP="00A540FA"/>
    <w:p w14:paraId="635A8712" w14:textId="77777777" w:rsidR="006A0C6A" w:rsidRDefault="006A0C6A"/>
  </w:endnote>
  <w:endnote w:type="continuationSeparator" w:id="0">
    <w:p w14:paraId="5100021F" w14:textId="77777777" w:rsidR="006A0C6A" w:rsidRDefault="006A0C6A" w:rsidP="009E1648">
      <w:r>
        <w:continuationSeparator/>
      </w:r>
    </w:p>
    <w:p w14:paraId="085E4E4F" w14:textId="77777777" w:rsidR="006A0C6A" w:rsidRDefault="006A0C6A" w:rsidP="009E1648"/>
    <w:p w14:paraId="24EEE785" w14:textId="77777777" w:rsidR="006A0C6A" w:rsidRDefault="006A0C6A" w:rsidP="009E1648"/>
    <w:p w14:paraId="7C34A358" w14:textId="77777777" w:rsidR="006A0C6A" w:rsidRDefault="006A0C6A" w:rsidP="009E1648"/>
    <w:p w14:paraId="0A6B527F" w14:textId="77777777" w:rsidR="006A0C6A" w:rsidRDefault="006A0C6A" w:rsidP="009E1648"/>
    <w:p w14:paraId="5248786D" w14:textId="77777777" w:rsidR="006A0C6A" w:rsidRDefault="006A0C6A" w:rsidP="009E1648"/>
    <w:p w14:paraId="4140C078" w14:textId="77777777" w:rsidR="006A0C6A" w:rsidRDefault="006A0C6A" w:rsidP="009E1648"/>
    <w:p w14:paraId="6C249162" w14:textId="77777777" w:rsidR="006A0C6A" w:rsidRDefault="006A0C6A" w:rsidP="009E1648"/>
    <w:p w14:paraId="51EA5BFB" w14:textId="77777777" w:rsidR="006A0C6A" w:rsidRDefault="006A0C6A"/>
    <w:p w14:paraId="26D77DEF" w14:textId="77777777" w:rsidR="006A0C6A" w:rsidRDefault="006A0C6A"/>
    <w:p w14:paraId="3406F3D2" w14:textId="77777777" w:rsidR="006A0C6A" w:rsidRDefault="006A0C6A" w:rsidP="00A540FA"/>
    <w:p w14:paraId="09C48966" w14:textId="77777777" w:rsidR="006A0C6A" w:rsidRDefault="006A0C6A" w:rsidP="00A540FA"/>
    <w:p w14:paraId="53D7B3D1" w14:textId="77777777" w:rsidR="006A0C6A" w:rsidRDefault="006A0C6A" w:rsidP="00A540FA"/>
    <w:p w14:paraId="151A47BF" w14:textId="77777777" w:rsidR="006A0C6A" w:rsidRDefault="006A0C6A" w:rsidP="00A540FA"/>
    <w:p w14:paraId="2C3F36AA" w14:textId="77777777" w:rsidR="006A0C6A" w:rsidRDefault="006A0C6A" w:rsidP="00A540FA"/>
    <w:p w14:paraId="1020EE27" w14:textId="77777777" w:rsidR="006A0C6A" w:rsidRDefault="006A0C6A"/>
  </w:endnote>
  <w:endnote w:type="continuationNotice" w:id="1">
    <w:p w14:paraId="3F902C08" w14:textId="77777777" w:rsidR="006A0C6A" w:rsidRDefault="006A0C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00C4" w14:textId="77777777" w:rsidR="0056590E" w:rsidRDefault="0056590E" w:rsidP="00B35647">
    <w:pPr>
      <w:pStyle w:val="Noga"/>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F914" w14:textId="77777777" w:rsidR="006A0C6A" w:rsidRPr="009B56EE" w:rsidRDefault="006A0C6A" w:rsidP="009B56EE">
      <w:pPr>
        <w:pStyle w:val="BesediloUMAR"/>
      </w:pPr>
      <w:r w:rsidRPr="009B56EE">
        <w:separator/>
      </w:r>
    </w:p>
  </w:footnote>
  <w:footnote w:type="continuationSeparator" w:id="0">
    <w:p w14:paraId="4280F874" w14:textId="77777777" w:rsidR="006A0C6A" w:rsidRDefault="006A0C6A">
      <w:r>
        <w:separator/>
      </w:r>
    </w:p>
  </w:footnote>
  <w:footnote w:type="continuationNotice" w:id="1">
    <w:p w14:paraId="65A15481" w14:textId="77777777" w:rsidR="006A0C6A" w:rsidRDefault="006A0C6A">
      <w:pPr>
        <w:spacing w:line="240" w:lineRule="auto"/>
      </w:pPr>
    </w:p>
  </w:footnote>
  <w:footnote w:id="2">
    <w:p w14:paraId="0C6608CB" w14:textId="77777777" w:rsidR="0056590E" w:rsidRPr="00E404E6" w:rsidRDefault="0056590E" w:rsidP="006A57F3">
      <w:pPr>
        <w:pStyle w:val="Sprotnaopomba-besedilo"/>
      </w:pPr>
      <w:r w:rsidRPr="00E404E6">
        <w:rPr>
          <w:rStyle w:val="Sprotnaopomba-sklic"/>
        </w:rPr>
        <w:footnoteRef/>
      </w:r>
      <w:r w:rsidRPr="00E404E6">
        <w:t xml:space="preserve"> Objavlja jih AJPES na podlagi letnih poročil, ki jih enkrat letno predložijo gospodarske družbe. </w:t>
      </w:r>
    </w:p>
  </w:footnote>
  <w:footnote w:id="3">
    <w:p w14:paraId="2113E373" w14:textId="5C494A15" w:rsidR="0056590E" w:rsidRDefault="0056590E">
      <w:pPr>
        <w:pStyle w:val="Sprotnaopomba-besedilo"/>
      </w:pPr>
      <w:r>
        <w:rPr>
          <w:rStyle w:val="Sprotnaopomba-sklic"/>
        </w:rPr>
        <w:footnoteRef/>
      </w:r>
      <w:r>
        <w:t xml:space="preserve"> Kjer so zadnji objavljeni podatki za leto 2021.</w:t>
      </w:r>
    </w:p>
  </w:footnote>
  <w:footnote w:id="4">
    <w:p w14:paraId="41C35DDF" w14:textId="77777777" w:rsidR="0056590E" w:rsidRDefault="0056590E" w:rsidP="00116CEE">
      <w:pPr>
        <w:pStyle w:val="Sprotnaopomba-besedilo"/>
      </w:pPr>
      <w:r>
        <w:rPr>
          <w:rStyle w:val="Sprotnaopomba-sklic"/>
        </w:rPr>
        <w:footnoteRef/>
      </w:r>
      <w:r>
        <w:t xml:space="preserve"> Država je med epidemijo covida-19 za ohranjanje delovnih mest in podporo dohodkom zaposlenih sprejela številne ukrepe na trgu dela, na podlagi teh pa je podjetjem</w:t>
      </w:r>
      <w:r w:rsidRPr="005B3835">
        <w:t xml:space="preserve"> </w:t>
      </w:r>
      <w:r>
        <w:t>namenila subvencije, ki so predvsem leta 2020 močneje vplivale na višino dodane vrednosti.</w:t>
      </w:r>
      <w:r w:rsidRPr="006826AE">
        <w:t xml:space="preserve"> </w:t>
      </w:r>
      <w:r w:rsidRPr="005B3835">
        <w:t>Leta 2020 je bila</w:t>
      </w:r>
      <w:r>
        <w:t xml:space="preserve"> tako dodana vrednost</w:t>
      </w:r>
      <w:r w:rsidRPr="005B3835">
        <w:t xml:space="preserve"> višja za 1 %, brez upoštevanja </w:t>
      </w:r>
      <w:r>
        <w:t xml:space="preserve">teh </w:t>
      </w:r>
      <w:r w:rsidRPr="005B3835">
        <w:t>prejetih subvencij</w:t>
      </w:r>
      <w:r>
        <w:t xml:space="preserve"> </w:t>
      </w:r>
      <w:r w:rsidRPr="005B3835">
        <w:t>pa se je zmanjšala za 2,2 %.</w:t>
      </w:r>
    </w:p>
  </w:footnote>
  <w:footnote w:id="5">
    <w:p w14:paraId="7EF4FDAA" w14:textId="77777777" w:rsidR="0056590E" w:rsidRDefault="0056590E" w:rsidP="00116CEE">
      <w:pPr>
        <w:pStyle w:val="Sprotnaopomba-besedilo"/>
      </w:pPr>
      <w:r>
        <w:rPr>
          <w:rStyle w:val="Sprotnaopomba-sklic"/>
        </w:rPr>
        <w:footnoteRef/>
      </w:r>
      <w:r>
        <w:t xml:space="preserve"> Produktivnost v dejavnosti trgovine je bila v nominalnem znesku višja od povprečne produktivnosti gospodarskih družb od vključno leta 2019. Po tem ko je razlika med povprečno produktivnostjo trgovskih družb in povprečno produktivnostjo vseh gospodarskih družb v letih 2019 in 2020 znašala 3 %, se je ta v letu 2021 povečala na 8 %, leta 2022 pa zmanjšala na 4 %.</w:t>
      </w:r>
    </w:p>
  </w:footnote>
  <w:footnote w:id="6">
    <w:p w14:paraId="21CA6767" w14:textId="77777777" w:rsidR="0056590E" w:rsidRPr="00245776" w:rsidRDefault="0056590E" w:rsidP="003A4800">
      <w:pPr>
        <w:pStyle w:val="Sprotnaopomba-besedilo"/>
      </w:pPr>
      <w:r w:rsidRPr="004A4A79">
        <w:rPr>
          <w:vertAlign w:val="superscript"/>
        </w:rPr>
        <w:footnoteRef/>
      </w:r>
      <w:r>
        <w:t xml:space="preserve"> </w:t>
      </w:r>
      <w:r w:rsidRPr="00245776">
        <w:t>Delavec je bil pri tem upravičen do nadomestila plače v višini 80 %, pri čemer je država delodajalcu povrnila del te višine (ta se je spreminjal s posameznimi dopolnitvami ukrepa – od 40 % pa vse do 100 %), a zgolj do določene ravni (bodisi do višine nadomestila za brezposelnost – 892 evrov – ali do povprečne plače leta 2019 – 1754 evrov).</w:t>
      </w:r>
    </w:p>
  </w:footnote>
  <w:footnote w:id="7">
    <w:p w14:paraId="6CED9EC0" w14:textId="77777777" w:rsidR="0056590E" w:rsidRDefault="0056590E" w:rsidP="003A4800">
      <w:pPr>
        <w:pStyle w:val="Sprotnaopomba-besedilo"/>
      </w:pPr>
      <w:r w:rsidRPr="00D0780C">
        <w:rPr>
          <w:rStyle w:val="Sprotnaopomba-sklic"/>
          <w:sz w:val="16"/>
        </w:rPr>
        <w:footnoteRef/>
      </w:r>
      <w:r>
        <w:t xml:space="preserve"> </w:t>
      </w:r>
      <w:r w:rsidRPr="00934CF5">
        <w:t>Pri tem je bil delodajalec upravičen do subvencije v višini, ki je odvisna od dolžine skrajšanja delovnega časa, vendar največ 448 evrov.</w:t>
      </w:r>
    </w:p>
  </w:footnote>
  <w:footnote w:id="8">
    <w:p w14:paraId="72F01EC3" w14:textId="77777777" w:rsidR="0056590E" w:rsidRDefault="0056590E" w:rsidP="003A4800">
      <w:pPr>
        <w:pStyle w:val="Sprotnaopomba-besedilo"/>
      </w:pPr>
      <w:r w:rsidRPr="00D0780C">
        <w:rPr>
          <w:rStyle w:val="Sprotnaopomba-sklic"/>
          <w:sz w:val="16"/>
        </w:rPr>
        <w:footnoteRef/>
      </w:r>
      <w:r>
        <w:t xml:space="preserve"> I</w:t>
      </w:r>
      <w:r w:rsidRPr="00D0780C">
        <w:t>zplačilo temeljnega dohodka in socialnih prispevkov samostojnim podjetnikom in drugim upravičencem, plačilo prispevkov za PIZ zaposlenim, ki so med epidemijo delali, plačilo socialnih prispevkov za zaposlene na čakanju, delno subvencioniranje skrajšanega delovnega časa, krizni dodatek, subvencioniranje minimalne plače in bolniška nadomestila za zaposlene.</w:t>
      </w:r>
    </w:p>
  </w:footnote>
  <w:footnote w:id="9">
    <w:p w14:paraId="00D91827" w14:textId="77777777" w:rsidR="0056590E" w:rsidRPr="00245776" w:rsidRDefault="0056590E" w:rsidP="003A4800">
      <w:pPr>
        <w:pStyle w:val="Sprotnaopomba-besedilo"/>
      </w:pPr>
      <w:r w:rsidRPr="00245776">
        <w:rPr>
          <w:vertAlign w:val="superscript"/>
        </w:rPr>
        <w:footnoteRef/>
      </w:r>
      <w:r>
        <w:t xml:space="preserve"> </w:t>
      </w:r>
      <w:r w:rsidRPr="00245776">
        <w:t xml:space="preserve">Več o tem </w:t>
      </w:r>
      <w:r>
        <w:t xml:space="preserve">v Poročilu o produktivnosti 2021 </w:t>
      </w:r>
      <w:r>
        <w:fldChar w:fldCharType="begin"/>
      </w:r>
      <w:r>
        <w:instrText xml:space="preserve"> ADDIN ZOTERO_ITEM CSL_CITATION {"citationID":"AVqfJ0s5","properties":{"formattedCitation":"(UMAR, 2022)","plainCitation":"(UMAR, 2022)","noteIndex":8},"citationItems":[{"id":1815,"uris":["http://zotero.org/users/8372339/items/SNM7U9WZ"],"uri":["http://zotero.org/users/8372339/items/SNM7U9WZ"],"itemData":{"id":1815,"type":"report","event-place":"Ljubljana","language":"sl","publisher":"Urad RS za makroekonomske analize in razvoj","publisher-place":"Ljubljana","title":"Poročilo o produktivnosti 2021","URL":"https://www.umar.gov.si/publikacije/porocilo-o-produktivnosti/","author":[{"family":"UMAR","given":""}],"accessed":{"date-parts":[["2022",1,20]]},"issued":{"date-parts":[["2022"]]}}}],"schema":"https://github.com/citation-style-language/schema/raw/master/csl-citation.json"} </w:instrText>
      </w:r>
      <w:r>
        <w:fldChar w:fldCharType="separate"/>
      </w:r>
      <w:r w:rsidRPr="00231C02">
        <w:t>(UMAR, 2022)</w:t>
      </w:r>
      <w:r>
        <w:fldChar w:fldCharType="end"/>
      </w:r>
      <w:r>
        <w:t>.</w:t>
      </w:r>
    </w:p>
  </w:footnote>
  <w:footnote w:id="10">
    <w:p w14:paraId="73F1866E" w14:textId="77777777" w:rsidR="0056590E" w:rsidRPr="00E404E6" w:rsidRDefault="0056590E" w:rsidP="006A57F3">
      <w:pPr>
        <w:pStyle w:val="Sprotnaopomba-besedilo"/>
      </w:pPr>
      <w:r w:rsidRPr="00E404E6">
        <w:rPr>
          <w:vertAlign w:val="superscript"/>
        </w:rPr>
        <w:footnoteRef/>
      </w:r>
      <w:r w:rsidRPr="00E404E6">
        <w:t xml:space="preserve"> </w:t>
      </w:r>
      <w:r w:rsidRPr="0071078A">
        <w:t>Pribitek je izračunan kot razmerje med prihodki od prodaje in stroški za nabavo blaga, materiala in storitev ter stroški dela.</w:t>
      </w:r>
    </w:p>
  </w:footnote>
  <w:footnote w:id="11">
    <w:p w14:paraId="5E3291AE" w14:textId="77777777" w:rsidR="0056590E" w:rsidRPr="00E404E6" w:rsidRDefault="0056590E" w:rsidP="006A57F3">
      <w:pPr>
        <w:pStyle w:val="Sprotnaopomba-besedilo"/>
      </w:pPr>
      <w:r w:rsidRPr="00E404E6">
        <w:rPr>
          <w:rStyle w:val="Sprotnaopomba-sklic"/>
        </w:rPr>
        <w:footnoteRef/>
      </w:r>
      <w:r w:rsidRPr="00E404E6">
        <w:rPr>
          <w:rStyle w:val="Sprotnaopomba-sklic"/>
        </w:rPr>
        <w:t xml:space="preserve"> </w:t>
      </w:r>
      <w:r w:rsidRPr="00E404E6">
        <w:t>Družbe, ki so po SKD registrirane v 47.110.</w:t>
      </w:r>
    </w:p>
  </w:footnote>
  <w:footnote w:id="12">
    <w:p w14:paraId="71036413" w14:textId="7B28F115" w:rsidR="0056590E" w:rsidRPr="00584020" w:rsidRDefault="0056590E" w:rsidP="00116CEE">
      <w:pPr>
        <w:pStyle w:val="Sprotnaopomba-besedilo"/>
      </w:pPr>
      <w:r>
        <w:rPr>
          <w:rStyle w:val="Sprotnaopomba-sklic"/>
        </w:rPr>
        <w:footnoteRef/>
      </w:r>
      <w:r>
        <w:t xml:space="preserve"> Visok upad (26,5 %) so zabeležili že v letu 2020, na kar je vplivalo tudi zaprtje prodajaln ob razglasitvi epidemije. Prodaja je v letu 2021 ostala podobno nizka kot leta 2020, leta 2022 pa se je zmanjšala še za 14,1 % in bila tako za 36,3 % manjša kot v letu 2019. P</w:t>
      </w:r>
      <w:r w:rsidRPr="00652758">
        <w:t>rodaja pravnim osebam se je po visokih rasteh v obdobju 2013</w:t>
      </w:r>
      <w:r w:rsidRPr="00652758">
        <w:softHyphen/>
        <w:t xml:space="preserve">–2017 </w:t>
      </w:r>
      <w:r>
        <w:t xml:space="preserve">sicer </w:t>
      </w:r>
      <w:r w:rsidRPr="00652758">
        <w:t>zmanjšala že leta 2018, kar je bil</w:t>
      </w:r>
      <w:r>
        <w:t>o</w:t>
      </w:r>
      <w:r w:rsidRPr="00652758">
        <w:t xml:space="preserve"> </w:t>
      </w:r>
      <w:r w:rsidRPr="00584020">
        <w:t>tudi posledica zapletov ob uvedbi novega postopka za določanje porabe goriva in emisij izpušnih plinov.</w:t>
      </w:r>
    </w:p>
  </w:footnote>
  <w:footnote w:id="13">
    <w:p w14:paraId="2A2312BC" w14:textId="77777777" w:rsidR="0056590E" w:rsidRPr="00584020" w:rsidRDefault="0056590E" w:rsidP="00116CEE">
      <w:pPr>
        <w:pStyle w:val="Sprotnaopomba-besedilo"/>
      </w:pPr>
      <w:r w:rsidRPr="00584020">
        <w:rPr>
          <w:rStyle w:val="Sprotnaopomba-sklic"/>
        </w:rPr>
        <w:footnoteRef/>
      </w:r>
      <w:r w:rsidRPr="00584020">
        <w:t xml:space="preserve"> </w:t>
      </w:r>
      <w:r w:rsidRPr="00C971BD">
        <w:t>Družba je še leto prej poslovala z visoko neto izgubo iz poslovanja zaradi odpisov vrednosti. Zdravo jedro te družbe, ki se je v letih do vključno 2013 ukvarjala s trgovino na debelo s kovinskimi proizvodi, inštalacijskim materialom in napravami za ogrevanje, se je v letu 2014 registriralo v dejavnosti trgovine na drobno v specializiranih prodajalnah z gradbenim materialom, kovinskimi izdelki, barvami in steklom</w:t>
      </w:r>
      <w:r w:rsidRPr="00584020">
        <w:t>.</w:t>
      </w:r>
    </w:p>
  </w:footnote>
  <w:footnote w:id="14">
    <w:p w14:paraId="1E9271B8" w14:textId="77777777" w:rsidR="0056590E" w:rsidRPr="00AA1F5A" w:rsidRDefault="0056590E" w:rsidP="00116CEE">
      <w:pPr>
        <w:pStyle w:val="Sprotnaopomba-besedilo"/>
      </w:pPr>
      <w:r w:rsidRPr="00AA1F5A">
        <w:rPr>
          <w:rStyle w:val="Sprotnaopomba-sklic"/>
        </w:rPr>
        <w:footnoteRef/>
      </w:r>
      <w:r w:rsidRPr="00AA1F5A">
        <w:t xml:space="preserve"> Prodaja lesa in gradbenega materiala, kovin in rud ter kovinskih proizvodov </w:t>
      </w:r>
      <w:r>
        <w:t>in</w:t>
      </w:r>
      <w:r w:rsidRPr="00AA1F5A">
        <w:t xml:space="preserve"> goriv</w:t>
      </w:r>
      <w:r>
        <w:t xml:space="preserve">. </w:t>
      </w:r>
    </w:p>
  </w:footnote>
  <w:footnote w:id="15">
    <w:p w14:paraId="0F9E2C5D" w14:textId="2F58CCEB" w:rsidR="0056590E" w:rsidRDefault="0056590E" w:rsidP="006A57F3">
      <w:pPr>
        <w:pStyle w:val="Sprotnaopomba-besedilo"/>
      </w:pPr>
      <w:r>
        <w:rPr>
          <w:rStyle w:val="Sprotnaopomba-sklic"/>
        </w:rPr>
        <w:footnoteRef/>
      </w:r>
      <w:r>
        <w:t xml:space="preserve"> L</w:t>
      </w:r>
      <w:r w:rsidRPr="00CE2BF4">
        <w:t xml:space="preserve">eta 2021 </w:t>
      </w:r>
      <w:r>
        <w:t>se je skupaj</w:t>
      </w:r>
      <w:r w:rsidRPr="00CE2BF4">
        <w:t xml:space="preserve"> povečal za 255 mio evrov</w:t>
      </w:r>
      <w:r>
        <w:t>, leta 2022 pa zmanjšal za 252,7 mio evrov.</w:t>
      </w:r>
    </w:p>
  </w:footnote>
  <w:footnote w:id="16">
    <w:p w14:paraId="2FBB9EE7" w14:textId="5EB6EC00" w:rsidR="0056590E" w:rsidRDefault="0056590E" w:rsidP="006A57F3">
      <w:pPr>
        <w:pStyle w:val="Sprotnaopomba-besedilo"/>
      </w:pPr>
      <w:r>
        <w:rPr>
          <w:rStyle w:val="Sprotnaopomba-sklic"/>
        </w:rPr>
        <w:footnoteRef/>
      </w:r>
      <w:r>
        <w:t xml:space="preserve"> </w:t>
      </w:r>
      <w:r w:rsidRPr="00CE2BF4">
        <w:t>Na nihanja v uspešnosti poslovanja skupine so zelo vplivala predvsem nihanja v vrednosti oslabitev nepremičnin in opreme, ki so vplival</w:t>
      </w:r>
      <w:r>
        <w:t>a</w:t>
      </w:r>
      <w:r w:rsidRPr="00CE2BF4">
        <w:t xml:space="preserve"> na finančno poslovanje</w:t>
      </w:r>
      <w:r>
        <w:t>,</w:t>
      </w:r>
      <w:r w:rsidRPr="00CE2BF4">
        <w:t xml:space="preserve"> ter odpi</w:t>
      </w:r>
      <w:r>
        <w:t>si</w:t>
      </w:r>
      <w:r w:rsidRPr="00CE2BF4">
        <w:t xml:space="preserve"> zaradi prevrednotenja finančnih naložb, ki so vplivali na višino poslovnih odhodkov in neto rezultat poslovanj</w:t>
      </w:r>
      <w:r>
        <w:t>a. Zaradi visokega povečanja oslabitev</w:t>
      </w:r>
      <w:r w:rsidRPr="00943C7D">
        <w:t xml:space="preserve"> nepremičnin </w:t>
      </w:r>
      <w:r>
        <w:t>ter</w:t>
      </w:r>
      <w:r w:rsidRPr="00943C7D">
        <w:t xml:space="preserve"> opreme in odpisov zaradi prevrednotenja finančnih nalo</w:t>
      </w:r>
      <w:r>
        <w:t xml:space="preserve">žb večje družbe v tej panogi, je celotna skupina </w:t>
      </w:r>
      <w:r w:rsidRPr="00943C7D">
        <w:t>let</w:t>
      </w:r>
      <w:r>
        <w:t>o</w:t>
      </w:r>
      <w:r w:rsidRPr="00943C7D">
        <w:t xml:space="preserve"> 2017 </w:t>
      </w:r>
      <w:r>
        <w:t>zaključila</w:t>
      </w:r>
      <w:r w:rsidRPr="00943C7D">
        <w:t xml:space="preserve"> z visoko neto izgubo iz financiranja (medletno povišanje za 347,7</w:t>
      </w:r>
      <w:r>
        <w:t> %</w:t>
      </w:r>
      <w:r w:rsidRPr="00943C7D">
        <w:t>)</w:t>
      </w:r>
      <w:r>
        <w:t>. Ta se je v naslednjih dveh letih več kot prepolovila. Visoki odpisi vrednosti pa so vplivali na močno povišanje poslovnih odhodkov, zaradi katerih so družbe leto 2017 zaključile z neto izgubo iz poslovanja, ki se je leta 2018 prevesila v visok dobiček iz poslovanja.</w:t>
      </w:r>
    </w:p>
  </w:footnote>
  <w:footnote w:id="17">
    <w:p w14:paraId="5EEDE75F" w14:textId="315F716A" w:rsidR="0056590E" w:rsidRDefault="0056590E" w:rsidP="006A57F3">
      <w:pPr>
        <w:pStyle w:val="Sprotnaopomba-besedilo"/>
      </w:pPr>
      <w:r>
        <w:rPr>
          <w:rStyle w:val="Sprotnaopomba-sklic"/>
        </w:rPr>
        <w:footnoteRef/>
      </w:r>
      <w:r>
        <w:t xml:space="preserve"> Ki je nastala zaradi</w:t>
      </w:r>
      <w:r w:rsidRPr="00CE2BF4">
        <w:t xml:space="preserve"> precej višjih finančnih odhodk</w:t>
      </w:r>
      <w:r>
        <w:t>ov</w:t>
      </w:r>
      <w:r w:rsidRPr="00CE2BF4">
        <w:t xml:space="preserve"> zaradi povečanja oslabitev</w:t>
      </w:r>
      <w:r>
        <w:t>.</w:t>
      </w:r>
    </w:p>
  </w:footnote>
  <w:footnote w:id="18">
    <w:p w14:paraId="4E590121" w14:textId="77777777" w:rsidR="0056590E" w:rsidRPr="00712A35" w:rsidRDefault="0056590E" w:rsidP="006A57F3">
      <w:pPr>
        <w:pStyle w:val="Sprotnaopomba-besedilo"/>
      </w:pPr>
      <w:r>
        <w:rPr>
          <w:rStyle w:val="Sprotnaopomba-sklic"/>
        </w:rPr>
        <w:footnoteRef/>
      </w:r>
      <w:r w:rsidRPr="00712A35">
        <w:t xml:space="preserve"> </w:t>
      </w:r>
      <w:r>
        <w:t>N</w:t>
      </w:r>
      <w:r w:rsidRPr="00712A35">
        <w:t xml:space="preserve">a </w:t>
      </w:r>
      <w:r>
        <w:t>to</w:t>
      </w:r>
      <w:r w:rsidRPr="00712A35">
        <w:t xml:space="preserve"> je vplivalo zmanjšanje neto dobička iz poslovanja (zaradi povečanja odpisov vrednosti oz. amortizacije dveh večjih družb v tej panogi) in poslovanje z neto izgubo iz financiranja</w:t>
      </w:r>
      <w:r>
        <w:t>.</w:t>
      </w:r>
    </w:p>
  </w:footnote>
  <w:footnote w:id="19">
    <w:p w14:paraId="57C1A95F" w14:textId="3567945D" w:rsidR="0056590E" w:rsidRDefault="0056590E" w:rsidP="006A57F3">
      <w:pPr>
        <w:pStyle w:val="Sprotnaopomba-besedilo"/>
      </w:pPr>
      <w:r>
        <w:rPr>
          <w:rStyle w:val="Sprotnaopomba-sklic"/>
        </w:rPr>
        <w:footnoteRef/>
      </w:r>
      <w:r>
        <w:t xml:space="preserve"> Nabavna vrednost prodanega blaga se je povečala za 103,4 % na 8,7 mrd evrov.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56590E" w:rsidRPr="00A540FA" w14:paraId="73DF8531" w14:textId="77777777" w:rsidTr="00287C4E">
      <w:trPr>
        <w:trHeight w:val="552"/>
      </w:trPr>
      <w:tc>
        <w:tcPr>
          <w:tcW w:w="8276" w:type="dxa"/>
        </w:tcPr>
        <w:p w14:paraId="09B5FD28" w14:textId="1E9E49CD" w:rsidR="0056590E" w:rsidRPr="00F43CB0" w:rsidRDefault="0056590E" w:rsidP="004016AB">
          <w:pPr>
            <w:pStyle w:val="Glava"/>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15B4FF3A" wp14:editId="5BB01016">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Poslovanje trgovskih gospodarskih družb do leta 2022</w:t>
          </w:r>
          <w:r>
            <w:rPr>
              <w:rFonts w:cstheme="minorHAnsi"/>
              <w:b/>
              <w:sz w:val="16"/>
            </w:rPr>
            <w:tab/>
          </w:r>
        </w:p>
      </w:tc>
      <w:tc>
        <w:tcPr>
          <w:tcW w:w="796" w:type="dxa"/>
        </w:tcPr>
        <w:p w14:paraId="25BD8D39" w14:textId="77777777" w:rsidR="0056590E" w:rsidRPr="00B607E3" w:rsidRDefault="0056590E" w:rsidP="007444EC">
          <w:pPr>
            <w:pStyle w:val="Glava"/>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61059F8F" w14:textId="77777777" w:rsidR="0056590E" w:rsidRDefault="0056590E"/>
  <w:p w14:paraId="2FC72D68" w14:textId="77777777" w:rsidR="0056590E" w:rsidRDefault="00565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Naslov1"/>
      <w:lvlText w:val="%1"/>
      <w:lvlJc w:val="left"/>
      <w:pPr>
        <w:ind w:left="360" w:hanging="360"/>
      </w:pPr>
      <w:rPr>
        <w:rFonts w:hint="default"/>
      </w:rPr>
    </w:lvl>
    <w:lvl w:ilvl="1">
      <w:start w:val="1"/>
      <w:numFmt w:val="decimal"/>
      <w:pStyle w:val="Naslov2"/>
      <w:suff w:val="space"/>
      <w:lvlText w:val="%1.%2"/>
      <w:lvlJc w:val="left"/>
      <w:pPr>
        <w:ind w:left="0" w:firstLine="0"/>
      </w:pPr>
      <w:rPr>
        <w:rFonts w:hint="default"/>
      </w:rPr>
    </w:lvl>
    <w:lvl w:ilvl="2">
      <w:start w:val="1"/>
      <w:numFmt w:val="decimal"/>
      <w:pStyle w:val="Naslov3"/>
      <w:suff w:val="space"/>
      <w:lvlText w:val="%1.%2.%3"/>
      <w:lvlJc w:val="left"/>
      <w:pPr>
        <w:ind w:left="0" w:firstLine="0"/>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7"/>
    <w:rsid w:val="000026EC"/>
    <w:rsid w:val="00002CAF"/>
    <w:rsid w:val="000032F1"/>
    <w:rsid w:val="00003E9D"/>
    <w:rsid w:val="00004DAC"/>
    <w:rsid w:val="00006657"/>
    <w:rsid w:val="00006975"/>
    <w:rsid w:val="00006BC6"/>
    <w:rsid w:val="000071B5"/>
    <w:rsid w:val="00007719"/>
    <w:rsid w:val="00013848"/>
    <w:rsid w:val="000141E1"/>
    <w:rsid w:val="00014DA7"/>
    <w:rsid w:val="00020CDA"/>
    <w:rsid w:val="00021509"/>
    <w:rsid w:val="00023A5C"/>
    <w:rsid w:val="00023FFD"/>
    <w:rsid w:val="0002452C"/>
    <w:rsid w:val="00024FA0"/>
    <w:rsid w:val="000267E2"/>
    <w:rsid w:val="00026ACB"/>
    <w:rsid w:val="0003011B"/>
    <w:rsid w:val="00030C99"/>
    <w:rsid w:val="00033FF7"/>
    <w:rsid w:val="00035FBD"/>
    <w:rsid w:val="000365D0"/>
    <w:rsid w:val="0003751E"/>
    <w:rsid w:val="00037DDD"/>
    <w:rsid w:val="0004147D"/>
    <w:rsid w:val="00041BCA"/>
    <w:rsid w:val="00042B8F"/>
    <w:rsid w:val="000438D4"/>
    <w:rsid w:val="00043FF1"/>
    <w:rsid w:val="00046F07"/>
    <w:rsid w:val="00054645"/>
    <w:rsid w:val="0005475A"/>
    <w:rsid w:val="000547F0"/>
    <w:rsid w:val="00055111"/>
    <w:rsid w:val="000572B9"/>
    <w:rsid w:val="00057C74"/>
    <w:rsid w:val="00060302"/>
    <w:rsid w:val="0006200A"/>
    <w:rsid w:val="0006399C"/>
    <w:rsid w:val="00066A45"/>
    <w:rsid w:val="0007025B"/>
    <w:rsid w:val="00070B55"/>
    <w:rsid w:val="000719B8"/>
    <w:rsid w:val="00072E0A"/>
    <w:rsid w:val="00072E5D"/>
    <w:rsid w:val="0007354C"/>
    <w:rsid w:val="00075D73"/>
    <w:rsid w:val="00077993"/>
    <w:rsid w:val="00077C63"/>
    <w:rsid w:val="00077E9C"/>
    <w:rsid w:val="0008109A"/>
    <w:rsid w:val="00083E22"/>
    <w:rsid w:val="00084484"/>
    <w:rsid w:val="000844BC"/>
    <w:rsid w:val="00085DAE"/>
    <w:rsid w:val="000918F3"/>
    <w:rsid w:val="0009247A"/>
    <w:rsid w:val="000929C6"/>
    <w:rsid w:val="00092DA8"/>
    <w:rsid w:val="000936DA"/>
    <w:rsid w:val="00095C13"/>
    <w:rsid w:val="000968B4"/>
    <w:rsid w:val="000969D0"/>
    <w:rsid w:val="00096DB6"/>
    <w:rsid w:val="000A1F78"/>
    <w:rsid w:val="000A528A"/>
    <w:rsid w:val="000A6E55"/>
    <w:rsid w:val="000A78C0"/>
    <w:rsid w:val="000B0C7C"/>
    <w:rsid w:val="000B177F"/>
    <w:rsid w:val="000B1E80"/>
    <w:rsid w:val="000B2CC4"/>
    <w:rsid w:val="000B3619"/>
    <w:rsid w:val="000B48FF"/>
    <w:rsid w:val="000B52C9"/>
    <w:rsid w:val="000B75F3"/>
    <w:rsid w:val="000C1C5A"/>
    <w:rsid w:val="000C2CAF"/>
    <w:rsid w:val="000C43BF"/>
    <w:rsid w:val="000C4E62"/>
    <w:rsid w:val="000C5063"/>
    <w:rsid w:val="000C66F6"/>
    <w:rsid w:val="000D0AF5"/>
    <w:rsid w:val="000D0C8F"/>
    <w:rsid w:val="000D1E72"/>
    <w:rsid w:val="000D4CA8"/>
    <w:rsid w:val="000E0B25"/>
    <w:rsid w:val="000E1358"/>
    <w:rsid w:val="000E335A"/>
    <w:rsid w:val="000E33B4"/>
    <w:rsid w:val="000E33B7"/>
    <w:rsid w:val="000E3BEC"/>
    <w:rsid w:val="000E70CE"/>
    <w:rsid w:val="000E7B27"/>
    <w:rsid w:val="000E7BCB"/>
    <w:rsid w:val="000F0B06"/>
    <w:rsid w:val="000F128C"/>
    <w:rsid w:val="000F23D6"/>
    <w:rsid w:val="000F2B1C"/>
    <w:rsid w:val="000F37C8"/>
    <w:rsid w:val="000F6F5D"/>
    <w:rsid w:val="00100DB9"/>
    <w:rsid w:val="00102453"/>
    <w:rsid w:val="00102756"/>
    <w:rsid w:val="0010366B"/>
    <w:rsid w:val="00103A5E"/>
    <w:rsid w:val="0010507E"/>
    <w:rsid w:val="00105A87"/>
    <w:rsid w:val="00105D95"/>
    <w:rsid w:val="00106069"/>
    <w:rsid w:val="00106B4D"/>
    <w:rsid w:val="00106BE5"/>
    <w:rsid w:val="00107A6B"/>
    <w:rsid w:val="00107A7C"/>
    <w:rsid w:val="00110C49"/>
    <w:rsid w:val="00110FEB"/>
    <w:rsid w:val="0011504B"/>
    <w:rsid w:val="00115051"/>
    <w:rsid w:val="001153EC"/>
    <w:rsid w:val="0011551D"/>
    <w:rsid w:val="00116CEE"/>
    <w:rsid w:val="001170C5"/>
    <w:rsid w:val="00117115"/>
    <w:rsid w:val="00117342"/>
    <w:rsid w:val="0011783D"/>
    <w:rsid w:val="00121772"/>
    <w:rsid w:val="00124C9D"/>
    <w:rsid w:val="00124F22"/>
    <w:rsid w:val="001253E2"/>
    <w:rsid w:val="00127B1E"/>
    <w:rsid w:val="00130A1A"/>
    <w:rsid w:val="0013312D"/>
    <w:rsid w:val="0013548A"/>
    <w:rsid w:val="00135CF8"/>
    <w:rsid w:val="00137AB5"/>
    <w:rsid w:val="001406F5"/>
    <w:rsid w:val="00140706"/>
    <w:rsid w:val="00141E1A"/>
    <w:rsid w:val="00143E7F"/>
    <w:rsid w:val="00143F8E"/>
    <w:rsid w:val="001455D8"/>
    <w:rsid w:val="00150E9F"/>
    <w:rsid w:val="0015528E"/>
    <w:rsid w:val="001554D4"/>
    <w:rsid w:val="0015742B"/>
    <w:rsid w:val="001579F2"/>
    <w:rsid w:val="00161445"/>
    <w:rsid w:val="00161611"/>
    <w:rsid w:val="0016173F"/>
    <w:rsid w:val="00162561"/>
    <w:rsid w:val="00165810"/>
    <w:rsid w:val="00166A22"/>
    <w:rsid w:val="001673B5"/>
    <w:rsid w:val="001673FC"/>
    <w:rsid w:val="001709CB"/>
    <w:rsid w:val="00170FA1"/>
    <w:rsid w:val="00175219"/>
    <w:rsid w:val="00175D93"/>
    <w:rsid w:val="001764AB"/>
    <w:rsid w:val="00176B80"/>
    <w:rsid w:val="001770F0"/>
    <w:rsid w:val="001800CD"/>
    <w:rsid w:val="00181502"/>
    <w:rsid w:val="00181CCA"/>
    <w:rsid w:val="0018519C"/>
    <w:rsid w:val="001852AD"/>
    <w:rsid w:val="001908FD"/>
    <w:rsid w:val="001910C2"/>
    <w:rsid w:val="001917B6"/>
    <w:rsid w:val="00192EC7"/>
    <w:rsid w:val="00195F97"/>
    <w:rsid w:val="0019720D"/>
    <w:rsid w:val="00197686"/>
    <w:rsid w:val="001A0885"/>
    <w:rsid w:val="001A1629"/>
    <w:rsid w:val="001A3298"/>
    <w:rsid w:val="001A7CD6"/>
    <w:rsid w:val="001B2F40"/>
    <w:rsid w:val="001B34AC"/>
    <w:rsid w:val="001B5ECC"/>
    <w:rsid w:val="001B6398"/>
    <w:rsid w:val="001C0520"/>
    <w:rsid w:val="001C20B3"/>
    <w:rsid w:val="001C3A0A"/>
    <w:rsid w:val="001C45CE"/>
    <w:rsid w:val="001C487D"/>
    <w:rsid w:val="001C4D46"/>
    <w:rsid w:val="001C5AF2"/>
    <w:rsid w:val="001C6951"/>
    <w:rsid w:val="001D0A6E"/>
    <w:rsid w:val="001D0B2F"/>
    <w:rsid w:val="001D1834"/>
    <w:rsid w:val="001D3A3F"/>
    <w:rsid w:val="001D4B79"/>
    <w:rsid w:val="001D65E7"/>
    <w:rsid w:val="001D663D"/>
    <w:rsid w:val="001D7A57"/>
    <w:rsid w:val="001E07FD"/>
    <w:rsid w:val="001E0960"/>
    <w:rsid w:val="001E55C4"/>
    <w:rsid w:val="001E7BEE"/>
    <w:rsid w:val="001F0482"/>
    <w:rsid w:val="001F1537"/>
    <w:rsid w:val="001F166C"/>
    <w:rsid w:val="001F1F26"/>
    <w:rsid w:val="001F379C"/>
    <w:rsid w:val="001F60CF"/>
    <w:rsid w:val="001F62CF"/>
    <w:rsid w:val="001F71C5"/>
    <w:rsid w:val="001F7A99"/>
    <w:rsid w:val="00203C04"/>
    <w:rsid w:val="00205616"/>
    <w:rsid w:val="002111FC"/>
    <w:rsid w:val="00212697"/>
    <w:rsid w:val="00213247"/>
    <w:rsid w:val="00214084"/>
    <w:rsid w:val="00214A8B"/>
    <w:rsid w:val="00214CE2"/>
    <w:rsid w:val="00215690"/>
    <w:rsid w:val="00217E32"/>
    <w:rsid w:val="00220A86"/>
    <w:rsid w:val="00220E84"/>
    <w:rsid w:val="002225D3"/>
    <w:rsid w:val="00225170"/>
    <w:rsid w:val="0022533F"/>
    <w:rsid w:val="002257A9"/>
    <w:rsid w:val="0022784D"/>
    <w:rsid w:val="00230DE5"/>
    <w:rsid w:val="00231A3E"/>
    <w:rsid w:val="00232BBE"/>
    <w:rsid w:val="00232FA4"/>
    <w:rsid w:val="00233A24"/>
    <w:rsid w:val="0023463D"/>
    <w:rsid w:val="00234DFD"/>
    <w:rsid w:val="00235E12"/>
    <w:rsid w:val="00241ED7"/>
    <w:rsid w:val="00242897"/>
    <w:rsid w:val="00243D25"/>
    <w:rsid w:val="00244E0B"/>
    <w:rsid w:val="00247147"/>
    <w:rsid w:val="00250B99"/>
    <w:rsid w:val="00251C4C"/>
    <w:rsid w:val="00252660"/>
    <w:rsid w:val="00252F81"/>
    <w:rsid w:val="002531D4"/>
    <w:rsid w:val="00253567"/>
    <w:rsid w:val="002572F0"/>
    <w:rsid w:val="002577FF"/>
    <w:rsid w:val="002628DA"/>
    <w:rsid w:val="002634D6"/>
    <w:rsid w:val="00263E3D"/>
    <w:rsid w:val="00265B02"/>
    <w:rsid w:val="00265E7B"/>
    <w:rsid w:val="00266B89"/>
    <w:rsid w:val="00272502"/>
    <w:rsid w:val="00272C68"/>
    <w:rsid w:val="00274A6B"/>
    <w:rsid w:val="00274BA4"/>
    <w:rsid w:val="002750B5"/>
    <w:rsid w:val="00275ABC"/>
    <w:rsid w:val="00275CAC"/>
    <w:rsid w:val="002800D2"/>
    <w:rsid w:val="00281355"/>
    <w:rsid w:val="00282A01"/>
    <w:rsid w:val="00285479"/>
    <w:rsid w:val="0028749C"/>
    <w:rsid w:val="00287C4E"/>
    <w:rsid w:val="002901C9"/>
    <w:rsid w:val="00291052"/>
    <w:rsid w:val="00291B55"/>
    <w:rsid w:val="0029204B"/>
    <w:rsid w:val="00294CBF"/>
    <w:rsid w:val="0029526F"/>
    <w:rsid w:val="00295489"/>
    <w:rsid w:val="00296655"/>
    <w:rsid w:val="00296ADF"/>
    <w:rsid w:val="00296B59"/>
    <w:rsid w:val="002A0E59"/>
    <w:rsid w:val="002A1940"/>
    <w:rsid w:val="002A368E"/>
    <w:rsid w:val="002A6C97"/>
    <w:rsid w:val="002A7EEA"/>
    <w:rsid w:val="002B06FB"/>
    <w:rsid w:val="002B3773"/>
    <w:rsid w:val="002B3890"/>
    <w:rsid w:val="002B3FA8"/>
    <w:rsid w:val="002B5937"/>
    <w:rsid w:val="002B5D48"/>
    <w:rsid w:val="002B6132"/>
    <w:rsid w:val="002B631F"/>
    <w:rsid w:val="002C0D76"/>
    <w:rsid w:val="002C102F"/>
    <w:rsid w:val="002C42D3"/>
    <w:rsid w:val="002D0D1B"/>
    <w:rsid w:val="002D1D30"/>
    <w:rsid w:val="002D3ED5"/>
    <w:rsid w:val="002D4281"/>
    <w:rsid w:val="002D460E"/>
    <w:rsid w:val="002D5102"/>
    <w:rsid w:val="002E0017"/>
    <w:rsid w:val="002E032A"/>
    <w:rsid w:val="002E37AA"/>
    <w:rsid w:val="002E45C6"/>
    <w:rsid w:val="002E63B2"/>
    <w:rsid w:val="002F0A04"/>
    <w:rsid w:val="002F1176"/>
    <w:rsid w:val="002F36AC"/>
    <w:rsid w:val="002F5D0F"/>
    <w:rsid w:val="002F62CB"/>
    <w:rsid w:val="0030011D"/>
    <w:rsid w:val="003014DC"/>
    <w:rsid w:val="0030159B"/>
    <w:rsid w:val="00301925"/>
    <w:rsid w:val="00305924"/>
    <w:rsid w:val="00306706"/>
    <w:rsid w:val="003119D2"/>
    <w:rsid w:val="00315406"/>
    <w:rsid w:val="0031550F"/>
    <w:rsid w:val="00330829"/>
    <w:rsid w:val="0033107B"/>
    <w:rsid w:val="003312A2"/>
    <w:rsid w:val="00334607"/>
    <w:rsid w:val="00336896"/>
    <w:rsid w:val="00336899"/>
    <w:rsid w:val="00340546"/>
    <w:rsid w:val="0034152B"/>
    <w:rsid w:val="00341E37"/>
    <w:rsid w:val="00341EEF"/>
    <w:rsid w:val="00342089"/>
    <w:rsid w:val="00343039"/>
    <w:rsid w:val="003445AA"/>
    <w:rsid w:val="00344940"/>
    <w:rsid w:val="00344FE4"/>
    <w:rsid w:val="00347515"/>
    <w:rsid w:val="0035126D"/>
    <w:rsid w:val="00351BD0"/>
    <w:rsid w:val="003529F5"/>
    <w:rsid w:val="00353175"/>
    <w:rsid w:val="00353D73"/>
    <w:rsid w:val="00354A68"/>
    <w:rsid w:val="00355D20"/>
    <w:rsid w:val="00355D96"/>
    <w:rsid w:val="00356181"/>
    <w:rsid w:val="00363A1A"/>
    <w:rsid w:val="00364CEA"/>
    <w:rsid w:val="003656BC"/>
    <w:rsid w:val="00365B36"/>
    <w:rsid w:val="00365CA9"/>
    <w:rsid w:val="003663C9"/>
    <w:rsid w:val="00367549"/>
    <w:rsid w:val="00370E6A"/>
    <w:rsid w:val="00370E89"/>
    <w:rsid w:val="00373951"/>
    <w:rsid w:val="00373E63"/>
    <w:rsid w:val="00374268"/>
    <w:rsid w:val="003743DD"/>
    <w:rsid w:val="00374A64"/>
    <w:rsid w:val="00375C3D"/>
    <w:rsid w:val="00376234"/>
    <w:rsid w:val="00380DEB"/>
    <w:rsid w:val="00383F11"/>
    <w:rsid w:val="003844E5"/>
    <w:rsid w:val="00385490"/>
    <w:rsid w:val="00386ACD"/>
    <w:rsid w:val="0038783C"/>
    <w:rsid w:val="00390A78"/>
    <w:rsid w:val="00391645"/>
    <w:rsid w:val="003926AD"/>
    <w:rsid w:val="003932DF"/>
    <w:rsid w:val="003936E4"/>
    <w:rsid w:val="00394200"/>
    <w:rsid w:val="003944B6"/>
    <w:rsid w:val="00394B17"/>
    <w:rsid w:val="00395593"/>
    <w:rsid w:val="00396660"/>
    <w:rsid w:val="003A130C"/>
    <w:rsid w:val="003A1CC3"/>
    <w:rsid w:val="003A2EB1"/>
    <w:rsid w:val="003A4800"/>
    <w:rsid w:val="003A4B98"/>
    <w:rsid w:val="003A4C58"/>
    <w:rsid w:val="003A5848"/>
    <w:rsid w:val="003A6C2F"/>
    <w:rsid w:val="003A7D45"/>
    <w:rsid w:val="003A7F44"/>
    <w:rsid w:val="003B1BDA"/>
    <w:rsid w:val="003B1F8B"/>
    <w:rsid w:val="003B2E0E"/>
    <w:rsid w:val="003B3D3D"/>
    <w:rsid w:val="003B5F73"/>
    <w:rsid w:val="003B64A5"/>
    <w:rsid w:val="003B7CD1"/>
    <w:rsid w:val="003C3E4B"/>
    <w:rsid w:val="003D2EFD"/>
    <w:rsid w:val="003D39EE"/>
    <w:rsid w:val="003D431F"/>
    <w:rsid w:val="003D65E1"/>
    <w:rsid w:val="003D7EE3"/>
    <w:rsid w:val="003E0B22"/>
    <w:rsid w:val="003E174E"/>
    <w:rsid w:val="003E193D"/>
    <w:rsid w:val="003E1D01"/>
    <w:rsid w:val="003E2BA4"/>
    <w:rsid w:val="003E31F6"/>
    <w:rsid w:val="003E3A2D"/>
    <w:rsid w:val="003E4990"/>
    <w:rsid w:val="003E59E0"/>
    <w:rsid w:val="003E5C63"/>
    <w:rsid w:val="003E627F"/>
    <w:rsid w:val="003F058C"/>
    <w:rsid w:val="003F090C"/>
    <w:rsid w:val="003F18D2"/>
    <w:rsid w:val="003F1B14"/>
    <w:rsid w:val="003F1B8F"/>
    <w:rsid w:val="003F1D22"/>
    <w:rsid w:val="003F26A8"/>
    <w:rsid w:val="003F33CD"/>
    <w:rsid w:val="003F5FD3"/>
    <w:rsid w:val="003F6AB1"/>
    <w:rsid w:val="00400465"/>
    <w:rsid w:val="00400DE5"/>
    <w:rsid w:val="004016AB"/>
    <w:rsid w:val="0040195E"/>
    <w:rsid w:val="00402400"/>
    <w:rsid w:val="00402540"/>
    <w:rsid w:val="004029BB"/>
    <w:rsid w:val="00402B00"/>
    <w:rsid w:val="00404473"/>
    <w:rsid w:val="00404776"/>
    <w:rsid w:val="00404841"/>
    <w:rsid w:val="004049B7"/>
    <w:rsid w:val="00407C0D"/>
    <w:rsid w:val="00407E3C"/>
    <w:rsid w:val="00411FE9"/>
    <w:rsid w:val="00413A61"/>
    <w:rsid w:val="004155C8"/>
    <w:rsid w:val="00415D75"/>
    <w:rsid w:val="00416D9C"/>
    <w:rsid w:val="004200AC"/>
    <w:rsid w:val="0042288B"/>
    <w:rsid w:val="0042350D"/>
    <w:rsid w:val="00423D6C"/>
    <w:rsid w:val="004248C0"/>
    <w:rsid w:val="0042577D"/>
    <w:rsid w:val="00427E7B"/>
    <w:rsid w:val="00430947"/>
    <w:rsid w:val="004316F7"/>
    <w:rsid w:val="00431FB3"/>
    <w:rsid w:val="00433EC8"/>
    <w:rsid w:val="00433F7B"/>
    <w:rsid w:val="00435423"/>
    <w:rsid w:val="00437CB6"/>
    <w:rsid w:val="00440FB2"/>
    <w:rsid w:val="00441504"/>
    <w:rsid w:val="0044242E"/>
    <w:rsid w:val="0044421E"/>
    <w:rsid w:val="004448D1"/>
    <w:rsid w:val="00445B68"/>
    <w:rsid w:val="00446186"/>
    <w:rsid w:val="0044754D"/>
    <w:rsid w:val="00447A71"/>
    <w:rsid w:val="00452B84"/>
    <w:rsid w:val="00454751"/>
    <w:rsid w:val="004548C9"/>
    <w:rsid w:val="00457C59"/>
    <w:rsid w:val="004610CF"/>
    <w:rsid w:val="00461535"/>
    <w:rsid w:val="00463654"/>
    <w:rsid w:val="0046366D"/>
    <w:rsid w:val="00463D53"/>
    <w:rsid w:val="0046590F"/>
    <w:rsid w:val="00467B42"/>
    <w:rsid w:val="00470031"/>
    <w:rsid w:val="00471237"/>
    <w:rsid w:val="00471568"/>
    <w:rsid w:val="00471713"/>
    <w:rsid w:val="00471D85"/>
    <w:rsid w:val="00471F0D"/>
    <w:rsid w:val="00472149"/>
    <w:rsid w:val="004730B8"/>
    <w:rsid w:val="00474F4F"/>
    <w:rsid w:val="0047533F"/>
    <w:rsid w:val="0047635E"/>
    <w:rsid w:val="004774EA"/>
    <w:rsid w:val="004774F9"/>
    <w:rsid w:val="00477DBE"/>
    <w:rsid w:val="00481B30"/>
    <w:rsid w:val="00481E14"/>
    <w:rsid w:val="00481E90"/>
    <w:rsid w:val="00483AC2"/>
    <w:rsid w:val="00484DF1"/>
    <w:rsid w:val="00485096"/>
    <w:rsid w:val="00485174"/>
    <w:rsid w:val="004856A5"/>
    <w:rsid w:val="0048594C"/>
    <w:rsid w:val="0048599C"/>
    <w:rsid w:val="00487357"/>
    <w:rsid w:val="0048776B"/>
    <w:rsid w:val="00487BAB"/>
    <w:rsid w:val="00487D9F"/>
    <w:rsid w:val="00487DB9"/>
    <w:rsid w:val="00487FA1"/>
    <w:rsid w:val="004901C2"/>
    <w:rsid w:val="0049345B"/>
    <w:rsid w:val="0049356B"/>
    <w:rsid w:val="00493E08"/>
    <w:rsid w:val="004945BD"/>
    <w:rsid w:val="00495854"/>
    <w:rsid w:val="00495889"/>
    <w:rsid w:val="00496165"/>
    <w:rsid w:val="004964EE"/>
    <w:rsid w:val="004966FB"/>
    <w:rsid w:val="00497805"/>
    <w:rsid w:val="00497B00"/>
    <w:rsid w:val="004A235B"/>
    <w:rsid w:val="004A318E"/>
    <w:rsid w:val="004A3312"/>
    <w:rsid w:val="004A45DA"/>
    <w:rsid w:val="004A553E"/>
    <w:rsid w:val="004A64F7"/>
    <w:rsid w:val="004A688A"/>
    <w:rsid w:val="004A7084"/>
    <w:rsid w:val="004B275E"/>
    <w:rsid w:val="004B3384"/>
    <w:rsid w:val="004B39ED"/>
    <w:rsid w:val="004B4B54"/>
    <w:rsid w:val="004C0235"/>
    <w:rsid w:val="004C1588"/>
    <w:rsid w:val="004C1673"/>
    <w:rsid w:val="004C22C6"/>
    <w:rsid w:val="004C3E9F"/>
    <w:rsid w:val="004C4982"/>
    <w:rsid w:val="004C557B"/>
    <w:rsid w:val="004C5AD3"/>
    <w:rsid w:val="004C5DEA"/>
    <w:rsid w:val="004C6B99"/>
    <w:rsid w:val="004D1933"/>
    <w:rsid w:val="004D1C81"/>
    <w:rsid w:val="004D22FB"/>
    <w:rsid w:val="004D2B31"/>
    <w:rsid w:val="004D33D1"/>
    <w:rsid w:val="004D372F"/>
    <w:rsid w:val="004D51EA"/>
    <w:rsid w:val="004D5670"/>
    <w:rsid w:val="004D6AE4"/>
    <w:rsid w:val="004D6D6F"/>
    <w:rsid w:val="004D78A9"/>
    <w:rsid w:val="004D7E4E"/>
    <w:rsid w:val="004E26C0"/>
    <w:rsid w:val="004E2A6B"/>
    <w:rsid w:val="004E538D"/>
    <w:rsid w:val="004E670A"/>
    <w:rsid w:val="004F09ED"/>
    <w:rsid w:val="004F0F3E"/>
    <w:rsid w:val="004F1872"/>
    <w:rsid w:val="004F25F6"/>
    <w:rsid w:val="004F2BE3"/>
    <w:rsid w:val="004F2D70"/>
    <w:rsid w:val="004F2DE7"/>
    <w:rsid w:val="004F38FC"/>
    <w:rsid w:val="004F3C08"/>
    <w:rsid w:val="004F54A2"/>
    <w:rsid w:val="004F62F9"/>
    <w:rsid w:val="004F6889"/>
    <w:rsid w:val="0050010C"/>
    <w:rsid w:val="00501B23"/>
    <w:rsid w:val="00501BD9"/>
    <w:rsid w:val="00502FA8"/>
    <w:rsid w:val="0050550D"/>
    <w:rsid w:val="0050616E"/>
    <w:rsid w:val="00507640"/>
    <w:rsid w:val="0050798F"/>
    <w:rsid w:val="00510461"/>
    <w:rsid w:val="005139FA"/>
    <w:rsid w:val="00513F8E"/>
    <w:rsid w:val="00514CE7"/>
    <w:rsid w:val="0051582D"/>
    <w:rsid w:val="0051702C"/>
    <w:rsid w:val="00520E00"/>
    <w:rsid w:val="005237FD"/>
    <w:rsid w:val="0052552A"/>
    <w:rsid w:val="00525FE4"/>
    <w:rsid w:val="00527AAC"/>
    <w:rsid w:val="00530590"/>
    <w:rsid w:val="00532008"/>
    <w:rsid w:val="0053228F"/>
    <w:rsid w:val="00532E89"/>
    <w:rsid w:val="00532F7C"/>
    <w:rsid w:val="00532FEB"/>
    <w:rsid w:val="005331FB"/>
    <w:rsid w:val="00534995"/>
    <w:rsid w:val="00535810"/>
    <w:rsid w:val="00537053"/>
    <w:rsid w:val="0054083E"/>
    <w:rsid w:val="00543646"/>
    <w:rsid w:val="00543748"/>
    <w:rsid w:val="005445BD"/>
    <w:rsid w:val="0054632F"/>
    <w:rsid w:val="0054650F"/>
    <w:rsid w:val="005472C7"/>
    <w:rsid w:val="00550662"/>
    <w:rsid w:val="00551677"/>
    <w:rsid w:val="00554C4D"/>
    <w:rsid w:val="005550AD"/>
    <w:rsid w:val="00555663"/>
    <w:rsid w:val="0055724C"/>
    <w:rsid w:val="00560321"/>
    <w:rsid w:val="005604EC"/>
    <w:rsid w:val="0056113D"/>
    <w:rsid w:val="00562453"/>
    <w:rsid w:val="005633C7"/>
    <w:rsid w:val="00564898"/>
    <w:rsid w:val="005655A3"/>
    <w:rsid w:val="0056590E"/>
    <w:rsid w:val="0057224B"/>
    <w:rsid w:val="005727D4"/>
    <w:rsid w:val="005732E6"/>
    <w:rsid w:val="00575C6D"/>
    <w:rsid w:val="00577D88"/>
    <w:rsid w:val="00585C7B"/>
    <w:rsid w:val="005861F1"/>
    <w:rsid w:val="0058622D"/>
    <w:rsid w:val="00586C8F"/>
    <w:rsid w:val="00587409"/>
    <w:rsid w:val="00587AA5"/>
    <w:rsid w:val="00590676"/>
    <w:rsid w:val="0059231A"/>
    <w:rsid w:val="00593328"/>
    <w:rsid w:val="00594ACA"/>
    <w:rsid w:val="00594B4F"/>
    <w:rsid w:val="005954C8"/>
    <w:rsid w:val="005955CD"/>
    <w:rsid w:val="00596071"/>
    <w:rsid w:val="00596BFA"/>
    <w:rsid w:val="005A1D18"/>
    <w:rsid w:val="005A265B"/>
    <w:rsid w:val="005A6C05"/>
    <w:rsid w:val="005A7F55"/>
    <w:rsid w:val="005B02F7"/>
    <w:rsid w:val="005B0540"/>
    <w:rsid w:val="005B0D84"/>
    <w:rsid w:val="005B3500"/>
    <w:rsid w:val="005B3835"/>
    <w:rsid w:val="005B3B73"/>
    <w:rsid w:val="005B4654"/>
    <w:rsid w:val="005B5E50"/>
    <w:rsid w:val="005B6E4D"/>
    <w:rsid w:val="005C00FC"/>
    <w:rsid w:val="005C161F"/>
    <w:rsid w:val="005C2526"/>
    <w:rsid w:val="005C2CEA"/>
    <w:rsid w:val="005C441B"/>
    <w:rsid w:val="005C5C18"/>
    <w:rsid w:val="005C60C3"/>
    <w:rsid w:val="005C6830"/>
    <w:rsid w:val="005D0DF9"/>
    <w:rsid w:val="005D1010"/>
    <w:rsid w:val="005D17C6"/>
    <w:rsid w:val="005D1D02"/>
    <w:rsid w:val="005D1FEF"/>
    <w:rsid w:val="005D289F"/>
    <w:rsid w:val="005D40BC"/>
    <w:rsid w:val="005D46FD"/>
    <w:rsid w:val="005D4FD9"/>
    <w:rsid w:val="005D50A8"/>
    <w:rsid w:val="005D6BEE"/>
    <w:rsid w:val="005D6EE4"/>
    <w:rsid w:val="005D741E"/>
    <w:rsid w:val="005E01EE"/>
    <w:rsid w:val="005E2A7C"/>
    <w:rsid w:val="005E3C02"/>
    <w:rsid w:val="005E3DEA"/>
    <w:rsid w:val="005E669A"/>
    <w:rsid w:val="005F163C"/>
    <w:rsid w:val="005F333F"/>
    <w:rsid w:val="005F3BD9"/>
    <w:rsid w:val="005F3C8A"/>
    <w:rsid w:val="005F40ED"/>
    <w:rsid w:val="005F4578"/>
    <w:rsid w:val="005F4B6E"/>
    <w:rsid w:val="005F52F4"/>
    <w:rsid w:val="005F7F5A"/>
    <w:rsid w:val="006000A1"/>
    <w:rsid w:val="006040E6"/>
    <w:rsid w:val="00604372"/>
    <w:rsid w:val="00605B8A"/>
    <w:rsid w:val="006119CB"/>
    <w:rsid w:val="006134EC"/>
    <w:rsid w:val="0061384F"/>
    <w:rsid w:val="00613FE0"/>
    <w:rsid w:val="006151CF"/>
    <w:rsid w:val="0061586C"/>
    <w:rsid w:val="00617A5B"/>
    <w:rsid w:val="00617F94"/>
    <w:rsid w:val="006217FD"/>
    <w:rsid w:val="00622948"/>
    <w:rsid w:val="00626525"/>
    <w:rsid w:val="0063281E"/>
    <w:rsid w:val="00632C88"/>
    <w:rsid w:val="00633AA6"/>
    <w:rsid w:val="00634D6B"/>
    <w:rsid w:val="0063609F"/>
    <w:rsid w:val="00637ECF"/>
    <w:rsid w:val="00641386"/>
    <w:rsid w:val="0064491A"/>
    <w:rsid w:val="00646EF3"/>
    <w:rsid w:val="006501DA"/>
    <w:rsid w:val="00652CD0"/>
    <w:rsid w:val="0065472D"/>
    <w:rsid w:val="006556AC"/>
    <w:rsid w:val="00655CD6"/>
    <w:rsid w:val="006624DD"/>
    <w:rsid w:val="00662FB3"/>
    <w:rsid w:val="0066357F"/>
    <w:rsid w:val="006658A7"/>
    <w:rsid w:val="00665F44"/>
    <w:rsid w:val="006667FE"/>
    <w:rsid w:val="00666BE2"/>
    <w:rsid w:val="006674A7"/>
    <w:rsid w:val="0066780A"/>
    <w:rsid w:val="00670494"/>
    <w:rsid w:val="0067227C"/>
    <w:rsid w:val="006730C0"/>
    <w:rsid w:val="00674223"/>
    <w:rsid w:val="00674240"/>
    <w:rsid w:val="0067505F"/>
    <w:rsid w:val="00677435"/>
    <w:rsid w:val="00677B8B"/>
    <w:rsid w:val="006826AE"/>
    <w:rsid w:val="006839FC"/>
    <w:rsid w:val="00683D0C"/>
    <w:rsid w:val="00686F72"/>
    <w:rsid w:val="006909E4"/>
    <w:rsid w:val="00691861"/>
    <w:rsid w:val="00693766"/>
    <w:rsid w:val="00693AF7"/>
    <w:rsid w:val="00693BD3"/>
    <w:rsid w:val="0069475E"/>
    <w:rsid w:val="006954CB"/>
    <w:rsid w:val="006966BC"/>
    <w:rsid w:val="006969C3"/>
    <w:rsid w:val="006A0C6A"/>
    <w:rsid w:val="006A16DA"/>
    <w:rsid w:val="006A1F26"/>
    <w:rsid w:val="006A2EF0"/>
    <w:rsid w:val="006A57F3"/>
    <w:rsid w:val="006A604B"/>
    <w:rsid w:val="006B1D3D"/>
    <w:rsid w:val="006B20DE"/>
    <w:rsid w:val="006B228C"/>
    <w:rsid w:val="006B2E64"/>
    <w:rsid w:val="006B3163"/>
    <w:rsid w:val="006B6D50"/>
    <w:rsid w:val="006B6FE1"/>
    <w:rsid w:val="006B785E"/>
    <w:rsid w:val="006B7AE0"/>
    <w:rsid w:val="006C07EF"/>
    <w:rsid w:val="006C086E"/>
    <w:rsid w:val="006C09F7"/>
    <w:rsid w:val="006C0F34"/>
    <w:rsid w:val="006C15DE"/>
    <w:rsid w:val="006C1815"/>
    <w:rsid w:val="006C2260"/>
    <w:rsid w:val="006C403C"/>
    <w:rsid w:val="006C4B8D"/>
    <w:rsid w:val="006C4DBB"/>
    <w:rsid w:val="006C56C9"/>
    <w:rsid w:val="006C59ED"/>
    <w:rsid w:val="006C6647"/>
    <w:rsid w:val="006C680F"/>
    <w:rsid w:val="006C7E4C"/>
    <w:rsid w:val="006D0C34"/>
    <w:rsid w:val="006D1872"/>
    <w:rsid w:val="006D1AFD"/>
    <w:rsid w:val="006D22FC"/>
    <w:rsid w:val="006D27DF"/>
    <w:rsid w:val="006D2C75"/>
    <w:rsid w:val="006D48B0"/>
    <w:rsid w:val="006D4C24"/>
    <w:rsid w:val="006D7195"/>
    <w:rsid w:val="006E218A"/>
    <w:rsid w:val="006E2C8C"/>
    <w:rsid w:val="006E3CFB"/>
    <w:rsid w:val="006E4FD9"/>
    <w:rsid w:val="006E4FDE"/>
    <w:rsid w:val="006E530A"/>
    <w:rsid w:val="006E78F4"/>
    <w:rsid w:val="006E7DEF"/>
    <w:rsid w:val="006F12D5"/>
    <w:rsid w:val="006F4BBF"/>
    <w:rsid w:val="006F5351"/>
    <w:rsid w:val="00701097"/>
    <w:rsid w:val="00701E95"/>
    <w:rsid w:val="00703342"/>
    <w:rsid w:val="00704190"/>
    <w:rsid w:val="00704A07"/>
    <w:rsid w:val="00705590"/>
    <w:rsid w:val="00706494"/>
    <w:rsid w:val="0070699D"/>
    <w:rsid w:val="0071002E"/>
    <w:rsid w:val="00710B2D"/>
    <w:rsid w:val="007111E2"/>
    <w:rsid w:val="007123CD"/>
    <w:rsid w:val="0071240A"/>
    <w:rsid w:val="0071423C"/>
    <w:rsid w:val="007149B8"/>
    <w:rsid w:val="00717AD3"/>
    <w:rsid w:val="007209FA"/>
    <w:rsid w:val="00722488"/>
    <w:rsid w:val="007242D2"/>
    <w:rsid w:val="0072522B"/>
    <w:rsid w:val="00725D56"/>
    <w:rsid w:val="00726E04"/>
    <w:rsid w:val="00727AA2"/>
    <w:rsid w:val="007309C9"/>
    <w:rsid w:val="00731841"/>
    <w:rsid w:val="00732BAD"/>
    <w:rsid w:val="00732E12"/>
    <w:rsid w:val="00733E66"/>
    <w:rsid w:val="007340C3"/>
    <w:rsid w:val="007345C0"/>
    <w:rsid w:val="00736DB1"/>
    <w:rsid w:val="0073776A"/>
    <w:rsid w:val="0073783D"/>
    <w:rsid w:val="00737926"/>
    <w:rsid w:val="00740621"/>
    <w:rsid w:val="00740947"/>
    <w:rsid w:val="007439FD"/>
    <w:rsid w:val="007444E2"/>
    <w:rsid w:val="007444EC"/>
    <w:rsid w:val="00744F0D"/>
    <w:rsid w:val="00746123"/>
    <w:rsid w:val="00746F35"/>
    <w:rsid w:val="00747002"/>
    <w:rsid w:val="007532FA"/>
    <w:rsid w:val="007538F0"/>
    <w:rsid w:val="00753CE9"/>
    <w:rsid w:val="007565F9"/>
    <w:rsid w:val="00756DFB"/>
    <w:rsid w:val="00757564"/>
    <w:rsid w:val="00760F8F"/>
    <w:rsid w:val="00761FD7"/>
    <w:rsid w:val="00763700"/>
    <w:rsid w:val="00763CDB"/>
    <w:rsid w:val="00765C58"/>
    <w:rsid w:val="007661DC"/>
    <w:rsid w:val="007672D3"/>
    <w:rsid w:val="00770703"/>
    <w:rsid w:val="00771744"/>
    <w:rsid w:val="00772268"/>
    <w:rsid w:val="007731CD"/>
    <w:rsid w:val="007736C3"/>
    <w:rsid w:val="00774B58"/>
    <w:rsid w:val="00774D84"/>
    <w:rsid w:val="0077558D"/>
    <w:rsid w:val="007759EA"/>
    <w:rsid w:val="00776801"/>
    <w:rsid w:val="007778C9"/>
    <w:rsid w:val="00781D29"/>
    <w:rsid w:val="00781F66"/>
    <w:rsid w:val="0078243B"/>
    <w:rsid w:val="00784074"/>
    <w:rsid w:val="00784670"/>
    <w:rsid w:val="007851C6"/>
    <w:rsid w:val="007860F8"/>
    <w:rsid w:val="00786F74"/>
    <w:rsid w:val="00787735"/>
    <w:rsid w:val="00787EC1"/>
    <w:rsid w:val="00787F5E"/>
    <w:rsid w:val="007915C0"/>
    <w:rsid w:val="00792BEF"/>
    <w:rsid w:val="00794812"/>
    <w:rsid w:val="00794B3C"/>
    <w:rsid w:val="007960DF"/>
    <w:rsid w:val="0079630E"/>
    <w:rsid w:val="00796692"/>
    <w:rsid w:val="007A1284"/>
    <w:rsid w:val="007A12BF"/>
    <w:rsid w:val="007A3179"/>
    <w:rsid w:val="007A3C64"/>
    <w:rsid w:val="007A4FC4"/>
    <w:rsid w:val="007B17CD"/>
    <w:rsid w:val="007B34D6"/>
    <w:rsid w:val="007B44D7"/>
    <w:rsid w:val="007B6137"/>
    <w:rsid w:val="007B7666"/>
    <w:rsid w:val="007B7CC6"/>
    <w:rsid w:val="007C26AB"/>
    <w:rsid w:val="007C3A38"/>
    <w:rsid w:val="007C58E1"/>
    <w:rsid w:val="007C5ADD"/>
    <w:rsid w:val="007C6528"/>
    <w:rsid w:val="007C71B5"/>
    <w:rsid w:val="007D02D4"/>
    <w:rsid w:val="007D22BF"/>
    <w:rsid w:val="007D4FDE"/>
    <w:rsid w:val="007D5FE5"/>
    <w:rsid w:val="007D6B1B"/>
    <w:rsid w:val="007E2B35"/>
    <w:rsid w:val="007E3CDC"/>
    <w:rsid w:val="007E4D4A"/>
    <w:rsid w:val="007E56AE"/>
    <w:rsid w:val="007E5FB3"/>
    <w:rsid w:val="007F0F9A"/>
    <w:rsid w:val="007F1632"/>
    <w:rsid w:val="007F1CC9"/>
    <w:rsid w:val="007F24FB"/>
    <w:rsid w:val="007F3981"/>
    <w:rsid w:val="0080245D"/>
    <w:rsid w:val="00803E1C"/>
    <w:rsid w:val="00803E38"/>
    <w:rsid w:val="00804622"/>
    <w:rsid w:val="00805108"/>
    <w:rsid w:val="00806D14"/>
    <w:rsid w:val="008101ED"/>
    <w:rsid w:val="008118B7"/>
    <w:rsid w:val="00811F1B"/>
    <w:rsid w:val="00812202"/>
    <w:rsid w:val="008135D9"/>
    <w:rsid w:val="008139D4"/>
    <w:rsid w:val="00813F73"/>
    <w:rsid w:val="00815AA9"/>
    <w:rsid w:val="00816849"/>
    <w:rsid w:val="00816CD8"/>
    <w:rsid w:val="00820A4E"/>
    <w:rsid w:val="0082247E"/>
    <w:rsid w:val="00824448"/>
    <w:rsid w:val="00825445"/>
    <w:rsid w:val="00825CC5"/>
    <w:rsid w:val="008261A9"/>
    <w:rsid w:val="00826216"/>
    <w:rsid w:val="00830962"/>
    <w:rsid w:val="008309D5"/>
    <w:rsid w:val="0083280E"/>
    <w:rsid w:val="00833551"/>
    <w:rsid w:val="008336EA"/>
    <w:rsid w:val="0083370D"/>
    <w:rsid w:val="00835CBB"/>
    <w:rsid w:val="00835D43"/>
    <w:rsid w:val="008374CD"/>
    <w:rsid w:val="00840FFA"/>
    <w:rsid w:val="008416E2"/>
    <w:rsid w:val="00841F72"/>
    <w:rsid w:val="0084566C"/>
    <w:rsid w:val="008472D0"/>
    <w:rsid w:val="00847855"/>
    <w:rsid w:val="00847870"/>
    <w:rsid w:val="008507C3"/>
    <w:rsid w:val="00852D36"/>
    <w:rsid w:val="008542A0"/>
    <w:rsid w:val="008544BC"/>
    <w:rsid w:val="008544ED"/>
    <w:rsid w:val="00856D31"/>
    <w:rsid w:val="008577F4"/>
    <w:rsid w:val="0086149A"/>
    <w:rsid w:val="008621D2"/>
    <w:rsid w:val="00862EEC"/>
    <w:rsid w:val="00863095"/>
    <w:rsid w:val="008639E8"/>
    <w:rsid w:val="00865904"/>
    <w:rsid w:val="00867CC9"/>
    <w:rsid w:val="008703F8"/>
    <w:rsid w:val="00870DED"/>
    <w:rsid w:val="00871CED"/>
    <w:rsid w:val="00872B17"/>
    <w:rsid w:val="0087311A"/>
    <w:rsid w:val="0087606A"/>
    <w:rsid w:val="008769B6"/>
    <w:rsid w:val="00880D8D"/>
    <w:rsid w:val="00880DE7"/>
    <w:rsid w:val="00881457"/>
    <w:rsid w:val="00882C58"/>
    <w:rsid w:val="00883F84"/>
    <w:rsid w:val="00885E14"/>
    <w:rsid w:val="00886E25"/>
    <w:rsid w:val="00887956"/>
    <w:rsid w:val="0089066D"/>
    <w:rsid w:val="00890CC5"/>
    <w:rsid w:val="00890D04"/>
    <w:rsid w:val="00890FA1"/>
    <w:rsid w:val="008916EE"/>
    <w:rsid w:val="00895B4C"/>
    <w:rsid w:val="00897D11"/>
    <w:rsid w:val="008A3347"/>
    <w:rsid w:val="008A45CB"/>
    <w:rsid w:val="008A5C0C"/>
    <w:rsid w:val="008A5FC7"/>
    <w:rsid w:val="008B068D"/>
    <w:rsid w:val="008B18F0"/>
    <w:rsid w:val="008B4AB1"/>
    <w:rsid w:val="008B5590"/>
    <w:rsid w:val="008B6EC2"/>
    <w:rsid w:val="008B7525"/>
    <w:rsid w:val="008C2631"/>
    <w:rsid w:val="008C4268"/>
    <w:rsid w:val="008C44ED"/>
    <w:rsid w:val="008C5923"/>
    <w:rsid w:val="008C7079"/>
    <w:rsid w:val="008D0724"/>
    <w:rsid w:val="008D0E22"/>
    <w:rsid w:val="008D64B9"/>
    <w:rsid w:val="008E0B36"/>
    <w:rsid w:val="008E1911"/>
    <w:rsid w:val="008E1ECC"/>
    <w:rsid w:val="008E2858"/>
    <w:rsid w:val="008E32CA"/>
    <w:rsid w:val="008F0A52"/>
    <w:rsid w:val="008F1409"/>
    <w:rsid w:val="008F19FA"/>
    <w:rsid w:val="008F27B7"/>
    <w:rsid w:val="008F3146"/>
    <w:rsid w:val="008F329B"/>
    <w:rsid w:val="008F35C6"/>
    <w:rsid w:val="008F40AE"/>
    <w:rsid w:val="008F4F89"/>
    <w:rsid w:val="008F5E24"/>
    <w:rsid w:val="008F6BED"/>
    <w:rsid w:val="00900064"/>
    <w:rsid w:val="00901025"/>
    <w:rsid w:val="0090185E"/>
    <w:rsid w:val="00901ACE"/>
    <w:rsid w:val="009067A4"/>
    <w:rsid w:val="00907E23"/>
    <w:rsid w:val="00912B20"/>
    <w:rsid w:val="009138CB"/>
    <w:rsid w:val="0091466F"/>
    <w:rsid w:val="00914772"/>
    <w:rsid w:val="00921E98"/>
    <w:rsid w:val="00922920"/>
    <w:rsid w:val="00922D25"/>
    <w:rsid w:val="00923AFA"/>
    <w:rsid w:val="00923B83"/>
    <w:rsid w:val="00924590"/>
    <w:rsid w:val="00924713"/>
    <w:rsid w:val="0092535E"/>
    <w:rsid w:val="00925373"/>
    <w:rsid w:val="00932310"/>
    <w:rsid w:val="00932E92"/>
    <w:rsid w:val="00933E33"/>
    <w:rsid w:val="009340D9"/>
    <w:rsid w:val="00936DB4"/>
    <w:rsid w:val="009400F0"/>
    <w:rsid w:val="00940CF3"/>
    <w:rsid w:val="00941D0A"/>
    <w:rsid w:val="0094225F"/>
    <w:rsid w:val="0094234C"/>
    <w:rsid w:val="009436C9"/>
    <w:rsid w:val="009457C6"/>
    <w:rsid w:val="00947E74"/>
    <w:rsid w:val="00951823"/>
    <w:rsid w:val="009525B3"/>
    <w:rsid w:val="00956337"/>
    <w:rsid w:val="0096000C"/>
    <w:rsid w:val="0096176A"/>
    <w:rsid w:val="00962421"/>
    <w:rsid w:val="009627CD"/>
    <w:rsid w:val="00963048"/>
    <w:rsid w:val="00963CE0"/>
    <w:rsid w:val="00965315"/>
    <w:rsid w:val="00967352"/>
    <w:rsid w:val="00967DEC"/>
    <w:rsid w:val="0097063C"/>
    <w:rsid w:val="0097070F"/>
    <w:rsid w:val="00973B3C"/>
    <w:rsid w:val="00974B4D"/>
    <w:rsid w:val="00977E7C"/>
    <w:rsid w:val="00986CB8"/>
    <w:rsid w:val="00987E90"/>
    <w:rsid w:val="00990C0D"/>
    <w:rsid w:val="00990F48"/>
    <w:rsid w:val="00991515"/>
    <w:rsid w:val="0099400D"/>
    <w:rsid w:val="00995EE9"/>
    <w:rsid w:val="0099612C"/>
    <w:rsid w:val="00996138"/>
    <w:rsid w:val="00996BF0"/>
    <w:rsid w:val="009A02AF"/>
    <w:rsid w:val="009A0AA1"/>
    <w:rsid w:val="009A3A04"/>
    <w:rsid w:val="009A7FC8"/>
    <w:rsid w:val="009B0030"/>
    <w:rsid w:val="009B0A34"/>
    <w:rsid w:val="009B1371"/>
    <w:rsid w:val="009B2913"/>
    <w:rsid w:val="009B469A"/>
    <w:rsid w:val="009B56EE"/>
    <w:rsid w:val="009B5D75"/>
    <w:rsid w:val="009B7C4C"/>
    <w:rsid w:val="009C1561"/>
    <w:rsid w:val="009C2471"/>
    <w:rsid w:val="009C2527"/>
    <w:rsid w:val="009C27DC"/>
    <w:rsid w:val="009C3CF5"/>
    <w:rsid w:val="009C4DDF"/>
    <w:rsid w:val="009C5658"/>
    <w:rsid w:val="009C6C39"/>
    <w:rsid w:val="009D02DD"/>
    <w:rsid w:val="009D0F39"/>
    <w:rsid w:val="009D4A53"/>
    <w:rsid w:val="009D6F28"/>
    <w:rsid w:val="009D702B"/>
    <w:rsid w:val="009E11B2"/>
    <w:rsid w:val="009E1648"/>
    <w:rsid w:val="009E2576"/>
    <w:rsid w:val="009E3791"/>
    <w:rsid w:val="009E60E6"/>
    <w:rsid w:val="009E6268"/>
    <w:rsid w:val="009E627A"/>
    <w:rsid w:val="009E660C"/>
    <w:rsid w:val="009E6EA1"/>
    <w:rsid w:val="009F174F"/>
    <w:rsid w:val="009F2785"/>
    <w:rsid w:val="009F330F"/>
    <w:rsid w:val="009F5424"/>
    <w:rsid w:val="00A007A6"/>
    <w:rsid w:val="00A01F8A"/>
    <w:rsid w:val="00A02AF2"/>
    <w:rsid w:val="00A02FC4"/>
    <w:rsid w:val="00A030BA"/>
    <w:rsid w:val="00A03F4D"/>
    <w:rsid w:val="00A04ED7"/>
    <w:rsid w:val="00A0586D"/>
    <w:rsid w:val="00A05D92"/>
    <w:rsid w:val="00A10664"/>
    <w:rsid w:val="00A1240D"/>
    <w:rsid w:val="00A12E4C"/>
    <w:rsid w:val="00A134AA"/>
    <w:rsid w:val="00A148E1"/>
    <w:rsid w:val="00A149C2"/>
    <w:rsid w:val="00A21BD6"/>
    <w:rsid w:val="00A21F90"/>
    <w:rsid w:val="00A23281"/>
    <w:rsid w:val="00A242AE"/>
    <w:rsid w:val="00A271A3"/>
    <w:rsid w:val="00A30109"/>
    <w:rsid w:val="00A30C4A"/>
    <w:rsid w:val="00A32666"/>
    <w:rsid w:val="00A32796"/>
    <w:rsid w:val="00A33A1F"/>
    <w:rsid w:val="00A3505B"/>
    <w:rsid w:val="00A3547C"/>
    <w:rsid w:val="00A35AF0"/>
    <w:rsid w:val="00A42053"/>
    <w:rsid w:val="00A4374F"/>
    <w:rsid w:val="00A43E6A"/>
    <w:rsid w:val="00A479C5"/>
    <w:rsid w:val="00A50610"/>
    <w:rsid w:val="00A51DA7"/>
    <w:rsid w:val="00A51E1C"/>
    <w:rsid w:val="00A52DF1"/>
    <w:rsid w:val="00A53E2D"/>
    <w:rsid w:val="00A540FA"/>
    <w:rsid w:val="00A56E31"/>
    <w:rsid w:val="00A57D65"/>
    <w:rsid w:val="00A600FE"/>
    <w:rsid w:val="00A61130"/>
    <w:rsid w:val="00A62BAF"/>
    <w:rsid w:val="00A63099"/>
    <w:rsid w:val="00A637C9"/>
    <w:rsid w:val="00A6402E"/>
    <w:rsid w:val="00A647F3"/>
    <w:rsid w:val="00A65C05"/>
    <w:rsid w:val="00A7070D"/>
    <w:rsid w:val="00A716E2"/>
    <w:rsid w:val="00A71860"/>
    <w:rsid w:val="00A7408A"/>
    <w:rsid w:val="00A74277"/>
    <w:rsid w:val="00A74EFF"/>
    <w:rsid w:val="00A77D2B"/>
    <w:rsid w:val="00A81144"/>
    <w:rsid w:val="00A8210E"/>
    <w:rsid w:val="00A8287D"/>
    <w:rsid w:val="00A836E7"/>
    <w:rsid w:val="00A83835"/>
    <w:rsid w:val="00A8446A"/>
    <w:rsid w:val="00A84F47"/>
    <w:rsid w:val="00A87994"/>
    <w:rsid w:val="00A9191A"/>
    <w:rsid w:val="00A92A65"/>
    <w:rsid w:val="00A947DF"/>
    <w:rsid w:val="00AA0164"/>
    <w:rsid w:val="00AA0F51"/>
    <w:rsid w:val="00AA1566"/>
    <w:rsid w:val="00AA1A80"/>
    <w:rsid w:val="00AA1D6E"/>
    <w:rsid w:val="00AA4E7F"/>
    <w:rsid w:val="00AA5404"/>
    <w:rsid w:val="00AA5EF3"/>
    <w:rsid w:val="00AA6CE9"/>
    <w:rsid w:val="00AA796C"/>
    <w:rsid w:val="00AB09C9"/>
    <w:rsid w:val="00AB1E38"/>
    <w:rsid w:val="00AB276E"/>
    <w:rsid w:val="00AB2BDC"/>
    <w:rsid w:val="00AB2D21"/>
    <w:rsid w:val="00AB514D"/>
    <w:rsid w:val="00AB770E"/>
    <w:rsid w:val="00AC0949"/>
    <w:rsid w:val="00AC2293"/>
    <w:rsid w:val="00AC23C3"/>
    <w:rsid w:val="00AC3053"/>
    <w:rsid w:val="00AC5AF3"/>
    <w:rsid w:val="00AC65DB"/>
    <w:rsid w:val="00AC6CC1"/>
    <w:rsid w:val="00AD1692"/>
    <w:rsid w:val="00AD208C"/>
    <w:rsid w:val="00AD46D5"/>
    <w:rsid w:val="00AD492E"/>
    <w:rsid w:val="00AD53FA"/>
    <w:rsid w:val="00AD5EBB"/>
    <w:rsid w:val="00AD78D7"/>
    <w:rsid w:val="00AD7B5E"/>
    <w:rsid w:val="00AD7EE1"/>
    <w:rsid w:val="00AE10D2"/>
    <w:rsid w:val="00AE2805"/>
    <w:rsid w:val="00AE3561"/>
    <w:rsid w:val="00AE35C2"/>
    <w:rsid w:val="00AE438F"/>
    <w:rsid w:val="00AF0606"/>
    <w:rsid w:val="00AF2E43"/>
    <w:rsid w:val="00AF4BD4"/>
    <w:rsid w:val="00AF5825"/>
    <w:rsid w:val="00B00D38"/>
    <w:rsid w:val="00B01493"/>
    <w:rsid w:val="00B045D1"/>
    <w:rsid w:val="00B0539C"/>
    <w:rsid w:val="00B1008F"/>
    <w:rsid w:val="00B107CA"/>
    <w:rsid w:val="00B10C74"/>
    <w:rsid w:val="00B122B4"/>
    <w:rsid w:val="00B12FF0"/>
    <w:rsid w:val="00B155DD"/>
    <w:rsid w:val="00B15C74"/>
    <w:rsid w:val="00B1676B"/>
    <w:rsid w:val="00B16F29"/>
    <w:rsid w:val="00B201D8"/>
    <w:rsid w:val="00B20507"/>
    <w:rsid w:val="00B21EFB"/>
    <w:rsid w:val="00B2220B"/>
    <w:rsid w:val="00B22F4C"/>
    <w:rsid w:val="00B230BB"/>
    <w:rsid w:val="00B24454"/>
    <w:rsid w:val="00B309C7"/>
    <w:rsid w:val="00B3524B"/>
    <w:rsid w:val="00B35647"/>
    <w:rsid w:val="00B3615D"/>
    <w:rsid w:val="00B36A91"/>
    <w:rsid w:val="00B36F9A"/>
    <w:rsid w:val="00B3702F"/>
    <w:rsid w:val="00B371B2"/>
    <w:rsid w:val="00B37623"/>
    <w:rsid w:val="00B426E6"/>
    <w:rsid w:val="00B434E0"/>
    <w:rsid w:val="00B438C8"/>
    <w:rsid w:val="00B44E41"/>
    <w:rsid w:val="00B4515B"/>
    <w:rsid w:val="00B45979"/>
    <w:rsid w:val="00B514FD"/>
    <w:rsid w:val="00B537A3"/>
    <w:rsid w:val="00B54069"/>
    <w:rsid w:val="00B550F2"/>
    <w:rsid w:val="00B55217"/>
    <w:rsid w:val="00B560A6"/>
    <w:rsid w:val="00B60551"/>
    <w:rsid w:val="00B607E3"/>
    <w:rsid w:val="00B63504"/>
    <w:rsid w:val="00B64CD8"/>
    <w:rsid w:val="00B65FA9"/>
    <w:rsid w:val="00B66E11"/>
    <w:rsid w:val="00B724BA"/>
    <w:rsid w:val="00B757A0"/>
    <w:rsid w:val="00B75916"/>
    <w:rsid w:val="00B75EE2"/>
    <w:rsid w:val="00B7609F"/>
    <w:rsid w:val="00B767D7"/>
    <w:rsid w:val="00B77A5C"/>
    <w:rsid w:val="00B80CF5"/>
    <w:rsid w:val="00B813D7"/>
    <w:rsid w:val="00B81785"/>
    <w:rsid w:val="00B81A22"/>
    <w:rsid w:val="00B82C3E"/>
    <w:rsid w:val="00B82E45"/>
    <w:rsid w:val="00B83BE7"/>
    <w:rsid w:val="00B83EB7"/>
    <w:rsid w:val="00B84351"/>
    <w:rsid w:val="00B85066"/>
    <w:rsid w:val="00B85FA5"/>
    <w:rsid w:val="00B860A2"/>
    <w:rsid w:val="00B8652B"/>
    <w:rsid w:val="00B904AA"/>
    <w:rsid w:val="00B91C3F"/>
    <w:rsid w:val="00B91D24"/>
    <w:rsid w:val="00B92FB5"/>
    <w:rsid w:val="00B93C61"/>
    <w:rsid w:val="00B94B1F"/>
    <w:rsid w:val="00B951D5"/>
    <w:rsid w:val="00B95EA1"/>
    <w:rsid w:val="00B96F89"/>
    <w:rsid w:val="00BA0EC6"/>
    <w:rsid w:val="00BA23F1"/>
    <w:rsid w:val="00BA3897"/>
    <w:rsid w:val="00BA3AE0"/>
    <w:rsid w:val="00BA4571"/>
    <w:rsid w:val="00BA6D9F"/>
    <w:rsid w:val="00BB1C7E"/>
    <w:rsid w:val="00BB213C"/>
    <w:rsid w:val="00BB247E"/>
    <w:rsid w:val="00BB3F75"/>
    <w:rsid w:val="00BB539F"/>
    <w:rsid w:val="00BB5712"/>
    <w:rsid w:val="00BB6040"/>
    <w:rsid w:val="00BB6382"/>
    <w:rsid w:val="00BB73E1"/>
    <w:rsid w:val="00BC1C29"/>
    <w:rsid w:val="00BC4993"/>
    <w:rsid w:val="00BC4F2C"/>
    <w:rsid w:val="00BC5EEC"/>
    <w:rsid w:val="00BC66B6"/>
    <w:rsid w:val="00BD2836"/>
    <w:rsid w:val="00BD46AE"/>
    <w:rsid w:val="00BD4DE8"/>
    <w:rsid w:val="00BD56B7"/>
    <w:rsid w:val="00BD5C16"/>
    <w:rsid w:val="00BE0341"/>
    <w:rsid w:val="00BE117F"/>
    <w:rsid w:val="00BE3732"/>
    <w:rsid w:val="00BE3DAE"/>
    <w:rsid w:val="00BE46F8"/>
    <w:rsid w:val="00BE4897"/>
    <w:rsid w:val="00BE49D4"/>
    <w:rsid w:val="00BE55C3"/>
    <w:rsid w:val="00BE5E05"/>
    <w:rsid w:val="00BE66DE"/>
    <w:rsid w:val="00BF00D5"/>
    <w:rsid w:val="00BF183F"/>
    <w:rsid w:val="00BF1A34"/>
    <w:rsid w:val="00BF3456"/>
    <w:rsid w:val="00BF3D71"/>
    <w:rsid w:val="00BF688F"/>
    <w:rsid w:val="00BF7667"/>
    <w:rsid w:val="00C0037D"/>
    <w:rsid w:val="00C0057E"/>
    <w:rsid w:val="00C02438"/>
    <w:rsid w:val="00C02607"/>
    <w:rsid w:val="00C03361"/>
    <w:rsid w:val="00C047F1"/>
    <w:rsid w:val="00C055A6"/>
    <w:rsid w:val="00C0565A"/>
    <w:rsid w:val="00C06547"/>
    <w:rsid w:val="00C07CEA"/>
    <w:rsid w:val="00C16005"/>
    <w:rsid w:val="00C166CD"/>
    <w:rsid w:val="00C16CB6"/>
    <w:rsid w:val="00C1746F"/>
    <w:rsid w:val="00C200C8"/>
    <w:rsid w:val="00C23E2B"/>
    <w:rsid w:val="00C2435B"/>
    <w:rsid w:val="00C24E64"/>
    <w:rsid w:val="00C2646F"/>
    <w:rsid w:val="00C30182"/>
    <w:rsid w:val="00C31619"/>
    <w:rsid w:val="00C32C57"/>
    <w:rsid w:val="00C3693B"/>
    <w:rsid w:val="00C36BAB"/>
    <w:rsid w:val="00C40038"/>
    <w:rsid w:val="00C40E92"/>
    <w:rsid w:val="00C41181"/>
    <w:rsid w:val="00C41ADD"/>
    <w:rsid w:val="00C42146"/>
    <w:rsid w:val="00C43BBD"/>
    <w:rsid w:val="00C453A8"/>
    <w:rsid w:val="00C46C12"/>
    <w:rsid w:val="00C475AF"/>
    <w:rsid w:val="00C500CC"/>
    <w:rsid w:val="00C50BE0"/>
    <w:rsid w:val="00C52E1F"/>
    <w:rsid w:val="00C52FC3"/>
    <w:rsid w:val="00C53A5D"/>
    <w:rsid w:val="00C54592"/>
    <w:rsid w:val="00C56118"/>
    <w:rsid w:val="00C5680B"/>
    <w:rsid w:val="00C56969"/>
    <w:rsid w:val="00C56B2A"/>
    <w:rsid w:val="00C5740D"/>
    <w:rsid w:val="00C5748F"/>
    <w:rsid w:val="00C57DED"/>
    <w:rsid w:val="00C60027"/>
    <w:rsid w:val="00C60D31"/>
    <w:rsid w:val="00C63E97"/>
    <w:rsid w:val="00C64AD2"/>
    <w:rsid w:val="00C66804"/>
    <w:rsid w:val="00C70492"/>
    <w:rsid w:val="00C71B4C"/>
    <w:rsid w:val="00C72360"/>
    <w:rsid w:val="00C73240"/>
    <w:rsid w:val="00C76913"/>
    <w:rsid w:val="00C7748A"/>
    <w:rsid w:val="00C7779E"/>
    <w:rsid w:val="00C77FD3"/>
    <w:rsid w:val="00C824F7"/>
    <w:rsid w:val="00C85995"/>
    <w:rsid w:val="00C86814"/>
    <w:rsid w:val="00C86922"/>
    <w:rsid w:val="00C92340"/>
    <w:rsid w:val="00C9246C"/>
    <w:rsid w:val="00C92F5E"/>
    <w:rsid w:val="00C93B11"/>
    <w:rsid w:val="00C94362"/>
    <w:rsid w:val="00C971BD"/>
    <w:rsid w:val="00CA1D5E"/>
    <w:rsid w:val="00CA37B1"/>
    <w:rsid w:val="00CA387F"/>
    <w:rsid w:val="00CA4C1C"/>
    <w:rsid w:val="00CA6C96"/>
    <w:rsid w:val="00CB06BD"/>
    <w:rsid w:val="00CB36AD"/>
    <w:rsid w:val="00CB3DF4"/>
    <w:rsid w:val="00CB4E86"/>
    <w:rsid w:val="00CB560C"/>
    <w:rsid w:val="00CB6664"/>
    <w:rsid w:val="00CB7058"/>
    <w:rsid w:val="00CB7E2F"/>
    <w:rsid w:val="00CC1786"/>
    <w:rsid w:val="00CC1DD1"/>
    <w:rsid w:val="00CC2626"/>
    <w:rsid w:val="00CC28D2"/>
    <w:rsid w:val="00CC320E"/>
    <w:rsid w:val="00CC4A19"/>
    <w:rsid w:val="00CC7CC0"/>
    <w:rsid w:val="00CC7E33"/>
    <w:rsid w:val="00CD40DF"/>
    <w:rsid w:val="00CD432D"/>
    <w:rsid w:val="00CD605E"/>
    <w:rsid w:val="00CD6341"/>
    <w:rsid w:val="00CD7599"/>
    <w:rsid w:val="00CE03CD"/>
    <w:rsid w:val="00CE0A6D"/>
    <w:rsid w:val="00CE0C27"/>
    <w:rsid w:val="00CE1396"/>
    <w:rsid w:val="00CE2225"/>
    <w:rsid w:val="00CE2BF4"/>
    <w:rsid w:val="00CE5E57"/>
    <w:rsid w:val="00CE5FB7"/>
    <w:rsid w:val="00CE6D73"/>
    <w:rsid w:val="00CE7996"/>
    <w:rsid w:val="00CF24CE"/>
    <w:rsid w:val="00CF5DDE"/>
    <w:rsid w:val="00CF623C"/>
    <w:rsid w:val="00D01AE0"/>
    <w:rsid w:val="00D01EB5"/>
    <w:rsid w:val="00D01F75"/>
    <w:rsid w:val="00D02F94"/>
    <w:rsid w:val="00D03FA5"/>
    <w:rsid w:val="00D100FC"/>
    <w:rsid w:val="00D1060A"/>
    <w:rsid w:val="00D11999"/>
    <w:rsid w:val="00D1212F"/>
    <w:rsid w:val="00D12E86"/>
    <w:rsid w:val="00D142E1"/>
    <w:rsid w:val="00D146D5"/>
    <w:rsid w:val="00D15EE0"/>
    <w:rsid w:val="00D17034"/>
    <w:rsid w:val="00D22DA7"/>
    <w:rsid w:val="00D26069"/>
    <w:rsid w:val="00D302CC"/>
    <w:rsid w:val="00D3176B"/>
    <w:rsid w:val="00D3263F"/>
    <w:rsid w:val="00D364AA"/>
    <w:rsid w:val="00D36E92"/>
    <w:rsid w:val="00D37EFE"/>
    <w:rsid w:val="00D40102"/>
    <w:rsid w:val="00D41181"/>
    <w:rsid w:val="00D4386F"/>
    <w:rsid w:val="00D44FE5"/>
    <w:rsid w:val="00D50AB4"/>
    <w:rsid w:val="00D52C76"/>
    <w:rsid w:val="00D5354C"/>
    <w:rsid w:val="00D56DEC"/>
    <w:rsid w:val="00D61039"/>
    <w:rsid w:val="00D63900"/>
    <w:rsid w:val="00D63DB9"/>
    <w:rsid w:val="00D644A2"/>
    <w:rsid w:val="00D64796"/>
    <w:rsid w:val="00D6498D"/>
    <w:rsid w:val="00D65199"/>
    <w:rsid w:val="00D6595C"/>
    <w:rsid w:val="00D66667"/>
    <w:rsid w:val="00D67382"/>
    <w:rsid w:val="00D67F8F"/>
    <w:rsid w:val="00D71159"/>
    <w:rsid w:val="00D76DA4"/>
    <w:rsid w:val="00D77D88"/>
    <w:rsid w:val="00D80FD5"/>
    <w:rsid w:val="00D82C2A"/>
    <w:rsid w:val="00D83D84"/>
    <w:rsid w:val="00D85442"/>
    <w:rsid w:val="00D86267"/>
    <w:rsid w:val="00D862F1"/>
    <w:rsid w:val="00D86C63"/>
    <w:rsid w:val="00D90D0F"/>
    <w:rsid w:val="00D91D45"/>
    <w:rsid w:val="00D92B68"/>
    <w:rsid w:val="00D945DB"/>
    <w:rsid w:val="00D95305"/>
    <w:rsid w:val="00D9594B"/>
    <w:rsid w:val="00D963ED"/>
    <w:rsid w:val="00D97ECA"/>
    <w:rsid w:val="00DA02F7"/>
    <w:rsid w:val="00DA0ED9"/>
    <w:rsid w:val="00DA0F9B"/>
    <w:rsid w:val="00DA1F19"/>
    <w:rsid w:val="00DA2EAA"/>
    <w:rsid w:val="00DA3486"/>
    <w:rsid w:val="00DA5867"/>
    <w:rsid w:val="00DA5976"/>
    <w:rsid w:val="00DA6EC6"/>
    <w:rsid w:val="00DA7D75"/>
    <w:rsid w:val="00DB0C00"/>
    <w:rsid w:val="00DB1C17"/>
    <w:rsid w:val="00DB2577"/>
    <w:rsid w:val="00DB25FC"/>
    <w:rsid w:val="00DB2A47"/>
    <w:rsid w:val="00DB3F24"/>
    <w:rsid w:val="00DB5113"/>
    <w:rsid w:val="00DB603B"/>
    <w:rsid w:val="00DC1380"/>
    <w:rsid w:val="00DC1B9A"/>
    <w:rsid w:val="00DC26E4"/>
    <w:rsid w:val="00DC26F6"/>
    <w:rsid w:val="00DC2848"/>
    <w:rsid w:val="00DC305D"/>
    <w:rsid w:val="00DC4347"/>
    <w:rsid w:val="00DC5047"/>
    <w:rsid w:val="00DC5966"/>
    <w:rsid w:val="00DC7DF8"/>
    <w:rsid w:val="00DD0A07"/>
    <w:rsid w:val="00DD3FEA"/>
    <w:rsid w:val="00DD4080"/>
    <w:rsid w:val="00DE0B02"/>
    <w:rsid w:val="00DE26F9"/>
    <w:rsid w:val="00DE3607"/>
    <w:rsid w:val="00DE477E"/>
    <w:rsid w:val="00DE5022"/>
    <w:rsid w:val="00DE6D08"/>
    <w:rsid w:val="00DF1FEA"/>
    <w:rsid w:val="00DF3078"/>
    <w:rsid w:val="00DF567A"/>
    <w:rsid w:val="00DF709F"/>
    <w:rsid w:val="00DF777C"/>
    <w:rsid w:val="00E01653"/>
    <w:rsid w:val="00E0176B"/>
    <w:rsid w:val="00E100BA"/>
    <w:rsid w:val="00E1338F"/>
    <w:rsid w:val="00E14771"/>
    <w:rsid w:val="00E162C5"/>
    <w:rsid w:val="00E171D2"/>
    <w:rsid w:val="00E22A2A"/>
    <w:rsid w:val="00E24A0A"/>
    <w:rsid w:val="00E2567D"/>
    <w:rsid w:val="00E25B24"/>
    <w:rsid w:val="00E3182F"/>
    <w:rsid w:val="00E3491E"/>
    <w:rsid w:val="00E3531F"/>
    <w:rsid w:val="00E35522"/>
    <w:rsid w:val="00E35666"/>
    <w:rsid w:val="00E3656E"/>
    <w:rsid w:val="00E402B8"/>
    <w:rsid w:val="00E4053F"/>
    <w:rsid w:val="00E40ABF"/>
    <w:rsid w:val="00E41A80"/>
    <w:rsid w:val="00E42EFE"/>
    <w:rsid w:val="00E43059"/>
    <w:rsid w:val="00E44124"/>
    <w:rsid w:val="00E4547C"/>
    <w:rsid w:val="00E47687"/>
    <w:rsid w:val="00E47F60"/>
    <w:rsid w:val="00E47F9F"/>
    <w:rsid w:val="00E52D30"/>
    <w:rsid w:val="00E56ECC"/>
    <w:rsid w:val="00E56FBC"/>
    <w:rsid w:val="00E571AD"/>
    <w:rsid w:val="00E57AD2"/>
    <w:rsid w:val="00E57B7F"/>
    <w:rsid w:val="00E60966"/>
    <w:rsid w:val="00E6402A"/>
    <w:rsid w:val="00E64AD8"/>
    <w:rsid w:val="00E714AB"/>
    <w:rsid w:val="00E71624"/>
    <w:rsid w:val="00E71E41"/>
    <w:rsid w:val="00E72ACF"/>
    <w:rsid w:val="00E7465A"/>
    <w:rsid w:val="00E76F40"/>
    <w:rsid w:val="00E81D39"/>
    <w:rsid w:val="00E8317D"/>
    <w:rsid w:val="00E838DA"/>
    <w:rsid w:val="00E855DE"/>
    <w:rsid w:val="00E87633"/>
    <w:rsid w:val="00E8774C"/>
    <w:rsid w:val="00E9270C"/>
    <w:rsid w:val="00E935A1"/>
    <w:rsid w:val="00E95014"/>
    <w:rsid w:val="00EA0B3A"/>
    <w:rsid w:val="00EA1B99"/>
    <w:rsid w:val="00EA61C6"/>
    <w:rsid w:val="00EA61C7"/>
    <w:rsid w:val="00EA6EFE"/>
    <w:rsid w:val="00EA7277"/>
    <w:rsid w:val="00EB071D"/>
    <w:rsid w:val="00EB2DA5"/>
    <w:rsid w:val="00EB453B"/>
    <w:rsid w:val="00EB5559"/>
    <w:rsid w:val="00EB5B82"/>
    <w:rsid w:val="00EB5C23"/>
    <w:rsid w:val="00EB5D3E"/>
    <w:rsid w:val="00EB67A4"/>
    <w:rsid w:val="00EB73DC"/>
    <w:rsid w:val="00EC02BB"/>
    <w:rsid w:val="00EC293E"/>
    <w:rsid w:val="00EC2E5D"/>
    <w:rsid w:val="00EC35DA"/>
    <w:rsid w:val="00EC393D"/>
    <w:rsid w:val="00EC3F6C"/>
    <w:rsid w:val="00EC78CF"/>
    <w:rsid w:val="00EC7E96"/>
    <w:rsid w:val="00ED08FA"/>
    <w:rsid w:val="00ED12FD"/>
    <w:rsid w:val="00ED1C7D"/>
    <w:rsid w:val="00ED1EFE"/>
    <w:rsid w:val="00ED222C"/>
    <w:rsid w:val="00ED4136"/>
    <w:rsid w:val="00ED53E3"/>
    <w:rsid w:val="00ED6923"/>
    <w:rsid w:val="00ED71F8"/>
    <w:rsid w:val="00ED7E59"/>
    <w:rsid w:val="00EE3C5C"/>
    <w:rsid w:val="00EE5402"/>
    <w:rsid w:val="00EE5478"/>
    <w:rsid w:val="00EE6BD9"/>
    <w:rsid w:val="00EE6DFB"/>
    <w:rsid w:val="00EE7B76"/>
    <w:rsid w:val="00EF00FF"/>
    <w:rsid w:val="00EF1FAC"/>
    <w:rsid w:val="00EF351C"/>
    <w:rsid w:val="00EF4A8B"/>
    <w:rsid w:val="00EF4C70"/>
    <w:rsid w:val="00EF4DF5"/>
    <w:rsid w:val="00EF6D2F"/>
    <w:rsid w:val="00EF7870"/>
    <w:rsid w:val="00F00DBD"/>
    <w:rsid w:val="00F0161D"/>
    <w:rsid w:val="00F02AD4"/>
    <w:rsid w:val="00F02E77"/>
    <w:rsid w:val="00F044BD"/>
    <w:rsid w:val="00F04AA9"/>
    <w:rsid w:val="00F04C07"/>
    <w:rsid w:val="00F04C77"/>
    <w:rsid w:val="00F05A02"/>
    <w:rsid w:val="00F067C5"/>
    <w:rsid w:val="00F146F6"/>
    <w:rsid w:val="00F14F84"/>
    <w:rsid w:val="00F168D8"/>
    <w:rsid w:val="00F16A41"/>
    <w:rsid w:val="00F20854"/>
    <w:rsid w:val="00F20BAD"/>
    <w:rsid w:val="00F21006"/>
    <w:rsid w:val="00F22AC7"/>
    <w:rsid w:val="00F22E73"/>
    <w:rsid w:val="00F266D5"/>
    <w:rsid w:val="00F267DB"/>
    <w:rsid w:val="00F314E4"/>
    <w:rsid w:val="00F326B5"/>
    <w:rsid w:val="00F32F09"/>
    <w:rsid w:val="00F34E4E"/>
    <w:rsid w:val="00F356EA"/>
    <w:rsid w:val="00F371DB"/>
    <w:rsid w:val="00F379D2"/>
    <w:rsid w:val="00F37B0C"/>
    <w:rsid w:val="00F43CB0"/>
    <w:rsid w:val="00F442BE"/>
    <w:rsid w:val="00F45418"/>
    <w:rsid w:val="00F45BA7"/>
    <w:rsid w:val="00F468ED"/>
    <w:rsid w:val="00F47618"/>
    <w:rsid w:val="00F47EDC"/>
    <w:rsid w:val="00F50628"/>
    <w:rsid w:val="00F50D6E"/>
    <w:rsid w:val="00F54777"/>
    <w:rsid w:val="00F54E0F"/>
    <w:rsid w:val="00F5614E"/>
    <w:rsid w:val="00F56F61"/>
    <w:rsid w:val="00F57C55"/>
    <w:rsid w:val="00F61C64"/>
    <w:rsid w:val="00F6289A"/>
    <w:rsid w:val="00F65C1E"/>
    <w:rsid w:val="00F6642F"/>
    <w:rsid w:val="00F6783F"/>
    <w:rsid w:val="00F7040B"/>
    <w:rsid w:val="00F70E22"/>
    <w:rsid w:val="00F72346"/>
    <w:rsid w:val="00F75234"/>
    <w:rsid w:val="00F758B8"/>
    <w:rsid w:val="00F76910"/>
    <w:rsid w:val="00F76BF2"/>
    <w:rsid w:val="00F76F39"/>
    <w:rsid w:val="00F8044E"/>
    <w:rsid w:val="00F80647"/>
    <w:rsid w:val="00F80B42"/>
    <w:rsid w:val="00F8107B"/>
    <w:rsid w:val="00F81B2B"/>
    <w:rsid w:val="00F81F7D"/>
    <w:rsid w:val="00F82680"/>
    <w:rsid w:val="00F8318F"/>
    <w:rsid w:val="00F83532"/>
    <w:rsid w:val="00F838A6"/>
    <w:rsid w:val="00F85D25"/>
    <w:rsid w:val="00F86AD3"/>
    <w:rsid w:val="00F91B32"/>
    <w:rsid w:val="00F92DA9"/>
    <w:rsid w:val="00F935C1"/>
    <w:rsid w:val="00F938A5"/>
    <w:rsid w:val="00F944CB"/>
    <w:rsid w:val="00F9728B"/>
    <w:rsid w:val="00F9780D"/>
    <w:rsid w:val="00FA02D9"/>
    <w:rsid w:val="00FA1E50"/>
    <w:rsid w:val="00FA2BC2"/>
    <w:rsid w:val="00FA3974"/>
    <w:rsid w:val="00FA4314"/>
    <w:rsid w:val="00FA4D35"/>
    <w:rsid w:val="00FA51E5"/>
    <w:rsid w:val="00FA6FE2"/>
    <w:rsid w:val="00FA703B"/>
    <w:rsid w:val="00FB07D2"/>
    <w:rsid w:val="00FB1AC1"/>
    <w:rsid w:val="00FB5F5D"/>
    <w:rsid w:val="00FB63FA"/>
    <w:rsid w:val="00FB65FB"/>
    <w:rsid w:val="00FB6FB0"/>
    <w:rsid w:val="00FB7A1E"/>
    <w:rsid w:val="00FC17BD"/>
    <w:rsid w:val="00FC1E7F"/>
    <w:rsid w:val="00FC225E"/>
    <w:rsid w:val="00FC2624"/>
    <w:rsid w:val="00FC27DC"/>
    <w:rsid w:val="00FC2FDB"/>
    <w:rsid w:val="00FC4A55"/>
    <w:rsid w:val="00FC69C8"/>
    <w:rsid w:val="00FC7274"/>
    <w:rsid w:val="00FD013A"/>
    <w:rsid w:val="00FD10AF"/>
    <w:rsid w:val="00FD227E"/>
    <w:rsid w:val="00FD2392"/>
    <w:rsid w:val="00FD2422"/>
    <w:rsid w:val="00FD407F"/>
    <w:rsid w:val="00FD5276"/>
    <w:rsid w:val="00FD6A49"/>
    <w:rsid w:val="00FE0769"/>
    <w:rsid w:val="00FE334C"/>
    <w:rsid w:val="00FE374D"/>
    <w:rsid w:val="00FE3914"/>
    <w:rsid w:val="00FE4644"/>
    <w:rsid w:val="00FE4B4C"/>
    <w:rsid w:val="00FF18E1"/>
    <w:rsid w:val="00FF2D03"/>
    <w:rsid w:val="00FF32C9"/>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4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D289F"/>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Heading 1_UMAR"/>
    <w:next w:val="BesediloUMAR"/>
    <w:link w:val="Naslov1Znak"/>
    <w:uiPriority w:val="1"/>
    <w:qFormat/>
    <w:rsid w:val="005F163C"/>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Naslov2">
    <w:name w:val="heading 2"/>
    <w:aliases w:val="Heading 2_UMAR"/>
    <w:next w:val="BesediloUMAR"/>
    <w:link w:val="Naslov2Znak"/>
    <w:uiPriority w:val="2"/>
    <w:qFormat/>
    <w:rsid w:val="005F163C"/>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Naslov3">
    <w:name w:val="heading 3"/>
    <w:aliases w:val="Heading 3_UMAR"/>
    <w:next w:val="BesediloUMAR"/>
    <w:link w:val="Naslov3Znak"/>
    <w:uiPriority w:val="3"/>
    <w:qFormat/>
    <w:rsid w:val="005F163C"/>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Naslov4">
    <w:name w:val="heading 4"/>
    <w:basedOn w:val="Navaden"/>
    <w:next w:val="Navaden"/>
    <w:uiPriority w:val="8"/>
    <w:unhideWhenUsed/>
    <w:rsid w:val="005F163C"/>
    <w:pPr>
      <w:keepNext/>
      <w:numPr>
        <w:ilvl w:val="3"/>
        <w:numId w:val="2"/>
      </w:numPr>
      <w:spacing w:before="360" w:after="240"/>
      <w:outlineLvl w:val="3"/>
    </w:pPr>
    <w:rPr>
      <w:rFonts w:ascii="Myriad Pro" w:hAnsi="Myriad Pro"/>
      <w:b/>
      <w:bCs/>
    </w:rPr>
  </w:style>
  <w:style w:type="paragraph" w:styleId="Naslov5">
    <w:name w:val="heading 5"/>
    <w:basedOn w:val="Navaden"/>
    <w:next w:val="Navaden"/>
    <w:uiPriority w:val="8"/>
    <w:unhideWhenUsed/>
    <w:rsid w:val="005F163C"/>
    <w:pPr>
      <w:numPr>
        <w:ilvl w:val="4"/>
        <w:numId w:val="2"/>
      </w:numPr>
      <w:spacing w:before="240" w:after="60"/>
      <w:outlineLvl w:val="4"/>
    </w:pPr>
    <w:rPr>
      <w:rFonts w:ascii="Myriad Pro" w:hAnsi="Myriad Pro"/>
      <w:b/>
      <w:bCs/>
      <w:iCs/>
      <w:szCs w:val="26"/>
    </w:rPr>
  </w:style>
  <w:style w:type="paragraph" w:styleId="Naslov6">
    <w:name w:val="heading 6"/>
    <w:basedOn w:val="Navaden"/>
    <w:next w:val="Navaden"/>
    <w:uiPriority w:val="8"/>
    <w:unhideWhenUsed/>
    <w:rsid w:val="005F163C"/>
    <w:pPr>
      <w:numPr>
        <w:ilvl w:val="5"/>
        <w:numId w:val="2"/>
      </w:numPr>
      <w:spacing w:before="240" w:after="60"/>
      <w:outlineLvl w:val="5"/>
    </w:pPr>
    <w:rPr>
      <w:rFonts w:ascii="Myriad Pro" w:hAnsi="Myriad Pro"/>
      <w:b/>
      <w:bCs/>
    </w:rPr>
  </w:style>
  <w:style w:type="paragraph" w:styleId="Naslov7">
    <w:name w:val="heading 7"/>
    <w:basedOn w:val="Navaden"/>
    <w:next w:val="Navaden"/>
    <w:uiPriority w:val="8"/>
    <w:unhideWhenUsed/>
    <w:rsid w:val="005F163C"/>
    <w:pPr>
      <w:numPr>
        <w:ilvl w:val="6"/>
        <w:numId w:val="2"/>
      </w:numPr>
      <w:spacing w:before="240" w:after="60"/>
      <w:outlineLvl w:val="6"/>
    </w:pPr>
    <w:rPr>
      <w:rFonts w:ascii="Myriad Pro" w:hAnsi="Myriad Pro"/>
    </w:rPr>
  </w:style>
  <w:style w:type="paragraph" w:styleId="Naslov8">
    <w:name w:val="heading 8"/>
    <w:basedOn w:val="Navaden"/>
    <w:next w:val="Navaden"/>
    <w:uiPriority w:val="8"/>
    <w:unhideWhenUsed/>
    <w:rsid w:val="005F163C"/>
    <w:pPr>
      <w:numPr>
        <w:ilvl w:val="7"/>
        <w:numId w:val="2"/>
      </w:numPr>
      <w:spacing w:before="240" w:after="60"/>
      <w:outlineLvl w:val="7"/>
    </w:pPr>
    <w:rPr>
      <w:rFonts w:ascii="Myriad Pro" w:hAnsi="Myriad Pro"/>
      <w:i/>
      <w:iCs/>
    </w:rPr>
  </w:style>
  <w:style w:type="paragraph" w:styleId="Naslov9">
    <w:name w:val="heading 9"/>
    <w:basedOn w:val="Navaden"/>
    <w:next w:val="Navaden"/>
    <w:uiPriority w:val="8"/>
    <w:unhideWhenUsed/>
    <w:rsid w:val="005F163C"/>
    <w:pPr>
      <w:numPr>
        <w:ilvl w:val="8"/>
        <w:numId w:val="2"/>
      </w:numPr>
      <w:spacing w:before="240" w:after="60"/>
      <w:outlineLvl w:val="8"/>
    </w:pPr>
    <w:rPr>
      <w:rFonts w:ascii="Myriad Pro" w:hAnsi="Myriad Pro" w:cs="Arial"/>
    </w:rPr>
  </w:style>
  <w:style w:type="character" w:default="1" w:styleId="Privzetapisavaodstavka">
    <w:name w:val="Default Paragraph Font"/>
    <w:uiPriority w:val="1"/>
    <w:semiHidden/>
    <w:unhideWhenUsed/>
    <w:rsid w:val="005D289F"/>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5D289F"/>
  </w:style>
  <w:style w:type="paragraph" w:styleId="Sprotnaopomba-besedilo">
    <w:name w:val="footnote text"/>
    <w:basedOn w:val="BesediloUMAR"/>
    <w:link w:val="Sprotnaopomba-besediloZnak"/>
    <w:autoRedefine/>
    <w:uiPriority w:val="8"/>
    <w:qFormat/>
    <w:rsid w:val="006A57F3"/>
    <w:rPr>
      <w:sz w:val="16"/>
      <w:szCs w:val="14"/>
    </w:rPr>
  </w:style>
  <w:style w:type="character" w:customStyle="1" w:styleId="Sprotnaopomba-besediloZnak">
    <w:name w:val="Sprotna opomba - besedilo Znak"/>
    <w:basedOn w:val="Privzetapisavaodstavka"/>
    <w:link w:val="Sprotnaopomba-besedilo"/>
    <w:uiPriority w:val="8"/>
    <w:rsid w:val="006A57F3"/>
    <w:rPr>
      <w:rFonts w:ascii="Myriad Pro" w:eastAsiaTheme="minorHAnsi" w:hAnsi="Myriad Pro" w:cstheme="minorBidi"/>
      <w:sz w:val="16"/>
      <w:szCs w:val="14"/>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iPriority w:val="8"/>
    <w:rsid w:val="005F163C"/>
    <w:rPr>
      <w:rFonts w:ascii="Myriad Pro" w:hAnsi="Myriad Pro"/>
      <w:sz w:val="18"/>
      <w:vertAlign w:val="superscript"/>
    </w:rPr>
  </w:style>
  <w:style w:type="paragraph" w:styleId="Napis">
    <w:name w:val="caption"/>
    <w:aliases w:val="Okvir/Slika/Tabela_UMAR,DZ_Okvir_Slika_Tabela_Zemljevid"/>
    <w:basedOn w:val="Kazaloslik"/>
    <w:next w:val="BesediloUMAR"/>
    <w:link w:val="NapisZnak"/>
    <w:uiPriority w:val="4"/>
    <w:qFormat/>
    <w:rsid w:val="005F163C"/>
    <w:pPr>
      <w:keepNext/>
      <w:keepLines/>
      <w:spacing w:before="240" w:after="60"/>
      <w:contextualSpacing/>
    </w:pPr>
    <w:rPr>
      <w:b/>
      <w:bCs/>
    </w:rPr>
  </w:style>
  <w:style w:type="paragraph" w:styleId="Noga">
    <w:name w:val="footer"/>
    <w:basedOn w:val="Navaden"/>
    <w:next w:val="Navaden"/>
    <w:link w:val="NogaZnak"/>
    <w:autoRedefine/>
    <w:uiPriority w:val="99"/>
    <w:rsid w:val="005F163C"/>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Kazaloslik">
    <w:name w:val="table of figures"/>
    <w:basedOn w:val="BesediloUMAR"/>
    <w:next w:val="BesediloUMAR"/>
    <w:autoRedefine/>
    <w:uiPriority w:val="99"/>
    <w:rsid w:val="005F163C"/>
    <w:pPr>
      <w:tabs>
        <w:tab w:val="right" w:leader="dot" w:pos="9070"/>
      </w:tabs>
    </w:pPr>
    <w:rPr>
      <w:noProof/>
      <w:szCs w:val="20"/>
    </w:rPr>
  </w:style>
  <w:style w:type="paragraph" w:styleId="Kazalovirov">
    <w:name w:val="table of authorities"/>
    <w:basedOn w:val="Navaden"/>
    <w:next w:val="Navaden"/>
    <w:semiHidden/>
    <w:rsid w:val="005F163C"/>
    <w:pPr>
      <w:ind w:left="220" w:hanging="220"/>
    </w:pPr>
  </w:style>
  <w:style w:type="paragraph" w:styleId="Kazalovirov-naslov">
    <w:name w:val="toa heading"/>
    <w:basedOn w:val="Navaden"/>
    <w:next w:val="Navaden"/>
    <w:semiHidden/>
    <w:rsid w:val="005F163C"/>
    <w:pPr>
      <w:spacing w:before="120"/>
    </w:pPr>
    <w:rPr>
      <w:rFonts w:cs="Arial"/>
      <w:b/>
      <w:bCs/>
    </w:rPr>
  </w:style>
  <w:style w:type="paragraph" w:styleId="Kazalovsebine1">
    <w:name w:val="toc 1"/>
    <w:basedOn w:val="BesediloUMAR"/>
    <w:next w:val="BesediloUMAR"/>
    <w:autoRedefine/>
    <w:uiPriority w:val="39"/>
    <w:rsid w:val="005F163C"/>
    <w:pPr>
      <w:tabs>
        <w:tab w:val="left" w:pos="340"/>
        <w:tab w:val="right" w:leader="dot" w:pos="9070"/>
      </w:tabs>
      <w:spacing w:before="100" w:after="100"/>
    </w:pPr>
    <w:rPr>
      <w:rFonts w:cs="Arial"/>
      <w:noProof/>
      <w:szCs w:val="20"/>
    </w:rPr>
  </w:style>
  <w:style w:type="paragraph" w:styleId="Kazalovsebine2">
    <w:name w:val="toc 2"/>
    <w:basedOn w:val="BesediloUMAR"/>
    <w:next w:val="BesediloUMAR"/>
    <w:autoRedefine/>
    <w:uiPriority w:val="39"/>
    <w:rsid w:val="005F163C"/>
    <w:pPr>
      <w:tabs>
        <w:tab w:val="right" w:leader="dot" w:pos="9070"/>
      </w:tabs>
      <w:spacing w:before="100" w:after="100"/>
      <w:ind w:left="340"/>
    </w:pPr>
    <w:rPr>
      <w:noProof/>
    </w:rPr>
  </w:style>
  <w:style w:type="paragraph" w:styleId="Kazalovsebine3">
    <w:name w:val="toc 3"/>
    <w:next w:val="BesediloUMAR"/>
    <w:autoRedefine/>
    <w:uiPriority w:val="39"/>
    <w:rsid w:val="005F163C"/>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Kazalovsebine4">
    <w:name w:val="toc 4"/>
    <w:basedOn w:val="Navaden"/>
    <w:autoRedefine/>
    <w:semiHidden/>
    <w:rsid w:val="005F163C"/>
    <w:pPr>
      <w:spacing w:after="20"/>
      <w:ind w:left="340"/>
      <w:contextualSpacing/>
    </w:pPr>
  </w:style>
  <w:style w:type="paragraph" w:styleId="Kazalovsebine5">
    <w:name w:val="toc 5"/>
    <w:basedOn w:val="Navaden"/>
    <w:autoRedefine/>
    <w:semiHidden/>
    <w:rsid w:val="005F163C"/>
    <w:pPr>
      <w:spacing w:after="20"/>
      <w:contextualSpacing/>
    </w:pPr>
  </w:style>
  <w:style w:type="paragraph" w:styleId="Kazalovsebine6">
    <w:name w:val="toc 6"/>
    <w:basedOn w:val="Navaden"/>
    <w:next w:val="Navaden"/>
    <w:autoRedefine/>
    <w:semiHidden/>
    <w:rsid w:val="005F163C"/>
    <w:pPr>
      <w:ind w:left="1100"/>
    </w:pPr>
  </w:style>
  <w:style w:type="paragraph" w:styleId="Kazalovsebine7">
    <w:name w:val="toc 7"/>
    <w:basedOn w:val="Navaden"/>
    <w:next w:val="Navaden"/>
    <w:autoRedefine/>
    <w:semiHidden/>
    <w:rsid w:val="005F163C"/>
    <w:pPr>
      <w:ind w:left="1320"/>
    </w:pPr>
  </w:style>
  <w:style w:type="paragraph" w:styleId="Kazalovsebine8">
    <w:name w:val="toc 8"/>
    <w:basedOn w:val="Navaden"/>
    <w:next w:val="Navaden"/>
    <w:autoRedefine/>
    <w:semiHidden/>
    <w:rsid w:val="005F163C"/>
    <w:pPr>
      <w:ind w:left="1540"/>
    </w:pPr>
  </w:style>
  <w:style w:type="paragraph" w:styleId="Kazalovsebine9">
    <w:name w:val="toc 9"/>
    <w:basedOn w:val="Navaden"/>
    <w:next w:val="Navaden"/>
    <w:autoRedefine/>
    <w:semiHidden/>
    <w:rsid w:val="005F163C"/>
    <w:pPr>
      <w:ind w:left="1760"/>
    </w:pPr>
  </w:style>
  <w:style w:type="paragraph" w:styleId="Pripombabesedilo">
    <w:name w:val="annotation text"/>
    <w:basedOn w:val="Navaden"/>
    <w:link w:val="PripombabesediloZnak"/>
    <w:semiHidden/>
    <w:rsid w:val="005F163C"/>
    <w:rPr>
      <w:szCs w:val="20"/>
    </w:rPr>
  </w:style>
  <w:style w:type="character" w:styleId="Pripombasklic">
    <w:name w:val="annotation reference"/>
    <w:basedOn w:val="Privzetapisavaodstavka"/>
    <w:semiHidden/>
    <w:rsid w:val="005F163C"/>
    <w:rPr>
      <w:sz w:val="16"/>
      <w:szCs w:val="16"/>
    </w:rPr>
  </w:style>
  <w:style w:type="paragraph" w:styleId="Konnaopomba-besedilo">
    <w:name w:val="endnote text"/>
    <w:basedOn w:val="Navaden"/>
    <w:autoRedefine/>
    <w:semiHidden/>
    <w:rsid w:val="005F163C"/>
    <w:rPr>
      <w:szCs w:val="20"/>
    </w:rPr>
  </w:style>
  <w:style w:type="character" w:styleId="Konnaopomba-sklic">
    <w:name w:val="endnote reference"/>
    <w:basedOn w:val="Privzetapisavaodstavka"/>
    <w:semiHidden/>
    <w:rsid w:val="005F163C"/>
    <w:rPr>
      <w:vertAlign w:val="superscript"/>
    </w:rPr>
  </w:style>
  <w:style w:type="paragraph" w:styleId="Makrobesedilo">
    <w:name w:val="macro"/>
    <w:semiHidden/>
    <w:rsid w:val="005F163C"/>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Stvarnokazalo1">
    <w:name w:val="index 1"/>
    <w:basedOn w:val="Navaden"/>
    <w:next w:val="Navaden"/>
    <w:autoRedefine/>
    <w:semiHidden/>
    <w:rsid w:val="005F163C"/>
    <w:pPr>
      <w:ind w:left="220" w:hanging="220"/>
    </w:pPr>
  </w:style>
  <w:style w:type="paragraph" w:styleId="Stvarnokazalo-naslov">
    <w:name w:val="index heading"/>
    <w:basedOn w:val="Navaden"/>
    <w:next w:val="Stvarnokazalo1"/>
    <w:semiHidden/>
    <w:rsid w:val="005F163C"/>
    <w:rPr>
      <w:rFonts w:cs="Arial"/>
      <w:b/>
      <w:bCs/>
    </w:rPr>
  </w:style>
  <w:style w:type="paragraph" w:styleId="Stvarnokazalo2">
    <w:name w:val="index 2"/>
    <w:basedOn w:val="Navaden"/>
    <w:next w:val="Navaden"/>
    <w:autoRedefine/>
    <w:semiHidden/>
    <w:rsid w:val="005F163C"/>
    <w:pPr>
      <w:ind w:left="440" w:hanging="220"/>
    </w:pPr>
  </w:style>
  <w:style w:type="paragraph" w:styleId="Stvarnokazalo3">
    <w:name w:val="index 3"/>
    <w:basedOn w:val="Navaden"/>
    <w:next w:val="Navaden"/>
    <w:autoRedefine/>
    <w:semiHidden/>
    <w:rsid w:val="005F163C"/>
    <w:pPr>
      <w:ind w:left="660" w:hanging="220"/>
    </w:pPr>
  </w:style>
  <w:style w:type="paragraph" w:styleId="Stvarnokazalo4">
    <w:name w:val="index 4"/>
    <w:basedOn w:val="Navaden"/>
    <w:next w:val="Navaden"/>
    <w:autoRedefine/>
    <w:semiHidden/>
    <w:rsid w:val="005F163C"/>
    <w:pPr>
      <w:ind w:left="880" w:hanging="220"/>
    </w:pPr>
  </w:style>
  <w:style w:type="paragraph" w:styleId="Stvarnokazalo5">
    <w:name w:val="index 5"/>
    <w:basedOn w:val="Navaden"/>
    <w:next w:val="Navaden"/>
    <w:autoRedefine/>
    <w:semiHidden/>
    <w:rsid w:val="005F163C"/>
    <w:pPr>
      <w:ind w:left="1100" w:hanging="220"/>
    </w:pPr>
  </w:style>
  <w:style w:type="paragraph" w:styleId="Stvarnokazalo6">
    <w:name w:val="index 6"/>
    <w:basedOn w:val="Navaden"/>
    <w:next w:val="Navaden"/>
    <w:autoRedefine/>
    <w:semiHidden/>
    <w:rsid w:val="005F163C"/>
    <w:pPr>
      <w:ind w:left="1320" w:hanging="220"/>
    </w:pPr>
  </w:style>
  <w:style w:type="paragraph" w:styleId="Stvarnokazalo7">
    <w:name w:val="index 7"/>
    <w:basedOn w:val="Navaden"/>
    <w:next w:val="Navaden"/>
    <w:autoRedefine/>
    <w:semiHidden/>
    <w:rsid w:val="005F163C"/>
    <w:pPr>
      <w:ind w:left="1540" w:hanging="220"/>
    </w:pPr>
  </w:style>
  <w:style w:type="paragraph" w:styleId="Stvarnokazalo8">
    <w:name w:val="index 8"/>
    <w:basedOn w:val="Navaden"/>
    <w:next w:val="Navaden"/>
    <w:autoRedefine/>
    <w:semiHidden/>
    <w:rsid w:val="005F163C"/>
    <w:pPr>
      <w:ind w:left="1760" w:hanging="220"/>
    </w:pPr>
  </w:style>
  <w:style w:type="paragraph" w:styleId="Stvarnokazalo9">
    <w:name w:val="index 9"/>
    <w:basedOn w:val="Navaden"/>
    <w:next w:val="Navaden"/>
    <w:autoRedefine/>
    <w:semiHidden/>
    <w:rsid w:val="005F163C"/>
    <w:pPr>
      <w:ind w:left="1980" w:hanging="220"/>
    </w:pPr>
  </w:style>
  <w:style w:type="paragraph" w:styleId="Zgradbadokumenta">
    <w:name w:val="Document Map"/>
    <w:basedOn w:val="Navaden"/>
    <w:semiHidden/>
    <w:rsid w:val="005F163C"/>
    <w:pPr>
      <w:shd w:val="clear" w:color="auto" w:fill="000080"/>
    </w:pPr>
    <w:rPr>
      <w:rFonts w:ascii="Tahoma" w:hAnsi="Tahoma" w:cs="Tahoma"/>
      <w:szCs w:val="20"/>
    </w:rPr>
  </w:style>
  <w:style w:type="character" w:customStyle="1" w:styleId="VodilnistavekUMAR">
    <w:name w:val="Vodilni stavek_UMAR"/>
    <w:basedOn w:val="Privzetapisavaodstavka"/>
    <w:qFormat/>
    <w:rsid w:val="005F163C"/>
    <w:rPr>
      <w:b/>
    </w:rPr>
  </w:style>
  <w:style w:type="paragraph" w:styleId="Besedilooblaka">
    <w:name w:val="Balloon Text"/>
    <w:basedOn w:val="Navaden"/>
    <w:semiHidden/>
    <w:rsid w:val="005F163C"/>
    <w:rPr>
      <w:rFonts w:ascii="Tahoma" w:hAnsi="Tahoma" w:cs="Tahoma"/>
      <w:sz w:val="16"/>
      <w:szCs w:val="16"/>
    </w:rPr>
  </w:style>
  <w:style w:type="character" w:customStyle="1" w:styleId="GlavaZnak">
    <w:name w:val="Glava Znak"/>
    <w:basedOn w:val="Privzetapisavaodstavka"/>
    <w:link w:val="Glava"/>
    <w:uiPriority w:val="99"/>
    <w:rsid w:val="005F163C"/>
    <w:rPr>
      <w:rFonts w:ascii="Myriad Pro" w:eastAsiaTheme="minorHAnsi" w:hAnsi="Myriad Pro" w:cstheme="minorBidi"/>
      <w:sz w:val="22"/>
      <w:szCs w:val="22"/>
      <w:lang w:eastAsia="en-US"/>
    </w:rPr>
  </w:style>
  <w:style w:type="table" w:styleId="Tabelamrea">
    <w:name w:val="Table Grid"/>
    <w:basedOn w:val="Navadnatabela"/>
    <w:uiPriority w:val="59"/>
    <w:rsid w:val="005F163C"/>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rsid w:val="005F163C"/>
    <w:pPr>
      <w:tabs>
        <w:tab w:val="center" w:pos="4536"/>
        <w:tab w:val="right" w:pos="9072"/>
      </w:tabs>
    </w:pPr>
    <w:rPr>
      <w:rFonts w:ascii="Myriad Pro" w:hAnsi="Myriad Pro"/>
    </w:rPr>
  </w:style>
  <w:style w:type="character" w:styleId="Hiperpovezava">
    <w:name w:val="Hyperlink"/>
    <w:basedOn w:val="BesediloUMARChar"/>
    <w:uiPriority w:val="99"/>
    <w:rsid w:val="005F163C"/>
    <w:rPr>
      <w:rFonts w:ascii="Myriad Pro" w:eastAsiaTheme="minorHAnsi" w:hAnsi="Myriad Pro" w:cstheme="minorBidi"/>
      <w:color w:val="0000FF"/>
      <w:szCs w:val="22"/>
      <w:u w:val="single"/>
      <w:lang w:eastAsia="en-US"/>
    </w:rPr>
  </w:style>
  <w:style w:type="character" w:styleId="Poudarek">
    <w:name w:val="Emphasis"/>
    <w:aliases w:val="Italic poudarek_UMAR"/>
    <w:basedOn w:val="BesediloUMARChar"/>
    <w:qFormat/>
    <w:rsid w:val="005F163C"/>
    <w:rPr>
      <w:rFonts w:ascii="Myriad Pro" w:eastAsiaTheme="minorHAnsi" w:hAnsi="Myriad Pro" w:cstheme="minorBidi"/>
      <w:i/>
      <w:iCs/>
      <w:szCs w:val="22"/>
      <w:lang w:eastAsia="en-US"/>
    </w:rPr>
  </w:style>
  <w:style w:type="character" w:customStyle="1" w:styleId="Naslov3Znak">
    <w:name w:val="Naslov 3 Znak"/>
    <w:aliases w:val="Heading 3_UMAR Znak"/>
    <w:basedOn w:val="Privzetapisavaodstavka"/>
    <w:link w:val="Naslov3"/>
    <w:uiPriority w:val="3"/>
    <w:rsid w:val="005F163C"/>
    <w:rPr>
      <w:rFonts w:ascii="Myriad Pro" w:eastAsiaTheme="minorHAnsi" w:hAnsi="Myriad Pro" w:cs="Arial"/>
      <w:b/>
      <w:bCs/>
      <w:color w:val="9E001A" w:themeColor="accent1"/>
      <w:sz w:val="24"/>
      <w:szCs w:val="26"/>
      <w:lang w:eastAsia="en-US"/>
    </w:rPr>
  </w:style>
  <w:style w:type="character" w:customStyle="1" w:styleId="Naslov2Znak">
    <w:name w:val="Naslov 2 Znak"/>
    <w:aliases w:val="Heading 2_UMAR Znak"/>
    <w:basedOn w:val="Privzetapisavaodstavka"/>
    <w:link w:val="Naslov2"/>
    <w:uiPriority w:val="2"/>
    <w:rsid w:val="005F163C"/>
    <w:rPr>
      <w:rFonts w:ascii="Myriad Pro" w:eastAsiaTheme="minorHAnsi" w:hAnsi="Myriad Pro" w:cstheme="minorBidi"/>
      <w:b/>
      <w:color w:val="9E001A" w:themeColor="accent1"/>
      <w:sz w:val="24"/>
      <w:szCs w:val="22"/>
      <w:lang w:eastAsia="en-US"/>
    </w:rPr>
  </w:style>
  <w:style w:type="character" w:customStyle="1" w:styleId="Naslov1Znak">
    <w:name w:val="Naslov 1 Znak"/>
    <w:aliases w:val="Heading 1_UMAR Znak"/>
    <w:basedOn w:val="Privzetapisavaodstavka"/>
    <w:link w:val="Naslov1"/>
    <w:uiPriority w:val="1"/>
    <w:rsid w:val="005F163C"/>
    <w:rPr>
      <w:rFonts w:ascii="Myriad Pro" w:eastAsiaTheme="minorHAnsi" w:hAnsi="Myriad Pro" w:cs="Arial"/>
      <w:b/>
      <w:bCs/>
      <w:color w:val="9E001A" w:themeColor="accent1"/>
      <w:kern w:val="32"/>
      <w:sz w:val="28"/>
      <w:szCs w:val="22"/>
      <w:lang w:eastAsia="en-US"/>
    </w:rPr>
  </w:style>
  <w:style w:type="character" w:styleId="Besedilooznabemesta">
    <w:name w:val="Placeholder Text"/>
    <w:basedOn w:val="Privzetapisavaodstavka"/>
    <w:uiPriority w:val="99"/>
    <w:semiHidden/>
    <w:rsid w:val="005F163C"/>
    <w:rPr>
      <w:color w:val="808080"/>
    </w:rPr>
  </w:style>
  <w:style w:type="character" w:customStyle="1" w:styleId="NogaZnak">
    <w:name w:val="Noga Znak"/>
    <w:basedOn w:val="Privzetapisavaodstavka"/>
    <w:link w:val="Noga"/>
    <w:uiPriority w:val="99"/>
    <w:rsid w:val="005F163C"/>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5F163C"/>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Privzetapisavaodstavka"/>
    <w:link w:val="BesediloUMAR"/>
    <w:rsid w:val="005F163C"/>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5F163C"/>
    <w:pPr>
      <w:spacing w:before="40" w:line="240" w:lineRule="auto"/>
    </w:pPr>
    <w:rPr>
      <w:sz w:val="16"/>
    </w:rPr>
  </w:style>
  <w:style w:type="character" w:customStyle="1" w:styleId="VirUMARChar">
    <w:name w:val="Vir_UMAR Char"/>
    <w:basedOn w:val="Privzetapisavaodstavka"/>
    <w:link w:val="VirUMAR"/>
    <w:uiPriority w:val="6"/>
    <w:rsid w:val="005F163C"/>
    <w:rPr>
      <w:rFonts w:ascii="Myriad Pro" w:eastAsiaTheme="minorHAnsi" w:hAnsi="Myriad Pro" w:cstheme="minorBidi"/>
      <w:sz w:val="16"/>
      <w:szCs w:val="22"/>
      <w:lang w:eastAsia="en-US"/>
    </w:rPr>
  </w:style>
  <w:style w:type="character" w:customStyle="1" w:styleId="NapisZnak">
    <w:name w:val="Napis Znak"/>
    <w:aliases w:val="Okvir/Slika/Tabela_UMAR Znak,DZ_Okvir_Slika_Tabela_Zemljevid Znak"/>
    <w:basedOn w:val="Privzetapisavaodstavka"/>
    <w:link w:val="Napis"/>
    <w:uiPriority w:val="4"/>
    <w:rsid w:val="005F163C"/>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5F163C"/>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Privzetapisavaodstavka"/>
    <w:link w:val="TabelaglavadesnoUMAR"/>
    <w:uiPriority w:val="5"/>
    <w:rsid w:val="005F163C"/>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5F163C"/>
    <w:pPr>
      <w:jc w:val="left"/>
    </w:pPr>
  </w:style>
  <w:style w:type="paragraph" w:customStyle="1" w:styleId="TabelalevoUMAR">
    <w:name w:val="Tabela levo_UMAR"/>
    <w:basedOn w:val="TabelaglavalevoUMAR"/>
    <w:link w:val="TabelalevoUMARChar"/>
    <w:uiPriority w:val="5"/>
    <w:qFormat/>
    <w:rsid w:val="005F163C"/>
    <w:rPr>
      <w:b w:val="0"/>
    </w:rPr>
  </w:style>
  <w:style w:type="character" w:customStyle="1" w:styleId="TabelaglavalevoUMARChar">
    <w:name w:val="Tabela glava levo_UMAR Char"/>
    <w:basedOn w:val="TabelaglavadesnoUMARChar"/>
    <w:link w:val="TabelaglavalevoUMAR"/>
    <w:uiPriority w:val="5"/>
    <w:rsid w:val="005F163C"/>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5F163C"/>
    <w:rPr>
      <w:b w:val="0"/>
    </w:rPr>
  </w:style>
  <w:style w:type="character" w:customStyle="1" w:styleId="TabelalevoUMARChar">
    <w:name w:val="Tabela levo_UMAR Char"/>
    <w:basedOn w:val="TabelaglavalevoUMARChar"/>
    <w:link w:val="TabelalevoUMAR"/>
    <w:uiPriority w:val="5"/>
    <w:rsid w:val="005F163C"/>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5F163C"/>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5F163C"/>
    <w:rPr>
      <w:rFonts w:ascii="Myriad Pro" w:eastAsiaTheme="minorHAnsi" w:hAnsi="Myriad Pro" w:cstheme="minorBidi"/>
      <w:b/>
      <w:szCs w:val="22"/>
      <w:lang w:eastAsia="en-US"/>
    </w:rPr>
  </w:style>
  <w:style w:type="paragraph" w:customStyle="1" w:styleId="NaslovnicanaslovUMAR">
    <w:name w:val="Naslovnica_naslov_UMAR"/>
    <w:basedOn w:val="Naslov2"/>
    <w:link w:val="NaslovnicanaslovUMARChar"/>
    <w:uiPriority w:val="99"/>
    <w:qFormat/>
    <w:rsid w:val="005F163C"/>
  </w:style>
  <w:style w:type="character" w:customStyle="1" w:styleId="NaslovnicanaslovUMARChar">
    <w:name w:val="Naslovnica_naslov_UMAR Char"/>
    <w:basedOn w:val="Privzetapisavaodstavka"/>
    <w:link w:val="NaslovnicanaslovUMAR"/>
    <w:uiPriority w:val="99"/>
    <w:rsid w:val="005F163C"/>
    <w:rPr>
      <w:rFonts w:ascii="Myriad Pro" w:eastAsiaTheme="minorHAnsi" w:hAnsi="Myriad Pro" w:cstheme="minorBidi"/>
      <w:b/>
      <w:color w:val="9E001A" w:themeColor="accent1"/>
      <w:sz w:val="24"/>
      <w:szCs w:val="22"/>
      <w:lang w:eastAsia="en-US"/>
    </w:rPr>
  </w:style>
  <w:style w:type="table" w:styleId="Tabelasvetlamrea">
    <w:name w:val="Grid Table Light"/>
    <w:aliases w:val="UMAR tabela"/>
    <w:basedOn w:val="Navadnatabela"/>
    <w:uiPriority w:val="40"/>
    <w:rsid w:val="005F163C"/>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Navadnatabela1">
    <w:name w:val="Plain Table 1"/>
    <w:basedOn w:val="Navadnatabela"/>
    <w:uiPriority w:val="41"/>
    <w:rsid w:val="005F16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5F16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5F16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5F16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5F16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5F16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5F163C"/>
    <w:rPr>
      <w:rFonts w:asciiTheme="minorHAnsi" w:eastAsiaTheme="minorHAnsi" w:hAnsiTheme="minorHAnsi" w:cstheme="minorBidi"/>
      <w:sz w:val="22"/>
      <w:szCs w:val="22"/>
      <w:lang w:eastAsia="en-US"/>
    </w:rPr>
  </w:style>
  <w:style w:type="paragraph" w:styleId="Zadevapripombe">
    <w:name w:val="annotation subject"/>
    <w:basedOn w:val="Pripombabesedilo"/>
    <w:next w:val="Pripombabesedilo"/>
    <w:link w:val="ZadevapripombeZnak"/>
    <w:semiHidden/>
    <w:unhideWhenUsed/>
    <w:rsid w:val="005F163C"/>
    <w:pPr>
      <w:spacing w:line="240" w:lineRule="auto"/>
    </w:pPr>
    <w:rPr>
      <w:b/>
      <w:bCs/>
    </w:rPr>
  </w:style>
  <w:style w:type="character" w:customStyle="1" w:styleId="PripombabesediloZnak">
    <w:name w:val="Pripomba – besedilo Znak"/>
    <w:basedOn w:val="Privzetapisavaodstavka"/>
    <w:link w:val="Pripombabesedilo"/>
    <w:semiHidden/>
    <w:rsid w:val="005F163C"/>
    <w:rPr>
      <w:rFonts w:asciiTheme="minorHAnsi" w:eastAsiaTheme="minorHAnsi" w:hAnsiTheme="minorHAnsi" w:cstheme="minorBidi"/>
      <w:sz w:val="22"/>
      <w:lang w:eastAsia="en-US"/>
    </w:rPr>
  </w:style>
  <w:style w:type="character" w:customStyle="1" w:styleId="ZadevapripombeZnak">
    <w:name w:val="Zadeva pripombe Znak"/>
    <w:basedOn w:val="PripombabesediloZnak"/>
    <w:link w:val="Zadevapripombe"/>
    <w:semiHidden/>
    <w:rsid w:val="005F163C"/>
    <w:rPr>
      <w:rFonts w:asciiTheme="minorHAnsi" w:eastAsiaTheme="minorHAnsi" w:hAnsiTheme="minorHAnsi" w:cstheme="minorBidi"/>
      <w:b/>
      <w:bCs/>
      <w:sz w:val="22"/>
      <w:lang w:eastAsia="en-US"/>
    </w:rPr>
  </w:style>
  <w:style w:type="table" w:customStyle="1" w:styleId="UMARokvir">
    <w:name w:val="UMAR okvir"/>
    <w:basedOn w:val="Navadnatabela"/>
    <w:uiPriority w:val="99"/>
    <w:rsid w:val="005F163C"/>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Navadnatabela"/>
    <w:uiPriority w:val="99"/>
    <w:rsid w:val="005F163C"/>
    <w:pPr>
      <w:jc w:val="center"/>
    </w:pPr>
    <w:rPr>
      <w:rFonts w:ascii="Myriad Pro" w:hAnsi="Myriad Pro"/>
    </w:rPr>
    <w:tblPr/>
    <w:tcPr>
      <w:vAlign w:val="center"/>
    </w:tcPr>
    <w:tblStylePr w:type="lastCol">
      <w:pPr>
        <w:jc w:val="right"/>
      </w:pPr>
    </w:tblStylePr>
  </w:style>
  <w:style w:type="paragraph" w:styleId="NaslovTOC">
    <w:name w:val="TOC Heading"/>
    <w:basedOn w:val="Naslov1"/>
    <w:next w:val="Navaden"/>
    <w:uiPriority w:val="39"/>
    <w:unhideWhenUsed/>
    <w:rsid w:val="005F163C"/>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Odstavekseznama">
    <w:name w:val="List Paragraph"/>
    <w:basedOn w:val="Navaden"/>
    <w:uiPriority w:val="34"/>
    <w:rsid w:val="005F163C"/>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5F163C"/>
    <w:pPr>
      <w:spacing w:before="80"/>
      <w:ind w:left="340" w:hanging="340"/>
      <w:jc w:val="left"/>
    </w:pPr>
  </w:style>
  <w:style w:type="character" w:customStyle="1" w:styleId="LiteraturaUMARChar">
    <w:name w:val="Literatura_UMAR Char"/>
    <w:basedOn w:val="BesediloUMARChar"/>
    <w:link w:val="LiteraturaUMAR"/>
    <w:uiPriority w:val="7"/>
    <w:rsid w:val="005F163C"/>
    <w:rPr>
      <w:rFonts w:ascii="Myriad Pro" w:eastAsiaTheme="minorHAnsi" w:hAnsi="Myriad Pro" w:cstheme="minorBidi"/>
      <w:szCs w:val="22"/>
      <w:lang w:eastAsia="en-US"/>
    </w:rPr>
  </w:style>
  <w:style w:type="paragraph" w:customStyle="1" w:styleId="DZBesedilo">
    <w:name w:val="DZ_Besedilo"/>
    <w:link w:val="DZBesediloChar"/>
    <w:qFormat/>
    <w:rsid w:val="005732E6"/>
    <w:pPr>
      <w:spacing w:line="288" w:lineRule="auto"/>
      <w:jc w:val="both"/>
    </w:pPr>
    <w:rPr>
      <w:rFonts w:ascii="Myriad Pro" w:eastAsiaTheme="minorHAnsi" w:hAnsi="Myriad Pro" w:cstheme="minorBidi"/>
      <w:szCs w:val="22"/>
      <w:lang w:eastAsia="en-US"/>
    </w:rPr>
  </w:style>
  <w:style w:type="character" w:customStyle="1" w:styleId="DZBesediloChar">
    <w:name w:val="DZ_Besedilo Char"/>
    <w:basedOn w:val="Privzetapisavaodstavka"/>
    <w:link w:val="DZBesedilo"/>
    <w:rsid w:val="005732E6"/>
    <w:rPr>
      <w:rFonts w:ascii="Myriad Pro" w:eastAsiaTheme="minorHAnsi" w:hAnsi="Myriad Pro" w:cstheme="minorBidi"/>
      <w:szCs w:val="22"/>
      <w:lang w:eastAsia="en-US"/>
    </w:rPr>
  </w:style>
  <w:style w:type="paragraph" w:customStyle="1" w:styleId="DZVir">
    <w:name w:val="DZ_Vir"/>
    <w:basedOn w:val="DZBesedilo"/>
    <w:link w:val="DZVirChar"/>
    <w:qFormat/>
    <w:rsid w:val="00355D96"/>
    <w:pPr>
      <w:spacing w:before="40" w:line="240" w:lineRule="auto"/>
    </w:pPr>
    <w:rPr>
      <w:sz w:val="16"/>
    </w:rPr>
  </w:style>
  <w:style w:type="character" w:customStyle="1" w:styleId="DZVirChar">
    <w:name w:val="DZ_Vir Char"/>
    <w:basedOn w:val="Privzetapisavaodstavka"/>
    <w:link w:val="DZVir"/>
    <w:rsid w:val="00355D96"/>
    <w:rPr>
      <w:rFonts w:ascii="Myriad Pro" w:eastAsiaTheme="minorHAnsi" w:hAnsi="Myriad Pro" w:cstheme="minorBidi"/>
      <w:sz w:val="16"/>
      <w:szCs w:val="22"/>
      <w:lang w:eastAsia="en-US"/>
    </w:rPr>
  </w:style>
  <w:style w:type="character" w:customStyle="1" w:styleId="markedcontent">
    <w:name w:val="markedcontent"/>
    <w:basedOn w:val="Privzetapisavaodstavka"/>
    <w:rsid w:val="0048776B"/>
  </w:style>
  <w:style w:type="paragraph" w:styleId="Bibliografija">
    <w:name w:val="Bibliography"/>
    <w:basedOn w:val="Navaden"/>
    <w:next w:val="Navaden"/>
    <w:uiPriority w:val="37"/>
    <w:unhideWhenUsed/>
    <w:rsid w:val="007309C9"/>
    <w:pPr>
      <w:spacing w:after="0" w:line="480" w:lineRule="auto"/>
      <w:ind w:left="720" w:hanging="720"/>
    </w:pPr>
  </w:style>
  <w:style w:type="table" w:customStyle="1" w:styleId="UMARokvir1">
    <w:name w:val="UMAR okvir1"/>
    <w:basedOn w:val="Navadnatabela"/>
    <w:uiPriority w:val="99"/>
    <w:rsid w:val="003A4800"/>
    <w:rPr>
      <w:rFonts w:ascii="Myriad Pro" w:hAnsi="Myriad Pro"/>
    </w:rPr>
    <w:tblPr>
      <w:tblBorders>
        <w:top w:val="single" w:sz="4" w:space="0" w:color="auto"/>
        <w:left w:val="single" w:sz="4" w:space="0" w:color="auto"/>
        <w:bottom w:val="single" w:sz="4" w:space="0" w:color="auto"/>
        <w:right w:val="single" w:sz="4" w:space="0" w:color="auto"/>
      </w:tblBorders>
      <w:tblCellMar>
        <w:left w:w="170" w:type="dxa"/>
        <w:right w:w="170" w:type="dxa"/>
      </w:tblCellMar>
    </w:tblPr>
    <w:tcPr>
      <w:shd w:val="clear" w:color="auto" w:fill="DBDBDB" w:themeFill="background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 w:id="21095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452B-6CFD-4529-B0CE-007D8DFB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6854</Words>
  <Characters>40439</Characters>
  <Application>Microsoft Office Word</Application>
  <DocSecurity>0</DocSecurity>
  <Lines>1497</Lines>
  <Paragraphs>1313</Paragraphs>
  <ScaleCrop>false</ScaleCrop>
  <Company/>
  <LinksUpToDate>false</LinksUpToDate>
  <CharactersWithSpaces>45980</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2023-07-11T08:10:00Z</dcterms:created>
  <dcterms:modified xsi:type="dcterms:W3CDTF">2023-07-11T08:10:00Z</dcterms:modified>
</cp:coreProperties>
</file>