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8EA2A" w14:textId="7F520750" w:rsidR="00701097" w:rsidRDefault="00BB3265" w:rsidP="006119CB">
      <w:pPr>
        <w:pStyle w:val="Caption"/>
        <w:sectPr w:rsidR="00701097" w:rsidSect="00706439">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709" w:footer="709" w:gutter="0"/>
          <w:pgNumType w:fmt="lowerRoman" w:start="1"/>
          <w:cols w:space="708"/>
        </w:sectPr>
      </w:pPr>
      <w:r>
        <w:rPr>
          <w:lang w:eastAsia="sl-SI"/>
        </w:rPr>
        <w:drawing>
          <wp:anchor distT="0" distB="0" distL="114300" distR="114300" simplePos="0" relativeHeight="251661312" behindDoc="0" locked="0" layoutInCell="1" allowOverlap="1" wp14:anchorId="46B71AB9" wp14:editId="7F667490">
            <wp:simplePos x="0" y="0"/>
            <wp:positionH relativeFrom="column">
              <wp:posOffset>-895350</wp:posOffset>
            </wp:positionH>
            <wp:positionV relativeFrom="paragraph">
              <wp:posOffset>-1084482</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977677">
        <w:rPr>
          <w:lang w:eastAsia="sl-SI"/>
        </w:rPr>
        <mc:AlternateContent>
          <mc:Choice Requires="wps">
            <w:drawing>
              <wp:anchor distT="0" distB="0" distL="114300" distR="114300" simplePos="0" relativeHeight="251659262" behindDoc="0" locked="0" layoutInCell="1" allowOverlap="1" wp14:anchorId="174E3CA4" wp14:editId="1F85581F">
                <wp:simplePos x="0" y="0"/>
                <wp:positionH relativeFrom="column">
                  <wp:posOffset>2613479</wp:posOffset>
                </wp:positionH>
                <wp:positionV relativeFrom="paragraph">
                  <wp:posOffset>1401808</wp:posOffset>
                </wp:positionV>
                <wp:extent cx="3680460" cy="7635331"/>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680460" cy="7635331"/>
                        </a:xfrm>
                        <a:prstGeom prst="rect">
                          <a:avLst/>
                        </a:prstGeom>
                        <a:noFill/>
                        <a:ln w="6350">
                          <a:noFill/>
                        </a:ln>
                        <a:effectLst/>
                      </wps:spPr>
                      <wps:txbx>
                        <w:txbxContent>
                          <w:p w14:paraId="79AF6F69" w14:textId="77777777" w:rsidR="00BA6D9F" w:rsidRDefault="00BA6D9F" w:rsidP="00002CAF">
                            <w:pPr>
                              <w:pStyle w:val="NaslovnicanaslovUMAR"/>
                              <w:spacing w:line="240" w:lineRule="auto"/>
                              <w:rPr>
                                <w:b w:val="0"/>
                                <w:bCs/>
                                <w:sz w:val="52"/>
                                <w:szCs w:val="52"/>
                              </w:rPr>
                            </w:pPr>
                          </w:p>
                          <w:p w14:paraId="16047F09" w14:textId="77777777" w:rsidR="00BA6D9F" w:rsidRPr="00BA6D9F" w:rsidRDefault="00BA6D9F" w:rsidP="00002CAF">
                            <w:pPr>
                              <w:pStyle w:val="NaslovnicanaslovUMAR"/>
                              <w:spacing w:line="240" w:lineRule="auto"/>
                              <w:rPr>
                                <w:b w:val="0"/>
                                <w:bCs/>
                                <w:sz w:val="26"/>
                                <w:szCs w:val="26"/>
                              </w:rPr>
                            </w:pPr>
                          </w:p>
                          <w:p w14:paraId="6B727898" w14:textId="78D613FF" w:rsidR="00BA6D9F" w:rsidRPr="00BA6D9F" w:rsidRDefault="00BA6D9F" w:rsidP="00002CAF">
                            <w:pPr>
                              <w:pStyle w:val="NaslovnicanaslovUMAR"/>
                              <w:spacing w:line="240" w:lineRule="auto"/>
                              <w:rPr>
                                <w:sz w:val="26"/>
                                <w:szCs w:val="26"/>
                              </w:rPr>
                            </w:pPr>
                            <w:r w:rsidRPr="00BA6D9F">
                              <w:rPr>
                                <w:sz w:val="26"/>
                                <w:szCs w:val="26"/>
                              </w:rPr>
                              <w:t>Kratke analize</w:t>
                            </w:r>
                          </w:p>
                          <w:p w14:paraId="47CA16F2" w14:textId="2A3D4F7E" w:rsidR="00BA6D9F" w:rsidRPr="00BA6D9F" w:rsidRDefault="00382537" w:rsidP="00002CAF">
                            <w:pPr>
                              <w:pStyle w:val="NaslovnicanaslovUMAR"/>
                              <w:spacing w:line="240" w:lineRule="auto"/>
                              <w:rPr>
                                <w:b w:val="0"/>
                                <w:bCs/>
                                <w:sz w:val="26"/>
                                <w:szCs w:val="26"/>
                              </w:rPr>
                            </w:pPr>
                            <w:r>
                              <w:rPr>
                                <w:rFonts w:cstheme="minorHAnsi"/>
                                <w:b w:val="0"/>
                                <w:sz w:val="26"/>
                                <w:szCs w:val="26"/>
                              </w:rPr>
                              <w:t>Avgust 2022</w:t>
                            </w:r>
                          </w:p>
                          <w:p w14:paraId="457D2911" w14:textId="77777777" w:rsidR="00BA6D9F" w:rsidRDefault="00BA6D9F" w:rsidP="00002CAF">
                            <w:pPr>
                              <w:pStyle w:val="NaslovnicanaslovUMAR"/>
                              <w:spacing w:line="240" w:lineRule="auto"/>
                              <w:rPr>
                                <w:b w:val="0"/>
                                <w:bCs/>
                                <w:sz w:val="52"/>
                                <w:szCs w:val="52"/>
                              </w:rPr>
                            </w:pPr>
                          </w:p>
                          <w:p w14:paraId="2AE2F9B7" w14:textId="21F87BA9" w:rsidR="00002CAF" w:rsidRPr="002824FB" w:rsidRDefault="00CD3C68" w:rsidP="00727D99">
                            <w:pPr>
                              <w:pStyle w:val="NaslovnicanaslovUMAR"/>
                              <w:spacing w:after="80" w:line="240" w:lineRule="auto"/>
                              <w:rPr>
                                <w:b w:val="0"/>
                                <w:bCs/>
                                <w:sz w:val="52"/>
                                <w:szCs w:val="52"/>
                              </w:rPr>
                            </w:pPr>
                            <w:r>
                              <w:rPr>
                                <w:b w:val="0"/>
                                <w:bCs/>
                                <w:sz w:val="52"/>
                                <w:szCs w:val="52"/>
                              </w:rPr>
                              <w:t>Mitja Perko</w:t>
                            </w:r>
                            <w:r w:rsidR="000D3588">
                              <w:rPr>
                                <w:b w:val="0"/>
                                <w:bCs/>
                                <w:sz w:val="52"/>
                                <w:szCs w:val="52"/>
                              </w:rPr>
                              <w:t xml:space="preserve">, </w:t>
                            </w:r>
                            <w:r>
                              <w:rPr>
                                <w:b w:val="0"/>
                                <w:bCs/>
                                <w:sz w:val="52"/>
                                <w:szCs w:val="52"/>
                              </w:rPr>
                              <w:t>Denis Rogan</w:t>
                            </w:r>
                            <w:r w:rsidR="000D3588">
                              <w:rPr>
                                <w:b w:val="0"/>
                                <w:bCs/>
                                <w:sz w:val="52"/>
                                <w:szCs w:val="52"/>
                              </w:rPr>
                              <w:t>, Andrej Kuštrin</w:t>
                            </w:r>
                          </w:p>
                          <w:p w14:paraId="3E663CEF" w14:textId="396299E0" w:rsidR="00002CAF" w:rsidRPr="007A3C64" w:rsidRDefault="004501D9" w:rsidP="00727D99">
                            <w:pPr>
                              <w:pStyle w:val="NaslovnicanaslovUMAR"/>
                              <w:spacing w:line="680" w:lineRule="exact"/>
                            </w:pPr>
                            <w:r>
                              <w:t>Ali</w:t>
                            </w:r>
                            <w:r w:rsidR="00857B3E">
                              <w:t xml:space="preserve"> lahko</w:t>
                            </w:r>
                            <w:r w:rsidR="00A15DC1">
                              <w:t xml:space="preserve"> sektorsk</w:t>
                            </w:r>
                            <w:r>
                              <w:t>e</w:t>
                            </w:r>
                            <w:r w:rsidR="00A15DC1">
                              <w:t xml:space="preserve"> kolektivn</w:t>
                            </w:r>
                            <w:r>
                              <w:t>e</w:t>
                            </w:r>
                            <w:r w:rsidR="00A15DC1">
                              <w:t xml:space="preserve"> pogodb</w:t>
                            </w:r>
                            <w:r>
                              <w:t>e vplivajo</w:t>
                            </w:r>
                            <w:r w:rsidR="00A15DC1">
                              <w:t xml:space="preserve"> na agregatno rast plač</w:t>
                            </w:r>
                            <w:r w:rsidR="008D00FC">
                              <w:t xml:space="preserve"> v luči visoke inflacije</w:t>
                            </w:r>
                            <w:r>
                              <w:t>?</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E3CA4" id="_x0000_t202" coordsize="21600,21600" o:spt="202" path="m,l,21600r21600,l21600,xe">
                <v:stroke joinstyle="miter"/>
                <v:path gradientshapeok="t" o:connecttype="rect"/>
              </v:shapetype>
              <v:shape id="Text Box 2" o:spid="_x0000_s1026" type="#_x0000_t202" style="position:absolute;left:0;text-align:left;margin-left:205.8pt;margin-top:110.4pt;width:289.8pt;height:601.2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" filled="f" stroked="f" strokeweight=".5pt">
                <v:textbox style="layout-flow:vertical;mso-layout-flow-alt:bottom-to-top" inset="0,0,.5mm,0">
                  <w:txbxContent>
                    <w:p w14:paraId="79AF6F69" w14:textId="77777777" w:rsidR="00BA6D9F" w:rsidRDefault="00BA6D9F" w:rsidP="00002CAF">
                      <w:pPr>
                        <w:pStyle w:val="NaslovnicanaslovUMAR"/>
                        <w:spacing w:line="240" w:lineRule="auto"/>
                        <w:rPr>
                          <w:b w:val="0"/>
                          <w:bCs/>
                          <w:sz w:val="52"/>
                          <w:szCs w:val="52"/>
                        </w:rPr>
                      </w:pPr>
                    </w:p>
                    <w:p w14:paraId="16047F09" w14:textId="77777777" w:rsidR="00BA6D9F" w:rsidRPr="00BA6D9F" w:rsidRDefault="00BA6D9F" w:rsidP="00002CAF">
                      <w:pPr>
                        <w:pStyle w:val="NaslovnicanaslovUMAR"/>
                        <w:spacing w:line="240" w:lineRule="auto"/>
                        <w:rPr>
                          <w:b w:val="0"/>
                          <w:bCs/>
                          <w:sz w:val="26"/>
                          <w:szCs w:val="26"/>
                        </w:rPr>
                      </w:pPr>
                    </w:p>
                    <w:p w14:paraId="6B727898" w14:textId="78D613FF" w:rsidR="00BA6D9F" w:rsidRPr="00BA6D9F" w:rsidRDefault="00BA6D9F" w:rsidP="00002CAF">
                      <w:pPr>
                        <w:pStyle w:val="NaslovnicanaslovUMAR"/>
                        <w:spacing w:line="240" w:lineRule="auto"/>
                        <w:rPr>
                          <w:sz w:val="26"/>
                          <w:szCs w:val="26"/>
                        </w:rPr>
                      </w:pPr>
                      <w:r w:rsidRPr="00BA6D9F">
                        <w:rPr>
                          <w:sz w:val="26"/>
                          <w:szCs w:val="26"/>
                        </w:rPr>
                        <w:t>Kratke analize</w:t>
                      </w:r>
                    </w:p>
                    <w:p w14:paraId="47CA16F2" w14:textId="2A3D4F7E" w:rsidR="00BA6D9F" w:rsidRPr="00BA6D9F" w:rsidRDefault="00382537" w:rsidP="00002CAF">
                      <w:pPr>
                        <w:pStyle w:val="NaslovnicanaslovUMAR"/>
                        <w:spacing w:line="240" w:lineRule="auto"/>
                        <w:rPr>
                          <w:b w:val="0"/>
                          <w:bCs/>
                          <w:sz w:val="26"/>
                          <w:szCs w:val="26"/>
                        </w:rPr>
                      </w:pPr>
                      <w:r>
                        <w:rPr>
                          <w:rFonts w:cstheme="minorHAnsi"/>
                          <w:b w:val="0"/>
                          <w:sz w:val="26"/>
                          <w:szCs w:val="26"/>
                        </w:rPr>
                        <w:t>Avgust 2022</w:t>
                      </w:r>
                    </w:p>
                    <w:p w14:paraId="457D2911" w14:textId="77777777" w:rsidR="00BA6D9F" w:rsidRDefault="00BA6D9F" w:rsidP="00002CAF">
                      <w:pPr>
                        <w:pStyle w:val="NaslovnicanaslovUMAR"/>
                        <w:spacing w:line="240" w:lineRule="auto"/>
                        <w:rPr>
                          <w:b w:val="0"/>
                          <w:bCs/>
                          <w:sz w:val="52"/>
                          <w:szCs w:val="52"/>
                        </w:rPr>
                      </w:pPr>
                    </w:p>
                    <w:p w14:paraId="2AE2F9B7" w14:textId="21F87BA9" w:rsidR="00002CAF" w:rsidRPr="002824FB" w:rsidRDefault="00CD3C68" w:rsidP="00727D99">
                      <w:pPr>
                        <w:pStyle w:val="NaslovnicanaslovUMAR"/>
                        <w:spacing w:after="80" w:line="240" w:lineRule="auto"/>
                        <w:rPr>
                          <w:b w:val="0"/>
                          <w:bCs/>
                          <w:sz w:val="52"/>
                          <w:szCs w:val="52"/>
                        </w:rPr>
                      </w:pPr>
                      <w:r>
                        <w:rPr>
                          <w:b w:val="0"/>
                          <w:bCs/>
                          <w:sz w:val="52"/>
                          <w:szCs w:val="52"/>
                        </w:rPr>
                        <w:t>Mitja Perko</w:t>
                      </w:r>
                      <w:r w:rsidR="000D3588">
                        <w:rPr>
                          <w:b w:val="0"/>
                          <w:bCs/>
                          <w:sz w:val="52"/>
                          <w:szCs w:val="52"/>
                        </w:rPr>
                        <w:t xml:space="preserve">, </w:t>
                      </w:r>
                      <w:r>
                        <w:rPr>
                          <w:b w:val="0"/>
                          <w:bCs/>
                          <w:sz w:val="52"/>
                          <w:szCs w:val="52"/>
                        </w:rPr>
                        <w:t>Denis Rogan</w:t>
                      </w:r>
                      <w:r w:rsidR="000D3588">
                        <w:rPr>
                          <w:b w:val="0"/>
                          <w:bCs/>
                          <w:sz w:val="52"/>
                          <w:szCs w:val="52"/>
                        </w:rPr>
                        <w:t>, Andrej Kuštrin</w:t>
                      </w:r>
                    </w:p>
                    <w:p w14:paraId="3E663CEF" w14:textId="396299E0" w:rsidR="00002CAF" w:rsidRPr="007A3C64" w:rsidRDefault="004501D9" w:rsidP="00727D99">
                      <w:pPr>
                        <w:pStyle w:val="NaslovnicanaslovUMAR"/>
                        <w:spacing w:line="680" w:lineRule="exact"/>
                      </w:pPr>
                      <w:r>
                        <w:t>Ali</w:t>
                      </w:r>
                      <w:r w:rsidR="00857B3E">
                        <w:t xml:space="preserve"> lahko</w:t>
                      </w:r>
                      <w:r w:rsidR="00A15DC1">
                        <w:t xml:space="preserve"> sektorsk</w:t>
                      </w:r>
                      <w:r>
                        <w:t>e</w:t>
                      </w:r>
                      <w:r w:rsidR="00A15DC1">
                        <w:t xml:space="preserve"> kolektivn</w:t>
                      </w:r>
                      <w:r>
                        <w:t>e</w:t>
                      </w:r>
                      <w:r w:rsidR="00A15DC1">
                        <w:t xml:space="preserve"> pogodb</w:t>
                      </w:r>
                      <w:r>
                        <w:t>e vplivajo</w:t>
                      </w:r>
                      <w:r w:rsidR="00A15DC1">
                        <w:t xml:space="preserve"> na agregatno rast plač</w:t>
                      </w:r>
                      <w:r w:rsidR="008D00FC">
                        <w:t xml:space="preserve"> v luči visoke inflacije</w:t>
                      </w:r>
                      <w:r>
                        <w:t>?</w:t>
                      </w:r>
                    </w:p>
                  </w:txbxContent>
                </v:textbox>
              </v:shape>
            </w:pict>
          </mc:Fallback>
        </mc:AlternateContent>
      </w:r>
      <w:r w:rsidR="00AD7EE1">
        <w:rPr>
          <w:lang w:eastAsia="sl-SI"/>
        </w:rPr>
        <mc:AlternateContent>
          <mc:Choice Requires="wps">
            <w:drawing>
              <wp:anchor distT="0" distB="0" distL="114300" distR="114300" simplePos="0" relativeHeight="251664384" behindDoc="0" locked="0" layoutInCell="1" allowOverlap="1" wp14:anchorId="3DCE800F" wp14:editId="437C1332">
                <wp:simplePos x="0" y="0"/>
                <wp:positionH relativeFrom="column">
                  <wp:posOffset>5224325</wp:posOffset>
                </wp:positionH>
                <wp:positionV relativeFrom="paragraph">
                  <wp:posOffset>-122603</wp:posOffset>
                </wp:positionV>
                <wp:extent cx="1302588" cy="715993"/>
                <wp:effectExtent l="0" t="0" r="12065" b="27305"/>
                <wp:wrapNone/>
                <wp:docPr id="1" name="Rectangle 1"/>
                <wp:cNvGraphicFramePr/>
                <a:graphic xmlns:a="http://schemas.openxmlformats.org/drawingml/2006/main">
                  <a:graphicData uri="http://schemas.microsoft.com/office/word/2010/wordprocessingShape">
                    <wps:wsp>
                      <wps:cNvSpPr/>
                      <wps:spPr>
                        <a:xfrm>
                          <a:off x="0" y="0"/>
                          <a:ext cx="1302588" cy="7159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4D5D43" id="Rectangle 1" o:spid="_x0000_s1026" style="position:absolute;margin-left:411.35pt;margin-top:-9.65pt;width:102.55pt;height:56.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" fillcolor="white [3212]" strokecolor="white [3212]" strokeweight="1pt"/>
            </w:pict>
          </mc:Fallback>
        </mc:AlternateContent>
      </w:r>
      <w:r w:rsidR="00C72360">
        <w:rPr>
          <w:lang w:eastAsia="sl-SI"/>
        </w:rPr>
        <w:drawing>
          <wp:anchor distT="0" distB="0" distL="114300" distR="114300" simplePos="0" relativeHeight="251663360" behindDoc="0" locked="0" layoutInCell="1" allowOverlap="1" wp14:anchorId="5FC23F56" wp14:editId="08EF8A24">
            <wp:simplePos x="0" y="0"/>
            <wp:positionH relativeFrom="column">
              <wp:posOffset>4936116</wp:posOffset>
            </wp:positionH>
            <wp:positionV relativeFrom="paragraph">
              <wp:posOffset>-628873</wp:posOffset>
            </wp:positionV>
            <wp:extent cx="1447939" cy="115190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2164" cy="1155269"/>
                    </a:xfrm>
                    <a:prstGeom prst="rect">
                      <a:avLst/>
                    </a:prstGeom>
                  </pic:spPr>
                </pic:pic>
              </a:graphicData>
            </a:graphic>
            <wp14:sizeRelH relativeFrom="margin">
              <wp14:pctWidth>0</wp14:pctWidth>
            </wp14:sizeRelH>
            <wp14:sizeRelV relativeFrom="margin">
              <wp14:pctHeight>0</wp14:pctHeight>
            </wp14:sizeRelV>
          </wp:anchor>
        </w:drawing>
      </w:r>
      <w:bookmarkStart w:id="0" w:name="_Hlk105488051"/>
      <w:bookmarkEnd w:id="0"/>
    </w:p>
    <w:p w14:paraId="2EAF6B2D" w14:textId="217B357A" w:rsidR="003042B5" w:rsidRDefault="00EB3FE9" w:rsidP="00E6657A">
      <w:pPr>
        <w:pStyle w:val="VodilnistavekUMAR"/>
      </w:pPr>
      <w:bookmarkStart w:id="1" w:name="_Toc525304171"/>
      <w:bookmarkStart w:id="2" w:name="_Toc527616894"/>
      <w:bookmarkStart w:id="3" w:name="_Toc528328881"/>
      <w:r>
        <w:lastRenderedPageBreak/>
        <w:t xml:space="preserve">V analizi </w:t>
      </w:r>
      <w:r w:rsidR="00067064" w:rsidRPr="009515F5">
        <w:t>skušamo odgovoriti na vprašanje</w:t>
      </w:r>
      <w:r w:rsidRPr="00E621D1">
        <w:t>,</w:t>
      </w:r>
      <w:r>
        <w:t xml:space="preserve"> </w:t>
      </w:r>
      <w:r w:rsidR="002B7CE6">
        <w:t>ali</w:t>
      </w:r>
      <w:r w:rsidR="00881CF9">
        <w:t xml:space="preserve"> lahko</w:t>
      </w:r>
      <w:r w:rsidR="00C56760">
        <w:t xml:space="preserve"> </w:t>
      </w:r>
      <w:r>
        <w:t>kolektivne pogodbe na ravni dejavnosti</w:t>
      </w:r>
      <w:r w:rsidR="003D5CA8">
        <w:t xml:space="preserve"> </w:t>
      </w:r>
      <w:r w:rsidR="00777A94">
        <w:t>zasebnega sektorja</w:t>
      </w:r>
      <w:r w:rsidR="002B7CE6">
        <w:t xml:space="preserve">, ki določajo osnovne plače delavcev, </w:t>
      </w:r>
      <w:r w:rsidR="0015410A">
        <w:t>v</w:t>
      </w:r>
      <w:r>
        <w:t xml:space="preserve"> trenutnih razmerah visoke </w:t>
      </w:r>
      <w:r w:rsidR="00C673B1">
        <w:t>rasti cen</w:t>
      </w:r>
      <w:r w:rsidR="003042B5">
        <w:t xml:space="preserve"> preko indeksacije</w:t>
      </w:r>
      <w:r w:rsidR="002B7CE6">
        <w:t xml:space="preserve"> predstavlja</w:t>
      </w:r>
      <w:r w:rsidR="008B3DEC">
        <w:t>jo</w:t>
      </w:r>
      <w:r w:rsidR="00881CF9">
        <w:t xml:space="preserve"> </w:t>
      </w:r>
      <w:r w:rsidR="002B7CE6">
        <w:t>tveganje za</w:t>
      </w:r>
      <w:r w:rsidR="00B767E9">
        <w:t xml:space="preserve"> višjo</w:t>
      </w:r>
      <w:r w:rsidR="002B7CE6">
        <w:t xml:space="preserve"> </w:t>
      </w:r>
      <w:r w:rsidR="0030146E">
        <w:t xml:space="preserve">agregatno </w:t>
      </w:r>
      <w:r w:rsidR="002B7CE6">
        <w:t xml:space="preserve">rast </w:t>
      </w:r>
      <w:r w:rsidR="002B7CE6" w:rsidRPr="0015410A">
        <w:t>plač</w:t>
      </w:r>
      <w:r w:rsidR="00763F41">
        <w:t>, s tem pa na</w:t>
      </w:r>
      <w:r w:rsidR="008B3DEC">
        <w:t xml:space="preserve"> nastanek </w:t>
      </w:r>
      <w:r w:rsidR="00F1212F">
        <w:t xml:space="preserve">še </w:t>
      </w:r>
      <w:r w:rsidR="008B3DEC">
        <w:t>dodatnih pritiskov na končne cene proizvodov in storitev</w:t>
      </w:r>
      <w:r w:rsidR="00407C0D" w:rsidRPr="0015410A">
        <w:t>.</w:t>
      </w:r>
      <w:r w:rsidRPr="0015410A">
        <w:t xml:space="preserve"> </w:t>
      </w:r>
      <w:r w:rsidR="00C16942">
        <w:t>V ta namen p</w:t>
      </w:r>
      <w:r w:rsidR="00E6657A">
        <w:t xml:space="preserve">regledamo, katere kolektivne pogodbe vsebujejo indeksacijo, izdelamo agregatni kazalnik gibanja osnovnih plač in modelsko preverimo povezavo med gibanjem osnovnih plač in dejansko izplačanimi plačami. </w:t>
      </w:r>
      <w:r w:rsidR="00691112">
        <w:t>Na osnovi</w:t>
      </w:r>
      <w:r w:rsidR="00E92596">
        <w:t xml:space="preserve"> </w:t>
      </w:r>
      <w:r w:rsidR="00CF7EEE">
        <w:t xml:space="preserve">opravljene </w:t>
      </w:r>
      <w:r w:rsidR="00E92596">
        <w:t>analiz</w:t>
      </w:r>
      <w:r w:rsidR="00691112">
        <w:t>e</w:t>
      </w:r>
      <w:r w:rsidR="00E92596">
        <w:t xml:space="preserve"> ocen</w:t>
      </w:r>
      <w:r w:rsidR="00691112">
        <w:t>ujemo</w:t>
      </w:r>
      <w:r w:rsidR="00DB2C93">
        <w:t xml:space="preserve">, </w:t>
      </w:r>
      <w:r w:rsidR="00E6657A">
        <w:t>da obstaja zgolj manjše tveganje</w:t>
      </w:r>
      <w:r w:rsidR="003042B5">
        <w:t xml:space="preserve"> prelivanja rasti cen </w:t>
      </w:r>
      <w:r w:rsidR="003335F9">
        <w:t>v</w:t>
      </w:r>
      <w:r w:rsidR="003042B5">
        <w:t xml:space="preserve"> osnovne plače in</w:t>
      </w:r>
      <w:r w:rsidR="00E92596">
        <w:t xml:space="preserve"> </w:t>
      </w:r>
      <w:r w:rsidR="003335F9">
        <w:t>v</w:t>
      </w:r>
      <w:bookmarkStart w:id="4" w:name="_GoBack"/>
      <w:bookmarkEnd w:id="4"/>
      <w:r w:rsidR="003042B5">
        <w:t xml:space="preserve"> dejansko izplačane plače.</w:t>
      </w:r>
    </w:p>
    <w:p w14:paraId="4D83F9E4" w14:textId="77777777" w:rsidR="00DB2C93" w:rsidRDefault="00DB2C93" w:rsidP="001562FC">
      <w:pPr>
        <w:pStyle w:val="BesediloUMAR"/>
      </w:pPr>
    </w:p>
    <w:p w14:paraId="4F998B2D" w14:textId="1183A096" w:rsidR="001562FC" w:rsidRDefault="001562FC" w:rsidP="00E6657A">
      <w:pPr>
        <w:pStyle w:val="Heading1"/>
        <w:numPr>
          <w:ilvl w:val="0"/>
          <w:numId w:val="0"/>
        </w:numPr>
        <w:ind w:left="360" w:hanging="360"/>
      </w:pPr>
      <w:r>
        <w:t>Uvod</w:t>
      </w:r>
    </w:p>
    <w:p w14:paraId="7323A242" w14:textId="3D68928D" w:rsidR="00A83BBC" w:rsidRDefault="008B234F" w:rsidP="001562FC">
      <w:pPr>
        <w:pStyle w:val="BesediloUMAR"/>
      </w:pPr>
      <w:r w:rsidRPr="00E02549">
        <w:rPr>
          <w:b/>
        </w:rPr>
        <w:t>V trenutnih razmerah visoke rasti cen se postavlja vprašanje, kakšno je tveganje</w:t>
      </w:r>
      <w:r w:rsidR="00791F9C" w:rsidRPr="00E02549">
        <w:rPr>
          <w:b/>
        </w:rPr>
        <w:t xml:space="preserve">, da se inflacija prelije v višjo rast plač, ta pa nato, preko povečanih stroškov dela, znova </w:t>
      </w:r>
      <w:r w:rsidR="007B7A62">
        <w:rPr>
          <w:b/>
        </w:rPr>
        <w:t>v</w:t>
      </w:r>
      <w:r w:rsidR="00791F9C" w:rsidRPr="00E02549">
        <w:rPr>
          <w:b/>
        </w:rPr>
        <w:t xml:space="preserve"> končne cene proizvodov in storitev.</w:t>
      </w:r>
      <w:r w:rsidR="00791F9C">
        <w:t xml:space="preserve"> To bi namreč</w:t>
      </w:r>
      <w:r w:rsidR="004F58FD">
        <w:t xml:space="preserve"> lahko predstavljalo tveganje za spopadanje z naraščajočo inflacijo in jo naredilo trdovratnejšo ter s tem </w:t>
      </w:r>
      <w:r w:rsidR="00791F9C">
        <w:t>ogrožalo</w:t>
      </w:r>
      <w:r w:rsidR="004F58FD">
        <w:t xml:space="preserve"> makoekonomsko stabilnost.</w:t>
      </w:r>
      <w:r>
        <w:t xml:space="preserve"> Eden izmed možnih kanalov, preko katerega </w:t>
      </w:r>
      <w:r w:rsidR="00791F9C">
        <w:t xml:space="preserve">bi lahko prišlo do </w:t>
      </w:r>
      <w:r w:rsidR="00791F9C" w:rsidRPr="0001379C">
        <w:t>prelivanja</w:t>
      </w:r>
      <w:r w:rsidR="004F58FD" w:rsidRPr="0001379C">
        <w:t xml:space="preserve"> </w:t>
      </w:r>
      <w:r w:rsidR="004F58FD" w:rsidRPr="0001379C">
        <w:rPr>
          <w:i/>
          <w:iCs/>
        </w:rPr>
        <w:t>inflacija-plače-inflacija</w:t>
      </w:r>
      <w:r w:rsidR="00E405D9" w:rsidRPr="0001379C">
        <w:t>,</w:t>
      </w:r>
      <w:r w:rsidR="004F58FD" w:rsidRPr="0001379C">
        <w:t xml:space="preserve"> so</w:t>
      </w:r>
      <w:r w:rsidR="004F58FD">
        <w:t xml:space="preserve"> kolektivne pogodbe dejavnosti. Te namreč</w:t>
      </w:r>
      <w:r>
        <w:t xml:space="preserve"> pogosto</w:t>
      </w:r>
      <w:r w:rsidR="001562FC" w:rsidRPr="0015410A">
        <w:t xml:space="preserve"> vsebujejo določila, po katerih se</w:t>
      </w:r>
      <w:r w:rsidR="001562FC" w:rsidRPr="004501D9">
        <w:t xml:space="preserve"> pri usklajevanju</w:t>
      </w:r>
      <w:r w:rsidR="001562FC" w:rsidRPr="0015410A">
        <w:t xml:space="preserve"> osnovn</w:t>
      </w:r>
      <w:r w:rsidR="001562FC" w:rsidRPr="004501D9">
        <w:t>ih</w:t>
      </w:r>
      <w:r w:rsidR="001562FC" w:rsidRPr="0015410A">
        <w:t xml:space="preserve"> plač </w:t>
      </w:r>
      <w:r w:rsidR="001562FC" w:rsidRPr="004501D9">
        <w:t>upošteva</w:t>
      </w:r>
      <w:r w:rsidR="001562FC" w:rsidRPr="0015410A">
        <w:t xml:space="preserve"> rast cen.</w:t>
      </w:r>
      <w:r w:rsidR="00E405D9">
        <w:t xml:space="preserve"> Z rastjo osnovnih plač bi se lahko povišala tudi agregatna rast plač</w:t>
      </w:r>
      <w:r w:rsidR="009C44C8">
        <w:t xml:space="preserve"> in </w:t>
      </w:r>
      <w:r w:rsidR="00115454">
        <w:t xml:space="preserve">nastala </w:t>
      </w:r>
      <w:r w:rsidR="00E405D9">
        <w:t>povratn</w:t>
      </w:r>
      <w:r w:rsidR="009C44C8">
        <w:t>a</w:t>
      </w:r>
      <w:r w:rsidR="00E405D9">
        <w:t xml:space="preserve"> zank</w:t>
      </w:r>
      <w:r w:rsidR="009C44C8">
        <w:t>a</w:t>
      </w:r>
      <w:r w:rsidR="00E405D9">
        <w:t xml:space="preserve"> – spiral</w:t>
      </w:r>
      <w:r w:rsidR="00C60AA9">
        <w:t>a</w:t>
      </w:r>
      <w:r w:rsidR="00E405D9">
        <w:t xml:space="preserve"> – </w:t>
      </w:r>
      <w:r w:rsidR="009C44C8">
        <w:t xml:space="preserve">z inflacijo. </w:t>
      </w:r>
      <w:r w:rsidR="009C44C8" w:rsidRPr="002F49CF">
        <w:t xml:space="preserve">V </w:t>
      </w:r>
      <w:r w:rsidR="009C44C8">
        <w:t>analiz</w:t>
      </w:r>
      <w:r w:rsidR="00D40127">
        <w:t>i</w:t>
      </w:r>
      <w:r w:rsidR="009C44C8">
        <w:t xml:space="preserve"> preverimo, ali kolektivne pogodbe dejavnosti predstavljajo tveganje za nastanek takšnih povratnih učinkov.</w:t>
      </w:r>
      <w:r w:rsidR="00E02549">
        <w:t xml:space="preserve"> </w:t>
      </w:r>
      <w:r w:rsidR="00A83BBC">
        <w:t xml:space="preserve">V </w:t>
      </w:r>
      <w:r w:rsidR="00E6657A">
        <w:t>prvem</w:t>
      </w:r>
      <w:r w:rsidR="00A83BBC">
        <w:t xml:space="preserve"> delu analize prikažemo, katere kolektivne pogodbe dejavnosti zasebnega sektorja vključujejo indeksacijo in razširjeno veljavnost. V drugem delu prikažemo, kako pogosto prihaja do usklajevanj osnovnih plač oz. vrednosti tarifnih razredov</w:t>
      </w:r>
      <w:r w:rsidR="00FC7B14">
        <w:t xml:space="preserve">, opišemo izdelavo </w:t>
      </w:r>
      <w:r w:rsidR="00BD6088">
        <w:t>agregatnega</w:t>
      </w:r>
      <w:r w:rsidR="00FC7B14">
        <w:t xml:space="preserve"> kazalnika </w:t>
      </w:r>
      <w:r w:rsidR="001E60C7">
        <w:t>gibanja osnovnih plač in ga primerjamo z gibanjem dejanskih plač. Njuno vzročno povezavo z ekonometričnim modelom</w:t>
      </w:r>
      <w:r w:rsidR="00681F5E">
        <w:t xml:space="preserve"> tudi</w:t>
      </w:r>
      <w:r w:rsidR="001E60C7">
        <w:t xml:space="preserve"> preverimo.</w:t>
      </w:r>
    </w:p>
    <w:p w14:paraId="52B7A0C7" w14:textId="77777777" w:rsidR="003C4B13" w:rsidRDefault="003C4B13" w:rsidP="00407C0D">
      <w:pPr>
        <w:pStyle w:val="VodilnistavekUMAR"/>
      </w:pPr>
    </w:p>
    <w:bookmarkEnd w:id="1"/>
    <w:bookmarkEnd w:id="2"/>
    <w:bookmarkEnd w:id="3"/>
    <w:p w14:paraId="7D7FCF8C" w14:textId="628A3CE9" w:rsidR="00481B30" w:rsidRDefault="00C56760" w:rsidP="00C40E92">
      <w:pPr>
        <w:pStyle w:val="Heading1"/>
      </w:pPr>
      <w:r>
        <w:t>Indeksacija in razširjena veljavnost kolektivnih pogodb</w:t>
      </w:r>
      <w:r w:rsidR="003F774E">
        <w:t xml:space="preserve"> na ravni dejavnosti</w:t>
      </w:r>
      <w:r>
        <w:t xml:space="preserve"> </w:t>
      </w:r>
      <w:r w:rsidR="00777A94">
        <w:t>v zasebnem sektorju</w:t>
      </w:r>
    </w:p>
    <w:p w14:paraId="589A7791" w14:textId="239B057E" w:rsidR="00D0193B" w:rsidRDefault="00CD3C68" w:rsidP="00407C0D">
      <w:pPr>
        <w:pStyle w:val="VodilnistavekUMAR"/>
        <w:rPr>
          <w:rStyle w:val="BesediloUMARChar"/>
          <w:b w:val="0"/>
          <w:bCs/>
        </w:rPr>
      </w:pPr>
      <w:r w:rsidRPr="008534CA">
        <w:t>Pregled kolektivnih pogodb v zasebnem sektorju kaže, da</w:t>
      </w:r>
      <w:r w:rsidR="003F774E" w:rsidRPr="008534CA">
        <w:t xml:space="preserve"> </w:t>
      </w:r>
      <w:r w:rsidR="00305596">
        <w:t>okoli polovica kolektivnih pogodb na ravni dejavnosti pri usklajevanju vrednosti osnovnih plač</w:t>
      </w:r>
      <w:r w:rsidR="007E46F2">
        <w:rPr>
          <w:rStyle w:val="FootnoteReference"/>
        </w:rPr>
        <w:footnoteReference w:id="2"/>
      </w:r>
      <w:r w:rsidR="008534CA" w:rsidRPr="008534CA">
        <w:rPr>
          <w:rStyle w:val="BesediloUMARChar"/>
          <w:b w:val="0"/>
          <w:bCs/>
        </w:rPr>
        <w:t xml:space="preserve"> </w:t>
      </w:r>
      <w:r w:rsidR="00543ADD">
        <w:t xml:space="preserve">vključuje upoštevanje inflacije. </w:t>
      </w:r>
      <w:r w:rsidR="008534CA">
        <w:rPr>
          <w:rStyle w:val="BesediloUMARChar"/>
          <w:b w:val="0"/>
          <w:bCs/>
        </w:rPr>
        <w:t xml:space="preserve">Kolektivne pogodbe dejavnosti </w:t>
      </w:r>
      <w:r w:rsidR="00457841">
        <w:rPr>
          <w:rStyle w:val="BesediloUMARChar"/>
          <w:b w:val="0"/>
          <w:bCs/>
        </w:rPr>
        <w:t xml:space="preserve">večinoma </w:t>
      </w:r>
      <w:r w:rsidR="008534CA">
        <w:rPr>
          <w:rStyle w:val="BesediloUMARChar"/>
          <w:b w:val="0"/>
          <w:bCs/>
        </w:rPr>
        <w:t>določajo tarifne razrede</w:t>
      </w:r>
      <w:r w:rsidR="000D6AF1">
        <w:rPr>
          <w:rStyle w:val="BesediloUMARChar"/>
          <w:b w:val="0"/>
          <w:bCs/>
        </w:rPr>
        <w:t xml:space="preserve"> in z njimi os</w:t>
      </w:r>
      <w:r w:rsidR="00457841">
        <w:rPr>
          <w:rStyle w:val="BesediloUMARChar"/>
          <w:b w:val="0"/>
          <w:bCs/>
        </w:rPr>
        <w:t>n</w:t>
      </w:r>
      <w:r w:rsidR="000D6AF1">
        <w:rPr>
          <w:rStyle w:val="BesediloUMARChar"/>
          <w:b w:val="0"/>
          <w:bCs/>
        </w:rPr>
        <w:t xml:space="preserve">ovne plače, </w:t>
      </w:r>
      <w:r w:rsidR="00457841">
        <w:rPr>
          <w:rStyle w:val="BesediloUMARChar"/>
          <w:b w:val="0"/>
          <w:bCs/>
        </w:rPr>
        <w:t>ki predstavljajo</w:t>
      </w:r>
      <w:r w:rsidR="000D6AF1">
        <w:rPr>
          <w:rStyle w:val="BesediloUMARChar"/>
          <w:b w:val="0"/>
          <w:bCs/>
        </w:rPr>
        <w:t xml:space="preserve"> </w:t>
      </w:r>
      <w:r w:rsidR="00457841">
        <w:rPr>
          <w:rStyle w:val="BesediloUMARChar"/>
          <w:b w:val="0"/>
          <w:bCs/>
        </w:rPr>
        <w:t>vrednost najmanj zahtevnega dela v tarifnem razredu</w:t>
      </w:r>
      <w:r w:rsidR="00CF1CE6">
        <w:rPr>
          <w:rStyle w:val="BesediloUMARChar"/>
          <w:b w:val="0"/>
          <w:bCs/>
        </w:rPr>
        <w:t xml:space="preserve"> (za polni delovni čas)</w:t>
      </w:r>
      <w:r w:rsidR="00457841">
        <w:rPr>
          <w:rStyle w:val="BesediloUMARChar"/>
          <w:b w:val="0"/>
          <w:bCs/>
        </w:rPr>
        <w:t>.</w:t>
      </w:r>
      <w:r w:rsidR="008534CA">
        <w:rPr>
          <w:rStyle w:val="BesediloUMARChar"/>
          <w:b w:val="0"/>
          <w:bCs/>
        </w:rPr>
        <w:t xml:space="preserve"> Kot indeksacijo</w:t>
      </w:r>
      <w:r w:rsidR="00457841">
        <w:rPr>
          <w:rStyle w:val="BesediloUMARChar"/>
          <w:b w:val="0"/>
          <w:bCs/>
        </w:rPr>
        <w:t xml:space="preserve"> osnovnih plač razumemo </w:t>
      </w:r>
      <w:r w:rsidR="00B42A9F">
        <w:rPr>
          <w:rStyle w:val="BesediloUMARChar"/>
          <w:b w:val="0"/>
          <w:bCs/>
        </w:rPr>
        <w:t xml:space="preserve">uskladitve njihove </w:t>
      </w:r>
      <w:r w:rsidR="00F71219">
        <w:rPr>
          <w:rStyle w:val="BesediloUMARChar"/>
          <w:b w:val="0"/>
          <w:bCs/>
        </w:rPr>
        <w:t>vrednosti znotraj tarifnih razredov</w:t>
      </w:r>
      <w:r w:rsidR="00001392">
        <w:rPr>
          <w:rStyle w:val="BesediloUMARChar"/>
          <w:b w:val="0"/>
          <w:bCs/>
        </w:rPr>
        <w:t xml:space="preserve"> z rastjo cen</w:t>
      </w:r>
      <w:r w:rsidR="00F71219">
        <w:rPr>
          <w:rStyle w:val="BesediloUMARChar"/>
          <w:b w:val="0"/>
          <w:bCs/>
        </w:rPr>
        <w:t>.</w:t>
      </w:r>
      <w:r w:rsidR="008534CA">
        <w:rPr>
          <w:rStyle w:val="BesediloUMARChar"/>
          <w:b w:val="0"/>
          <w:bCs/>
        </w:rPr>
        <w:t xml:space="preserve"> </w:t>
      </w:r>
      <w:r w:rsidR="003F774E" w:rsidRPr="008534CA">
        <w:rPr>
          <w:rStyle w:val="BesediloUMARChar"/>
          <w:b w:val="0"/>
          <w:bCs/>
        </w:rPr>
        <w:t>Od 25 kolektivnih pogodb</w:t>
      </w:r>
      <w:r w:rsidR="00F71219">
        <w:rPr>
          <w:rStyle w:val="BesediloUMARChar"/>
          <w:b w:val="0"/>
          <w:bCs/>
        </w:rPr>
        <w:t>, pregledanih za to analizo, jih</w:t>
      </w:r>
      <w:r w:rsidR="00FA1C6E">
        <w:rPr>
          <w:rStyle w:val="BesediloUMARChar"/>
          <w:b w:val="0"/>
          <w:bCs/>
        </w:rPr>
        <w:t xml:space="preserve"> 14 uporablja</w:t>
      </w:r>
      <w:r w:rsidR="00F71219">
        <w:rPr>
          <w:rStyle w:val="BesediloUMARChar"/>
          <w:b w:val="0"/>
          <w:bCs/>
        </w:rPr>
        <w:t xml:space="preserve"> </w:t>
      </w:r>
      <w:r w:rsidR="00FA1C6E">
        <w:rPr>
          <w:rStyle w:val="BesediloUMARChar"/>
          <w:b w:val="0"/>
          <w:bCs/>
        </w:rPr>
        <w:t>inflacijo kot dejavnik uskladitve osnovnih plač</w:t>
      </w:r>
      <w:r w:rsidR="00320692">
        <w:rPr>
          <w:rStyle w:val="BesediloUMARChar"/>
          <w:b w:val="0"/>
          <w:bCs/>
        </w:rPr>
        <w:t xml:space="preserve">. Način upoštevanja </w:t>
      </w:r>
      <w:r w:rsidR="00FA1C6E">
        <w:rPr>
          <w:rStyle w:val="BesediloUMARChar"/>
          <w:b w:val="0"/>
          <w:bCs/>
        </w:rPr>
        <w:t>inflacije</w:t>
      </w:r>
      <w:r w:rsidR="00320692">
        <w:rPr>
          <w:rStyle w:val="BesediloUMARChar"/>
          <w:b w:val="0"/>
          <w:bCs/>
        </w:rPr>
        <w:t xml:space="preserve"> pri določanju osnovnih plač se med kolektivnimi pogodbami razlikuje</w:t>
      </w:r>
      <w:r w:rsidR="00405A9F">
        <w:rPr>
          <w:rStyle w:val="BesediloUMARChar"/>
          <w:b w:val="0"/>
          <w:bCs/>
        </w:rPr>
        <w:t xml:space="preserve">; </w:t>
      </w:r>
      <w:r w:rsidR="00320692">
        <w:rPr>
          <w:rStyle w:val="BesediloUMARChar"/>
          <w:b w:val="0"/>
          <w:bCs/>
        </w:rPr>
        <w:t>ponekod</w:t>
      </w:r>
      <w:r w:rsidR="00405A9F">
        <w:rPr>
          <w:rStyle w:val="BesediloUMARChar"/>
          <w:b w:val="0"/>
          <w:bCs/>
        </w:rPr>
        <w:t xml:space="preserve"> je inflacija</w:t>
      </w:r>
      <w:r w:rsidR="00320692">
        <w:rPr>
          <w:rStyle w:val="BesediloUMARChar"/>
          <w:b w:val="0"/>
          <w:bCs/>
        </w:rPr>
        <w:t xml:space="preserve"> </w:t>
      </w:r>
      <w:r w:rsidR="00D0193B">
        <w:rPr>
          <w:rStyle w:val="BesediloUMARChar"/>
          <w:b w:val="0"/>
          <w:bCs/>
        </w:rPr>
        <w:t xml:space="preserve">zgolj </w:t>
      </w:r>
      <w:r w:rsidR="00902F48">
        <w:rPr>
          <w:rStyle w:val="BesediloUMARChar"/>
          <w:b w:val="0"/>
          <w:bCs/>
        </w:rPr>
        <w:t>formalno določena</w:t>
      </w:r>
      <w:r w:rsidR="00320692">
        <w:rPr>
          <w:rStyle w:val="BesediloUMARChar"/>
          <w:b w:val="0"/>
          <w:bCs/>
        </w:rPr>
        <w:t xml:space="preserve"> kot eden izmed kazalnikov, ki se </w:t>
      </w:r>
      <w:r w:rsidR="00FA1C6E">
        <w:rPr>
          <w:rStyle w:val="BesediloUMARChar"/>
          <w:b w:val="0"/>
          <w:bCs/>
        </w:rPr>
        <w:t xml:space="preserve">lahko upošteva pri usklajevanju, drugje pa </w:t>
      </w:r>
      <w:r w:rsidR="00FA6389">
        <w:rPr>
          <w:rStyle w:val="BesediloUMARChar"/>
          <w:b w:val="0"/>
          <w:bCs/>
        </w:rPr>
        <w:t xml:space="preserve">je vrednost ali delež </w:t>
      </w:r>
      <w:r w:rsidR="00D0193B">
        <w:rPr>
          <w:rStyle w:val="BesediloUMARChar"/>
          <w:b w:val="0"/>
          <w:bCs/>
        </w:rPr>
        <w:t>eksplicitno</w:t>
      </w:r>
      <w:r w:rsidR="00FA6389">
        <w:rPr>
          <w:rStyle w:val="BesediloUMARChar"/>
          <w:b w:val="0"/>
          <w:bCs/>
        </w:rPr>
        <w:t xml:space="preserve"> naveden, tj.</w:t>
      </w:r>
      <w:r w:rsidR="00D0193B">
        <w:rPr>
          <w:rStyle w:val="BesediloUMARChar"/>
          <w:b w:val="0"/>
          <w:bCs/>
        </w:rPr>
        <w:t xml:space="preserve"> v kakšni meri se rast cen upošteva</w:t>
      </w:r>
      <w:r w:rsidR="00FA1C6E">
        <w:rPr>
          <w:rStyle w:val="BesediloUMARChar"/>
          <w:b w:val="0"/>
          <w:bCs/>
        </w:rPr>
        <w:t xml:space="preserve"> </w:t>
      </w:r>
      <w:r w:rsidR="00D0193B">
        <w:rPr>
          <w:rStyle w:val="BesediloUMARChar"/>
          <w:b w:val="0"/>
          <w:bCs/>
        </w:rPr>
        <w:t xml:space="preserve">pri </w:t>
      </w:r>
      <w:r w:rsidR="00905537">
        <w:rPr>
          <w:rStyle w:val="BesediloUMARChar"/>
          <w:b w:val="0"/>
          <w:bCs/>
        </w:rPr>
        <w:t>uskladitvi</w:t>
      </w:r>
      <w:r w:rsidR="00D0193B">
        <w:rPr>
          <w:rStyle w:val="BesediloUMARChar"/>
          <w:b w:val="0"/>
          <w:bCs/>
        </w:rPr>
        <w:t xml:space="preserve"> plač </w:t>
      </w:r>
      <w:r w:rsidR="00FA6389">
        <w:rPr>
          <w:rStyle w:val="BesediloUMARChar"/>
          <w:b w:val="0"/>
          <w:bCs/>
        </w:rPr>
        <w:t>oz.</w:t>
      </w:r>
      <w:r w:rsidR="00D0193B">
        <w:rPr>
          <w:rStyle w:val="BesediloUMARChar"/>
          <w:b w:val="0"/>
          <w:bCs/>
        </w:rPr>
        <w:t xml:space="preserve"> vrednosti tarifnih razredov</w:t>
      </w:r>
      <w:r w:rsidR="00B1199C">
        <w:rPr>
          <w:rStyle w:val="BesediloUMARChar"/>
          <w:b w:val="0"/>
          <w:bCs/>
        </w:rPr>
        <w:t xml:space="preserve">. Vključitev upoštevanja rasti cen pri usklajevanju plač </w:t>
      </w:r>
      <w:r w:rsidR="00905537">
        <w:rPr>
          <w:rStyle w:val="BesediloUMARChar"/>
          <w:b w:val="0"/>
          <w:bCs/>
        </w:rPr>
        <w:t>naj bi zagotavljal</w:t>
      </w:r>
      <w:r w:rsidR="00D359EB">
        <w:rPr>
          <w:rStyle w:val="BesediloUMARChar"/>
          <w:b w:val="0"/>
          <w:bCs/>
        </w:rPr>
        <w:t>a</w:t>
      </w:r>
      <w:r w:rsidR="00B1199C">
        <w:rPr>
          <w:rStyle w:val="BesediloUMARChar"/>
          <w:b w:val="0"/>
          <w:bCs/>
        </w:rPr>
        <w:t>, da</w:t>
      </w:r>
      <w:r w:rsidR="003F7AE4">
        <w:rPr>
          <w:rStyle w:val="BesediloUMARChar"/>
          <w:b w:val="0"/>
          <w:bCs/>
        </w:rPr>
        <w:t xml:space="preserve"> se realna vrednost plač ne znižuje. Na indeksacijo pomembno vpliva tudi</w:t>
      </w:r>
      <w:r w:rsidR="003B0869">
        <w:rPr>
          <w:rStyle w:val="BesediloUMARChar"/>
          <w:b w:val="0"/>
          <w:bCs/>
        </w:rPr>
        <w:t xml:space="preserve"> izbor </w:t>
      </w:r>
      <w:r w:rsidR="003F7AE4">
        <w:rPr>
          <w:rStyle w:val="BesediloUMARChar"/>
          <w:b w:val="0"/>
          <w:bCs/>
        </w:rPr>
        <w:t>kazalnik</w:t>
      </w:r>
      <w:r w:rsidR="003B0869">
        <w:rPr>
          <w:rStyle w:val="BesediloUMARChar"/>
          <w:b w:val="0"/>
          <w:bCs/>
        </w:rPr>
        <w:t>a</w:t>
      </w:r>
      <w:r w:rsidR="003F7AE4">
        <w:rPr>
          <w:rStyle w:val="BesediloUMARChar"/>
          <w:b w:val="0"/>
          <w:bCs/>
        </w:rPr>
        <w:t xml:space="preserve"> rasti cen.</w:t>
      </w:r>
      <w:r w:rsidR="003F7AE4" w:rsidRPr="00C304F9">
        <w:rPr>
          <w:rStyle w:val="FootnoteReference"/>
          <w:b w:val="0"/>
        </w:rPr>
        <w:footnoteReference w:id="3"/>
      </w:r>
      <w:r w:rsidR="00B50920" w:rsidRPr="00840B11">
        <w:rPr>
          <w:rStyle w:val="BesediloUMARChar"/>
          <w:b w:val="0"/>
          <w:bCs/>
        </w:rPr>
        <w:t xml:space="preserve"> </w:t>
      </w:r>
      <w:r w:rsidR="00D359EB">
        <w:rPr>
          <w:rStyle w:val="BesediloUMARChar"/>
          <w:b w:val="0"/>
          <w:bCs/>
        </w:rPr>
        <w:t>Ob tem pa velja, da ve</w:t>
      </w:r>
      <w:r w:rsidR="00B50920">
        <w:rPr>
          <w:rStyle w:val="BesediloUMARChar"/>
          <w:b w:val="0"/>
          <w:bCs/>
        </w:rPr>
        <w:t>čji kot je delež inflacije, ki se upošteva pri uskladitvi osnovnih plač, večje bi lahko bilo tveganje za nastanek povratnih učinkov na samo inflacijo.</w:t>
      </w:r>
    </w:p>
    <w:p w14:paraId="1C20B4AC" w14:textId="6DAB0178" w:rsidR="00E02549" w:rsidRDefault="00E02549" w:rsidP="00407C0D">
      <w:pPr>
        <w:pStyle w:val="VodilnistavekUMAR"/>
        <w:rPr>
          <w:rStyle w:val="BesediloUMARChar"/>
          <w:b w:val="0"/>
          <w:bCs/>
        </w:rPr>
      </w:pPr>
    </w:p>
    <w:p w14:paraId="54643A73" w14:textId="77777777" w:rsidR="00727D99" w:rsidRDefault="00727D99" w:rsidP="00407C0D">
      <w:pPr>
        <w:pStyle w:val="VodilnistavekUMAR"/>
        <w:rPr>
          <w:rStyle w:val="BesediloUMARChar"/>
          <w:b w:val="0"/>
          <w:bCs/>
        </w:rPr>
      </w:pPr>
    </w:p>
    <w:p w14:paraId="40E2AB92" w14:textId="309F7466" w:rsidR="004A19BA" w:rsidRPr="008876AA" w:rsidRDefault="00405A9F" w:rsidP="008876AA">
      <w:pPr>
        <w:pStyle w:val="VodilnistavekUMAR"/>
        <w:rPr>
          <w:rStyle w:val="BesediloUMARChar"/>
          <w:b w:val="0"/>
          <w:bCs/>
        </w:rPr>
      </w:pPr>
      <w:r>
        <w:lastRenderedPageBreak/>
        <w:t xml:space="preserve">Kolektivna pogodba lahko ima razširjeno veljavnost, </w:t>
      </w:r>
      <w:r w:rsidR="001D6AC6">
        <w:t>pri čemer v tem primeru</w:t>
      </w:r>
      <w:r>
        <w:t xml:space="preserve"> velja za vsa podjetja</w:t>
      </w:r>
      <w:r w:rsidR="00BF36C2">
        <w:t xml:space="preserve"> v dejavnosti</w:t>
      </w:r>
      <w:r w:rsidR="00D570AD">
        <w:t>,</w:t>
      </w:r>
      <w:r>
        <w:t xml:space="preserve"> za katero je bila </w:t>
      </w:r>
      <w:r w:rsidR="00F574AC">
        <w:t>sklenjena</w:t>
      </w:r>
      <w:r w:rsidR="00BE0B32" w:rsidRPr="008534CA">
        <w:t>.</w:t>
      </w:r>
      <w:r w:rsidR="00BE0B32" w:rsidRPr="008534CA">
        <w:rPr>
          <w:rStyle w:val="BesediloUMARChar"/>
          <w:b w:val="0"/>
          <w:bCs/>
        </w:rPr>
        <w:t xml:space="preserve"> </w:t>
      </w:r>
      <w:r w:rsidR="00972DE4">
        <w:rPr>
          <w:rStyle w:val="BesediloUMARChar"/>
          <w:b w:val="0"/>
          <w:bCs/>
        </w:rPr>
        <w:t>Takšna kolektivna pogodba tako zavezuje vse delodajalce, ne glede na njihovo članstvo v delodajalskem združenju</w:t>
      </w:r>
      <w:r w:rsidR="0042500E">
        <w:rPr>
          <w:rStyle w:val="BesediloUMARChar"/>
          <w:b w:val="0"/>
          <w:bCs/>
        </w:rPr>
        <w:t>.</w:t>
      </w:r>
      <w:r w:rsidR="00F574AC">
        <w:rPr>
          <w:rStyle w:val="BesediloUMARChar"/>
          <w:b w:val="0"/>
          <w:bCs/>
        </w:rPr>
        <w:t xml:space="preserve"> Razširjena veljavnost kolektivnih pogodb</w:t>
      </w:r>
      <w:r w:rsidR="00D570AD">
        <w:rPr>
          <w:rStyle w:val="BesediloUMARChar"/>
          <w:b w:val="0"/>
          <w:bCs/>
        </w:rPr>
        <w:t xml:space="preserve"> bi</w:t>
      </w:r>
      <w:r w:rsidR="00F574AC">
        <w:rPr>
          <w:rStyle w:val="BesediloUMARChar"/>
          <w:b w:val="0"/>
          <w:bCs/>
        </w:rPr>
        <w:t xml:space="preserve"> lahko</w:t>
      </w:r>
      <w:r w:rsidR="00966613">
        <w:rPr>
          <w:rStyle w:val="BesediloUMARChar"/>
          <w:b w:val="0"/>
          <w:bCs/>
        </w:rPr>
        <w:t xml:space="preserve"> pomembno</w:t>
      </w:r>
      <w:r w:rsidR="00F574AC">
        <w:rPr>
          <w:rStyle w:val="BesediloUMARChar"/>
          <w:b w:val="0"/>
          <w:bCs/>
        </w:rPr>
        <w:t xml:space="preserve"> vpliv</w:t>
      </w:r>
      <w:r w:rsidR="00966613">
        <w:rPr>
          <w:rStyle w:val="BesediloUMARChar"/>
          <w:b w:val="0"/>
          <w:bCs/>
        </w:rPr>
        <w:t>a</w:t>
      </w:r>
      <w:r w:rsidR="00D570AD">
        <w:rPr>
          <w:rStyle w:val="BesediloUMARChar"/>
          <w:b w:val="0"/>
          <w:bCs/>
        </w:rPr>
        <w:t>la</w:t>
      </w:r>
      <w:r w:rsidR="00F574AC">
        <w:rPr>
          <w:rStyle w:val="BesediloUMARChar"/>
          <w:b w:val="0"/>
          <w:bCs/>
        </w:rPr>
        <w:t xml:space="preserve"> na plače, saj plačne uskladitve zavezujejo širši krog podjetij</w:t>
      </w:r>
      <w:r w:rsidR="001D6AC6">
        <w:rPr>
          <w:rStyle w:val="BesediloUMARChar"/>
          <w:b w:val="0"/>
          <w:bCs/>
        </w:rPr>
        <w:t xml:space="preserve"> in</w:t>
      </w:r>
      <w:r w:rsidR="00D570AD">
        <w:rPr>
          <w:rStyle w:val="BesediloUMARChar"/>
          <w:b w:val="0"/>
          <w:bCs/>
        </w:rPr>
        <w:t xml:space="preserve"> s tem</w:t>
      </w:r>
      <w:r w:rsidR="001D6AC6">
        <w:rPr>
          <w:rStyle w:val="BesediloUMARChar"/>
          <w:b w:val="0"/>
          <w:bCs/>
        </w:rPr>
        <w:t xml:space="preserve"> v večji meri vplivajo na agregatno raven plač</w:t>
      </w:r>
      <w:r w:rsidR="00F574AC">
        <w:rPr>
          <w:rStyle w:val="BesediloUMARChar"/>
          <w:b w:val="0"/>
          <w:bCs/>
        </w:rPr>
        <w:t xml:space="preserve">. Od </w:t>
      </w:r>
      <w:r w:rsidR="00A41999">
        <w:rPr>
          <w:rStyle w:val="BesediloUMARChar"/>
          <w:b w:val="0"/>
          <w:bCs/>
        </w:rPr>
        <w:t xml:space="preserve">25 kolektivnih pogodb za zasebni sektor jih ima status razširjene </w:t>
      </w:r>
      <w:r w:rsidR="006F3B76">
        <w:rPr>
          <w:rStyle w:val="BesediloUMARChar"/>
          <w:b w:val="0"/>
          <w:bCs/>
        </w:rPr>
        <w:t>veljavnosti</w:t>
      </w:r>
      <w:r w:rsidR="00D37F4E">
        <w:rPr>
          <w:rStyle w:val="BesediloUMARChar"/>
          <w:b w:val="0"/>
          <w:bCs/>
        </w:rPr>
        <w:t xml:space="preserve"> </w:t>
      </w:r>
      <w:r w:rsidR="00D37F4E" w:rsidRPr="00D37F4E">
        <w:rPr>
          <w:rStyle w:val="BesediloUMARChar"/>
          <w:b w:val="0"/>
          <w:bCs/>
        </w:rPr>
        <w:t>11</w:t>
      </w:r>
      <w:r w:rsidR="00A41999">
        <w:rPr>
          <w:rStyle w:val="BesediloUMARChar"/>
          <w:b w:val="0"/>
          <w:bCs/>
        </w:rPr>
        <w:t xml:space="preserve">, status </w:t>
      </w:r>
      <w:r w:rsidR="001312B3">
        <w:rPr>
          <w:rStyle w:val="BesediloUMARChar"/>
          <w:b w:val="0"/>
          <w:bCs/>
        </w:rPr>
        <w:t xml:space="preserve">delne </w:t>
      </w:r>
      <w:r w:rsidR="00A41999">
        <w:rPr>
          <w:rStyle w:val="BesediloUMARChar"/>
          <w:b w:val="0"/>
          <w:bCs/>
        </w:rPr>
        <w:t xml:space="preserve">razširjene </w:t>
      </w:r>
      <w:r w:rsidR="006F3B76">
        <w:rPr>
          <w:rStyle w:val="BesediloUMARChar"/>
          <w:b w:val="0"/>
          <w:bCs/>
        </w:rPr>
        <w:t xml:space="preserve">veljavnosti </w:t>
      </w:r>
      <w:r w:rsidR="00A41999">
        <w:rPr>
          <w:rStyle w:val="BesediloUMARChar"/>
          <w:b w:val="0"/>
          <w:bCs/>
        </w:rPr>
        <w:t>pa</w:t>
      </w:r>
      <w:r w:rsidR="006F3B76">
        <w:rPr>
          <w:rStyle w:val="BesediloUMARChar"/>
          <w:b w:val="0"/>
          <w:bCs/>
        </w:rPr>
        <w:t xml:space="preserve"> zgolj</w:t>
      </w:r>
      <w:r w:rsidR="00A41999">
        <w:rPr>
          <w:rStyle w:val="BesediloUMARChar"/>
          <w:b w:val="0"/>
          <w:bCs/>
        </w:rPr>
        <w:t xml:space="preserve"> </w:t>
      </w:r>
      <w:r w:rsidR="00966613">
        <w:rPr>
          <w:rStyle w:val="BesediloUMARChar"/>
          <w:b w:val="0"/>
          <w:bCs/>
        </w:rPr>
        <w:t>pet</w:t>
      </w:r>
      <w:r w:rsidR="00D570AD">
        <w:rPr>
          <w:rStyle w:val="BesediloUMARChar"/>
          <w:b w:val="0"/>
          <w:bCs/>
        </w:rPr>
        <w:t>, preostalih 9 pa razširjene veljavnosti nima</w:t>
      </w:r>
      <w:r w:rsidR="00A41999">
        <w:rPr>
          <w:rStyle w:val="BesediloUMARChar"/>
          <w:b w:val="0"/>
          <w:bCs/>
        </w:rPr>
        <w:t>.</w:t>
      </w:r>
      <w:r w:rsidR="004B4BE9">
        <w:rPr>
          <w:rStyle w:val="BesediloUMARChar"/>
          <w:b w:val="0"/>
          <w:bCs/>
        </w:rPr>
        <w:t xml:space="preserve"> </w:t>
      </w:r>
      <w:r w:rsidR="006C47E6">
        <w:rPr>
          <w:rStyle w:val="BesediloUMARChar"/>
          <w:b w:val="0"/>
          <w:bCs/>
        </w:rPr>
        <w:t>Kakšno r</w:t>
      </w:r>
      <w:r w:rsidR="004B4BE9">
        <w:rPr>
          <w:rStyle w:val="BesediloUMARChar"/>
          <w:b w:val="0"/>
          <w:bCs/>
        </w:rPr>
        <w:t>azširjeno veljavnost in indeksacijo</w:t>
      </w:r>
      <w:r w:rsidR="006C47E6">
        <w:rPr>
          <w:rStyle w:val="BesediloUMARChar"/>
          <w:b w:val="0"/>
          <w:bCs/>
        </w:rPr>
        <w:t xml:space="preserve"> vsebujejo kolektivne pogodbe,</w:t>
      </w:r>
      <w:r w:rsidR="004B4BE9">
        <w:rPr>
          <w:rStyle w:val="BesediloUMARChar"/>
          <w:b w:val="0"/>
          <w:bCs/>
        </w:rPr>
        <w:t xml:space="preserve"> prikazuje tabela </w:t>
      </w:r>
      <w:r w:rsidR="00B92B21">
        <w:rPr>
          <w:rStyle w:val="BesediloUMARChar"/>
          <w:b w:val="0"/>
          <w:bCs/>
        </w:rPr>
        <w:t>1</w:t>
      </w:r>
      <w:r w:rsidR="004B4BE9">
        <w:rPr>
          <w:rStyle w:val="BesediloUMARChar"/>
          <w:b w:val="0"/>
          <w:bCs/>
        </w:rPr>
        <w:t>.</w:t>
      </w:r>
    </w:p>
    <w:p w14:paraId="08A8AA18" w14:textId="1B190FE3" w:rsidR="004B4BE9" w:rsidRPr="004A19BA" w:rsidRDefault="004A19BA" w:rsidP="004A19BA">
      <w:pPr>
        <w:pStyle w:val="Caption"/>
        <w:keepNext/>
        <w:rPr>
          <w:rStyle w:val="BesediloUMARChar"/>
          <w:szCs w:val="20"/>
        </w:rPr>
      </w:pPr>
      <w:r>
        <w:t xml:space="preserve">Tabela </w:t>
      </w:r>
      <w:r>
        <w:fldChar w:fldCharType="begin"/>
      </w:r>
      <w:r>
        <w:instrText xml:space="preserve"> SEQ Tabela \* ARABIC </w:instrText>
      </w:r>
      <w:r>
        <w:fldChar w:fldCharType="separate"/>
      </w:r>
      <w:r w:rsidR="002424CD">
        <w:t>1</w:t>
      </w:r>
      <w:r>
        <w:fldChar w:fldCharType="end"/>
      </w:r>
      <w:r>
        <w:t>: Kolektivne pogodbe za zasebni sektor</w:t>
      </w:r>
      <w:r w:rsidR="00E53CF6">
        <w:t xml:space="preserve"> z informacijo o razširjeni veljavnosti in indeksaciji vrednosti tarifnih razredov</w:t>
      </w:r>
    </w:p>
    <w:tbl>
      <w:tblPr>
        <w:tblW w:w="0" w:type="auto"/>
        <w:tblLayout w:type="fixed"/>
        <w:tblCellMar>
          <w:left w:w="70" w:type="dxa"/>
          <w:right w:w="70" w:type="dxa"/>
        </w:tblCellMar>
        <w:tblLook w:val="04A0" w:firstRow="1" w:lastRow="0" w:firstColumn="1" w:lastColumn="0" w:noHBand="0" w:noVBand="1"/>
      </w:tblPr>
      <w:tblGrid>
        <w:gridCol w:w="4249"/>
        <w:gridCol w:w="972"/>
        <w:gridCol w:w="635"/>
        <w:gridCol w:w="634"/>
        <w:gridCol w:w="1307"/>
        <w:gridCol w:w="1273"/>
      </w:tblGrid>
      <w:tr w:rsidR="004A19BA" w:rsidRPr="004A19BA" w14:paraId="0B44869D" w14:textId="77777777" w:rsidTr="004501D9">
        <w:trPr>
          <w:trHeight w:val="300"/>
        </w:trPr>
        <w:tc>
          <w:tcPr>
            <w:tcW w:w="4249" w:type="dxa"/>
            <w:vMerge w:val="restart"/>
            <w:tcBorders>
              <w:top w:val="single" w:sz="4" w:space="0" w:color="auto"/>
              <w:left w:val="nil"/>
              <w:bottom w:val="single" w:sz="4" w:space="0" w:color="000000"/>
              <w:right w:val="single" w:sz="4" w:space="0" w:color="auto"/>
            </w:tcBorders>
            <w:shd w:val="clear" w:color="000000" w:fill="E7E6E6"/>
            <w:vAlign w:val="center"/>
            <w:hideMark/>
          </w:tcPr>
          <w:p w14:paraId="578A77CB" w14:textId="77777777" w:rsidR="004A19BA" w:rsidRPr="004A19BA" w:rsidRDefault="004A19BA" w:rsidP="00982CCE">
            <w:pPr>
              <w:pStyle w:val="TabelaglavalevoUMAR"/>
              <w:rPr>
                <w:lang w:eastAsia="sl-SI"/>
              </w:rPr>
            </w:pPr>
            <w:r w:rsidRPr="004A19BA">
              <w:rPr>
                <w:lang w:eastAsia="sl-SI"/>
              </w:rPr>
              <w:t>Kolektivna pogodba</w:t>
            </w:r>
          </w:p>
        </w:tc>
        <w:tc>
          <w:tcPr>
            <w:tcW w:w="2241" w:type="dxa"/>
            <w:gridSpan w:val="3"/>
            <w:tcBorders>
              <w:top w:val="single" w:sz="4" w:space="0" w:color="auto"/>
              <w:left w:val="nil"/>
              <w:bottom w:val="nil"/>
              <w:right w:val="single" w:sz="4" w:space="0" w:color="000000"/>
            </w:tcBorders>
            <w:shd w:val="clear" w:color="000000" w:fill="E7E6E6"/>
            <w:vAlign w:val="center"/>
            <w:hideMark/>
          </w:tcPr>
          <w:p w14:paraId="76228215" w14:textId="1425176F" w:rsidR="004A19BA" w:rsidRPr="004A19BA" w:rsidRDefault="004A19BA" w:rsidP="00982CCE">
            <w:pPr>
              <w:pStyle w:val="TabelaglavadesnoUMAR"/>
              <w:jc w:val="center"/>
              <w:rPr>
                <w:lang w:eastAsia="sl-SI"/>
              </w:rPr>
            </w:pPr>
            <w:r w:rsidRPr="004A19BA">
              <w:rPr>
                <w:lang w:eastAsia="sl-SI"/>
              </w:rPr>
              <w:t>Razširjena vel</w:t>
            </w:r>
            <w:r w:rsidR="00434333">
              <w:rPr>
                <w:lang w:eastAsia="sl-SI"/>
              </w:rPr>
              <w:t>j</w:t>
            </w:r>
            <w:r w:rsidRPr="004A19BA">
              <w:rPr>
                <w:lang w:eastAsia="sl-SI"/>
              </w:rPr>
              <w:t>avnost</w:t>
            </w:r>
          </w:p>
        </w:tc>
        <w:tc>
          <w:tcPr>
            <w:tcW w:w="2580" w:type="dxa"/>
            <w:gridSpan w:val="2"/>
            <w:tcBorders>
              <w:top w:val="single" w:sz="4" w:space="0" w:color="auto"/>
              <w:left w:val="nil"/>
              <w:bottom w:val="nil"/>
              <w:right w:val="nil"/>
            </w:tcBorders>
            <w:shd w:val="clear" w:color="000000" w:fill="E7E6E6"/>
            <w:vAlign w:val="center"/>
            <w:hideMark/>
          </w:tcPr>
          <w:p w14:paraId="24E54994" w14:textId="77777777" w:rsidR="004A19BA" w:rsidRPr="004A19BA" w:rsidRDefault="004A19BA" w:rsidP="00982CCE">
            <w:pPr>
              <w:pStyle w:val="TabelaglavadesnoUMAR"/>
              <w:jc w:val="center"/>
              <w:rPr>
                <w:lang w:eastAsia="sl-SI"/>
              </w:rPr>
            </w:pPr>
            <w:r w:rsidRPr="004A19BA">
              <w:rPr>
                <w:lang w:eastAsia="sl-SI"/>
              </w:rPr>
              <w:t>Indeksacija</w:t>
            </w:r>
          </w:p>
        </w:tc>
      </w:tr>
      <w:tr w:rsidR="00661508" w:rsidRPr="004A19BA" w14:paraId="198D815A" w14:textId="77777777" w:rsidTr="004501D9">
        <w:trPr>
          <w:trHeight w:val="480"/>
        </w:trPr>
        <w:tc>
          <w:tcPr>
            <w:tcW w:w="4249" w:type="dxa"/>
            <w:vMerge/>
            <w:tcBorders>
              <w:top w:val="single" w:sz="4" w:space="0" w:color="auto"/>
              <w:left w:val="nil"/>
              <w:bottom w:val="single" w:sz="4" w:space="0" w:color="000000"/>
              <w:right w:val="single" w:sz="4" w:space="0" w:color="auto"/>
            </w:tcBorders>
            <w:vAlign w:val="center"/>
            <w:hideMark/>
          </w:tcPr>
          <w:p w14:paraId="5EECF253" w14:textId="77777777" w:rsidR="004A19BA" w:rsidRPr="004A19BA" w:rsidRDefault="004A19BA" w:rsidP="004A19BA">
            <w:pPr>
              <w:spacing w:after="0" w:line="240" w:lineRule="auto"/>
              <w:rPr>
                <w:rFonts w:ascii="Calibri" w:eastAsia="Times New Roman" w:hAnsi="Calibri" w:cs="Calibri"/>
                <w:b/>
                <w:bCs/>
                <w:color w:val="000000"/>
                <w:sz w:val="18"/>
                <w:szCs w:val="18"/>
                <w:lang w:eastAsia="sl-SI"/>
              </w:rPr>
            </w:pPr>
          </w:p>
        </w:tc>
        <w:tc>
          <w:tcPr>
            <w:tcW w:w="972" w:type="dxa"/>
            <w:tcBorders>
              <w:top w:val="nil"/>
              <w:left w:val="nil"/>
              <w:bottom w:val="single" w:sz="4" w:space="0" w:color="auto"/>
              <w:right w:val="nil"/>
            </w:tcBorders>
            <w:shd w:val="clear" w:color="000000" w:fill="E7E6E6"/>
            <w:vAlign w:val="center"/>
            <w:hideMark/>
          </w:tcPr>
          <w:p w14:paraId="43194A52" w14:textId="77777777" w:rsidR="004A19BA" w:rsidRPr="004A19BA" w:rsidRDefault="004A19BA" w:rsidP="00722E17">
            <w:pPr>
              <w:pStyle w:val="TabelaglavadesnoUMAR"/>
              <w:jc w:val="center"/>
              <w:rPr>
                <w:lang w:eastAsia="sl-SI"/>
              </w:rPr>
            </w:pPr>
            <w:r w:rsidRPr="004A19BA">
              <w:rPr>
                <w:lang w:eastAsia="sl-SI"/>
              </w:rPr>
              <w:t>Celotna</w:t>
            </w:r>
          </w:p>
        </w:tc>
        <w:tc>
          <w:tcPr>
            <w:tcW w:w="635" w:type="dxa"/>
            <w:tcBorders>
              <w:top w:val="nil"/>
              <w:left w:val="nil"/>
              <w:bottom w:val="single" w:sz="4" w:space="0" w:color="auto"/>
              <w:right w:val="nil"/>
            </w:tcBorders>
            <w:shd w:val="clear" w:color="000000" w:fill="E7E6E6"/>
            <w:vAlign w:val="center"/>
            <w:hideMark/>
          </w:tcPr>
          <w:p w14:paraId="3C450268" w14:textId="5A90D1CB" w:rsidR="004A19BA" w:rsidRPr="004A19BA" w:rsidRDefault="004A19BA" w:rsidP="00722E17">
            <w:pPr>
              <w:pStyle w:val="TabelaglavadesnoUMAR"/>
              <w:jc w:val="center"/>
              <w:rPr>
                <w:lang w:eastAsia="sl-SI"/>
              </w:rPr>
            </w:pPr>
            <w:r w:rsidRPr="004A19BA">
              <w:rPr>
                <w:lang w:eastAsia="sl-SI"/>
              </w:rPr>
              <w:t>Del</w:t>
            </w:r>
            <w:r w:rsidR="00722E17">
              <w:rPr>
                <w:lang w:eastAsia="sl-SI"/>
              </w:rPr>
              <w:t>na</w:t>
            </w:r>
          </w:p>
        </w:tc>
        <w:tc>
          <w:tcPr>
            <w:tcW w:w="634" w:type="dxa"/>
            <w:tcBorders>
              <w:top w:val="nil"/>
              <w:left w:val="nil"/>
              <w:bottom w:val="single" w:sz="4" w:space="0" w:color="auto"/>
              <w:right w:val="single" w:sz="4" w:space="0" w:color="auto"/>
            </w:tcBorders>
            <w:shd w:val="clear" w:color="000000" w:fill="E7E6E6"/>
            <w:vAlign w:val="center"/>
            <w:hideMark/>
          </w:tcPr>
          <w:p w14:paraId="3E7A28B9" w14:textId="77777777" w:rsidR="004A19BA" w:rsidRPr="004A19BA" w:rsidRDefault="004A19BA" w:rsidP="00982CCE">
            <w:pPr>
              <w:pStyle w:val="TabelaglavadesnoUMAR"/>
              <w:jc w:val="center"/>
              <w:rPr>
                <w:lang w:eastAsia="sl-SI"/>
              </w:rPr>
            </w:pPr>
            <w:r w:rsidRPr="004A19BA">
              <w:rPr>
                <w:lang w:eastAsia="sl-SI"/>
              </w:rPr>
              <w:t>Brez</w:t>
            </w:r>
          </w:p>
        </w:tc>
        <w:tc>
          <w:tcPr>
            <w:tcW w:w="1307" w:type="dxa"/>
            <w:tcBorders>
              <w:top w:val="nil"/>
              <w:left w:val="nil"/>
              <w:bottom w:val="single" w:sz="4" w:space="0" w:color="auto"/>
              <w:right w:val="nil"/>
            </w:tcBorders>
            <w:shd w:val="clear" w:color="000000" w:fill="E7E6E6"/>
            <w:vAlign w:val="center"/>
            <w:hideMark/>
          </w:tcPr>
          <w:p w14:paraId="6F790BFC" w14:textId="5BE6D486" w:rsidR="004A19BA" w:rsidRPr="004A19BA" w:rsidRDefault="004A19BA" w:rsidP="00982CCE">
            <w:pPr>
              <w:pStyle w:val="TabelaglavadesnoUMAR"/>
              <w:jc w:val="center"/>
              <w:rPr>
                <w:lang w:eastAsia="sl-SI"/>
              </w:rPr>
            </w:pPr>
            <w:r w:rsidRPr="004A19BA">
              <w:rPr>
                <w:lang w:eastAsia="sl-SI"/>
              </w:rPr>
              <w:t xml:space="preserve">Indeksacija </w:t>
            </w:r>
            <w:r w:rsidR="00727D99">
              <w:rPr>
                <w:lang w:eastAsia="sl-SI"/>
              </w:rPr>
              <w:br/>
            </w:r>
            <w:r w:rsidRPr="004A19BA">
              <w:rPr>
                <w:lang w:eastAsia="sl-SI"/>
              </w:rPr>
              <w:t>z inflacijo</w:t>
            </w:r>
          </w:p>
        </w:tc>
        <w:tc>
          <w:tcPr>
            <w:tcW w:w="1273" w:type="dxa"/>
            <w:tcBorders>
              <w:top w:val="nil"/>
              <w:left w:val="nil"/>
              <w:bottom w:val="single" w:sz="4" w:space="0" w:color="auto"/>
              <w:right w:val="nil"/>
            </w:tcBorders>
            <w:shd w:val="clear" w:color="000000" w:fill="E7E6E6"/>
            <w:vAlign w:val="center"/>
            <w:hideMark/>
          </w:tcPr>
          <w:p w14:paraId="11CDA707" w14:textId="77777777" w:rsidR="004A19BA" w:rsidRPr="004A19BA" w:rsidRDefault="004A19BA" w:rsidP="00982CCE">
            <w:pPr>
              <w:pStyle w:val="TabelaglavadesnoUMAR"/>
              <w:jc w:val="center"/>
              <w:rPr>
                <w:lang w:eastAsia="sl-SI"/>
              </w:rPr>
            </w:pPr>
            <w:r w:rsidRPr="004A19BA">
              <w:rPr>
                <w:lang w:eastAsia="sl-SI"/>
              </w:rPr>
              <w:t>Način</w:t>
            </w:r>
          </w:p>
        </w:tc>
      </w:tr>
      <w:tr w:rsidR="00661508" w:rsidRPr="004A19BA" w14:paraId="464FCAE7"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64A809F2" w14:textId="77777777" w:rsidR="004A19BA" w:rsidRPr="00CB123D" w:rsidRDefault="004A19BA" w:rsidP="00982CCE">
            <w:pPr>
              <w:pStyle w:val="TabelalevoUMAR"/>
              <w:rPr>
                <w:lang w:eastAsia="sl-SI"/>
              </w:rPr>
            </w:pPr>
            <w:r w:rsidRPr="00CB123D">
              <w:rPr>
                <w:lang w:eastAsia="sl-SI"/>
              </w:rPr>
              <w:t>Dejavnost kovinskih materialov in livarn</w:t>
            </w:r>
          </w:p>
        </w:tc>
        <w:tc>
          <w:tcPr>
            <w:tcW w:w="972" w:type="dxa"/>
            <w:tcBorders>
              <w:top w:val="nil"/>
              <w:left w:val="single" w:sz="4" w:space="0" w:color="auto"/>
              <w:bottom w:val="single" w:sz="4" w:space="0" w:color="auto"/>
              <w:right w:val="nil"/>
            </w:tcBorders>
            <w:shd w:val="clear" w:color="auto" w:fill="auto"/>
            <w:noWrap/>
            <w:vAlign w:val="center"/>
            <w:hideMark/>
          </w:tcPr>
          <w:p w14:paraId="1D928838" w14:textId="77777777" w:rsidR="004A19BA" w:rsidRPr="004A19BA" w:rsidRDefault="004A19BA" w:rsidP="00982CCE">
            <w:pPr>
              <w:pStyle w:val="TabeladesnoUMAR"/>
              <w:jc w:val="center"/>
              <w:rPr>
                <w:lang w:eastAsia="sl-SI"/>
              </w:rPr>
            </w:pPr>
            <w:r w:rsidRPr="004A19BA">
              <w:rPr>
                <w:lang w:eastAsia="sl-SI"/>
              </w:rPr>
              <w:t>●</w:t>
            </w:r>
          </w:p>
        </w:tc>
        <w:tc>
          <w:tcPr>
            <w:tcW w:w="635" w:type="dxa"/>
            <w:tcBorders>
              <w:top w:val="nil"/>
              <w:left w:val="nil"/>
              <w:bottom w:val="single" w:sz="4" w:space="0" w:color="auto"/>
              <w:right w:val="nil"/>
            </w:tcBorders>
            <w:shd w:val="clear" w:color="auto" w:fill="auto"/>
            <w:noWrap/>
            <w:vAlign w:val="center"/>
            <w:hideMark/>
          </w:tcPr>
          <w:p w14:paraId="19809720" w14:textId="7D2B6348" w:rsidR="004A19BA" w:rsidRPr="004A19BA" w:rsidRDefault="004A19BA" w:rsidP="00982CCE">
            <w:pPr>
              <w:pStyle w:val="TabeladesnoUMAR"/>
              <w:jc w:val="center"/>
              <w:rPr>
                <w:lang w:eastAsia="sl-SI"/>
              </w:rPr>
            </w:pPr>
          </w:p>
        </w:tc>
        <w:tc>
          <w:tcPr>
            <w:tcW w:w="634" w:type="dxa"/>
            <w:tcBorders>
              <w:top w:val="nil"/>
              <w:left w:val="nil"/>
              <w:bottom w:val="single" w:sz="4" w:space="0" w:color="auto"/>
              <w:right w:val="nil"/>
            </w:tcBorders>
            <w:shd w:val="clear" w:color="auto" w:fill="auto"/>
            <w:noWrap/>
            <w:vAlign w:val="center"/>
            <w:hideMark/>
          </w:tcPr>
          <w:p w14:paraId="753264BD" w14:textId="048CC050" w:rsidR="004A19BA" w:rsidRPr="004A19BA" w:rsidRDefault="004A19BA" w:rsidP="00982CCE">
            <w:pPr>
              <w:pStyle w:val="TabeladesnoUMAR"/>
              <w:jc w:val="center"/>
              <w:rPr>
                <w:lang w:eastAsia="sl-SI"/>
              </w:rPr>
            </w:pPr>
          </w:p>
        </w:tc>
        <w:tc>
          <w:tcPr>
            <w:tcW w:w="1307" w:type="dxa"/>
            <w:tcBorders>
              <w:top w:val="nil"/>
              <w:left w:val="single" w:sz="4" w:space="0" w:color="auto"/>
              <w:bottom w:val="single" w:sz="4" w:space="0" w:color="auto"/>
              <w:right w:val="nil"/>
            </w:tcBorders>
            <w:shd w:val="clear" w:color="auto" w:fill="auto"/>
            <w:noWrap/>
            <w:vAlign w:val="bottom"/>
            <w:hideMark/>
          </w:tcPr>
          <w:p w14:paraId="294F96C1" w14:textId="26BA79FB" w:rsidR="004A19BA" w:rsidRPr="004A19BA" w:rsidRDefault="004A19BA" w:rsidP="00982CCE">
            <w:pPr>
              <w:pStyle w:val="TabeladesnoUMAR"/>
              <w:jc w:val="center"/>
              <w:rPr>
                <w:lang w:eastAsia="sl-SI"/>
              </w:rPr>
            </w:pPr>
          </w:p>
        </w:tc>
        <w:tc>
          <w:tcPr>
            <w:tcW w:w="1273" w:type="dxa"/>
            <w:tcBorders>
              <w:top w:val="nil"/>
              <w:left w:val="nil"/>
              <w:bottom w:val="single" w:sz="4" w:space="0" w:color="auto"/>
              <w:right w:val="nil"/>
            </w:tcBorders>
            <w:shd w:val="clear" w:color="auto" w:fill="auto"/>
            <w:vAlign w:val="center"/>
            <w:hideMark/>
          </w:tcPr>
          <w:p w14:paraId="6D5739C2" w14:textId="77777777" w:rsidR="004A19BA" w:rsidRPr="004A19BA" w:rsidRDefault="004A19BA" w:rsidP="00982CCE">
            <w:pPr>
              <w:pStyle w:val="TabeladesnoUMAR"/>
              <w:rPr>
                <w:lang w:eastAsia="sl-SI"/>
              </w:rPr>
            </w:pPr>
            <w:r w:rsidRPr="004A19BA">
              <w:rPr>
                <w:lang w:eastAsia="sl-SI"/>
              </w:rPr>
              <w:t> </w:t>
            </w:r>
          </w:p>
        </w:tc>
      </w:tr>
      <w:tr w:rsidR="00661508" w:rsidRPr="004A19BA" w14:paraId="11277B6C"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7E27CA78" w14:textId="55FDEABE" w:rsidR="004A19BA" w:rsidRPr="00CB123D" w:rsidRDefault="004A19BA" w:rsidP="00982CCE">
            <w:pPr>
              <w:pStyle w:val="TabelalevoUMAR"/>
              <w:rPr>
                <w:lang w:eastAsia="sl-SI"/>
              </w:rPr>
            </w:pPr>
            <w:r w:rsidRPr="00CB123D">
              <w:rPr>
                <w:lang w:eastAsia="sl-SI"/>
              </w:rPr>
              <w:t>Dejavnost zasebnega varovanja</w:t>
            </w:r>
            <w:r w:rsidR="00EA7453" w:rsidRPr="00CB123D">
              <w:rPr>
                <w:lang w:eastAsia="sl-SI"/>
              </w:rPr>
              <w:t>*</w:t>
            </w:r>
          </w:p>
        </w:tc>
        <w:tc>
          <w:tcPr>
            <w:tcW w:w="972" w:type="dxa"/>
            <w:tcBorders>
              <w:top w:val="nil"/>
              <w:left w:val="single" w:sz="4" w:space="0" w:color="auto"/>
              <w:bottom w:val="single" w:sz="4" w:space="0" w:color="auto"/>
              <w:right w:val="nil"/>
            </w:tcBorders>
            <w:shd w:val="clear" w:color="auto" w:fill="auto"/>
            <w:noWrap/>
            <w:vAlign w:val="center"/>
            <w:hideMark/>
          </w:tcPr>
          <w:p w14:paraId="578F5388" w14:textId="77777777" w:rsidR="004A19BA" w:rsidRPr="004A19BA" w:rsidRDefault="004A19BA" w:rsidP="00982CCE">
            <w:pPr>
              <w:pStyle w:val="TabeladesnoUMAR"/>
              <w:jc w:val="center"/>
              <w:rPr>
                <w:lang w:eastAsia="sl-SI"/>
              </w:rPr>
            </w:pPr>
            <w:r w:rsidRPr="004A19BA">
              <w:rPr>
                <w:lang w:eastAsia="sl-SI"/>
              </w:rPr>
              <w:t>●</w:t>
            </w:r>
          </w:p>
        </w:tc>
        <w:tc>
          <w:tcPr>
            <w:tcW w:w="635" w:type="dxa"/>
            <w:tcBorders>
              <w:top w:val="nil"/>
              <w:left w:val="nil"/>
              <w:bottom w:val="single" w:sz="4" w:space="0" w:color="auto"/>
              <w:right w:val="nil"/>
            </w:tcBorders>
            <w:shd w:val="clear" w:color="auto" w:fill="auto"/>
            <w:noWrap/>
            <w:vAlign w:val="center"/>
            <w:hideMark/>
          </w:tcPr>
          <w:p w14:paraId="30845EA6" w14:textId="5AE65F82" w:rsidR="004A19BA" w:rsidRPr="004A19BA" w:rsidRDefault="004A19BA" w:rsidP="00982CCE">
            <w:pPr>
              <w:pStyle w:val="TabeladesnoUMAR"/>
              <w:jc w:val="center"/>
              <w:rPr>
                <w:lang w:eastAsia="sl-SI"/>
              </w:rPr>
            </w:pPr>
          </w:p>
        </w:tc>
        <w:tc>
          <w:tcPr>
            <w:tcW w:w="634" w:type="dxa"/>
            <w:tcBorders>
              <w:top w:val="nil"/>
              <w:left w:val="nil"/>
              <w:bottom w:val="single" w:sz="4" w:space="0" w:color="auto"/>
              <w:right w:val="nil"/>
            </w:tcBorders>
            <w:shd w:val="clear" w:color="auto" w:fill="auto"/>
            <w:noWrap/>
            <w:vAlign w:val="center"/>
            <w:hideMark/>
          </w:tcPr>
          <w:p w14:paraId="612FE2C4" w14:textId="52EAE973" w:rsidR="004A19BA" w:rsidRPr="004A19BA" w:rsidRDefault="004A19BA" w:rsidP="00982CCE">
            <w:pPr>
              <w:pStyle w:val="TabeladesnoUMAR"/>
              <w:jc w:val="center"/>
              <w:rPr>
                <w:lang w:eastAsia="sl-SI"/>
              </w:rPr>
            </w:pPr>
          </w:p>
        </w:tc>
        <w:tc>
          <w:tcPr>
            <w:tcW w:w="1307" w:type="dxa"/>
            <w:tcBorders>
              <w:top w:val="nil"/>
              <w:left w:val="single" w:sz="4" w:space="0" w:color="auto"/>
              <w:bottom w:val="single" w:sz="4" w:space="0" w:color="auto"/>
              <w:right w:val="nil"/>
            </w:tcBorders>
            <w:shd w:val="clear" w:color="auto" w:fill="auto"/>
            <w:noWrap/>
            <w:vAlign w:val="bottom"/>
            <w:hideMark/>
          </w:tcPr>
          <w:p w14:paraId="051B5897" w14:textId="190AB7D9" w:rsidR="004A19BA" w:rsidRPr="004A19BA" w:rsidRDefault="004A19BA" w:rsidP="00982CCE">
            <w:pPr>
              <w:pStyle w:val="TabeladesnoUMAR"/>
              <w:jc w:val="center"/>
              <w:rPr>
                <w:lang w:eastAsia="sl-SI"/>
              </w:rPr>
            </w:pPr>
          </w:p>
        </w:tc>
        <w:tc>
          <w:tcPr>
            <w:tcW w:w="1273" w:type="dxa"/>
            <w:tcBorders>
              <w:top w:val="nil"/>
              <w:left w:val="nil"/>
              <w:bottom w:val="single" w:sz="4" w:space="0" w:color="auto"/>
              <w:right w:val="nil"/>
            </w:tcBorders>
            <w:shd w:val="clear" w:color="auto" w:fill="auto"/>
            <w:vAlign w:val="center"/>
            <w:hideMark/>
          </w:tcPr>
          <w:p w14:paraId="0522551A" w14:textId="77777777" w:rsidR="004A19BA" w:rsidRPr="004A19BA" w:rsidRDefault="004A19BA" w:rsidP="00982CCE">
            <w:pPr>
              <w:pStyle w:val="TabeladesnoUMAR"/>
              <w:rPr>
                <w:lang w:eastAsia="sl-SI"/>
              </w:rPr>
            </w:pPr>
            <w:r w:rsidRPr="004A19BA">
              <w:rPr>
                <w:lang w:eastAsia="sl-SI"/>
              </w:rPr>
              <w:t> </w:t>
            </w:r>
          </w:p>
        </w:tc>
      </w:tr>
      <w:tr w:rsidR="00661508" w:rsidRPr="004A19BA" w14:paraId="1006843B"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32B6A1D2" w14:textId="77777777" w:rsidR="004A19BA" w:rsidRPr="00CB123D" w:rsidRDefault="004A19BA" w:rsidP="00982CCE">
            <w:pPr>
              <w:pStyle w:val="TabelalevoUMAR"/>
              <w:rPr>
                <w:lang w:eastAsia="sl-SI"/>
              </w:rPr>
            </w:pPr>
            <w:r w:rsidRPr="00CB123D">
              <w:rPr>
                <w:lang w:eastAsia="sl-SI"/>
              </w:rPr>
              <w:t>Dejavnosti elektrogospodarstva</w:t>
            </w:r>
          </w:p>
        </w:tc>
        <w:tc>
          <w:tcPr>
            <w:tcW w:w="972" w:type="dxa"/>
            <w:tcBorders>
              <w:top w:val="nil"/>
              <w:left w:val="single" w:sz="4" w:space="0" w:color="auto"/>
              <w:bottom w:val="single" w:sz="4" w:space="0" w:color="auto"/>
              <w:right w:val="nil"/>
            </w:tcBorders>
            <w:shd w:val="clear" w:color="auto" w:fill="auto"/>
            <w:noWrap/>
            <w:vAlign w:val="center"/>
            <w:hideMark/>
          </w:tcPr>
          <w:p w14:paraId="236AC8FC" w14:textId="77777777" w:rsidR="004A19BA" w:rsidRPr="004A19BA" w:rsidRDefault="004A19BA" w:rsidP="00982CCE">
            <w:pPr>
              <w:pStyle w:val="TabeladesnoUMAR"/>
              <w:jc w:val="center"/>
              <w:rPr>
                <w:lang w:eastAsia="sl-SI"/>
              </w:rPr>
            </w:pPr>
            <w:r w:rsidRPr="004A19BA">
              <w:rPr>
                <w:lang w:eastAsia="sl-SI"/>
              </w:rPr>
              <w:t>●</w:t>
            </w:r>
          </w:p>
        </w:tc>
        <w:tc>
          <w:tcPr>
            <w:tcW w:w="635" w:type="dxa"/>
            <w:tcBorders>
              <w:top w:val="nil"/>
              <w:left w:val="nil"/>
              <w:bottom w:val="single" w:sz="4" w:space="0" w:color="auto"/>
              <w:right w:val="nil"/>
            </w:tcBorders>
            <w:shd w:val="clear" w:color="auto" w:fill="auto"/>
            <w:noWrap/>
            <w:vAlign w:val="center"/>
            <w:hideMark/>
          </w:tcPr>
          <w:p w14:paraId="52AD4144" w14:textId="4B3BB5DB" w:rsidR="004A19BA" w:rsidRPr="004A19BA" w:rsidRDefault="004A19BA" w:rsidP="00982CCE">
            <w:pPr>
              <w:pStyle w:val="TabeladesnoUMAR"/>
              <w:jc w:val="center"/>
              <w:rPr>
                <w:lang w:eastAsia="sl-SI"/>
              </w:rPr>
            </w:pPr>
          </w:p>
        </w:tc>
        <w:tc>
          <w:tcPr>
            <w:tcW w:w="634" w:type="dxa"/>
            <w:tcBorders>
              <w:top w:val="nil"/>
              <w:left w:val="nil"/>
              <w:bottom w:val="single" w:sz="4" w:space="0" w:color="auto"/>
              <w:right w:val="nil"/>
            </w:tcBorders>
            <w:shd w:val="clear" w:color="auto" w:fill="auto"/>
            <w:noWrap/>
            <w:vAlign w:val="center"/>
            <w:hideMark/>
          </w:tcPr>
          <w:p w14:paraId="5BAD9FC0" w14:textId="4CBC6AF9" w:rsidR="004A19BA" w:rsidRPr="004A19BA" w:rsidRDefault="004A19BA" w:rsidP="00982CCE">
            <w:pPr>
              <w:pStyle w:val="TabeladesnoUMAR"/>
              <w:jc w:val="center"/>
              <w:rPr>
                <w:lang w:eastAsia="sl-SI"/>
              </w:rPr>
            </w:pPr>
          </w:p>
        </w:tc>
        <w:tc>
          <w:tcPr>
            <w:tcW w:w="1307" w:type="dxa"/>
            <w:tcBorders>
              <w:top w:val="nil"/>
              <w:left w:val="single" w:sz="4" w:space="0" w:color="auto"/>
              <w:bottom w:val="single" w:sz="4" w:space="0" w:color="auto"/>
              <w:right w:val="nil"/>
            </w:tcBorders>
            <w:shd w:val="clear" w:color="auto" w:fill="auto"/>
            <w:noWrap/>
            <w:vAlign w:val="center"/>
            <w:hideMark/>
          </w:tcPr>
          <w:p w14:paraId="2ED65E9F" w14:textId="77777777" w:rsidR="004A19BA" w:rsidRPr="004A19BA" w:rsidRDefault="004A19BA" w:rsidP="00982CCE">
            <w:pPr>
              <w:pStyle w:val="TabeladesnoUMAR"/>
              <w:jc w:val="center"/>
              <w:rPr>
                <w:lang w:eastAsia="sl-SI"/>
              </w:rPr>
            </w:pPr>
            <w:r w:rsidRPr="004A19BA">
              <w:rPr>
                <w:lang w:eastAsia="sl-SI"/>
              </w:rPr>
              <w:t>●</w:t>
            </w:r>
          </w:p>
        </w:tc>
        <w:tc>
          <w:tcPr>
            <w:tcW w:w="1273" w:type="dxa"/>
            <w:tcBorders>
              <w:top w:val="nil"/>
              <w:left w:val="nil"/>
              <w:bottom w:val="single" w:sz="4" w:space="0" w:color="auto"/>
              <w:right w:val="nil"/>
            </w:tcBorders>
            <w:shd w:val="clear" w:color="auto" w:fill="auto"/>
            <w:vAlign w:val="center"/>
            <w:hideMark/>
          </w:tcPr>
          <w:p w14:paraId="70F8B361" w14:textId="77777777" w:rsidR="004A19BA" w:rsidRPr="004A19BA" w:rsidRDefault="004A19BA" w:rsidP="00982CCE">
            <w:pPr>
              <w:pStyle w:val="TabeladesnoUMAR"/>
              <w:rPr>
                <w:lang w:eastAsia="sl-SI"/>
              </w:rPr>
            </w:pPr>
            <w:r w:rsidRPr="004A19BA">
              <w:rPr>
                <w:lang w:eastAsia="sl-SI"/>
              </w:rPr>
              <w:t>Usklajevanje</w:t>
            </w:r>
          </w:p>
        </w:tc>
      </w:tr>
      <w:tr w:rsidR="00661508" w:rsidRPr="004A19BA" w14:paraId="3791D912"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650B85CD" w14:textId="3970F7DE" w:rsidR="004A19BA" w:rsidRPr="00CB123D" w:rsidRDefault="004A19BA" w:rsidP="00982CCE">
            <w:pPr>
              <w:pStyle w:val="TabelalevoUMAR"/>
              <w:rPr>
                <w:lang w:eastAsia="sl-SI"/>
              </w:rPr>
            </w:pPr>
            <w:r w:rsidRPr="00CB123D">
              <w:rPr>
                <w:lang w:eastAsia="sl-SI"/>
              </w:rPr>
              <w:t>Dejavnosti prid</w:t>
            </w:r>
            <w:r w:rsidR="00661508">
              <w:rPr>
                <w:lang w:eastAsia="sl-SI"/>
              </w:rPr>
              <w:t>ob.</w:t>
            </w:r>
            <w:r w:rsidRPr="00CB123D">
              <w:rPr>
                <w:lang w:eastAsia="sl-SI"/>
              </w:rPr>
              <w:t xml:space="preserve"> </w:t>
            </w:r>
            <w:r w:rsidR="004021A6">
              <w:rPr>
                <w:lang w:eastAsia="sl-SI"/>
              </w:rPr>
              <w:t>i</w:t>
            </w:r>
            <w:r w:rsidRPr="00CB123D">
              <w:rPr>
                <w:lang w:eastAsia="sl-SI"/>
              </w:rPr>
              <w:t>n predelave nekovinskih rudnin</w:t>
            </w:r>
          </w:p>
        </w:tc>
        <w:tc>
          <w:tcPr>
            <w:tcW w:w="972" w:type="dxa"/>
            <w:tcBorders>
              <w:top w:val="nil"/>
              <w:left w:val="single" w:sz="4" w:space="0" w:color="auto"/>
              <w:bottom w:val="single" w:sz="4" w:space="0" w:color="auto"/>
              <w:right w:val="nil"/>
            </w:tcBorders>
            <w:shd w:val="clear" w:color="auto" w:fill="auto"/>
            <w:noWrap/>
            <w:vAlign w:val="center"/>
            <w:hideMark/>
          </w:tcPr>
          <w:p w14:paraId="0618F66C" w14:textId="77777777" w:rsidR="004A19BA" w:rsidRPr="004A19BA" w:rsidRDefault="004A19BA" w:rsidP="00982CCE">
            <w:pPr>
              <w:pStyle w:val="TabeladesnoUMAR"/>
              <w:jc w:val="center"/>
              <w:rPr>
                <w:lang w:eastAsia="sl-SI"/>
              </w:rPr>
            </w:pPr>
            <w:r w:rsidRPr="004A19BA">
              <w:rPr>
                <w:lang w:eastAsia="sl-SI"/>
              </w:rPr>
              <w:t>●</w:t>
            </w:r>
          </w:p>
        </w:tc>
        <w:tc>
          <w:tcPr>
            <w:tcW w:w="635" w:type="dxa"/>
            <w:tcBorders>
              <w:top w:val="nil"/>
              <w:left w:val="nil"/>
              <w:bottom w:val="single" w:sz="4" w:space="0" w:color="auto"/>
              <w:right w:val="nil"/>
            </w:tcBorders>
            <w:shd w:val="clear" w:color="auto" w:fill="auto"/>
            <w:noWrap/>
            <w:vAlign w:val="center"/>
            <w:hideMark/>
          </w:tcPr>
          <w:p w14:paraId="06B244C3" w14:textId="7360B92E" w:rsidR="004A19BA" w:rsidRPr="004A19BA" w:rsidRDefault="004A19BA" w:rsidP="00982CCE">
            <w:pPr>
              <w:pStyle w:val="TabeladesnoUMAR"/>
              <w:jc w:val="center"/>
              <w:rPr>
                <w:lang w:eastAsia="sl-SI"/>
              </w:rPr>
            </w:pPr>
          </w:p>
        </w:tc>
        <w:tc>
          <w:tcPr>
            <w:tcW w:w="634" w:type="dxa"/>
            <w:tcBorders>
              <w:top w:val="nil"/>
              <w:left w:val="nil"/>
              <w:bottom w:val="single" w:sz="4" w:space="0" w:color="auto"/>
              <w:right w:val="nil"/>
            </w:tcBorders>
            <w:shd w:val="clear" w:color="auto" w:fill="auto"/>
            <w:noWrap/>
            <w:vAlign w:val="center"/>
            <w:hideMark/>
          </w:tcPr>
          <w:p w14:paraId="000490CF" w14:textId="60AD1B09" w:rsidR="004A19BA" w:rsidRPr="004A19BA" w:rsidRDefault="004A19BA" w:rsidP="00982CCE">
            <w:pPr>
              <w:pStyle w:val="TabeladesnoUMAR"/>
              <w:jc w:val="center"/>
              <w:rPr>
                <w:lang w:eastAsia="sl-SI"/>
              </w:rPr>
            </w:pPr>
          </w:p>
        </w:tc>
        <w:tc>
          <w:tcPr>
            <w:tcW w:w="1307" w:type="dxa"/>
            <w:tcBorders>
              <w:top w:val="nil"/>
              <w:left w:val="single" w:sz="4" w:space="0" w:color="auto"/>
              <w:bottom w:val="single" w:sz="4" w:space="0" w:color="auto"/>
              <w:right w:val="nil"/>
            </w:tcBorders>
            <w:shd w:val="clear" w:color="auto" w:fill="auto"/>
            <w:noWrap/>
            <w:vAlign w:val="center"/>
            <w:hideMark/>
          </w:tcPr>
          <w:p w14:paraId="4A340FDE" w14:textId="77777777" w:rsidR="004A19BA" w:rsidRPr="004A19BA" w:rsidRDefault="004A19BA" w:rsidP="00982CCE">
            <w:pPr>
              <w:pStyle w:val="TabeladesnoUMAR"/>
              <w:jc w:val="center"/>
              <w:rPr>
                <w:lang w:eastAsia="sl-SI"/>
              </w:rPr>
            </w:pPr>
            <w:r w:rsidRPr="004A19BA">
              <w:rPr>
                <w:lang w:eastAsia="sl-SI"/>
              </w:rPr>
              <w:t>●</w:t>
            </w:r>
          </w:p>
        </w:tc>
        <w:tc>
          <w:tcPr>
            <w:tcW w:w="1273" w:type="dxa"/>
            <w:tcBorders>
              <w:top w:val="nil"/>
              <w:left w:val="nil"/>
              <w:bottom w:val="single" w:sz="4" w:space="0" w:color="auto"/>
              <w:right w:val="nil"/>
            </w:tcBorders>
            <w:shd w:val="clear" w:color="auto" w:fill="auto"/>
            <w:vAlign w:val="center"/>
            <w:hideMark/>
          </w:tcPr>
          <w:p w14:paraId="4A519A1B" w14:textId="77777777" w:rsidR="004A19BA" w:rsidRPr="004A19BA" w:rsidRDefault="004A19BA" w:rsidP="00982CCE">
            <w:pPr>
              <w:pStyle w:val="TabeladesnoUMAR"/>
              <w:rPr>
                <w:lang w:eastAsia="sl-SI"/>
              </w:rPr>
            </w:pPr>
            <w:r w:rsidRPr="004A19BA">
              <w:rPr>
                <w:lang w:eastAsia="sl-SI"/>
              </w:rPr>
              <w:t>Usklajevanje</w:t>
            </w:r>
          </w:p>
        </w:tc>
      </w:tr>
      <w:tr w:rsidR="00661508" w:rsidRPr="004A19BA" w14:paraId="68E954C3"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71416A84" w14:textId="77777777" w:rsidR="004A19BA" w:rsidRPr="00CB123D" w:rsidRDefault="004A19BA" w:rsidP="00982CCE">
            <w:pPr>
              <w:pStyle w:val="TabelalevoUMAR"/>
              <w:rPr>
                <w:lang w:eastAsia="sl-SI"/>
              </w:rPr>
            </w:pPr>
            <w:r w:rsidRPr="00CB123D">
              <w:rPr>
                <w:lang w:eastAsia="sl-SI"/>
              </w:rPr>
              <w:t>Dejavnosti trgovine</w:t>
            </w:r>
          </w:p>
        </w:tc>
        <w:tc>
          <w:tcPr>
            <w:tcW w:w="972" w:type="dxa"/>
            <w:tcBorders>
              <w:top w:val="nil"/>
              <w:left w:val="single" w:sz="4" w:space="0" w:color="auto"/>
              <w:bottom w:val="single" w:sz="4" w:space="0" w:color="auto"/>
              <w:right w:val="nil"/>
            </w:tcBorders>
            <w:shd w:val="clear" w:color="auto" w:fill="auto"/>
            <w:noWrap/>
            <w:vAlign w:val="center"/>
            <w:hideMark/>
          </w:tcPr>
          <w:p w14:paraId="75A04821" w14:textId="77777777" w:rsidR="004A19BA" w:rsidRPr="004A19BA" w:rsidRDefault="004A19BA" w:rsidP="00982CCE">
            <w:pPr>
              <w:pStyle w:val="TabeladesnoUMAR"/>
              <w:jc w:val="center"/>
              <w:rPr>
                <w:lang w:eastAsia="sl-SI"/>
              </w:rPr>
            </w:pPr>
            <w:r w:rsidRPr="004A19BA">
              <w:rPr>
                <w:lang w:eastAsia="sl-SI"/>
              </w:rPr>
              <w:t>●</w:t>
            </w:r>
          </w:p>
        </w:tc>
        <w:tc>
          <w:tcPr>
            <w:tcW w:w="635" w:type="dxa"/>
            <w:tcBorders>
              <w:top w:val="nil"/>
              <w:left w:val="nil"/>
              <w:bottom w:val="single" w:sz="4" w:space="0" w:color="auto"/>
              <w:right w:val="nil"/>
            </w:tcBorders>
            <w:shd w:val="clear" w:color="auto" w:fill="auto"/>
            <w:noWrap/>
            <w:vAlign w:val="center"/>
            <w:hideMark/>
          </w:tcPr>
          <w:p w14:paraId="20FC15B2" w14:textId="6BF315E3" w:rsidR="004A19BA" w:rsidRPr="004A19BA" w:rsidRDefault="004A19BA" w:rsidP="00982CCE">
            <w:pPr>
              <w:pStyle w:val="TabeladesnoUMAR"/>
              <w:jc w:val="center"/>
              <w:rPr>
                <w:lang w:eastAsia="sl-SI"/>
              </w:rPr>
            </w:pPr>
          </w:p>
        </w:tc>
        <w:tc>
          <w:tcPr>
            <w:tcW w:w="634" w:type="dxa"/>
            <w:tcBorders>
              <w:top w:val="nil"/>
              <w:left w:val="nil"/>
              <w:bottom w:val="single" w:sz="4" w:space="0" w:color="auto"/>
              <w:right w:val="nil"/>
            </w:tcBorders>
            <w:shd w:val="clear" w:color="auto" w:fill="auto"/>
            <w:noWrap/>
            <w:vAlign w:val="center"/>
            <w:hideMark/>
          </w:tcPr>
          <w:p w14:paraId="01D92350" w14:textId="679B9BB3" w:rsidR="004A19BA" w:rsidRPr="004A19BA" w:rsidRDefault="004A19BA" w:rsidP="00982CCE">
            <w:pPr>
              <w:pStyle w:val="TabeladesnoUMAR"/>
              <w:jc w:val="center"/>
              <w:rPr>
                <w:lang w:eastAsia="sl-SI"/>
              </w:rPr>
            </w:pPr>
          </w:p>
        </w:tc>
        <w:tc>
          <w:tcPr>
            <w:tcW w:w="1307" w:type="dxa"/>
            <w:tcBorders>
              <w:top w:val="nil"/>
              <w:left w:val="single" w:sz="4" w:space="0" w:color="auto"/>
              <w:bottom w:val="single" w:sz="4" w:space="0" w:color="auto"/>
              <w:right w:val="nil"/>
            </w:tcBorders>
            <w:shd w:val="clear" w:color="auto" w:fill="auto"/>
            <w:noWrap/>
            <w:vAlign w:val="center"/>
            <w:hideMark/>
          </w:tcPr>
          <w:p w14:paraId="022C58C8" w14:textId="77777777" w:rsidR="004A19BA" w:rsidRPr="004A19BA" w:rsidRDefault="004A19BA" w:rsidP="00982CCE">
            <w:pPr>
              <w:pStyle w:val="TabeladesnoUMAR"/>
              <w:jc w:val="center"/>
              <w:rPr>
                <w:lang w:eastAsia="sl-SI"/>
              </w:rPr>
            </w:pPr>
            <w:r w:rsidRPr="004A19BA">
              <w:rPr>
                <w:lang w:eastAsia="sl-SI"/>
              </w:rPr>
              <w:t>●</w:t>
            </w:r>
          </w:p>
        </w:tc>
        <w:tc>
          <w:tcPr>
            <w:tcW w:w="1273" w:type="dxa"/>
            <w:tcBorders>
              <w:top w:val="nil"/>
              <w:left w:val="nil"/>
              <w:bottom w:val="single" w:sz="4" w:space="0" w:color="auto"/>
              <w:right w:val="nil"/>
            </w:tcBorders>
            <w:shd w:val="clear" w:color="auto" w:fill="auto"/>
            <w:vAlign w:val="center"/>
            <w:hideMark/>
          </w:tcPr>
          <w:p w14:paraId="7A56A448" w14:textId="77777777" w:rsidR="004A19BA" w:rsidRPr="004A19BA" w:rsidRDefault="004A19BA" w:rsidP="00982CCE">
            <w:pPr>
              <w:pStyle w:val="TabeladesnoUMAR"/>
              <w:rPr>
                <w:lang w:eastAsia="sl-SI"/>
              </w:rPr>
            </w:pPr>
            <w:r w:rsidRPr="004A19BA">
              <w:rPr>
                <w:lang w:eastAsia="sl-SI"/>
              </w:rPr>
              <w:t>Fiksno</w:t>
            </w:r>
          </w:p>
        </w:tc>
      </w:tr>
      <w:tr w:rsidR="00661508" w:rsidRPr="004A19BA" w14:paraId="22ACBA1E"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5A65A3B7" w14:textId="77777777" w:rsidR="004A19BA" w:rsidRPr="00CB123D" w:rsidRDefault="004A19BA" w:rsidP="00982CCE">
            <w:pPr>
              <w:pStyle w:val="TabelalevoUMAR"/>
              <w:rPr>
                <w:lang w:eastAsia="sl-SI"/>
              </w:rPr>
            </w:pPr>
            <w:r w:rsidRPr="00CB123D">
              <w:rPr>
                <w:lang w:eastAsia="sl-SI"/>
              </w:rPr>
              <w:t>Elektroindustrija</w:t>
            </w:r>
          </w:p>
        </w:tc>
        <w:tc>
          <w:tcPr>
            <w:tcW w:w="972" w:type="dxa"/>
            <w:tcBorders>
              <w:top w:val="nil"/>
              <w:left w:val="single" w:sz="4" w:space="0" w:color="auto"/>
              <w:bottom w:val="single" w:sz="4" w:space="0" w:color="auto"/>
              <w:right w:val="nil"/>
            </w:tcBorders>
            <w:shd w:val="clear" w:color="auto" w:fill="auto"/>
            <w:noWrap/>
            <w:vAlign w:val="center"/>
            <w:hideMark/>
          </w:tcPr>
          <w:p w14:paraId="08468C62" w14:textId="77777777" w:rsidR="004A19BA" w:rsidRPr="004A19BA" w:rsidRDefault="004A19BA" w:rsidP="00982CCE">
            <w:pPr>
              <w:pStyle w:val="TabeladesnoUMAR"/>
              <w:jc w:val="center"/>
              <w:rPr>
                <w:lang w:eastAsia="sl-SI"/>
              </w:rPr>
            </w:pPr>
            <w:r w:rsidRPr="004A19BA">
              <w:rPr>
                <w:lang w:eastAsia="sl-SI"/>
              </w:rPr>
              <w:t>●</w:t>
            </w:r>
          </w:p>
        </w:tc>
        <w:tc>
          <w:tcPr>
            <w:tcW w:w="635" w:type="dxa"/>
            <w:tcBorders>
              <w:top w:val="nil"/>
              <w:left w:val="nil"/>
              <w:bottom w:val="single" w:sz="4" w:space="0" w:color="auto"/>
              <w:right w:val="nil"/>
            </w:tcBorders>
            <w:shd w:val="clear" w:color="auto" w:fill="auto"/>
            <w:noWrap/>
            <w:vAlign w:val="center"/>
            <w:hideMark/>
          </w:tcPr>
          <w:p w14:paraId="15844A78" w14:textId="57B11424" w:rsidR="004A19BA" w:rsidRPr="004A19BA" w:rsidRDefault="004A19BA" w:rsidP="00982CCE">
            <w:pPr>
              <w:pStyle w:val="TabeladesnoUMAR"/>
              <w:jc w:val="center"/>
              <w:rPr>
                <w:lang w:eastAsia="sl-SI"/>
              </w:rPr>
            </w:pPr>
          </w:p>
        </w:tc>
        <w:tc>
          <w:tcPr>
            <w:tcW w:w="634" w:type="dxa"/>
            <w:tcBorders>
              <w:top w:val="nil"/>
              <w:left w:val="nil"/>
              <w:bottom w:val="single" w:sz="4" w:space="0" w:color="auto"/>
              <w:right w:val="nil"/>
            </w:tcBorders>
            <w:shd w:val="clear" w:color="auto" w:fill="auto"/>
            <w:noWrap/>
            <w:vAlign w:val="center"/>
            <w:hideMark/>
          </w:tcPr>
          <w:p w14:paraId="0F29A049" w14:textId="3F5E9B6B" w:rsidR="004A19BA" w:rsidRPr="004A19BA" w:rsidRDefault="004A19BA" w:rsidP="00982CCE">
            <w:pPr>
              <w:pStyle w:val="TabeladesnoUMAR"/>
              <w:jc w:val="center"/>
              <w:rPr>
                <w:lang w:eastAsia="sl-SI"/>
              </w:rPr>
            </w:pPr>
          </w:p>
        </w:tc>
        <w:tc>
          <w:tcPr>
            <w:tcW w:w="1307" w:type="dxa"/>
            <w:tcBorders>
              <w:top w:val="nil"/>
              <w:left w:val="single" w:sz="4" w:space="0" w:color="auto"/>
              <w:bottom w:val="single" w:sz="4" w:space="0" w:color="auto"/>
              <w:right w:val="nil"/>
            </w:tcBorders>
            <w:shd w:val="clear" w:color="auto" w:fill="auto"/>
            <w:noWrap/>
            <w:vAlign w:val="bottom"/>
            <w:hideMark/>
          </w:tcPr>
          <w:p w14:paraId="4AF6B6F5" w14:textId="2B7D38C1" w:rsidR="004A19BA" w:rsidRPr="004A19BA" w:rsidRDefault="004A19BA" w:rsidP="00982CCE">
            <w:pPr>
              <w:pStyle w:val="TabeladesnoUMAR"/>
              <w:jc w:val="center"/>
              <w:rPr>
                <w:lang w:eastAsia="sl-SI"/>
              </w:rPr>
            </w:pPr>
          </w:p>
        </w:tc>
        <w:tc>
          <w:tcPr>
            <w:tcW w:w="1273" w:type="dxa"/>
            <w:tcBorders>
              <w:top w:val="nil"/>
              <w:left w:val="nil"/>
              <w:bottom w:val="single" w:sz="4" w:space="0" w:color="auto"/>
              <w:right w:val="nil"/>
            </w:tcBorders>
            <w:shd w:val="clear" w:color="auto" w:fill="auto"/>
            <w:vAlign w:val="center"/>
            <w:hideMark/>
          </w:tcPr>
          <w:p w14:paraId="75D5B5CF" w14:textId="77777777" w:rsidR="004A19BA" w:rsidRPr="004A19BA" w:rsidRDefault="004A19BA" w:rsidP="00982CCE">
            <w:pPr>
              <w:pStyle w:val="TabeladesnoUMAR"/>
              <w:rPr>
                <w:lang w:eastAsia="sl-SI"/>
              </w:rPr>
            </w:pPr>
            <w:r w:rsidRPr="004A19BA">
              <w:rPr>
                <w:lang w:eastAsia="sl-SI"/>
              </w:rPr>
              <w:t> </w:t>
            </w:r>
          </w:p>
        </w:tc>
      </w:tr>
      <w:tr w:rsidR="00661508" w:rsidRPr="004A19BA" w14:paraId="59513221"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576CC460" w14:textId="77777777" w:rsidR="004A19BA" w:rsidRPr="00CB123D" w:rsidRDefault="004A19BA" w:rsidP="00982CCE">
            <w:pPr>
              <w:pStyle w:val="TabelalevoUMAR"/>
              <w:rPr>
                <w:lang w:eastAsia="sl-SI"/>
              </w:rPr>
            </w:pPr>
            <w:r w:rsidRPr="00CB123D">
              <w:rPr>
                <w:lang w:eastAsia="sl-SI"/>
              </w:rPr>
              <w:t>Kovinska industrija</w:t>
            </w:r>
          </w:p>
        </w:tc>
        <w:tc>
          <w:tcPr>
            <w:tcW w:w="972" w:type="dxa"/>
            <w:tcBorders>
              <w:top w:val="nil"/>
              <w:left w:val="single" w:sz="4" w:space="0" w:color="auto"/>
              <w:bottom w:val="single" w:sz="4" w:space="0" w:color="auto"/>
              <w:right w:val="nil"/>
            </w:tcBorders>
            <w:shd w:val="clear" w:color="auto" w:fill="auto"/>
            <w:noWrap/>
            <w:vAlign w:val="center"/>
            <w:hideMark/>
          </w:tcPr>
          <w:p w14:paraId="02B6688D" w14:textId="77777777" w:rsidR="004A19BA" w:rsidRPr="004A19BA" w:rsidRDefault="004A19BA" w:rsidP="00982CCE">
            <w:pPr>
              <w:pStyle w:val="TabeladesnoUMAR"/>
              <w:jc w:val="center"/>
              <w:rPr>
                <w:lang w:eastAsia="sl-SI"/>
              </w:rPr>
            </w:pPr>
            <w:r w:rsidRPr="004A19BA">
              <w:rPr>
                <w:lang w:eastAsia="sl-SI"/>
              </w:rPr>
              <w:t>●</w:t>
            </w:r>
          </w:p>
        </w:tc>
        <w:tc>
          <w:tcPr>
            <w:tcW w:w="635" w:type="dxa"/>
            <w:tcBorders>
              <w:top w:val="nil"/>
              <w:left w:val="nil"/>
              <w:bottom w:val="single" w:sz="4" w:space="0" w:color="auto"/>
              <w:right w:val="nil"/>
            </w:tcBorders>
            <w:shd w:val="clear" w:color="auto" w:fill="auto"/>
            <w:noWrap/>
            <w:vAlign w:val="center"/>
            <w:hideMark/>
          </w:tcPr>
          <w:p w14:paraId="2AD59C40" w14:textId="7DF718A1" w:rsidR="004A19BA" w:rsidRPr="004A19BA" w:rsidRDefault="004A19BA" w:rsidP="00982CCE">
            <w:pPr>
              <w:pStyle w:val="TabeladesnoUMAR"/>
              <w:jc w:val="center"/>
              <w:rPr>
                <w:lang w:eastAsia="sl-SI"/>
              </w:rPr>
            </w:pPr>
          </w:p>
        </w:tc>
        <w:tc>
          <w:tcPr>
            <w:tcW w:w="634" w:type="dxa"/>
            <w:tcBorders>
              <w:top w:val="nil"/>
              <w:left w:val="nil"/>
              <w:bottom w:val="single" w:sz="4" w:space="0" w:color="auto"/>
              <w:right w:val="nil"/>
            </w:tcBorders>
            <w:shd w:val="clear" w:color="auto" w:fill="auto"/>
            <w:noWrap/>
            <w:vAlign w:val="center"/>
            <w:hideMark/>
          </w:tcPr>
          <w:p w14:paraId="5FD8117A" w14:textId="0B78D480" w:rsidR="004A19BA" w:rsidRPr="004A19BA" w:rsidRDefault="004A19BA" w:rsidP="00982CCE">
            <w:pPr>
              <w:pStyle w:val="TabeladesnoUMAR"/>
              <w:jc w:val="center"/>
              <w:rPr>
                <w:lang w:eastAsia="sl-SI"/>
              </w:rPr>
            </w:pPr>
          </w:p>
        </w:tc>
        <w:tc>
          <w:tcPr>
            <w:tcW w:w="1307" w:type="dxa"/>
            <w:tcBorders>
              <w:top w:val="nil"/>
              <w:left w:val="single" w:sz="4" w:space="0" w:color="auto"/>
              <w:bottom w:val="single" w:sz="4" w:space="0" w:color="auto"/>
              <w:right w:val="nil"/>
            </w:tcBorders>
            <w:shd w:val="clear" w:color="auto" w:fill="auto"/>
            <w:noWrap/>
            <w:vAlign w:val="center"/>
            <w:hideMark/>
          </w:tcPr>
          <w:p w14:paraId="7F235813" w14:textId="77777777" w:rsidR="004A19BA" w:rsidRPr="004A19BA" w:rsidRDefault="004A19BA" w:rsidP="00982CCE">
            <w:pPr>
              <w:pStyle w:val="TabeladesnoUMAR"/>
              <w:jc w:val="center"/>
              <w:rPr>
                <w:lang w:eastAsia="sl-SI"/>
              </w:rPr>
            </w:pPr>
            <w:r w:rsidRPr="004A19BA">
              <w:rPr>
                <w:lang w:eastAsia="sl-SI"/>
              </w:rPr>
              <w:t>●</w:t>
            </w:r>
          </w:p>
        </w:tc>
        <w:tc>
          <w:tcPr>
            <w:tcW w:w="1273" w:type="dxa"/>
            <w:tcBorders>
              <w:top w:val="nil"/>
              <w:left w:val="nil"/>
              <w:bottom w:val="single" w:sz="4" w:space="0" w:color="auto"/>
              <w:right w:val="nil"/>
            </w:tcBorders>
            <w:shd w:val="clear" w:color="auto" w:fill="auto"/>
            <w:vAlign w:val="center"/>
            <w:hideMark/>
          </w:tcPr>
          <w:p w14:paraId="09F6BA2E" w14:textId="77777777" w:rsidR="004A19BA" w:rsidRPr="004A19BA" w:rsidRDefault="004A19BA" w:rsidP="00982CCE">
            <w:pPr>
              <w:pStyle w:val="TabeladesnoUMAR"/>
              <w:rPr>
                <w:lang w:eastAsia="sl-SI"/>
              </w:rPr>
            </w:pPr>
            <w:r w:rsidRPr="004A19BA">
              <w:rPr>
                <w:lang w:eastAsia="sl-SI"/>
              </w:rPr>
              <w:t>Usklajevanje</w:t>
            </w:r>
          </w:p>
        </w:tc>
      </w:tr>
      <w:tr w:rsidR="00661508" w:rsidRPr="004A19BA" w14:paraId="1CB3ADAD"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1AFCF767" w14:textId="582453BF" w:rsidR="004A19BA" w:rsidRPr="00CB123D" w:rsidRDefault="004A19BA" w:rsidP="00982CCE">
            <w:pPr>
              <w:pStyle w:val="TabelalevoUMAR"/>
              <w:rPr>
                <w:lang w:eastAsia="sl-SI"/>
              </w:rPr>
            </w:pPr>
            <w:r w:rsidRPr="00CB123D">
              <w:rPr>
                <w:lang w:eastAsia="sl-SI"/>
              </w:rPr>
              <w:t>Papirna in papirnopredelovalna dejavnost</w:t>
            </w:r>
          </w:p>
        </w:tc>
        <w:tc>
          <w:tcPr>
            <w:tcW w:w="972" w:type="dxa"/>
            <w:tcBorders>
              <w:top w:val="nil"/>
              <w:left w:val="single" w:sz="4" w:space="0" w:color="auto"/>
              <w:bottom w:val="single" w:sz="4" w:space="0" w:color="auto"/>
              <w:right w:val="nil"/>
            </w:tcBorders>
            <w:shd w:val="clear" w:color="auto" w:fill="auto"/>
            <w:noWrap/>
            <w:vAlign w:val="center"/>
            <w:hideMark/>
          </w:tcPr>
          <w:p w14:paraId="75ABF4F8" w14:textId="77777777" w:rsidR="004A19BA" w:rsidRPr="004A19BA" w:rsidRDefault="004A19BA" w:rsidP="00982CCE">
            <w:pPr>
              <w:pStyle w:val="TabeladesnoUMAR"/>
              <w:jc w:val="center"/>
              <w:rPr>
                <w:lang w:eastAsia="sl-SI"/>
              </w:rPr>
            </w:pPr>
            <w:r w:rsidRPr="004A19BA">
              <w:rPr>
                <w:lang w:eastAsia="sl-SI"/>
              </w:rPr>
              <w:t>●</w:t>
            </w:r>
          </w:p>
        </w:tc>
        <w:tc>
          <w:tcPr>
            <w:tcW w:w="635" w:type="dxa"/>
            <w:tcBorders>
              <w:top w:val="nil"/>
              <w:left w:val="nil"/>
              <w:bottom w:val="single" w:sz="4" w:space="0" w:color="auto"/>
              <w:right w:val="nil"/>
            </w:tcBorders>
            <w:shd w:val="clear" w:color="auto" w:fill="auto"/>
            <w:noWrap/>
            <w:vAlign w:val="center"/>
            <w:hideMark/>
          </w:tcPr>
          <w:p w14:paraId="60E1C407" w14:textId="357CD74A" w:rsidR="004A19BA" w:rsidRPr="004A19BA" w:rsidRDefault="004A19BA" w:rsidP="00982CCE">
            <w:pPr>
              <w:pStyle w:val="TabeladesnoUMAR"/>
              <w:jc w:val="center"/>
              <w:rPr>
                <w:lang w:eastAsia="sl-SI"/>
              </w:rPr>
            </w:pPr>
          </w:p>
        </w:tc>
        <w:tc>
          <w:tcPr>
            <w:tcW w:w="634" w:type="dxa"/>
            <w:tcBorders>
              <w:top w:val="nil"/>
              <w:left w:val="nil"/>
              <w:bottom w:val="single" w:sz="4" w:space="0" w:color="auto"/>
              <w:right w:val="nil"/>
            </w:tcBorders>
            <w:shd w:val="clear" w:color="auto" w:fill="auto"/>
            <w:noWrap/>
            <w:vAlign w:val="center"/>
            <w:hideMark/>
          </w:tcPr>
          <w:p w14:paraId="502A3D26" w14:textId="115C12D8" w:rsidR="004A19BA" w:rsidRPr="004A19BA" w:rsidRDefault="004A19BA" w:rsidP="00982CCE">
            <w:pPr>
              <w:pStyle w:val="TabeladesnoUMAR"/>
              <w:jc w:val="center"/>
              <w:rPr>
                <w:lang w:eastAsia="sl-SI"/>
              </w:rPr>
            </w:pPr>
          </w:p>
        </w:tc>
        <w:tc>
          <w:tcPr>
            <w:tcW w:w="1307" w:type="dxa"/>
            <w:tcBorders>
              <w:top w:val="nil"/>
              <w:left w:val="single" w:sz="4" w:space="0" w:color="auto"/>
              <w:bottom w:val="single" w:sz="4" w:space="0" w:color="auto"/>
              <w:right w:val="nil"/>
            </w:tcBorders>
            <w:shd w:val="clear" w:color="auto" w:fill="auto"/>
            <w:noWrap/>
            <w:vAlign w:val="bottom"/>
            <w:hideMark/>
          </w:tcPr>
          <w:p w14:paraId="7F78B743" w14:textId="144B9D99" w:rsidR="004A19BA" w:rsidRPr="004A19BA" w:rsidRDefault="004A19BA" w:rsidP="00982CCE">
            <w:pPr>
              <w:pStyle w:val="TabeladesnoUMAR"/>
              <w:jc w:val="center"/>
              <w:rPr>
                <w:lang w:eastAsia="sl-SI"/>
              </w:rPr>
            </w:pPr>
          </w:p>
        </w:tc>
        <w:tc>
          <w:tcPr>
            <w:tcW w:w="1273" w:type="dxa"/>
            <w:tcBorders>
              <w:top w:val="nil"/>
              <w:left w:val="nil"/>
              <w:bottom w:val="single" w:sz="4" w:space="0" w:color="auto"/>
              <w:right w:val="nil"/>
            </w:tcBorders>
            <w:shd w:val="clear" w:color="auto" w:fill="auto"/>
            <w:vAlign w:val="center"/>
            <w:hideMark/>
          </w:tcPr>
          <w:p w14:paraId="551B8B16" w14:textId="77777777" w:rsidR="004A19BA" w:rsidRPr="004A19BA" w:rsidRDefault="004A19BA" w:rsidP="00982CCE">
            <w:pPr>
              <w:pStyle w:val="TabeladesnoUMAR"/>
              <w:rPr>
                <w:lang w:eastAsia="sl-SI"/>
              </w:rPr>
            </w:pPr>
            <w:r w:rsidRPr="004A19BA">
              <w:rPr>
                <w:lang w:eastAsia="sl-SI"/>
              </w:rPr>
              <w:t> </w:t>
            </w:r>
          </w:p>
        </w:tc>
      </w:tr>
      <w:tr w:rsidR="00661508" w:rsidRPr="004A19BA" w14:paraId="4BDCC336"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341A81CB" w14:textId="77777777" w:rsidR="004A19BA" w:rsidRPr="00CB123D" w:rsidRDefault="004A19BA" w:rsidP="00982CCE">
            <w:pPr>
              <w:pStyle w:val="TabelalevoUMAR"/>
              <w:rPr>
                <w:lang w:eastAsia="sl-SI"/>
              </w:rPr>
            </w:pPr>
            <w:r w:rsidRPr="00CB123D">
              <w:rPr>
                <w:lang w:eastAsia="sl-SI"/>
              </w:rPr>
              <w:t>Poštne in kurirske dejavnosti</w:t>
            </w:r>
          </w:p>
        </w:tc>
        <w:tc>
          <w:tcPr>
            <w:tcW w:w="972" w:type="dxa"/>
            <w:tcBorders>
              <w:top w:val="nil"/>
              <w:left w:val="single" w:sz="4" w:space="0" w:color="auto"/>
              <w:bottom w:val="single" w:sz="4" w:space="0" w:color="auto"/>
              <w:right w:val="nil"/>
            </w:tcBorders>
            <w:shd w:val="clear" w:color="auto" w:fill="auto"/>
            <w:noWrap/>
            <w:vAlign w:val="center"/>
            <w:hideMark/>
          </w:tcPr>
          <w:p w14:paraId="77F20835" w14:textId="77777777" w:rsidR="004A19BA" w:rsidRPr="004A19BA" w:rsidRDefault="004A19BA" w:rsidP="00982CCE">
            <w:pPr>
              <w:pStyle w:val="TabeladesnoUMAR"/>
              <w:jc w:val="center"/>
              <w:rPr>
                <w:lang w:eastAsia="sl-SI"/>
              </w:rPr>
            </w:pPr>
            <w:r w:rsidRPr="004A19BA">
              <w:rPr>
                <w:lang w:eastAsia="sl-SI"/>
              </w:rPr>
              <w:t>●</w:t>
            </w:r>
          </w:p>
        </w:tc>
        <w:tc>
          <w:tcPr>
            <w:tcW w:w="635" w:type="dxa"/>
            <w:tcBorders>
              <w:top w:val="nil"/>
              <w:left w:val="nil"/>
              <w:bottom w:val="single" w:sz="4" w:space="0" w:color="auto"/>
              <w:right w:val="nil"/>
            </w:tcBorders>
            <w:shd w:val="clear" w:color="auto" w:fill="auto"/>
            <w:noWrap/>
            <w:vAlign w:val="center"/>
            <w:hideMark/>
          </w:tcPr>
          <w:p w14:paraId="1B31D3B0" w14:textId="33E9A1BE" w:rsidR="004A19BA" w:rsidRPr="004A19BA" w:rsidRDefault="004A19BA" w:rsidP="00982CCE">
            <w:pPr>
              <w:pStyle w:val="TabeladesnoUMAR"/>
              <w:jc w:val="center"/>
              <w:rPr>
                <w:lang w:eastAsia="sl-SI"/>
              </w:rPr>
            </w:pPr>
          </w:p>
        </w:tc>
        <w:tc>
          <w:tcPr>
            <w:tcW w:w="634" w:type="dxa"/>
            <w:tcBorders>
              <w:top w:val="nil"/>
              <w:left w:val="nil"/>
              <w:bottom w:val="single" w:sz="4" w:space="0" w:color="auto"/>
              <w:right w:val="nil"/>
            </w:tcBorders>
            <w:shd w:val="clear" w:color="auto" w:fill="auto"/>
            <w:noWrap/>
            <w:vAlign w:val="center"/>
            <w:hideMark/>
          </w:tcPr>
          <w:p w14:paraId="6192D948" w14:textId="24EEC17A" w:rsidR="004A19BA" w:rsidRPr="004A19BA" w:rsidRDefault="004A19BA" w:rsidP="00982CCE">
            <w:pPr>
              <w:pStyle w:val="TabeladesnoUMAR"/>
              <w:jc w:val="center"/>
              <w:rPr>
                <w:lang w:eastAsia="sl-SI"/>
              </w:rPr>
            </w:pPr>
          </w:p>
        </w:tc>
        <w:tc>
          <w:tcPr>
            <w:tcW w:w="1307" w:type="dxa"/>
            <w:tcBorders>
              <w:top w:val="nil"/>
              <w:left w:val="single" w:sz="4" w:space="0" w:color="auto"/>
              <w:bottom w:val="single" w:sz="4" w:space="0" w:color="auto"/>
              <w:right w:val="nil"/>
            </w:tcBorders>
            <w:shd w:val="clear" w:color="auto" w:fill="auto"/>
            <w:noWrap/>
            <w:vAlign w:val="center"/>
            <w:hideMark/>
          </w:tcPr>
          <w:p w14:paraId="59A690E5" w14:textId="77777777" w:rsidR="004A19BA" w:rsidRPr="004A19BA" w:rsidRDefault="004A19BA" w:rsidP="00982CCE">
            <w:pPr>
              <w:pStyle w:val="TabeladesnoUMAR"/>
              <w:jc w:val="center"/>
              <w:rPr>
                <w:lang w:eastAsia="sl-SI"/>
              </w:rPr>
            </w:pPr>
            <w:r w:rsidRPr="004A19BA">
              <w:rPr>
                <w:lang w:eastAsia="sl-SI"/>
              </w:rPr>
              <w:t>●</w:t>
            </w:r>
          </w:p>
        </w:tc>
        <w:tc>
          <w:tcPr>
            <w:tcW w:w="1273" w:type="dxa"/>
            <w:tcBorders>
              <w:top w:val="nil"/>
              <w:left w:val="nil"/>
              <w:bottom w:val="single" w:sz="4" w:space="0" w:color="auto"/>
              <w:right w:val="nil"/>
            </w:tcBorders>
            <w:shd w:val="clear" w:color="auto" w:fill="auto"/>
            <w:vAlign w:val="center"/>
            <w:hideMark/>
          </w:tcPr>
          <w:p w14:paraId="6611970D" w14:textId="77777777" w:rsidR="004A19BA" w:rsidRPr="004A19BA" w:rsidRDefault="004A19BA" w:rsidP="00982CCE">
            <w:pPr>
              <w:pStyle w:val="TabeladesnoUMAR"/>
              <w:rPr>
                <w:lang w:eastAsia="sl-SI"/>
              </w:rPr>
            </w:pPr>
            <w:r w:rsidRPr="004A19BA">
              <w:rPr>
                <w:lang w:eastAsia="sl-SI"/>
              </w:rPr>
              <w:t>Usklajevanje</w:t>
            </w:r>
          </w:p>
        </w:tc>
      </w:tr>
      <w:tr w:rsidR="00661508" w:rsidRPr="004A19BA" w14:paraId="41994B95"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6F39C143" w14:textId="6BA58B5E" w:rsidR="004A19BA" w:rsidRPr="00CB123D" w:rsidRDefault="004A19BA" w:rsidP="00982CCE">
            <w:pPr>
              <w:pStyle w:val="TabelalevoUMAR"/>
              <w:rPr>
                <w:lang w:eastAsia="sl-SI"/>
              </w:rPr>
            </w:pPr>
            <w:r w:rsidRPr="00CB123D">
              <w:rPr>
                <w:lang w:eastAsia="sl-SI"/>
              </w:rPr>
              <w:t>Storitve v kopenskem prometu</w:t>
            </w:r>
            <w:r w:rsidR="00EA7453" w:rsidRPr="00CB123D">
              <w:rPr>
                <w:lang w:eastAsia="sl-SI"/>
              </w:rPr>
              <w:t>*</w:t>
            </w:r>
          </w:p>
        </w:tc>
        <w:tc>
          <w:tcPr>
            <w:tcW w:w="972" w:type="dxa"/>
            <w:tcBorders>
              <w:top w:val="nil"/>
              <w:left w:val="single" w:sz="4" w:space="0" w:color="auto"/>
              <w:bottom w:val="single" w:sz="4" w:space="0" w:color="auto"/>
              <w:right w:val="nil"/>
            </w:tcBorders>
            <w:shd w:val="clear" w:color="auto" w:fill="auto"/>
            <w:noWrap/>
            <w:vAlign w:val="center"/>
            <w:hideMark/>
          </w:tcPr>
          <w:p w14:paraId="15B80E98" w14:textId="77777777" w:rsidR="004A19BA" w:rsidRPr="004A19BA" w:rsidRDefault="004A19BA" w:rsidP="00982CCE">
            <w:pPr>
              <w:pStyle w:val="TabeladesnoUMAR"/>
              <w:jc w:val="center"/>
              <w:rPr>
                <w:lang w:eastAsia="sl-SI"/>
              </w:rPr>
            </w:pPr>
            <w:r w:rsidRPr="004A19BA">
              <w:rPr>
                <w:lang w:eastAsia="sl-SI"/>
              </w:rPr>
              <w:t>●</w:t>
            </w:r>
          </w:p>
        </w:tc>
        <w:tc>
          <w:tcPr>
            <w:tcW w:w="635" w:type="dxa"/>
            <w:tcBorders>
              <w:top w:val="nil"/>
              <w:left w:val="nil"/>
              <w:bottom w:val="single" w:sz="4" w:space="0" w:color="auto"/>
              <w:right w:val="nil"/>
            </w:tcBorders>
            <w:shd w:val="clear" w:color="auto" w:fill="auto"/>
            <w:noWrap/>
            <w:vAlign w:val="center"/>
            <w:hideMark/>
          </w:tcPr>
          <w:p w14:paraId="51149C62" w14:textId="76813BC9" w:rsidR="004A19BA" w:rsidRPr="004A19BA" w:rsidRDefault="004A19BA" w:rsidP="00982CCE">
            <w:pPr>
              <w:pStyle w:val="TabeladesnoUMAR"/>
              <w:jc w:val="center"/>
              <w:rPr>
                <w:lang w:eastAsia="sl-SI"/>
              </w:rPr>
            </w:pPr>
          </w:p>
        </w:tc>
        <w:tc>
          <w:tcPr>
            <w:tcW w:w="634" w:type="dxa"/>
            <w:tcBorders>
              <w:top w:val="nil"/>
              <w:left w:val="nil"/>
              <w:bottom w:val="single" w:sz="4" w:space="0" w:color="auto"/>
              <w:right w:val="nil"/>
            </w:tcBorders>
            <w:shd w:val="clear" w:color="auto" w:fill="auto"/>
            <w:noWrap/>
            <w:vAlign w:val="center"/>
            <w:hideMark/>
          </w:tcPr>
          <w:p w14:paraId="1EC03A2A" w14:textId="56DF7F63" w:rsidR="004A19BA" w:rsidRPr="004A19BA" w:rsidRDefault="004A19BA" w:rsidP="00982CCE">
            <w:pPr>
              <w:pStyle w:val="TabeladesnoUMAR"/>
              <w:jc w:val="center"/>
              <w:rPr>
                <w:lang w:eastAsia="sl-SI"/>
              </w:rPr>
            </w:pPr>
          </w:p>
        </w:tc>
        <w:tc>
          <w:tcPr>
            <w:tcW w:w="1307" w:type="dxa"/>
            <w:tcBorders>
              <w:top w:val="nil"/>
              <w:left w:val="single" w:sz="4" w:space="0" w:color="auto"/>
              <w:bottom w:val="single" w:sz="4" w:space="0" w:color="auto"/>
              <w:right w:val="nil"/>
            </w:tcBorders>
            <w:shd w:val="clear" w:color="auto" w:fill="auto"/>
            <w:noWrap/>
            <w:vAlign w:val="bottom"/>
            <w:hideMark/>
          </w:tcPr>
          <w:p w14:paraId="4F841993" w14:textId="5726CC0F" w:rsidR="004A19BA" w:rsidRPr="004A19BA" w:rsidRDefault="004A19BA" w:rsidP="00982CCE">
            <w:pPr>
              <w:pStyle w:val="TabeladesnoUMAR"/>
              <w:jc w:val="center"/>
              <w:rPr>
                <w:lang w:eastAsia="sl-SI"/>
              </w:rPr>
            </w:pPr>
          </w:p>
        </w:tc>
        <w:tc>
          <w:tcPr>
            <w:tcW w:w="1273" w:type="dxa"/>
            <w:tcBorders>
              <w:top w:val="nil"/>
              <w:left w:val="nil"/>
              <w:bottom w:val="single" w:sz="4" w:space="0" w:color="auto"/>
              <w:right w:val="nil"/>
            </w:tcBorders>
            <w:shd w:val="clear" w:color="auto" w:fill="auto"/>
            <w:vAlign w:val="center"/>
            <w:hideMark/>
          </w:tcPr>
          <w:p w14:paraId="19D5FEB6" w14:textId="77777777" w:rsidR="004A19BA" w:rsidRPr="004A19BA" w:rsidRDefault="004A19BA" w:rsidP="00982CCE">
            <w:pPr>
              <w:pStyle w:val="TabeladesnoUMAR"/>
              <w:rPr>
                <w:lang w:eastAsia="sl-SI"/>
              </w:rPr>
            </w:pPr>
            <w:r w:rsidRPr="004A19BA">
              <w:rPr>
                <w:lang w:eastAsia="sl-SI"/>
              </w:rPr>
              <w:t> </w:t>
            </w:r>
          </w:p>
        </w:tc>
      </w:tr>
      <w:tr w:rsidR="00661508" w:rsidRPr="004A19BA" w14:paraId="0237AA56"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30F56733" w14:textId="17039C32" w:rsidR="004A19BA" w:rsidRPr="00CB123D" w:rsidRDefault="004A19BA" w:rsidP="00982CCE">
            <w:pPr>
              <w:pStyle w:val="TabelalevoUMAR"/>
              <w:rPr>
                <w:lang w:eastAsia="sl-SI"/>
              </w:rPr>
            </w:pPr>
            <w:r w:rsidRPr="00CB123D">
              <w:rPr>
                <w:lang w:eastAsia="sl-SI"/>
              </w:rPr>
              <w:t xml:space="preserve">Tekstilne, oblač., usnjarske in usnjarskopred. </w:t>
            </w:r>
            <w:r w:rsidR="000D4D43">
              <w:rPr>
                <w:lang w:eastAsia="sl-SI"/>
              </w:rPr>
              <w:t>d</w:t>
            </w:r>
            <w:r w:rsidRPr="00CB123D">
              <w:rPr>
                <w:lang w:eastAsia="sl-SI"/>
              </w:rPr>
              <w:t>ej</w:t>
            </w:r>
            <w:r w:rsidR="00661508">
              <w:rPr>
                <w:lang w:eastAsia="sl-SI"/>
              </w:rPr>
              <w:t>.</w:t>
            </w:r>
          </w:p>
        </w:tc>
        <w:tc>
          <w:tcPr>
            <w:tcW w:w="972" w:type="dxa"/>
            <w:tcBorders>
              <w:top w:val="nil"/>
              <w:left w:val="single" w:sz="4" w:space="0" w:color="auto"/>
              <w:bottom w:val="single" w:sz="4" w:space="0" w:color="auto"/>
              <w:right w:val="nil"/>
            </w:tcBorders>
            <w:shd w:val="clear" w:color="auto" w:fill="auto"/>
            <w:noWrap/>
            <w:vAlign w:val="center"/>
            <w:hideMark/>
          </w:tcPr>
          <w:p w14:paraId="5184E1B9" w14:textId="77777777" w:rsidR="004A19BA" w:rsidRPr="004A19BA" w:rsidRDefault="004A19BA" w:rsidP="00982CCE">
            <w:pPr>
              <w:pStyle w:val="TabeladesnoUMAR"/>
              <w:jc w:val="center"/>
              <w:rPr>
                <w:lang w:eastAsia="sl-SI"/>
              </w:rPr>
            </w:pPr>
            <w:r w:rsidRPr="004A19BA">
              <w:rPr>
                <w:lang w:eastAsia="sl-SI"/>
              </w:rPr>
              <w:t>●</w:t>
            </w:r>
          </w:p>
        </w:tc>
        <w:tc>
          <w:tcPr>
            <w:tcW w:w="635" w:type="dxa"/>
            <w:tcBorders>
              <w:top w:val="nil"/>
              <w:left w:val="nil"/>
              <w:bottom w:val="single" w:sz="4" w:space="0" w:color="auto"/>
              <w:right w:val="nil"/>
            </w:tcBorders>
            <w:shd w:val="clear" w:color="auto" w:fill="auto"/>
            <w:noWrap/>
            <w:vAlign w:val="center"/>
            <w:hideMark/>
          </w:tcPr>
          <w:p w14:paraId="71D45A02" w14:textId="066F4627" w:rsidR="004A19BA" w:rsidRPr="004A19BA" w:rsidRDefault="004A19BA" w:rsidP="00982CCE">
            <w:pPr>
              <w:pStyle w:val="TabeladesnoUMAR"/>
              <w:jc w:val="center"/>
              <w:rPr>
                <w:lang w:eastAsia="sl-SI"/>
              </w:rPr>
            </w:pPr>
          </w:p>
        </w:tc>
        <w:tc>
          <w:tcPr>
            <w:tcW w:w="634" w:type="dxa"/>
            <w:tcBorders>
              <w:top w:val="nil"/>
              <w:left w:val="nil"/>
              <w:bottom w:val="single" w:sz="4" w:space="0" w:color="auto"/>
              <w:right w:val="nil"/>
            </w:tcBorders>
            <w:shd w:val="clear" w:color="auto" w:fill="auto"/>
            <w:noWrap/>
            <w:vAlign w:val="center"/>
            <w:hideMark/>
          </w:tcPr>
          <w:p w14:paraId="7A8DFCD4" w14:textId="75E2EC74" w:rsidR="004A19BA" w:rsidRPr="004A19BA" w:rsidRDefault="004A19BA" w:rsidP="00982CCE">
            <w:pPr>
              <w:pStyle w:val="TabeladesnoUMAR"/>
              <w:jc w:val="center"/>
              <w:rPr>
                <w:lang w:eastAsia="sl-SI"/>
              </w:rPr>
            </w:pPr>
          </w:p>
        </w:tc>
        <w:tc>
          <w:tcPr>
            <w:tcW w:w="1307" w:type="dxa"/>
            <w:tcBorders>
              <w:top w:val="nil"/>
              <w:left w:val="single" w:sz="4" w:space="0" w:color="auto"/>
              <w:bottom w:val="single" w:sz="4" w:space="0" w:color="auto"/>
              <w:right w:val="nil"/>
            </w:tcBorders>
            <w:shd w:val="clear" w:color="auto" w:fill="auto"/>
            <w:noWrap/>
            <w:vAlign w:val="center"/>
            <w:hideMark/>
          </w:tcPr>
          <w:p w14:paraId="342945D4" w14:textId="77777777" w:rsidR="004A19BA" w:rsidRPr="004A19BA" w:rsidRDefault="004A19BA" w:rsidP="00982CCE">
            <w:pPr>
              <w:pStyle w:val="TabeladesnoUMAR"/>
              <w:jc w:val="center"/>
              <w:rPr>
                <w:lang w:eastAsia="sl-SI"/>
              </w:rPr>
            </w:pPr>
            <w:r w:rsidRPr="004A19BA">
              <w:rPr>
                <w:lang w:eastAsia="sl-SI"/>
              </w:rPr>
              <w:t>●</w:t>
            </w:r>
          </w:p>
        </w:tc>
        <w:tc>
          <w:tcPr>
            <w:tcW w:w="1273" w:type="dxa"/>
            <w:tcBorders>
              <w:top w:val="nil"/>
              <w:left w:val="nil"/>
              <w:bottom w:val="single" w:sz="4" w:space="0" w:color="auto"/>
              <w:right w:val="nil"/>
            </w:tcBorders>
            <w:shd w:val="clear" w:color="auto" w:fill="auto"/>
            <w:vAlign w:val="center"/>
            <w:hideMark/>
          </w:tcPr>
          <w:p w14:paraId="2E68B6C0" w14:textId="77777777" w:rsidR="004A19BA" w:rsidRPr="004A19BA" w:rsidRDefault="004A19BA" w:rsidP="00982CCE">
            <w:pPr>
              <w:pStyle w:val="TabeladesnoUMAR"/>
              <w:rPr>
                <w:lang w:eastAsia="sl-SI"/>
              </w:rPr>
            </w:pPr>
            <w:r w:rsidRPr="004A19BA">
              <w:rPr>
                <w:lang w:eastAsia="sl-SI"/>
              </w:rPr>
              <w:t>Usklajevanje</w:t>
            </w:r>
          </w:p>
        </w:tc>
      </w:tr>
      <w:tr w:rsidR="00661508" w:rsidRPr="004A19BA" w14:paraId="43890B22"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2C8E5CC4" w14:textId="77777777" w:rsidR="004A19BA" w:rsidRPr="00CB123D" w:rsidRDefault="004A19BA" w:rsidP="00982CCE">
            <w:pPr>
              <w:pStyle w:val="TabelalevoUMAR"/>
              <w:rPr>
                <w:lang w:eastAsia="sl-SI"/>
              </w:rPr>
            </w:pPr>
            <w:r w:rsidRPr="00CB123D">
              <w:rPr>
                <w:lang w:eastAsia="sl-SI"/>
              </w:rPr>
              <w:t>Dejavnost poslovanja z nepremičninami</w:t>
            </w:r>
          </w:p>
        </w:tc>
        <w:tc>
          <w:tcPr>
            <w:tcW w:w="972" w:type="dxa"/>
            <w:tcBorders>
              <w:top w:val="nil"/>
              <w:left w:val="single" w:sz="4" w:space="0" w:color="auto"/>
              <w:bottom w:val="single" w:sz="4" w:space="0" w:color="auto"/>
              <w:right w:val="nil"/>
            </w:tcBorders>
            <w:shd w:val="clear" w:color="auto" w:fill="auto"/>
            <w:noWrap/>
            <w:vAlign w:val="center"/>
            <w:hideMark/>
          </w:tcPr>
          <w:p w14:paraId="6C899588" w14:textId="1D961761" w:rsidR="004A19BA" w:rsidRPr="004A19BA" w:rsidRDefault="004A19BA" w:rsidP="00982CCE">
            <w:pPr>
              <w:pStyle w:val="TabeladesnoUMAR"/>
              <w:jc w:val="center"/>
              <w:rPr>
                <w:lang w:eastAsia="sl-SI"/>
              </w:rPr>
            </w:pPr>
          </w:p>
        </w:tc>
        <w:tc>
          <w:tcPr>
            <w:tcW w:w="635" w:type="dxa"/>
            <w:tcBorders>
              <w:top w:val="nil"/>
              <w:left w:val="nil"/>
              <w:bottom w:val="single" w:sz="4" w:space="0" w:color="auto"/>
              <w:right w:val="nil"/>
            </w:tcBorders>
            <w:shd w:val="clear" w:color="auto" w:fill="auto"/>
            <w:noWrap/>
            <w:vAlign w:val="center"/>
            <w:hideMark/>
          </w:tcPr>
          <w:p w14:paraId="753A7A70" w14:textId="77777777" w:rsidR="004A19BA" w:rsidRPr="004A19BA" w:rsidRDefault="004A19BA" w:rsidP="00982CCE">
            <w:pPr>
              <w:pStyle w:val="TabeladesnoUMAR"/>
              <w:jc w:val="center"/>
              <w:rPr>
                <w:lang w:eastAsia="sl-SI"/>
              </w:rPr>
            </w:pPr>
            <w:r w:rsidRPr="004A19BA">
              <w:rPr>
                <w:lang w:eastAsia="sl-SI"/>
              </w:rPr>
              <w:t>●</w:t>
            </w:r>
          </w:p>
        </w:tc>
        <w:tc>
          <w:tcPr>
            <w:tcW w:w="634" w:type="dxa"/>
            <w:tcBorders>
              <w:top w:val="nil"/>
              <w:left w:val="nil"/>
              <w:bottom w:val="single" w:sz="4" w:space="0" w:color="auto"/>
              <w:right w:val="single" w:sz="4" w:space="0" w:color="auto"/>
            </w:tcBorders>
            <w:shd w:val="clear" w:color="auto" w:fill="auto"/>
            <w:noWrap/>
            <w:vAlign w:val="center"/>
            <w:hideMark/>
          </w:tcPr>
          <w:p w14:paraId="5F781A97" w14:textId="220B93D2" w:rsidR="004A19BA" w:rsidRPr="004A19BA" w:rsidRDefault="004A19BA" w:rsidP="00982CCE">
            <w:pPr>
              <w:pStyle w:val="TabeladesnoUMAR"/>
              <w:jc w:val="center"/>
              <w:rPr>
                <w:lang w:eastAsia="sl-SI"/>
              </w:rPr>
            </w:pPr>
          </w:p>
        </w:tc>
        <w:tc>
          <w:tcPr>
            <w:tcW w:w="1307" w:type="dxa"/>
            <w:tcBorders>
              <w:top w:val="nil"/>
              <w:left w:val="nil"/>
              <w:bottom w:val="single" w:sz="4" w:space="0" w:color="auto"/>
              <w:right w:val="nil"/>
            </w:tcBorders>
            <w:shd w:val="clear" w:color="auto" w:fill="auto"/>
            <w:noWrap/>
            <w:vAlign w:val="center"/>
            <w:hideMark/>
          </w:tcPr>
          <w:p w14:paraId="1DA0EF18" w14:textId="77777777" w:rsidR="004A19BA" w:rsidRPr="004A19BA" w:rsidRDefault="004A19BA" w:rsidP="00982CCE">
            <w:pPr>
              <w:pStyle w:val="TabeladesnoUMAR"/>
              <w:jc w:val="center"/>
              <w:rPr>
                <w:lang w:eastAsia="sl-SI"/>
              </w:rPr>
            </w:pPr>
            <w:r w:rsidRPr="004A19BA">
              <w:rPr>
                <w:lang w:eastAsia="sl-SI"/>
              </w:rPr>
              <w:t>●</w:t>
            </w:r>
          </w:p>
        </w:tc>
        <w:tc>
          <w:tcPr>
            <w:tcW w:w="1273" w:type="dxa"/>
            <w:tcBorders>
              <w:top w:val="nil"/>
              <w:left w:val="nil"/>
              <w:bottom w:val="single" w:sz="4" w:space="0" w:color="auto"/>
              <w:right w:val="nil"/>
            </w:tcBorders>
            <w:shd w:val="clear" w:color="auto" w:fill="auto"/>
            <w:vAlign w:val="center"/>
            <w:hideMark/>
          </w:tcPr>
          <w:p w14:paraId="42013633" w14:textId="77777777" w:rsidR="004A19BA" w:rsidRPr="004A19BA" w:rsidRDefault="004A19BA" w:rsidP="00982CCE">
            <w:pPr>
              <w:pStyle w:val="TabeladesnoUMAR"/>
              <w:rPr>
                <w:lang w:eastAsia="sl-SI"/>
              </w:rPr>
            </w:pPr>
            <w:r w:rsidRPr="004A19BA">
              <w:rPr>
                <w:lang w:eastAsia="sl-SI"/>
              </w:rPr>
              <w:t>Usklajevanje</w:t>
            </w:r>
          </w:p>
        </w:tc>
      </w:tr>
      <w:tr w:rsidR="00661508" w:rsidRPr="004A19BA" w14:paraId="45ECFA9B"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7B7CF190" w14:textId="04ADBA88" w:rsidR="004A19BA" w:rsidRPr="00CB123D" w:rsidRDefault="004A19BA" w:rsidP="00982CCE">
            <w:pPr>
              <w:pStyle w:val="TabelalevoUMAR"/>
              <w:rPr>
                <w:lang w:eastAsia="sl-SI"/>
              </w:rPr>
            </w:pPr>
            <w:r w:rsidRPr="00CB123D">
              <w:rPr>
                <w:lang w:eastAsia="sl-SI"/>
              </w:rPr>
              <w:t>Dejavnosti gostinstva in turizma</w:t>
            </w:r>
          </w:p>
        </w:tc>
        <w:tc>
          <w:tcPr>
            <w:tcW w:w="972" w:type="dxa"/>
            <w:tcBorders>
              <w:top w:val="nil"/>
              <w:left w:val="single" w:sz="4" w:space="0" w:color="auto"/>
              <w:bottom w:val="single" w:sz="4" w:space="0" w:color="auto"/>
              <w:right w:val="nil"/>
            </w:tcBorders>
            <w:shd w:val="clear" w:color="auto" w:fill="auto"/>
            <w:noWrap/>
            <w:vAlign w:val="center"/>
            <w:hideMark/>
          </w:tcPr>
          <w:p w14:paraId="034C15D4" w14:textId="31329FE1" w:rsidR="004A19BA" w:rsidRPr="004A19BA" w:rsidRDefault="004A19BA" w:rsidP="00982CCE">
            <w:pPr>
              <w:pStyle w:val="TabeladesnoUMAR"/>
              <w:jc w:val="center"/>
              <w:rPr>
                <w:lang w:eastAsia="sl-SI"/>
              </w:rPr>
            </w:pPr>
          </w:p>
        </w:tc>
        <w:tc>
          <w:tcPr>
            <w:tcW w:w="635" w:type="dxa"/>
            <w:tcBorders>
              <w:top w:val="nil"/>
              <w:left w:val="nil"/>
              <w:bottom w:val="single" w:sz="4" w:space="0" w:color="auto"/>
              <w:right w:val="nil"/>
            </w:tcBorders>
            <w:shd w:val="clear" w:color="auto" w:fill="auto"/>
            <w:noWrap/>
            <w:vAlign w:val="center"/>
            <w:hideMark/>
          </w:tcPr>
          <w:p w14:paraId="18EE2AE1" w14:textId="77777777" w:rsidR="004A19BA" w:rsidRPr="004A19BA" w:rsidRDefault="004A19BA" w:rsidP="00982CCE">
            <w:pPr>
              <w:pStyle w:val="TabeladesnoUMAR"/>
              <w:jc w:val="center"/>
              <w:rPr>
                <w:lang w:eastAsia="sl-SI"/>
              </w:rPr>
            </w:pPr>
            <w:r w:rsidRPr="004A19BA">
              <w:rPr>
                <w:lang w:eastAsia="sl-SI"/>
              </w:rPr>
              <w:t>●</w:t>
            </w:r>
          </w:p>
        </w:tc>
        <w:tc>
          <w:tcPr>
            <w:tcW w:w="634" w:type="dxa"/>
            <w:tcBorders>
              <w:top w:val="nil"/>
              <w:left w:val="nil"/>
              <w:bottom w:val="single" w:sz="4" w:space="0" w:color="auto"/>
              <w:right w:val="single" w:sz="4" w:space="0" w:color="auto"/>
            </w:tcBorders>
            <w:shd w:val="clear" w:color="auto" w:fill="auto"/>
            <w:noWrap/>
            <w:vAlign w:val="center"/>
            <w:hideMark/>
          </w:tcPr>
          <w:p w14:paraId="03EFAA73" w14:textId="7E2C443D" w:rsidR="004A19BA" w:rsidRPr="004A19BA" w:rsidRDefault="004A19BA" w:rsidP="00982CCE">
            <w:pPr>
              <w:pStyle w:val="TabeladesnoUMAR"/>
              <w:jc w:val="center"/>
              <w:rPr>
                <w:lang w:eastAsia="sl-SI"/>
              </w:rPr>
            </w:pPr>
          </w:p>
        </w:tc>
        <w:tc>
          <w:tcPr>
            <w:tcW w:w="1307" w:type="dxa"/>
            <w:tcBorders>
              <w:top w:val="nil"/>
              <w:left w:val="nil"/>
              <w:bottom w:val="single" w:sz="4" w:space="0" w:color="auto"/>
              <w:right w:val="nil"/>
            </w:tcBorders>
            <w:shd w:val="clear" w:color="auto" w:fill="auto"/>
            <w:noWrap/>
            <w:vAlign w:val="bottom"/>
            <w:hideMark/>
          </w:tcPr>
          <w:p w14:paraId="1C6AA471" w14:textId="0342DFA2" w:rsidR="004A19BA" w:rsidRPr="004A19BA" w:rsidRDefault="004A19BA" w:rsidP="00982CCE">
            <w:pPr>
              <w:pStyle w:val="TabeladesnoUMAR"/>
              <w:jc w:val="center"/>
              <w:rPr>
                <w:lang w:eastAsia="sl-SI"/>
              </w:rPr>
            </w:pPr>
          </w:p>
        </w:tc>
        <w:tc>
          <w:tcPr>
            <w:tcW w:w="1273" w:type="dxa"/>
            <w:tcBorders>
              <w:top w:val="nil"/>
              <w:left w:val="nil"/>
              <w:bottom w:val="single" w:sz="4" w:space="0" w:color="auto"/>
              <w:right w:val="nil"/>
            </w:tcBorders>
            <w:shd w:val="clear" w:color="auto" w:fill="auto"/>
            <w:vAlign w:val="center"/>
            <w:hideMark/>
          </w:tcPr>
          <w:p w14:paraId="42335266" w14:textId="77777777" w:rsidR="004A19BA" w:rsidRPr="004A19BA" w:rsidRDefault="004A19BA" w:rsidP="00982CCE">
            <w:pPr>
              <w:pStyle w:val="TabeladesnoUMAR"/>
              <w:rPr>
                <w:lang w:eastAsia="sl-SI"/>
              </w:rPr>
            </w:pPr>
            <w:r w:rsidRPr="004A19BA">
              <w:rPr>
                <w:lang w:eastAsia="sl-SI"/>
              </w:rPr>
              <w:t> </w:t>
            </w:r>
          </w:p>
        </w:tc>
      </w:tr>
      <w:tr w:rsidR="00661508" w:rsidRPr="004A19BA" w14:paraId="7B2EE41E"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2F56E733" w14:textId="17D9955A" w:rsidR="004A19BA" w:rsidRPr="00CB123D" w:rsidRDefault="004A19BA" w:rsidP="00982CCE">
            <w:pPr>
              <w:pStyle w:val="TabelalevoUMAR"/>
              <w:rPr>
                <w:lang w:eastAsia="sl-SI"/>
              </w:rPr>
            </w:pPr>
            <w:r w:rsidRPr="00CB123D">
              <w:rPr>
                <w:lang w:eastAsia="sl-SI"/>
              </w:rPr>
              <w:t>Gozdarstvo</w:t>
            </w:r>
          </w:p>
        </w:tc>
        <w:tc>
          <w:tcPr>
            <w:tcW w:w="972" w:type="dxa"/>
            <w:tcBorders>
              <w:top w:val="nil"/>
              <w:left w:val="single" w:sz="4" w:space="0" w:color="auto"/>
              <w:bottom w:val="single" w:sz="4" w:space="0" w:color="auto"/>
              <w:right w:val="nil"/>
            </w:tcBorders>
            <w:shd w:val="clear" w:color="auto" w:fill="auto"/>
            <w:noWrap/>
            <w:vAlign w:val="center"/>
            <w:hideMark/>
          </w:tcPr>
          <w:p w14:paraId="33F04FAB" w14:textId="378A0CEA" w:rsidR="004A19BA" w:rsidRPr="004A19BA" w:rsidRDefault="004A19BA" w:rsidP="00982CCE">
            <w:pPr>
              <w:pStyle w:val="TabeladesnoUMAR"/>
              <w:jc w:val="center"/>
              <w:rPr>
                <w:lang w:eastAsia="sl-SI"/>
              </w:rPr>
            </w:pPr>
          </w:p>
        </w:tc>
        <w:tc>
          <w:tcPr>
            <w:tcW w:w="635" w:type="dxa"/>
            <w:tcBorders>
              <w:top w:val="nil"/>
              <w:left w:val="nil"/>
              <w:bottom w:val="single" w:sz="4" w:space="0" w:color="auto"/>
              <w:right w:val="nil"/>
            </w:tcBorders>
            <w:shd w:val="clear" w:color="auto" w:fill="auto"/>
            <w:noWrap/>
            <w:vAlign w:val="center"/>
            <w:hideMark/>
          </w:tcPr>
          <w:p w14:paraId="252D192E" w14:textId="77777777" w:rsidR="004A19BA" w:rsidRPr="004A19BA" w:rsidRDefault="004A19BA" w:rsidP="00982CCE">
            <w:pPr>
              <w:pStyle w:val="TabeladesnoUMAR"/>
              <w:jc w:val="center"/>
              <w:rPr>
                <w:lang w:eastAsia="sl-SI"/>
              </w:rPr>
            </w:pPr>
            <w:r w:rsidRPr="004A19BA">
              <w:rPr>
                <w:lang w:eastAsia="sl-SI"/>
              </w:rPr>
              <w:t>●</w:t>
            </w:r>
          </w:p>
        </w:tc>
        <w:tc>
          <w:tcPr>
            <w:tcW w:w="634" w:type="dxa"/>
            <w:tcBorders>
              <w:top w:val="nil"/>
              <w:left w:val="nil"/>
              <w:bottom w:val="single" w:sz="4" w:space="0" w:color="auto"/>
              <w:right w:val="single" w:sz="4" w:space="0" w:color="auto"/>
            </w:tcBorders>
            <w:shd w:val="clear" w:color="auto" w:fill="auto"/>
            <w:noWrap/>
            <w:vAlign w:val="center"/>
            <w:hideMark/>
          </w:tcPr>
          <w:p w14:paraId="4E2BCD2E" w14:textId="461E364A" w:rsidR="004A19BA" w:rsidRPr="004A19BA" w:rsidRDefault="004A19BA" w:rsidP="00982CCE">
            <w:pPr>
              <w:pStyle w:val="TabeladesnoUMAR"/>
              <w:jc w:val="center"/>
              <w:rPr>
                <w:lang w:eastAsia="sl-SI"/>
              </w:rPr>
            </w:pPr>
          </w:p>
        </w:tc>
        <w:tc>
          <w:tcPr>
            <w:tcW w:w="1307" w:type="dxa"/>
            <w:tcBorders>
              <w:top w:val="nil"/>
              <w:left w:val="nil"/>
              <w:bottom w:val="single" w:sz="4" w:space="0" w:color="auto"/>
              <w:right w:val="nil"/>
            </w:tcBorders>
            <w:shd w:val="clear" w:color="auto" w:fill="auto"/>
            <w:noWrap/>
            <w:vAlign w:val="bottom"/>
            <w:hideMark/>
          </w:tcPr>
          <w:p w14:paraId="016B44E4" w14:textId="10159817" w:rsidR="004A19BA" w:rsidRPr="004A19BA" w:rsidRDefault="004A19BA" w:rsidP="00982CCE">
            <w:pPr>
              <w:pStyle w:val="TabeladesnoUMAR"/>
              <w:jc w:val="center"/>
              <w:rPr>
                <w:lang w:eastAsia="sl-SI"/>
              </w:rPr>
            </w:pPr>
          </w:p>
        </w:tc>
        <w:tc>
          <w:tcPr>
            <w:tcW w:w="1273" w:type="dxa"/>
            <w:tcBorders>
              <w:top w:val="nil"/>
              <w:left w:val="nil"/>
              <w:bottom w:val="single" w:sz="4" w:space="0" w:color="auto"/>
              <w:right w:val="nil"/>
            </w:tcBorders>
            <w:shd w:val="clear" w:color="auto" w:fill="auto"/>
            <w:vAlign w:val="center"/>
            <w:hideMark/>
          </w:tcPr>
          <w:p w14:paraId="0B3E96E1" w14:textId="77777777" w:rsidR="004A19BA" w:rsidRPr="004A19BA" w:rsidRDefault="004A19BA" w:rsidP="00982CCE">
            <w:pPr>
              <w:pStyle w:val="TabeladesnoUMAR"/>
              <w:rPr>
                <w:lang w:eastAsia="sl-SI"/>
              </w:rPr>
            </w:pPr>
            <w:r w:rsidRPr="004A19BA">
              <w:rPr>
                <w:lang w:eastAsia="sl-SI"/>
              </w:rPr>
              <w:t> </w:t>
            </w:r>
          </w:p>
        </w:tc>
      </w:tr>
      <w:tr w:rsidR="00661508" w:rsidRPr="004A19BA" w14:paraId="48821C33"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50F248F2" w14:textId="77777777" w:rsidR="004A19BA" w:rsidRPr="00CB123D" w:rsidRDefault="004A19BA" w:rsidP="00982CCE">
            <w:pPr>
              <w:pStyle w:val="TabelalevoUMAR"/>
              <w:rPr>
                <w:lang w:eastAsia="sl-SI"/>
              </w:rPr>
            </w:pPr>
            <w:r w:rsidRPr="00CB123D">
              <w:rPr>
                <w:lang w:eastAsia="sl-SI"/>
              </w:rPr>
              <w:t>Gradbene dejavnosti</w:t>
            </w:r>
          </w:p>
        </w:tc>
        <w:tc>
          <w:tcPr>
            <w:tcW w:w="972" w:type="dxa"/>
            <w:tcBorders>
              <w:top w:val="nil"/>
              <w:left w:val="single" w:sz="4" w:space="0" w:color="auto"/>
              <w:bottom w:val="single" w:sz="4" w:space="0" w:color="auto"/>
              <w:right w:val="nil"/>
            </w:tcBorders>
            <w:shd w:val="clear" w:color="auto" w:fill="auto"/>
            <w:noWrap/>
            <w:vAlign w:val="center"/>
            <w:hideMark/>
          </w:tcPr>
          <w:p w14:paraId="79E55FAD" w14:textId="277870B7" w:rsidR="004A19BA" w:rsidRPr="004A19BA" w:rsidRDefault="004A19BA" w:rsidP="00982CCE">
            <w:pPr>
              <w:pStyle w:val="TabeladesnoUMAR"/>
              <w:jc w:val="center"/>
              <w:rPr>
                <w:lang w:eastAsia="sl-SI"/>
              </w:rPr>
            </w:pPr>
          </w:p>
        </w:tc>
        <w:tc>
          <w:tcPr>
            <w:tcW w:w="635" w:type="dxa"/>
            <w:tcBorders>
              <w:top w:val="nil"/>
              <w:left w:val="nil"/>
              <w:bottom w:val="single" w:sz="4" w:space="0" w:color="auto"/>
              <w:right w:val="nil"/>
            </w:tcBorders>
            <w:shd w:val="clear" w:color="auto" w:fill="auto"/>
            <w:noWrap/>
            <w:vAlign w:val="center"/>
            <w:hideMark/>
          </w:tcPr>
          <w:p w14:paraId="6F946209" w14:textId="77777777" w:rsidR="004A19BA" w:rsidRPr="004A19BA" w:rsidRDefault="004A19BA" w:rsidP="00982CCE">
            <w:pPr>
              <w:pStyle w:val="TabeladesnoUMAR"/>
              <w:jc w:val="center"/>
              <w:rPr>
                <w:lang w:eastAsia="sl-SI"/>
              </w:rPr>
            </w:pPr>
            <w:r w:rsidRPr="004A19BA">
              <w:rPr>
                <w:lang w:eastAsia="sl-SI"/>
              </w:rPr>
              <w:t>●</w:t>
            </w:r>
          </w:p>
        </w:tc>
        <w:tc>
          <w:tcPr>
            <w:tcW w:w="634" w:type="dxa"/>
            <w:tcBorders>
              <w:top w:val="nil"/>
              <w:left w:val="nil"/>
              <w:bottom w:val="single" w:sz="4" w:space="0" w:color="auto"/>
              <w:right w:val="single" w:sz="4" w:space="0" w:color="auto"/>
            </w:tcBorders>
            <w:shd w:val="clear" w:color="auto" w:fill="auto"/>
            <w:noWrap/>
            <w:vAlign w:val="center"/>
            <w:hideMark/>
          </w:tcPr>
          <w:p w14:paraId="2A81EC94" w14:textId="5288E576" w:rsidR="004A19BA" w:rsidRPr="004A19BA" w:rsidRDefault="004A19BA" w:rsidP="00982CCE">
            <w:pPr>
              <w:pStyle w:val="TabeladesnoUMAR"/>
              <w:jc w:val="center"/>
              <w:rPr>
                <w:lang w:eastAsia="sl-SI"/>
              </w:rPr>
            </w:pPr>
          </w:p>
        </w:tc>
        <w:tc>
          <w:tcPr>
            <w:tcW w:w="1307" w:type="dxa"/>
            <w:tcBorders>
              <w:top w:val="nil"/>
              <w:left w:val="nil"/>
              <w:bottom w:val="single" w:sz="4" w:space="0" w:color="auto"/>
              <w:right w:val="nil"/>
            </w:tcBorders>
            <w:shd w:val="clear" w:color="auto" w:fill="auto"/>
            <w:noWrap/>
            <w:vAlign w:val="center"/>
            <w:hideMark/>
          </w:tcPr>
          <w:p w14:paraId="555DC69A" w14:textId="77777777" w:rsidR="004A19BA" w:rsidRPr="004A19BA" w:rsidRDefault="004A19BA" w:rsidP="00982CCE">
            <w:pPr>
              <w:pStyle w:val="TabeladesnoUMAR"/>
              <w:jc w:val="center"/>
              <w:rPr>
                <w:lang w:eastAsia="sl-SI"/>
              </w:rPr>
            </w:pPr>
            <w:r w:rsidRPr="004A19BA">
              <w:rPr>
                <w:lang w:eastAsia="sl-SI"/>
              </w:rPr>
              <w:t>●</w:t>
            </w:r>
          </w:p>
        </w:tc>
        <w:tc>
          <w:tcPr>
            <w:tcW w:w="1273" w:type="dxa"/>
            <w:tcBorders>
              <w:top w:val="nil"/>
              <w:left w:val="nil"/>
              <w:bottom w:val="single" w:sz="4" w:space="0" w:color="auto"/>
              <w:right w:val="nil"/>
            </w:tcBorders>
            <w:shd w:val="clear" w:color="auto" w:fill="auto"/>
            <w:vAlign w:val="center"/>
            <w:hideMark/>
          </w:tcPr>
          <w:p w14:paraId="0998DDD0" w14:textId="77777777" w:rsidR="004A19BA" w:rsidRPr="004A19BA" w:rsidRDefault="004A19BA" w:rsidP="00982CCE">
            <w:pPr>
              <w:pStyle w:val="TabeladesnoUMAR"/>
              <w:rPr>
                <w:lang w:eastAsia="sl-SI"/>
              </w:rPr>
            </w:pPr>
            <w:r w:rsidRPr="004A19BA">
              <w:rPr>
                <w:lang w:eastAsia="sl-SI"/>
              </w:rPr>
              <w:t>Usklajevanje</w:t>
            </w:r>
          </w:p>
        </w:tc>
      </w:tr>
      <w:tr w:rsidR="00661508" w:rsidRPr="004A19BA" w14:paraId="424BD260"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4280ADBD" w14:textId="78712339" w:rsidR="004A19BA" w:rsidRPr="00CB123D" w:rsidRDefault="004A19BA" w:rsidP="00982CCE">
            <w:pPr>
              <w:pStyle w:val="TabelalevoUMAR"/>
              <w:rPr>
                <w:lang w:eastAsia="sl-SI"/>
              </w:rPr>
            </w:pPr>
            <w:r w:rsidRPr="00CB123D">
              <w:rPr>
                <w:lang w:eastAsia="sl-SI"/>
              </w:rPr>
              <w:t>Med delavci in družbami drobnega gospodarstva</w:t>
            </w:r>
          </w:p>
        </w:tc>
        <w:tc>
          <w:tcPr>
            <w:tcW w:w="972" w:type="dxa"/>
            <w:tcBorders>
              <w:top w:val="nil"/>
              <w:left w:val="single" w:sz="4" w:space="0" w:color="auto"/>
              <w:bottom w:val="single" w:sz="4" w:space="0" w:color="auto"/>
              <w:right w:val="nil"/>
            </w:tcBorders>
            <w:shd w:val="clear" w:color="auto" w:fill="auto"/>
            <w:noWrap/>
            <w:vAlign w:val="center"/>
            <w:hideMark/>
          </w:tcPr>
          <w:p w14:paraId="5D960400" w14:textId="68D7B68F" w:rsidR="004A19BA" w:rsidRPr="004A19BA" w:rsidRDefault="004A19BA" w:rsidP="00982CCE">
            <w:pPr>
              <w:pStyle w:val="TabeladesnoUMAR"/>
              <w:jc w:val="center"/>
              <w:rPr>
                <w:lang w:eastAsia="sl-SI"/>
              </w:rPr>
            </w:pPr>
          </w:p>
        </w:tc>
        <w:tc>
          <w:tcPr>
            <w:tcW w:w="635" w:type="dxa"/>
            <w:tcBorders>
              <w:top w:val="nil"/>
              <w:left w:val="nil"/>
              <w:bottom w:val="single" w:sz="4" w:space="0" w:color="auto"/>
              <w:right w:val="nil"/>
            </w:tcBorders>
            <w:shd w:val="clear" w:color="auto" w:fill="auto"/>
            <w:noWrap/>
            <w:vAlign w:val="center"/>
            <w:hideMark/>
          </w:tcPr>
          <w:p w14:paraId="5F2453C2" w14:textId="77777777" w:rsidR="004A19BA" w:rsidRPr="004A19BA" w:rsidRDefault="004A19BA" w:rsidP="00982CCE">
            <w:pPr>
              <w:pStyle w:val="TabeladesnoUMAR"/>
              <w:jc w:val="center"/>
              <w:rPr>
                <w:lang w:eastAsia="sl-SI"/>
              </w:rPr>
            </w:pPr>
            <w:r w:rsidRPr="004A19BA">
              <w:rPr>
                <w:lang w:eastAsia="sl-SI"/>
              </w:rPr>
              <w:t>●</w:t>
            </w:r>
          </w:p>
        </w:tc>
        <w:tc>
          <w:tcPr>
            <w:tcW w:w="634" w:type="dxa"/>
            <w:tcBorders>
              <w:top w:val="nil"/>
              <w:left w:val="nil"/>
              <w:bottom w:val="single" w:sz="4" w:space="0" w:color="auto"/>
              <w:right w:val="single" w:sz="4" w:space="0" w:color="auto"/>
            </w:tcBorders>
            <w:shd w:val="clear" w:color="auto" w:fill="auto"/>
            <w:noWrap/>
            <w:vAlign w:val="center"/>
            <w:hideMark/>
          </w:tcPr>
          <w:p w14:paraId="0FAE1890" w14:textId="36836BDC" w:rsidR="004A19BA" w:rsidRPr="004A19BA" w:rsidRDefault="004A19BA" w:rsidP="00982CCE">
            <w:pPr>
              <w:pStyle w:val="TabeladesnoUMAR"/>
              <w:jc w:val="center"/>
              <w:rPr>
                <w:lang w:eastAsia="sl-SI"/>
              </w:rPr>
            </w:pPr>
          </w:p>
        </w:tc>
        <w:tc>
          <w:tcPr>
            <w:tcW w:w="1307" w:type="dxa"/>
            <w:tcBorders>
              <w:top w:val="nil"/>
              <w:left w:val="nil"/>
              <w:bottom w:val="single" w:sz="4" w:space="0" w:color="auto"/>
              <w:right w:val="nil"/>
            </w:tcBorders>
            <w:shd w:val="clear" w:color="auto" w:fill="auto"/>
            <w:noWrap/>
            <w:vAlign w:val="center"/>
            <w:hideMark/>
          </w:tcPr>
          <w:p w14:paraId="24F1130C" w14:textId="77777777" w:rsidR="004A19BA" w:rsidRPr="004A19BA" w:rsidRDefault="004A19BA" w:rsidP="00982CCE">
            <w:pPr>
              <w:pStyle w:val="TabeladesnoUMAR"/>
              <w:jc w:val="center"/>
              <w:rPr>
                <w:lang w:eastAsia="sl-SI"/>
              </w:rPr>
            </w:pPr>
            <w:r w:rsidRPr="004A19BA">
              <w:rPr>
                <w:lang w:eastAsia="sl-SI"/>
              </w:rPr>
              <w:t>●</w:t>
            </w:r>
          </w:p>
        </w:tc>
        <w:tc>
          <w:tcPr>
            <w:tcW w:w="1273" w:type="dxa"/>
            <w:tcBorders>
              <w:top w:val="nil"/>
              <w:left w:val="nil"/>
              <w:bottom w:val="single" w:sz="4" w:space="0" w:color="auto"/>
              <w:right w:val="nil"/>
            </w:tcBorders>
            <w:shd w:val="clear" w:color="auto" w:fill="auto"/>
            <w:vAlign w:val="center"/>
            <w:hideMark/>
          </w:tcPr>
          <w:p w14:paraId="4F7478D1" w14:textId="77777777" w:rsidR="004A19BA" w:rsidRPr="004A19BA" w:rsidRDefault="004A19BA" w:rsidP="00982CCE">
            <w:pPr>
              <w:pStyle w:val="TabeladesnoUMAR"/>
              <w:rPr>
                <w:lang w:eastAsia="sl-SI"/>
              </w:rPr>
            </w:pPr>
            <w:r w:rsidRPr="004A19BA">
              <w:rPr>
                <w:lang w:eastAsia="sl-SI"/>
              </w:rPr>
              <w:t>Fiksno</w:t>
            </w:r>
          </w:p>
        </w:tc>
      </w:tr>
      <w:tr w:rsidR="00661508" w:rsidRPr="004A19BA" w14:paraId="1E81877F"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71D28EA7" w14:textId="27613C4B" w:rsidR="004A19BA" w:rsidRPr="00CB123D" w:rsidRDefault="004A19BA" w:rsidP="00982CCE">
            <w:pPr>
              <w:pStyle w:val="TabelalevoUMAR"/>
              <w:rPr>
                <w:lang w:eastAsia="sl-SI"/>
              </w:rPr>
            </w:pPr>
            <w:r w:rsidRPr="00CB123D">
              <w:rPr>
                <w:lang w:eastAsia="sl-SI"/>
              </w:rPr>
              <w:t>Cestni potniški promet</w:t>
            </w:r>
          </w:p>
        </w:tc>
        <w:tc>
          <w:tcPr>
            <w:tcW w:w="972" w:type="dxa"/>
            <w:tcBorders>
              <w:top w:val="nil"/>
              <w:left w:val="single" w:sz="4" w:space="0" w:color="auto"/>
              <w:bottom w:val="single" w:sz="4" w:space="0" w:color="auto"/>
              <w:right w:val="nil"/>
            </w:tcBorders>
            <w:shd w:val="clear" w:color="auto" w:fill="auto"/>
            <w:noWrap/>
            <w:vAlign w:val="center"/>
            <w:hideMark/>
          </w:tcPr>
          <w:p w14:paraId="35B79E72" w14:textId="6ACD9D94" w:rsidR="004A19BA" w:rsidRPr="004A19BA" w:rsidRDefault="004A19BA" w:rsidP="00982CCE">
            <w:pPr>
              <w:pStyle w:val="TabeladesnoUMAR"/>
              <w:jc w:val="center"/>
              <w:rPr>
                <w:lang w:eastAsia="sl-SI"/>
              </w:rPr>
            </w:pPr>
          </w:p>
        </w:tc>
        <w:tc>
          <w:tcPr>
            <w:tcW w:w="635" w:type="dxa"/>
            <w:tcBorders>
              <w:top w:val="nil"/>
              <w:left w:val="nil"/>
              <w:bottom w:val="single" w:sz="4" w:space="0" w:color="auto"/>
              <w:right w:val="nil"/>
            </w:tcBorders>
            <w:shd w:val="clear" w:color="auto" w:fill="auto"/>
            <w:noWrap/>
            <w:vAlign w:val="center"/>
            <w:hideMark/>
          </w:tcPr>
          <w:p w14:paraId="604645F7" w14:textId="6D231B9E" w:rsidR="004A19BA" w:rsidRPr="004A19BA" w:rsidRDefault="004A19BA" w:rsidP="00982CCE">
            <w:pPr>
              <w:pStyle w:val="TabeladesnoUMAR"/>
              <w:jc w:val="center"/>
              <w:rPr>
                <w:lang w:eastAsia="sl-SI"/>
              </w:rPr>
            </w:pPr>
          </w:p>
        </w:tc>
        <w:tc>
          <w:tcPr>
            <w:tcW w:w="634" w:type="dxa"/>
            <w:tcBorders>
              <w:top w:val="nil"/>
              <w:left w:val="nil"/>
              <w:bottom w:val="single" w:sz="4" w:space="0" w:color="auto"/>
              <w:right w:val="single" w:sz="4" w:space="0" w:color="auto"/>
            </w:tcBorders>
            <w:shd w:val="clear" w:color="auto" w:fill="auto"/>
            <w:noWrap/>
            <w:vAlign w:val="center"/>
            <w:hideMark/>
          </w:tcPr>
          <w:p w14:paraId="02F70AAC" w14:textId="77777777" w:rsidR="004A19BA" w:rsidRPr="004A19BA" w:rsidRDefault="004A19BA" w:rsidP="00982CCE">
            <w:pPr>
              <w:pStyle w:val="TabeladesnoUMAR"/>
              <w:jc w:val="center"/>
              <w:rPr>
                <w:lang w:eastAsia="sl-SI"/>
              </w:rPr>
            </w:pPr>
            <w:r w:rsidRPr="004A19BA">
              <w:rPr>
                <w:lang w:eastAsia="sl-SI"/>
              </w:rPr>
              <w:t>●</w:t>
            </w:r>
          </w:p>
        </w:tc>
        <w:tc>
          <w:tcPr>
            <w:tcW w:w="1307" w:type="dxa"/>
            <w:tcBorders>
              <w:top w:val="nil"/>
              <w:left w:val="nil"/>
              <w:bottom w:val="single" w:sz="4" w:space="0" w:color="auto"/>
              <w:right w:val="nil"/>
            </w:tcBorders>
            <w:shd w:val="clear" w:color="auto" w:fill="auto"/>
            <w:noWrap/>
            <w:vAlign w:val="bottom"/>
            <w:hideMark/>
          </w:tcPr>
          <w:p w14:paraId="5A611836" w14:textId="76E7691E" w:rsidR="004A19BA" w:rsidRPr="004A19BA" w:rsidRDefault="004A19BA" w:rsidP="00982CCE">
            <w:pPr>
              <w:pStyle w:val="TabeladesnoUMAR"/>
              <w:jc w:val="center"/>
              <w:rPr>
                <w:lang w:eastAsia="sl-SI"/>
              </w:rPr>
            </w:pPr>
          </w:p>
        </w:tc>
        <w:tc>
          <w:tcPr>
            <w:tcW w:w="1273" w:type="dxa"/>
            <w:tcBorders>
              <w:top w:val="nil"/>
              <w:left w:val="nil"/>
              <w:bottom w:val="single" w:sz="4" w:space="0" w:color="auto"/>
              <w:right w:val="nil"/>
            </w:tcBorders>
            <w:shd w:val="clear" w:color="auto" w:fill="auto"/>
            <w:vAlign w:val="center"/>
            <w:hideMark/>
          </w:tcPr>
          <w:p w14:paraId="59EAC482" w14:textId="77777777" w:rsidR="004A19BA" w:rsidRPr="004A19BA" w:rsidRDefault="004A19BA" w:rsidP="00982CCE">
            <w:pPr>
              <w:pStyle w:val="TabeladesnoUMAR"/>
              <w:rPr>
                <w:lang w:eastAsia="sl-SI"/>
              </w:rPr>
            </w:pPr>
            <w:r w:rsidRPr="004A19BA">
              <w:rPr>
                <w:lang w:eastAsia="sl-SI"/>
              </w:rPr>
              <w:t> </w:t>
            </w:r>
          </w:p>
        </w:tc>
      </w:tr>
      <w:tr w:rsidR="00661508" w:rsidRPr="004A19BA" w14:paraId="705FCB9E"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6A37C590" w14:textId="3E490974" w:rsidR="004A19BA" w:rsidRPr="00CB123D" w:rsidRDefault="004A19BA" w:rsidP="00982CCE">
            <w:pPr>
              <w:pStyle w:val="TabelalevoUMAR"/>
              <w:rPr>
                <w:lang w:eastAsia="sl-SI"/>
              </w:rPr>
            </w:pPr>
            <w:r w:rsidRPr="00CB123D">
              <w:rPr>
                <w:lang w:eastAsia="sl-SI"/>
              </w:rPr>
              <w:t>Časopisnoinf</w:t>
            </w:r>
            <w:r w:rsidR="00661508">
              <w:rPr>
                <w:lang w:eastAsia="sl-SI"/>
              </w:rPr>
              <w:t>.</w:t>
            </w:r>
            <w:r w:rsidRPr="00CB123D">
              <w:rPr>
                <w:lang w:eastAsia="sl-SI"/>
              </w:rPr>
              <w:t>, založniške in knjigotrške dej</w:t>
            </w:r>
            <w:r w:rsidR="00722E17" w:rsidRPr="00CB123D">
              <w:rPr>
                <w:lang w:eastAsia="sl-SI"/>
              </w:rPr>
              <w:t>.</w:t>
            </w:r>
          </w:p>
        </w:tc>
        <w:tc>
          <w:tcPr>
            <w:tcW w:w="972" w:type="dxa"/>
            <w:tcBorders>
              <w:top w:val="nil"/>
              <w:left w:val="single" w:sz="4" w:space="0" w:color="auto"/>
              <w:bottom w:val="single" w:sz="4" w:space="0" w:color="auto"/>
              <w:right w:val="nil"/>
            </w:tcBorders>
            <w:shd w:val="clear" w:color="auto" w:fill="auto"/>
            <w:noWrap/>
            <w:vAlign w:val="center"/>
            <w:hideMark/>
          </w:tcPr>
          <w:p w14:paraId="78A30884" w14:textId="26B89352" w:rsidR="004A19BA" w:rsidRPr="004A19BA" w:rsidRDefault="004A19BA" w:rsidP="00982CCE">
            <w:pPr>
              <w:pStyle w:val="TabeladesnoUMAR"/>
              <w:jc w:val="center"/>
              <w:rPr>
                <w:lang w:eastAsia="sl-SI"/>
              </w:rPr>
            </w:pPr>
          </w:p>
        </w:tc>
        <w:tc>
          <w:tcPr>
            <w:tcW w:w="635" w:type="dxa"/>
            <w:tcBorders>
              <w:top w:val="nil"/>
              <w:left w:val="nil"/>
              <w:bottom w:val="single" w:sz="4" w:space="0" w:color="auto"/>
              <w:right w:val="nil"/>
            </w:tcBorders>
            <w:shd w:val="clear" w:color="auto" w:fill="auto"/>
            <w:noWrap/>
            <w:vAlign w:val="center"/>
            <w:hideMark/>
          </w:tcPr>
          <w:p w14:paraId="218A9CAD" w14:textId="11F8682A" w:rsidR="004A19BA" w:rsidRPr="004A19BA" w:rsidRDefault="004A19BA" w:rsidP="00982CCE">
            <w:pPr>
              <w:pStyle w:val="TabeladesnoUMAR"/>
              <w:jc w:val="center"/>
              <w:rPr>
                <w:lang w:eastAsia="sl-SI"/>
              </w:rPr>
            </w:pPr>
          </w:p>
        </w:tc>
        <w:tc>
          <w:tcPr>
            <w:tcW w:w="634" w:type="dxa"/>
            <w:tcBorders>
              <w:top w:val="nil"/>
              <w:left w:val="nil"/>
              <w:bottom w:val="single" w:sz="4" w:space="0" w:color="auto"/>
              <w:right w:val="single" w:sz="4" w:space="0" w:color="auto"/>
            </w:tcBorders>
            <w:shd w:val="clear" w:color="auto" w:fill="auto"/>
            <w:noWrap/>
            <w:vAlign w:val="center"/>
            <w:hideMark/>
          </w:tcPr>
          <w:p w14:paraId="5DA961E7" w14:textId="77777777" w:rsidR="004A19BA" w:rsidRPr="004A19BA" w:rsidRDefault="004A19BA" w:rsidP="00982CCE">
            <w:pPr>
              <w:pStyle w:val="TabeladesnoUMAR"/>
              <w:jc w:val="center"/>
              <w:rPr>
                <w:lang w:eastAsia="sl-SI"/>
              </w:rPr>
            </w:pPr>
            <w:r w:rsidRPr="004A19BA">
              <w:rPr>
                <w:lang w:eastAsia="sl-SI"/>
              </w:rPr>
              <w:t>●</w:t>
            </w:r>
          </w:p>
        </w:tc>
        <w:tc>
          <w:tcPr>
            <w:tcW w:w="1307" w:type="dxa"/>
            <w:tcBorders>
              <w:top w:val="nil"/>
              <w:left w:val="nil"/>
              <w:bottom w:val="single" w:sz="4" w:space="0" w:color="auto"/>
              <w:right w:val="nil"/>
            </w:tcBorders>
            <w:shd w:val="clear" w:color="auto" w:fill="auto"/>
            <w:noWrap/>
            <w:vAlign w:val="center"/>
            <w:hideMark/>
          </w:tcPr>
          <w:p w14:paraId="461DB894" w14:textId="77777777" w:rsidR="004A19BA" w:rsidRPr="004A19BA" w:rsidRDefault="004A19BA" w:rsidP="00982CCE">
            <w:pPr>
              <w:pStyle w:val="TabeladesnoUMAR"/>
              <w:jc w:val="center"/>
              <w:rPr>
                <w:lang w:eastAsia="sl-SI"/>
              </w:rPr>
            </w:pPr>
            <w:r w:rsidRPr="004A19BA">
              <w:rPr>
                <w:lang w:eastAsia="sl-SI"/>
              </w:rPr>
              <w:t>●</w:t>
            </w:r>
          </w:p>
        </w:tc>
        <w:tc>
          <w:tcPr>
            <w:tcW w:w="1273" w:type="dxa"/>
            <w:tcBorders>
              <w:top w:val="nil"/>
              <w:left w:val="nil"/>
              <w:bottom w:val="single" w:sz="4" w:space="0" w:color="auto"/>
              <w:right w:val="nil"/>
            </w:tcBorders>
            <w:shd w:val="clear" w:color="auto" w:fill="auto"/>
            <w:vAlign w:val="center"/>
            <w:hideMark/>
          </w:tcPr>
          <w:p w14:paraId="7D3EE18D" w14:textId="77777777" w:rsidR="004A19BA" w:rsidRPr="004A19BA" w:rsidRDefault="004A19BA" w:rsidP="00982CCE">
            <w:pPr>
              <w:pStyle w:val="TabeladesnoUMAR"/>
              <w:rPr>
                <w:lang w:eastAsia="sl-SI"/>
              </w:rPr>
            </w:pPr>
            <w:r w:rsidRPr="004A19BA">
              <w:rPr>
                <w:lang w:eastAsia="sl-SI"/>
              </w:rPr>
              <w:t>Fiksno</w:t>
            </w:r>
          </w:p>
        </w:tc>
      </w:tr>
      <w:tr w:rsidR="00661508" w:rsidRPr="004A19BA" w14:paraId="02F8C68F"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26134DBB" w14:textId="77777777" w:rsidR="004A19BA" w:rsidRPr="00CB123D" w:rsidRDefault="004A19BA" w:rsidP="00982CCE">
            <w:pPr>
              <w:pStyle w:val="TabelalevoUMAR"/>
              <w:rPr>
                <w:lang w:eastAsia="sl-SI"/>
              </w:rPr>
            </w:pPr>
            <w:r w:rsidRPr="00CB123D">
              <w:rPr>
                <w:lang w:eastAsia="sl-SI"/>
              </w:rPr>
              <w:t>Dejavnosti bančništva</w:t>
            </w:r>
          </w:p>
        </w:tc>
        <w:tc>
          <w:tcPr>
            <w:tcW w:w="972" w:type="dxa"/>
            <w:tcBorders>
              <w:top w:val="nil"/>
              <w:left w:val="single" w:sz="4" w:space="0" w:color="auto"/>
              <w:bottom w:val="single" w:sz="4" w:space="0" w:color="auto"/>
              <w:right w:val="nil"/>
            </w:tcBorders>
            <w:shd w:val="clear" w:color="auto" w:fill="auto"/>
            <w:noWrap/>
            <w:vAlign w:val="center"/>
            <w:hideMark/>
          </w:tcPr>
          <w:p w14:paraId="4D99D6F9" w14:textId="01C0CFA7" w:rsidR="004A19BA" w:rsidRPr="004A19BA" w:rsidRDefault="004A19BA" w:rsidP="00982CCE">
            <w:pPr>
              <w:pStyle w:val="TabeladesnoUMAR"/>
              <w:jc w:val="center"/>
              <w:rPr>
                <w:lang w:eastAsia="sl-SI"/>
              </w:rPr>
            </w:pPr>
          </w:p>
        </w:tc>
        <w:tc>
          <w:tcPr>
            <w:tcW w:w="635" w:type="dxa"/>
            <w:tcBorders>
              <w:top w:val="nil"/>
              <w:left w:val="nil"/>
              <w:bottom w:val="single" w:sz="4" w:space="0" w:color="auto"/>
              <w:right w:val="nil"/>
            </w:tcBorders>
            <w:shd w:val="clear" w:color="auto" w:fill="auto"/>
            <w:noWrap/>
            <w:vAlign w:val="center"/>
            <w:hideMark/>
          </w:tcPr>
          <w:p w14:paraId="21D8F8B5" w14:textId="5CEAFC94" w:rsidR="004A19BA" w:rsidRPr="004A19BA" w:rsidRDefault="004A19BA" w:rsidP="00982CCE">
            <w:pPr>
              <w:pStyle w:val="TabeladesnoUMAR"/>
              <w:jc w:val="center"/>
              <w:rPr>
                <w:lang w:eastAsia="sl-SI"/>
              </w:rPr>
            </w:pPr>
          </w:p>
        </w:tc>
        <w:tc>
          <w:tcPr>
            <w:tcW w:w="634" w:type="dxa"/>
            <w:tcBorders>
              <w:top w:val="nil"/>
              <w:left w:val="nil"/>
              <w:bottom w:val="single" w:sz="4" w:space="0" w:color="auto"/>
              <w:right w:val="single" w:sz="4" w:space="0" w:color="auto"/>
            </w:tcBorders>
            <w:shd w:val="clear" w:color="auto" w:fill="auto"/>
            <w:noWrap/>
            <w:vAlign w:val="center"/>
            <w:hideMark/>
          </w:tcPr>
          <w:p w14:paraId="1BCA00F6" w14:textId="77777777" w:rsidR="004A19BA" w:rsidRPr="004A19BA" w:rsidRDefault="004A19BA" w:rsidP="00982CCE">
            <w:pPr>
              <w:pStyle w:val="TabeladesnoUMAR"/>
              <w:jc w:val="center"/>
              <w:rPr>
                <w:lang w:eastAsia="sl-SI"/>
              </w:rPr>
            </w:pPr>
            <w:r w:rsidRPr="004A19BA">
              <w:rPr>
                <w:lang w:eastAsia="sl-SI"/>
              </w:rPr>
              <w:t>●</w:t>
            </w:r>
          </w:p>
        </w:tc>
        <w:tc>
          <w:tcPr>
            <w:tcW w:w="1307" w:type="dxa"/>
            <w:tcBorders>
              <w:top w:val="nil"/>
              <w:left w:val="nil"/>
              <w:bottom w:val="single" w:sz="4" w:space="0" w:color="auto"/>
              <w:right w:val="nil"/>
            </w:tcBorders>
            <w:shd w:val="clear" w:color="auto" w:fill="auto"/>
            <w:noWrap/>
            <w:vAlign w:val="center"/>
            <w:hideMark/>
          </w:tcPr>
          <w:p w14:paraId="2F93A29A" w14:textId="77777777" w:rsidR="004A19BA" w:rsidRPr="004A19BA" w:rsidRDefault="004A19BA" w:rsidP="00982CCE">
            <w:pPr>
              <w:pStyle w:val="TabeladesnoUMAR"/>
              <w:jc w:val="center"/>
              <w:rPr>
                <w:lang w:eastAsia="sl-SI"/>
              </w:rPr>
            </w:pPr>
            <w:r w:rsidRPr="004A19BA">
              <w:rPr>
                <w:lang w:eastAsia="sl-SI"/>
              </w:rPr>
              <w:t>●</w:t>
            </w:r>
          </w:p>
        </w:tc>
        <w:tc>
          <w:tcPr>
            <w:tcW w:w="1273" w:type="dxa"/>
            <w:tcBorders>
              <w:top w:val="nil"/>
              <w:left w:val="nil"/>
              <w:bottom w:val="single" w:sz="4" w:space="0" w:color="auto"/>
              <w:right w:val="nil"/>
            </w:tcBorders>
            <w:shd w:val="clear" w:color="auto" w:fill="auto"/>
            <w:vAlign w:val="center"/>
            <w:hideMark/>
          </w:tcPr>
          <w:p w14:paraId="4DD1C17D" w14:textId="77777777" w:rsidR="004A19BA" w:rsidRPr="004A19BA" w:rsidRDefault="004A19BA" w:rsidP="00982CCE">
            <w:pPr>
              <w:pStyle w:val="TabeladesnoUMAR"/>
              <w:rPr>
                <w:lang w:eastAsia="sl-SI"/>
              </w:rPr>
            </w:pPr>
            <w:r w:rsidRPr="004A19BA">
              <w:rPr>
                <w:lang w:eastAsia="sl-SI"/>
              </w:rPr>
              <w:t>Fiksno</w:t>
            </w:r>
          </w:p>
        </w:tc>
      </w:tr>
      <w:tr w:rsidR="00661508" w:rsidRPr="004A19BA" w14:paraId="1FD2E11A"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1CE60FE1" w14:textId="77777777" w:rsidR="004A19BA" w:rsidRPr="00CB123D" w:rsidRDefault="004A19BA" w:rsidP="00982CCE">
            <w:pPr>
              <w:pStyle w:val="TabelalevoUMAR"/>
              <w:rPr>
                <w:lang w:eastAsia="sl-SI"/>
              </w:rPr>
            </w:pPr>
            <w:r w:rsidRPr="00CB123D">
              <w:rPr>
                <w:lang w:eastAsia="sl-SI"/>
              </w:rPr>
              <w:t>Grafične dejavnosti</w:t>
            </w:r>
          </w:p>
        </w:tc>
        <w:tc>
          <w:tcPr>
            <w:tcW w:w="972" w:type="dxa"/>
            <w:tcBorders>
              <w:top w:val="nil"/>
              <w:left w:val="single" w:sz="4" w:space="0" w:color="auto"/>
              <w:bottom w:val="single" w:sz="4" w:space="0" w:color="auto"/>
              <w:right w:val="nil"/>
            </w:tcBorders>
            <w:shd w:val="clear" w:color="auto" w:fill="auto"/>
            <w:noWrap/>
            <w:vAlign w:val="center"/>
            <w:hideMark/>
          </w:tcPr>
          <w:p w14:paraId="40FBD97F" w14:textId="3DE89B7A" w:rsidR="004A19BA" w:rsidRPr="004A19BA" w:rsidRDefault="004A19BA" w:rsidP="00982CCE">
            <w:pPr>
              <w:pStyle w:val="TabeladesnoUMAR"/>
              <w:jc w:val="center"/>
              <w:rPr>
                <w:lang w:eastAsia="sl-SI"/>
              </w:rPr>
            </w:pPr>
          </w:p>
        </w:tc>
        <w:tc>
          <w:tcPr>
            <w:tcW w:w="635" w:type="dxa"/>
            <w:tcBorders>
              <w:top w:val="nil"/>
              <w:left w:val="nil"/>
              <w:bottom w:val="single" w:sz="4" w:space="0" w:color="auto"/>
              <w:right w:val="nil"/>
            </w:tcBorders>
            <w:shd w:val="clear" w:color="auto" w:fill="auto"/>
            <w:noWrap/>
            <w:vAlign w:val="center"/>
            <w:hideMark/>
          </w:tcPr>
          <w:p w14:paraId="18D3B4CE" w14:textId="1FA15C68" w:rsidR="004A19BA" w:rsidRPr="004A19BA" w:rsidRDefault="004A19BA" w:rsidP="00982CCE">
            <w:pPr>
              <w:pStyle w:val="TabeladesnoUMAR"/>
              <w:jc w:val="center"/>
              <w:rPr>
                <w:lang w:eastAsia="sl-SI"/>
              </w:rPr>
            </w:pPr>
          </w:p>
        </w:tc>
        <w:tc>
          <w:tcPr>
            <w:tcW w:w="634" w:type="dxa"/>
            <w:tcBorders>
              <w:top w:val="nil"/>
              <w:left w:val="nil"/>
              <w:bottom w:val="single" w:sz="4" w:space="0" w:color="auto"/>
              <w:right w:val="single" w:sz="4" w:space="0" w:color="auto"/>
            </w:tcBorders>
            <w:shd w:val="clear" w:color="auto" w:fill="auto"/>
            <w:noWrap/>
            <w:vAlign w:val="center"/>
            <w:hideMark/>
          </w:tcPr>
          <w:p w14:paraId="0CCC0A3F" w14:textId="77777777" w:rsidR="004A19BA" w:rsidRPr="004A19BA" w:rsidRDefault="004A19BA" w:rsidP="00982CCE">
            <w:pPr>
              <w:pStyle w:val="TabeladesnoUMAR"/>
              <w:jc w:val="center"/>
              <w:rPr>
                <w:lang w:eastAsia="sl-SI"/>
              </w:rPr>
            </w:pPr>
            <w:r w:rsidRPr="004A19BA">
              <w:rPr>
                <w:lang w:eastAsia="sl-SI"/>
              </w:rPr>
              <w:t>●</w:t>
            </w:r>
          </w:p>
        </w:tc>
        <w:tc>
          <w:tcPr>
            <w:tcW w:w="1307" w:type="dxa"/>
            <w:tcBorders>
              <w:top w:val="nil"/>
              <w:left w:val="nil"/>
              <w:bottom w:val="single" w:sz="4" w:space="0" w:color="auto"/>
              <w:right w:val="nil"/>
            </w:tcBorders>
            <w:shd w:val="clear" w:color="auto" w:fill="auto"/>
            <w:noWrap/>
            <w:vAlign w:val="bottom"/>
            <w:hideMark/>
          </w:tcPr>
          <w:p w14:paraId="0AB1CA56" w14:textId="0C62C765" w:rsidR="004A19BA" w:rsidRPr="004A19BA" w:rsidRDefault="004A19BA" w:rsidP="00982CCE">
            <w:pPr>
              <w:pStyle w:val="TabeladesnoUMAR"/>
              <w:jc w:val="center"/>
              <w:rPr>
                <w:lang w:eastAsia="sl-SI"/>
              </w:rPr>
            </w:pPr>
          </w:p>
        </w:tc>
        <w:tc>
          <w:tcPr>
            <w:tcW w:w="1273" w:type="dxa"/>
            <w:tcBorders>
              <w:top w:val="nil"/>
              <w:left w:val="nil"/>
              <w:bottom w:val="single" w:sz="4" w:space="0" w:color="auto"/>
              <w:right w:val="nil"/>
            </w:tcBorders>
            <w:shd w:val="clear" w:color="auto" w:fill="auto"/>
            <w:vAlign w:val="center"/>
            <w:hideMark/>
          </w:tcPr>
          <w:p w14:paraId="61AC089A" w14:textId="77777777" w:rsidR="004A19BA" w:rsidRPr="004A19BA" w:rsidRDefault="004A19BA" w:rsidP="00982CCE">
            <w:pPr>
              <w:pStyle w:val="TabeladesnoUMAR"/>
              <w:rPr>
                <w:lang w:eastAsia="sl-SI"/>
              </w:rPr>
            </w:pPr>
            <w:r w:rsidRPr="004A19BA">
              <w:rPr>
                <w:lang w:eastAsia="sl-SI"/>
              </w:rPr>
              <w:t> </w:t>
            </w:r>
          </w:p>
        </w:tc>
      </w:tr>
      <w:tr w:rsidR="00661508" w:rsidRPr="004A19BA" w14:paraId="65400D7C"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78125E29" w14:textId="7A104C03" w:rsidR="004A19BA" w:rsidRPr="00CB123D" w:rsidRDefault="004A19BA" w:rsidP="00982CCE">
            <w:pPr>
              <w:pStyle w:val="TabelalevoUMAR"/>
              <w:rPr>
                <w:lang w:eastAsia="sl-SI"/>
              </w:rPr>
            </w:pPr>
            <w:r w:rsidRPr="00CB123D">
              <w:rPr>
                <w:lang w:eastAsia="sl-SI"/>
              </w:rPr>
              <w:t>Kmetijstvo in živilska industrija</w:t>
            </w:r>
          </w:p>
        </w:tc>
        <w:tc>
          <w:tcPr>
            <w:tcW w:w="972" w:type="dxa"/>
            <w:tcBorders>
              <w:top w:val="nil"/>
              <w:left w:val="single" w:sz="4" w:space="0" w:color="auto"/>
              <w:bottom w:val="single" w:sz="4" w:space="0" w:color="auto"/>
              <w:right w:val="nil"/>
            </w:tcBorders>
            <w:shd w:val="clear" w:color="auto" w:fill="auto"/>
            <w:noWrap/>
            <w:vAlign w:val="center"/>
            <w:hideMark/>
          </w:tcPr>
          <w:p w14:paraId="73B3422D" w14:textId="4488175A" w:rsidR="004A19BA" w:rsidRPr="004A19BA" w:rsidRDefault="004A19BA" w:rsidP="00982CCE">
            <w:pPr>
              <w:pStyle w:val="TabeladesnoUMAR"/>
              <w:jc w:val="center"/>
              <w:rPr>
                <w:lang w:eastAsia="sl-SI"/>
              </w:rPr>
            </w:pPr>
          </w:p>
        </w:tc>
        <w:tc>
          <w:tcPr>
            <w:tcW w:w="635" w:type="dxa"/>
            <w:tcBorders>
              <w:top w:val="nil"/>
              <w:left w:val="nil"/>
              <w:bottom w:val="single" w:sz="4" w:space="0" w:color="auto"/>
              <w:right w:val="nil"/>
            </w:tcBorders>
            <w:shd w:val="clear" w:color="auto" w:fill="auto"/>
            <w:noWrap/>
            <w:vAlign w:val="center"/>
            <w:hideMark/>
          </w:tcPr>
          <w:p w14:paraId="3EFEBF25" w14:textId="33F4B13C" w:rsidR="004A19BA" w:rsidRPr="004A19BA" w:rsidRDefault="004A19BA" w:rsidP="00982CCE">
            <w:pPr>
              <w:pStyle w:val="TabeladesnoUMAR"/>
              <w:jc w:val="center"/>
              <w:rPr>
                <w:lang w:eastAsia="sl-SI"/>
              </w:rPr>
            </w:pPr>
          </w:p>
        </w:tc>
        <w:tc>
          <w:tcPr>
            <w:tcW w:w="634" w:type="dxa"/>
            <w:tcBorders>
              <w:top w:val="nil"/>
              <w:left w:val="nil"/>
              <w:bottom w:val="single" w:sz="4" w:space="0" w:color="auto"/>
              <w:right w:val="single" w:sz="4" w:space="0" w:color="auto"/>
            </w:tcBorders>
            <w:shd w:val="clear" w:color="auto" w:fill="auto"/>
            <w:noWrap/>
            <w:vAlign w:val="center"/>
            <w:hideMark/>
          </w:tcPr>
          <w:p w14:paraId="4DF7BF97" w14:textId="77777777" w:rsidR="004A19BA" w:rsidRPr="004A19BA" w:rsidRDefault="004A19BA" w:rsidP="00982CCE">
            <w:pPr>
              <w:pStyle w:val="TabeladesnoUMAR"/>
              <w:jc w:val="center"/>
              <w:rPr>
                <w:lang w:eastAsia="sl-SI"/>
              </w:rPr>
            </w:pPr>
            <w:r w:rsidRPr="004A19BA">
              <w:rPr>
                <w:lang w:eastAsia="sl-SI"/>
              </w:rPr>
              <w:t>●</w:t>
            </w:r>
          </w:p>
        </w:tc>
        <w:tc>
          <w:tcPr>
            <w:tcW w:w="1307" w:type="dxa"/>
            <w:tcBorders>
              <w:top w:val="nil"/>
              <w:left w:val="nil"/>
              <w:bottom w:val="single" w:sz="4" w:space="0" w:color="auto"/>
              <w:right w:val="nil"/>
            </w:tcBorders>
            <w:shd w:val="clear" w:color="auto" w:fill="auto"/>
            <w:noWrap/>
            <w:vAlign w:val="bottom"/>
            <w:hideMark/>
          </w:tcPr>
          <w:p w14:paraId="347DD2D5" w14:textId="4D4026F5" w:rsidR="004A19BA" w:rsidRPr="004A19BA" w:rsidRDefault="004A19BA" w:rsidP="00982CCE">
            <w:pPr>
              <w:pStyle w:val="TabeladesnoUMAR"/>
              <w:jc w:val="center"/>
              <w:rPr>
                <w:lang w:eastAsia="sl-SI"/>
              </w:rPr>
            </w:pPr>
          </w:p>
        </w:tc>
        <w:tc>
          <w:tcPr>
            <w:tcW w:w="1273" w:type="dxa"/>
            <w:tcBorders>
              <w:top w:val="nil"/>
              <w:left w:val="nil"/>
              <w:bottom w:val="single" w:sz="4" w:space="0" w:color="auto"/>
              <w:right w:val="nil"/>
            </w:tcBorders>
            <w:shd w:val="clear" w:color="auto" w:fill="auto"/>
            <w:vAlign w:val="center"/>
            <w:hideMark/>
          </w:tcPr>
          <w:p w14:paraId="5A0DFA16" w14:textId="77777777" w:rsidR="004A19BA" w:rsidRPr="004A19BA" w:rsidRDefault="004A19BA" w:rsidP="00982CCE">
            <w:pPr>
              <w:pStyle w:val="TabeladesnoUMAR"/>
              <w:rPr>
                <w:lang w:eastAsia="sl-SI"/>
              </w:rPr>
            </w:pPr>
            <w:r w:rsidRPr="004A19BA">
              <w:rPr>
                <w:lang w:eastAsia="sl-SI"/>
              </w:rPr>
              <w:t> </w:t>
            </w:r>
          </w:p>
        </w:tc>
      </w:tr>
      <w:tr w:rsidR="00661508" w:rsidRPr="004A19BA" w14:paraId="29DC73A8"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655232AC" w14:textId="77777777" w:rsidR="004A19BA" w:rsidRPr="00CB123D" w:rsidRDefault="004A19BA" w:rsidP="00982CCE">
            <w:pPr>
              <w:pStyle w:val="TabelalevoUMAR"/>
              <w:rPr>
                <w:lang w:eastAsia="sl-SI"/>
              </w:rPr>
            </w:pPr>
            <w:r w:rsidRPr="00CB123D">
              <w:rPr>
                <w:lang w:eastAsia="sl-SI"/>
              </w:rPr>
              <w:t>Komunalne dejavnosti</w:t>
            </w:r>
          </w:p>
        </w:tc>
        <w:tc>
          <w:tcPr>
            <w:tcW w:w="972" w:type="dxa"/>
            <w:tcBorders>
              <w:top w:val="nil"/>
              <w:left w:val="single" w:sz="4" w:space="0" w:color="auto"/>
              <w:bottom w:val="single" w:sz="4" w:space="0" w:color="auto"/>
              <w:right w:val="nil"/>
            </w:tcBorders>
            <w:shd w:val="clear" w:color="auto" w:fill="auto"/>
            <w:noWrap/>
            <w:vAlign w:val="center"/>
            <w:hideMark/>
          </w:tcPr>
          <w:p w14:paraId="1D6EEE84" w14:textId="31236EE1" w:rsidR="004A19BA" w:rsidRPr="004A19BA" w:rsidRDefault="004A19BA" w:rsidP="00982CCE">
            <w:pPr>
              <w:pStyle w:val="TabeladesnoUMAR"/>
              <w:jc w:val="center"/>
              <w:rPr>
                <w:lang w:eastAsia="sl-SI"/>
              </w:rPr>
            </w:pPr>
          </w:p>
        </w:tc>
        <w:tc>
          <w:tcPr>
            <w:tcW w:w="635" w:type="dxa"/>
            <w:tcBorders>
              <w:top w:val="nil"/>
              <w:left w:val="nil"/>
              <w:bottom w:val="single" w:sz="4" w:space="0" w:color="auto"/>
              <w:right w:val="nil"/>
            </w:tcBorders>
            <w:shd w:val="clear" w:color="auto" w:fill="auto"/>
            <w:noWrap/>
            <w:vAlign w:val="center"/>
            <w:hideMark/>
          </w:tcPr>
          <w:p w14:paraId="43C1055C" w14:textId="37617A77" w:rsidR="004A19BA" w:rsidRPr="004A19BA" w:rsidRDefault="004A19BA" w:rsidP="00982CCE">
            <w:pPr>
              <w:pStyle w:val="TabeladesnoUMAR"/>
              <w:jc w:val="center"/>
              <w:rPr>
                <w:lang w:eastAsia="sl-SI"/>
              </w:rPr>
            </w:pPr>
          </w:p>
        </w:tc>
        <w:tc>
          <w:tcPr>
            <w:tcW w:w="634" w:type="dxa"/>
            <w:tcBorders>
              <w:top w:val="nil"/>
              <w:left w:val="nil"/>
              <w:bottom w:val="single" w:sz="4" w:space="0" w:color="auto"/>
              <w:right w:val="single" w:sz="4" w:space="0" w:color="auto"/>
            </w:tcBorders>
            <w:shd w:val="clear" w:color="auto" w:fill="auto"/>
            <w:noWrap/>
            <w:vAlign w:val="center"/>
            <w:hideMark/>
          </w:tcPr>
          <w:p w14:paraId="5EF7783B" w14:textId="77777777" w:rsidR="004A19BA" w:rsidRPr="004A19BA" w:rsidRDefault="004A19BA" w:rsidP="00982CCE">
            <w:pPr>
              <w:pStyle w:val="TabeladesnoUMAR"/>
              <w:jc w:val="center"/>
              <w:rPr>
                <w:lang w:eastAsia="sl-SI"/>
              </w:rPr>
            </w:pPr>
            <w:r w:rsidRPr="004A19BA">
              <w:rPr>
                <w:lang w:eastAsia="sl-SI"/>
              </w:rPr>
              <w:t>●</w:t>
            </w:r>
          </w:p>
        </w:tc>
        <w:tc>
          <w:tcPr>
            <w:tcW w:w="1307" w:type="dxa"/>
            <w:tcBorders>
              <w:top w:val="nil"/>
              <w:left w:val="nil"/>
              <w:bottom w:val="single" w:sz="4" w:space="0" w:color="auto"/>
              <w:right w:val="nil"/>
            </w:tcBorders>
            <w:shd w:val="clear" w:color="auto" w:fill="auto"/>
            <w:noWrap/>
            <w:vAlign w:val="center"/>
            <w:hideMark/>
          </w:tcPr>
          <w:p w14:paraId="56CC5928" w14:textId="77777777" w:rsidR="004A19BA" w:rsidRPr="004A19BA" w:rsidRDefault="004A19BA" w:rsidP="00982CCE">
            <w:pPr>
              <w:pStyle w:val="TabeladesnoUMAR"/>
              <w:jc w:val="center"/>
              <w:rPr>
                <w:lang w:eastAsia="sl-SI"/>
              </w:rPr>
            </w:pPr>
            <w:r w:rsidRPr="004A19BA">
              <w:rPr>
                <w:lang w:eastAsia="sl-SI"/>
              </w:rPr>
              <w:t>●</w:t>
            </w:r>
          </w:p>
        </w:tc>
        <w:tc>
          <w:tcPr>
            <w:tcW w:w="1273" w:type="dxa"/>
            <w:tcBorders>
              <w:top w:val="nil"/>
              <w:left w:val="nil"/>
              <w:bottom w:val="single" w:sz="4" w:space="0" w:color="auto"/>
              <w:right w:val="nil"/>
            </w:tcBorders>
            <w:shd w:val="clear" w:color="auto" w:fill="auto"/>
            <w:vAlign w:val="center"/>
            <w:hideMark/>
          </w:tcPr>
          <w:p w14:paraId="788538AE" w14:textId="77777777" w:rsidR="004A19BA" w:rsidRPr="004A19BA" w:rsidRDefault="004A19BA" w:rsidP="00982CCE">
            <w:pPr>
              <w:pStyle w:val="TabeladesnoUMAR"/>
              <w:rPr>
                <w:lang w:eastAsia="sl-SI"/>
              </w:rPr>
            </w:pPr>
            <w:r w:rsidRPr="004A19BA">
              <w:rPr>
                <w:lang w:eastAsia="sl-SI"/>
              </w:rPr>
              <w:t>Usklajevanje</w:t>
            </w:r>
          </w:p>
        </w:tc>
      </w:tr>
      <w:tr w:rsidR="00661508" w:rsidRPr="004A19BA" w14:paraId="38FEA0AB"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094DC508" w14:textId="5E410DF1" w:rsidR="004A19BA" w:rsidRPr="00CB123D" w:rsidRDefault="004A19BA" w:rsidP="00982CCE">
            <w:pPr>
              <w:pStyle w:val="TabelalevoUMAR"/>
              <w:rPr>
                <w:lang w:eastAsia="sl-SI"/>
              </w:rPr>
            </w:pPr>
            <w:r w:rsidRPr="00CB123D">
              <w:rPr>
                <w:lang w:eastAsia="sl-SI"/>
              </w:rPr>
              <w:t>Lesarstvo</w:t>
            </w:r>
          </w:p>
        </w:tc>
        <w:tc>
          <w:tcPr>
            <w:tcW w:w="972" w:type="dxa"/>
            <w:tcBorders>
              <w:top w:val="nil"/>
              <w:left w:val="single" w:sz="4" w:space="0" w:color="auto"/>
              <w:bottom w:val="single" w:sz="4" w:space="0" w:color="auto"/>
              <w:right w:val="nil"/>
            </w:tcBorders>
            <w:shd w:val="clear" w:color="auto" w:fill="auto"/>
            <w:noWrap/>
            <w:vAlign w:val="center"/>
            <w:hideMark/>
          </w:tcPr>
          <w:p w14:paraId="078C84F3" w14:textId="31A40112" w:rsidR="004A19BA" w:rsidRPr="004A19BA" w:rsidRDefault="004A19BA" w:rsidP="00982CCE">
            <w:pPr>
              <w:pStyle w:val="TabeladesnoUMAR"/>
              <w:jc w:val="center"/>
              <w:rPr>
                <w:lang w:eastAsia="sl-SI"/>
              </w:rPr>
            </w:pPr>
          </w:p>
        </w:tc>
        <w:tc>
          <w:tcPr>
            <w:tcW w:w="635" w:type="dxa"/>
            <w:tcBorders>
              <w:top w:val="nil"/>
              <w:left w:val="nil"/>
              <w:bottom w:val="single" w:sz="4" w:space="0" w:color="auto"/>
              <w:right w:val="nil"/>
            </w:tcBorders>
            <w:shd w:val="clear" w:color="auto" w:fill="auto"/>
            <w:noWrap/>
            <w:vAlign w:val="center"/>
            <w:hideMark/>
          </w:tcPr>
          <w:p w14:paraId="34D504DE" w14:textId="7BC9E135" w:rsidR="004A19BA" w:rsidRPr="004A19BA" w:rsidRDefault="004A19BA" w:rsidP="00982CCE">
            <w:pPr>
              <w:pStyle w:val="TabeladesnoUMAR"/>
              <w:jc w:val="center"/>
              <w:rPr>
                <w:lang w:eastAsia="sl-SI"/>
              </w:rPr>
            </w:pPr>
          </w:p>
        </w:tc>
        <w:tc>
          <w:tcPr>
            <w:tcW w:w="634" w:type="dxa"/>
            <w:tcBorders>
              <w:top w:val="nil"/>
              <w:left w:val="nil"/>
              <w:bottom w:val="single" w:sz="4" w:space="0" w:color="auto"/>
              <w:right w:val="single" w:sz="4" w:space="0" w:color="auto"/>
            </w:tcBorders>
            <w:shd w:val="clear" w:color="auto" w:fill="auto"/>
            <w:noWrap/>
            <w:vAlign w:val="center"/>
            <w:hideMark/>
          </w:tcPr>
          <w:p w14:paraId="6B288107" w14:textId="77777777" w:rsidR="004A19BA" w:rsidRPr="004A19BA" w:rsidRDefault="004A19BA" w:rsidP="00982CCE">
            <w:pPr>
              <w:pStyle w:val="TabeladesnoUMAR"/>
              <w:jc w:val="center"/>
              <w:rPr>
                <w:lang w:eastAsia="sl-SI"/>
              </w:rPr>
            </w:pPr>
            <w:r w:rsidRPr="004A19BA">
              <w:rPr>
                <w:lang w:eastAsia="sl-SI"/>
              </w:rPr>
              <w:t>●</w:t>
            </w:r>
          </w:p>
        </w:tc>
        <w:tc>
          <w:tcPr>
            <w:tcW w:w="1307" w:type="dxa"/>
            <w:tcBorders>
              <w:top w:val="nil"/>
              <w:left w:val="nil"/>
              <w:bottom w:val="single" w:sz="4" w:space="0" w:color="auto"/>
              <w:right w:val="nil"/>
            </w:tcBorders>
            <w:shd w:val="clear" w:color="auto" w:fill="auto"/>
            <w:noWrap/>
            <w:vAlign w:val="center"/>
            <w:hideMark/>
          </w:tcPr>
          <w:p w14:paraId="0BEAD538" w14:textId="77777777" w:rsidR="004A19BA" w:rsidRPr="004A19BA" w:rsidRDefault="004A19BA" w:rsidP="00982CCE">
            <w:pPr>
              <w:pStyle w:val="TabeladesnoUMAR"/>
              <w:jc w:val="center"/>
              <w:rPr>
                <w:lang w:eastAsia="sl-SI"/>
              </w:rPr>
            </w:pPr>
            <w:r w:rsidRPr="004A19BA">
              <w:rPr>
                <w:lang w:eastAsia="sl-SI"/>
              </w:rPr>
              <w:t>●</w:t>
            </w:r>
          </w:p>
        </w:tc>
        <w:tc>
          <w:tcPr>
            <w:tcW w:w="1273" w:type="dxa"/>
            <w:tcBorders>
              <w:top w:val="nil"/>
              <w:left w:val="nil"/>
              <w:bottom w:val="single" w:sz="4" w:space="0" w:color="auto"/>
              <w:right w:val="nil"/>
            </w:tcBorders>
            <w:shd w:val="clear" w:color="auto" w:fill="auto"/>
            <w:vAlign w:val="center"/>
            <w:hideMark/>
          </w:tcPr>
          <w:p w14:paraId="4B027992" w14:textId="77777777" w:rsidR="004A19BA" w:rsidRPr="004A19BA" w:rsidRDefault="004A19BA" w:rsidP="00982CCE">
            <w:pPr>
              <w:pStyle w:val="TabeladesnoUMAR"/>
              <w:rPr>
                <w:lang w:eastAsia="sl-SI"/>
              </w:rPr>
            </w:pPr>
            <w:r w:rsidRPr="004A19BA">
              <w:rPr>
                <w:lang w:eastAsia="sl-SI"/>
              </w:rPr>
              <w:t>Usklajevanje</w:t>
            </w:r>
          </w:p>
        </w:tc>
      </w:tr>
      <w:tr w:rsidR="00661508" w:rsidRPr="004A19BA" w14:paraId="132CEAA0"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1B6696AA" w14:textId="00C0C453" w:rsidR="004A19BA" w:rsidRPr="00CB123D" w:rsidRDefault="004A19BA" w:rsidP="00982CCE">
            <w:pPr>
              <w:pStyle w:val="TabelalevoUMAR"/>
              <w:rPr>
                <w:lang w:eastAsia="sl-SI"/>
              </w:rPr>
            </w:pPr>
            <w:r w:rsidRPr="00CB123D">
              <w:rPr>
                <w:lang w:eastAsia="sl-SI"/>
              </w:rPr>
              <w:t>Premogovništvo</w:t>
            </w:r>
          </w:p>
        </w:tc>
        <w:tc>
          <w:tcPr>
            <w:tcW w:w="972" w:type="dxa"/>
            <w:tcBorders>
              <w:top w:val="nil"/>
              <w:left w:val="single" w:sz="4" w:space="0" w:color="auto"/>
              <w:bottom w:val="single" w:sz="4" w:space="0" w:color="auto"/>
              <w:right w:val="nil"/>
            </w:tcBorders>
            <w:shd w:val="clear" w:color="auto" w:fill="auto"/>
            <w:noWrap/>
            <w:vAlign w:val="center"/>
            <w:hideMark/>
          </w:tcPr>
          <w:p w14:paraId="49AEC9BB" w14:textId="0AD1AE03" w:rsidR="004A19BA" w:rsidRPr="004A19BA" w:rsidRDefault="004A19BA" w:rsidP="00982CCE">
            <w:pPr>
              <w:pStyle w:val="TabeladesnoUMAR"/>
              <w:jc w:val="center"/>
              <w:rPr>
                <w:lang w:eastAsia="sl-SI"/>
              </w:rPr>
            </w:pPr>
          </w:p>
        </w:tc>
        <w:tc>
          <w:tcPr>
            <w:tcW w:w="635" w:type="dxa"/>
            <w:tcBorders>
              <w:top w:val="nil"/>
              <w:left w:val="nil"/>
              <w:bottom w:val="single" w:sz="4" w:space="0" w:color="auto"/>
              <w:right w:val="nil"/>
            </w:tcBorders>
            <w:shd w:val="clear" w:color="auto" w:fill="auto"/>
            <w:noWrap/>
            <w:vAlign w:val="center"/>
            <w:hideMark/>
          </w:tcPr>
          <w:p w14:paraId="517DD9D5" w14:textId="290D5107" w:rsidR="004A19BA" w:rsidRPr="004A19BA" w:rsidRDefault="004A19BA" w:rsidP="00982CCE">
            <w:pPr>
              <w:pStyle w:val="TabeladesnoUMAR"/>
              <w:jc w:val="center"/>
              <w:rPr>
                <w:lang w:eastAsia="sl-SI"/>
              </w:rPr>
            </w:pPr>
          </w:p>
        </w:tc>
        <w:tc>
          <w:tcPr>
            <w:tcW w:w="634" w:type="dxa"/>
            <w:tcBorders>
              <w:top w:val="nil"/>
              <w:left w:val="nil"/>
              <w:bottom w:val="single" w:sz="4" w:space="0" w:color="auto"/>
              <w:right w:val="single" w:sz="4" w:space="0" w:color="auto"/>
            </w:tcBorders>
            <w:shd w:val="clear" w:color="auto" w:fill="auto"/>
            <w:noWrap/>
            <w:vAlign w:val="center"/>
            <w:hideMark/>
          </w:tcPr>
          <w:p w14:paraId="641AA47B" w14:textId="77777777" w:rsidR="004A19BA" w:rsidRPr="004A19BA" w:rsidRDefault="004A19BA" w:rsidP="00982CCE">
            <w:pPr>
              <w:pStyle w:val="TabeladesnoUMAR"/>
              <w:jc w:val="center"/>
              <w:rPr>
                <w:lang w:eastAsia="sl-SI"/>
              </w:rPr>
            </w:pPr>
            <w:r w:rsidRPr="004A19BA">
              <w:rPr>
                <w:lang w:eastAsia="sl-SI"/>
              </w:rPr>
              <w:t>●</w:t>
            </w:r>
          </w:p>
        </w:tc>
        <w:tc>
          <w:tcPr>
            <w:tcW w:w="1307" w:type="dxa"/>
            <w:tcBorders>
              <w:top w:val="nil"/>
              <w:left w:val="nil"/>
              <w:bottom w:val="single" w:sz="4" w:space="0" w:color="auto"/>
              <w:right w:val="nil"/>
            </w:tcBorders>
            <w:shd w:val="clear" w:color="auto" w:fill="auto"/>
            <w:noWrap/>
            <w:vAlign w:val="center"/>
            <w:hideMark/>
          </w:tcPr>
          <w:p w14:paraId="6D24F64C" w14:textId="77777777" w:rsidR="004A19BA" w:rsidRPr="004A19BA" w:rsidRDefault="004A19BA" w:rsidP="00982CCE">
            <w:pPr>
              <w:pStyle w:val="TabeladesnoUMAR"/>
              <w:jc w:val="center"/>
              <w:rPr>
                <w:lang w:eastAsia="sl-SI"/>
              </w:rPr>
            </w:pPr>
            <w:r w:rsidRPr="004A19BA">
              <w:rPr>
                <w:lang w:eastAsia="sl-SI"/>
              </w:rPr>
              <w:t>●</w:t>
            </w:r>
          </w:p>
        </w:tc>
        <w:tc>
          <w:tcPr>
            <w:tcW w:w="1273" w:type="dxa"/>
            <w:tcBorders>
              <w:top w:val="nil"/>
              <w:left w:val="nil"/>
              <w:bottom w:val="single" w:sz="4" w:space="0" w:color="auto"/>
              <w:right w:val="nil"/>
            </w:tcBorders>
            <w:shd w:val="clear" w:color="auto" w:fill="auto"/>
            <w:vAlign w:val="center"/>
            <w:hideMark/>
          </w:tcPr>
          <w:p w14:paraId="3E09A5DD" w14:textId="078764FD" w:rsidR="004A19BA" w:rsidRPr="004A19BA" w:rsidRDefault="004A19BA" w:rsidP="00982CCE">
            <w:pPr>
              <w:pStyle w:val="TabeladesnoUMAR"/>
              <w:rPr>
                <w:lang w:eastAsia="sl-SI"/>
              </w:rPr>
            </w:pPr>
            <w:r w:rsidRPr="004A19BA">
              <w:rPr>
                <w:lang w:eastAsia="sl-SI"/>
              </w:rPr>
              <w:t>Uskl</w:t>
            </w:r>
            <w:r w:rsidR="009A5A07">
              <w:rPr>
                <w:lang w:eastAsia="sl-SI"/>
              </w:rPr>
              <w:t>aj.</w:t>
            </w:r>
            <w:r w:rsidRPr="004A19BA">
              <w:rPr>
                <w:lang w:eastAsia="sl-SI"/>
              </w:rPr>
              <w:t>/fiksno</w:t>
            </w:r>
          </w:p>
        </w:tc>
      </w:tr>
      <w:tr w:rsidR="00661508" w:rsidRPr="004A19BA" w14:paraId="55C9AF7E" w14:textId="77777777" w:rsidTr="004501D9">
        <w:trPr>
          <w:trHeight w:val="300"/>
        </w:trPr>
        <w:tc>
          <w:tcPr>
            <w:tcW w:w="4249" w:type="dxa"/>
            <w:tcBorders>
              <w:top w:val="nil"/>
              <w:left w:val="nil"/>
              <w:bottom w:val="single" w:sz="4" w:space="0" w:color="auto"/>
              <w:right w:val="nil"/>
            </w:tcBorders>
            <w:shd w:val="clear" w:color="auto" w:fill="auto"/>
            <w:noWrap/>
            <w:vAlign w:val="center"/>
            <w:hideMark/>
          </w:tcPr>
          <w:p w14:paraId="3D31BFB6" w14:textId="531EE64E" w:rsidR="004A19BA" w:rsidRPr="00CB123D" w:rsidRDefault="004A19BA" w:rsidP="00982CCE">
            <w:pPr>
              <w:pStyle w:val="TabelalevoUMAR"/>
              <w:rPr>
                <w:lang w:eastAsia="sl-SI"/>
              </w:rPr>
            </w:pPr>
            <w:r w:rsidRPr="00CB123D">
              <w:rPr>
                <w:lang w:eastAsia="sl-SI"/>
              </w:rPr>
              <w:t>Zavarovalstv</w:t>
            </w:r>
            <w:r w:rsidR="00EA7453" w:rsidRPr="00CB123D">
              <w:rPr>
                <w:lang w:eastAsia="sl-SI"/>
              </w:rPr>
              <w:t>o</w:t>
            </w:r>
          </w:p>
        </w:tc>
        <w:tc>
          <w:tcPr>
            <w:tcW w:w="972" w:type="dxa"/>
            <w:tcBorders>
              <w:top w:val="nil"/>
              <w:left w:val="single" w:sz="4" w:space="0" w:color="auto"/>
              <w:bottom w:val="single" w:sz="4" w:space="0" w:color="auto"/>
              <w:right w:val="nil"/>
            </w:tcBorders>
            <w:shd w:val="clear" w:color="auto" w:fill="auto"/>
            <w:noWrap/>
            <w:vAlign w:val="center"/>
            <w:hideMark/>
          </w:tcPr>
          <w:p w14:paraId="38947CD0" w14:textId="7EEA4C43" w:rsidR="004A19BA" w:rsidRPr="004A19BA" w:rsidRDefault="004A19BA" w:rsidP="00982CCE">
            <w:pPr>
              <w:pStyle w:val="TabeladesnoUMAR"/>
              <w:jc w:val="center"/>
              <w:rPr>
                <w:lang w:eastAsia="sl-SI"/>
              </w:rPr>
            </w:pPr>
          </w:p>
        </w:tc>
        <w:tc>
          <w:tcPr>
            <w:tcW w:w="635" w:type="dxa"/>
            <w:tcBorders>
              <w:top w:val="nil"/>
              <w:left w:val="nil"/>
              <w:bottom w:val="single" w:sz="4" w:space="0" w:color="auto"/>
              <w:right w:val="nil"/>
            </w:tcBorders>
            <w:shd w:val="clear" w:color="auto" w:fill="auto"/>
            <w:noWrap/>
            <w:vAlign w:val="center"/>
            <w:hideMark/>
          </w:tcPr>
          <w:p w14:paraId="33850D48" w14:textId="7D7C948E" w:rsidR="004A19BA" w:rsidRPr="004A19BA" w:rsidRDefault="004A19BA" w:rsidP="00982CCE">
            <w:pPr>
              <w:pStyle w:val="TabeladesnoUMAR"/>
              <w:jc w:val="center"/>
              <w:rPr>
                <w:lang w:eastAsia="sl-SI"/>
              </w:rPr>
            </w:pPr>
          </w:p>
        </w:tc>
        <w:tc>
          <w:tcPr>
            <w:tcW w:w="634" w:type="dxa"/>
            <w:tcBorders>
              <w:top w:val="nil"/>
              <w:left w:val="nil"/>
              <w:bottom w:val="single" w:sz="4" w:space="0" w:color="auto"/>
              <w:right w:val="single" w:sz="4" w:space="0" w:color="auto"/>
            </w:tcBorders>
            <w:shd w:val="clear" w:color="auto" w:fill="auto"/>
            <w:noWrap/>
            <w:vAlign w:val="center"/>
            <w:hideMark/>
          </w:tcPr>
          <w:p w14:paraId="125B5535" w14:textId="77777777" w:rsidR="004A19BA" w:rsidRPr="004A19BA" w:rsidRDefault="004A19BA" w:rsidP="00982CCE">
            <w:pPr>
              <w:pStyle w:val="TabeladesnoUMAR"/>
              <w:jc w:val="center"/>
              <w:rPr>
                <w:lang w:eastAsia="sl-SI"/>
              </w:rPr>
            </w:pPr>
            <w:r w:rsidRPr="004A19BA">
              <w:rPr>
                <w:lang w:eastAsia="sl-SI"/>
              </w:rPr>
              <w:t>●</w:t>
            </w:r>
          </w:p>
        </w:tc>
        <w:tc>
          <w:tcPr>
            <w:tcW w:w="1307" w:type="dxa"/>
            <w:tcBorders>
              <w:top w:val="nil"/>
              <w:left w:val="nil"/>
              <w:bottom w:val="single" w:sz="4" w:space="0" w:color="auto"/>
              <w:right w:val="nil"/>
            </w:tcBorders>
            <w:shd w:val="clear" w:color="auto" w:fill="auto"/>
            <w:noWrap/>
            <w:vAlign w:val="bottom"/>
            <w:hideMark/>
          </w:tcPr>
          <w:p w14:paraId="54E081C2" w14:textId="2F5C1348" w:rsidR="004A19BA" w:rsidRPr="004A19BA" w:rsidRDefault="004A19BA" w:rsidP="00982CCE">
            <w:pPr>
              <w:pStyle w:val="TabeladesnoUMAR"/>
              <w:jc w:val="center"/>
              <w:rPr>
                <w:lang w:eastAsia="sl-SI"/>
              </w:rPr>
            </w:pPr>
          </w:p>
        </w:tc>
        <w:tc>
          <w:tcPr>
            <w:tcW w:w="1273" w:type="dxa"/>
            <w:tcBorders>
              <w:top w:val="nil"/>
              <w:left w:val="nil"/>
              <w:bottom w:val="single" w:sz="4" w:space="0" w:color="auto"/>
              <w:right w:val="nil"/>
            </w:tcBorders>
            <w:shd w:val="clear" w:color="auto" w:fill="auto"/>
            <w:vAlign w:val="center"/>
            <w:hideMark/>
          </w:tcPr>
          <w:p w14:paraId="43DECF76" w14:textId="77777777" w:rsidR="004A19BA" w:rsidRPr="004A19BA" w:rsidRDefault="004A19BA" w:rsidP="00982CCE">
            <w:pPr>
              <w:pStyle w:val="TabeladesnoUMAR"/>
              <w:rPr>
                <w:lang w:eastAsia="sl-SI"/>
              </w:rPr>
            </w:pPr>
            <w:r w:rsidRPr="004A19BA">
              <w:rPr>
                <w:lang w:eastAsia="sl-SI"/>
              </w:rPr>
              <w:t> </w:t>
            </w:r>
          </w:p>
        </w:tc>
      </w:tr>
    </w:tbl>
    <w:p w14:paraId="4B082D69" w14:textId="1345A2B7" w:rsidR="00982CCE" w:rsidRDefault="00982CCE" w:rsidP="00982CCE">
      <w:pPr>
        <w:pStyle w:val="VirUMAR"/>
      </w:pPr>
      <w:r>
        <w:t xml:space="preserve">Vir: </w:t>
      </w:r>
      <w:r w:rsidR="00322E48">
        <w:t xml:space="preserve">Posamezne kolektivne pogodbe, </w:t>
      </w:r>
      <w:r w:rsidR="00BD76E1">
        <w:fldChar w:fldCharType="begin"/>
      </w:r>
      <w:r w:rsidR="00BD76E1">
        <w:instrText xml:space="preserve"> ADDIN ZOTERO_ITEM CSL_CITATION {"citationID":"nVzKc47R","properties":{"formattedCitation":"(ZSSS, 2022)","plainCitation":"(ZSSS, 2022)","noteIndex":0},"citationItems":[{"id":2436,"uris":["http://zotero.org/groups/4141114/items/7JZZ3N97"],"uri":["http://zotero.org/groups/4141114/items/7JZZ3N97"],"itemData":{"id":2436,"type":"report","publisher":"Zveza svobodnih sindikatov Slovenije","title":"E-baza kolektivnih pogodb","URL":"https://kp-zsss.si/","author":[{"family":"ZSSS","given":""}],"accessed":{"date-parts":[["2022",7,20]]},"issued":{"date-parts":[["2022"]]}}}],"schema":"https://github.com/citation-style-language/schema/raw/master/csl-citation.json"} </w:instrText>
      </w:r>
      <w:r w:rsidR="00BD76E1">
        <w:fldChar w:fldCharType="separate"/>
      </w:r>
      <w:r w:rsidR="00BD76E1" w:rsidRPr="00BD76E1">
        <w:rPr>
          <w:rFonts w:ascii="Arial" w:hAnsi="Arial" w:cs="Arial"/>
        </w:rPr>
        <w:t>(ZSSS, 2022)</w:t>
      </w:r>
      <w:r w:rsidR="00BD76E1">
        <w:fldChar w:fldCharType="end"/>
      </w:r>
      <w:r>
        <w:t xml:space="preserve">, </w:t>
      </w:r>
      <w:r w:rsidR="00371DD9">
        <w:fldChar w:fldCharType="begin"/>
      </w:r>
      <w:r w:rsidR="00371DD9">
        <w:instrText xml:space="preserve"> ADDIN ZOTERO_ITEM CSL_CITATION {"citationID":"0iY90KfO","properties":{"formattedCitation":"(Pir\\uc0\\u353{}, 2022)","plainCitation":"(Pirš, 2022)","noteIndex":0},"citationItems":[{"id":2435,"uris":["http://zotero.org/groups/4141114/items/PKXDPHQ5"],"uri":["http://zotero.org/groups/4141114/items/PKXDPHQ5"],"itemData":{"id":2435,"type":"article-journal","collection-title":"Revija Delodajalec","container-title":"Revija Delodajalec","page":"12-14","title":"Razširjena veljavnost kolektivnih pogodb dejavnosti zasebnega sektorja","volume":"2022/3","author":[{"family":"Pirš","given":"Slavi"}],"issued":{"date-parts":[["2022"]]}}}],"schema":"https://github.com/citation-style-language/schema/raw/master/csl-citation.json"} </w:instrText>
      </w:r>
      <w:r w:rsidR="00371DD9">
        <w:fldChar w:fldCharType="separate"/>
      </w:r>
      <w:r w:rsidR="00371DD9" w:rsidRPr="00371DD9">
        <w:rPr>
          <w:rFonts w:ascii="Arial" w:hAnsi="Arial" w:cs="Arial"/>
          <w:szCs w:val="24"/>
        </w:rPr>
        <w:t>(Pirš, 2022)</w:t>
      </w:r>
      <w:r w:rsidR="00371DD9">
        <w:fldChar w:fldCharType="end"/>
      </w:r>
      <w:r>
        <w:t>.</w:t>
      </w:r>
    </w:p>
    <w:p w14:paraId="6AB490AE" w14:textId="3417C008" w:rsidR="00EA7453" w:rsidRDefault="00EA7453" w:rsidP="00982CCE">
      <w:pPr>
        <w:pStyle w:val="VirUMAR"/>
      </w:pPr>
      <w:r>
        <w:t xml:space="preserve">Opomba: (*) Kolektivna pogodba ne </w:t>
      </w:r>
      <w:r w:rsidR="009C3497">
        <w:t>vsebuje dela s tarifnimi razredi</w:t>
      </w:r>
      <w:r>
        <w:t>.</w:t>
      </w:r>
    </w:p>
    <w:p w14:paraId="7CAB0966" w14:textId="77777777" w:rsidR="004B4BE9" w:rsidRPr="001D6AC6" w:rsidRDefault="004B4BE9" w:rsidP="00407C0D">
      <w:pPr>
        <w:pStyle w:val="VodilnistavekUMAR"/>
        <w:rPr>
          <w:rStyle w:val="BesediloUMARChar"/>
          <w:b w:val="0"/>
          <w:bCs/>
        </w:rPr>
      </w:pPr>
    </w:p>
    <w:p w14:paraId="1B4DA5E9" w14:textId="77777777" w:rsidR="00727D99" w:rsidRDefault="00727D99" w:rsidP="00112C5F">
      <w:pPr>
        <w:pStyle w:val="BesediloUMAR"/>
        <w:rPr>
          <w:rStyle w:val="VodilnistavekUMARChar"/>
        </w:rPr>
      </w:pPr>
    </w:p>
    <w:p w14:paraId="6AB348C4" w14:textId="77777777" w:rsidR="00727D99" w:rsidRDefault="00727D99" w:rsidP="00112C5F">
      <w:pPr>
        <w:pStyle w:val="BesediloUMAR"/>
        <w:rPr>
          <w:rStyle w:val="VodilnistavekUMARChar"/>
        </w:rPr>
      </w:pPr>
    </w:p>
    <w:p w14:paraId="1EA61108" w14:textId="77777777" w:rsidR="00727D99" w:rsidRDefault="00727D99" w:rsidP="00112C5F">
      <w:pPr>
        <w:pStyle w:val="BesediloUMAR"/>
        <w:rPr>
          <w:rStyle w:val="VodilnistavekUMARChar"/>
        </w:rPr>
      </w:pPr>
    </w:p>
    <w:p w14:paraId="5DE272BB" w14:textId="77777777" w:rsidR="00727D99" w:rsidRDefault="00727D99" w:rsidP="00112C5F">
      <w:pPr>
        <w:pStyle w:val="BesediloUMAR"/>
        <w:rPr>
          <w:rStyle w:val="VodilnistavekUMARChar"/>
        </w:rPr>
      </w:pPr>
    </w:p>
    <w:p w14:paraId="50250CF1" w14:textId="63E83267" w:rsidR="00112C5F" w:rsidRDefault="00FA3AC1" w:rsidP="00112C5F">
      <w:pPr>
        <w:pStyle w:val="BesediloUMAR"/>
      </w:pPr>
      <w:r w:rsidRPr="00CC786A">
        <w:rPr>
          <w:rStyle w:val="VodilnistavekUMARChar"/>
        </w:rPr>
        <w:lastRenderedPageBreak/>
        <w:t>Kolektivne pogodbe</w:t>
      </w:r>
      <w:r w:rsidR="00D2280F">
        <w:rPr>
          <w:rStyle w:val="VodilnistavekUMARChar"/>
        </w:rPr>
        <w:t xml:space="preserve"> z veliko pokritostjo</w:t>
      </w:r>
      <w:r w:rsidRPr="00CC786A">
        <w:rPr>
          <w:rStyle w:val="VodilnistavekUMARChar"/>
        </w:rPr>
        <w:t xml:space="preserve"> </w:t>
      </w:r>
      <w:r w:rsidR="00275A07">
        <w:rPr>
          <w:rStyle w:val="VodilnistavekUMARChar"/>
        </w:rPr>
        <w:t xml:space="preserve">lahko </w:t>
      </w:r>
      <w:r w:rsidRPr="00CC786A">
        <w:rPr>
          <w:rStyle w:val="VodilnistavekUMARChar"/>
        </w:rPr>
        <w:t>imajo ob razširjeni veljavnosti in indeksaciji na agregatno raven plač večji samodejni vpliv.</w:t>
      </w:r>
      <w:r>
        <w:t xml:space="preserve"> Med kolektivne pogodbe, ki pokrivajo največji del delavcev</w:t>
      </w:r>
      <w:r w:rsidR="00E11CAC">
        <w:t xml:space="preserve"> oz. prejemnikov plač</w:t>
      </w:r>
      <w:r>
        <w:rPr>
          <w:rStyle w:val="FootnoteReference"/>
        </w:rPr>
        <w:footnoteReference w:id="4"/>
      </w:r>
      <w:r w:rsidR="00F842B3">
        <w:t xml:space="preserve"> </w:t>
      </w:r>
      <w:r w:rsidR="00CC786A">
        <w:t>in</w:t>
      </w:r>
      <w:r w:rsidR="00F842B3">
        <w:t xml:space="preserve"> imajo hkrati razširjeno veljavnost</w:t>
      </w:r>
      <w:r w:rsidR="00CC786A">
        <w:t xml:space="preserve"> </w:t>
      </w:r>
      <w:r w:rsidR="00F842B3">
        <w:t xml:space="preserve">ter </w:t>
      </w:r>
      <w:r w:rsidR="00CC786A">
        <w:t xml:space="preserve">vkjučujejo </w:t>
      </w:r>
      <w:r w:rsidR="00D2280F">
        <w:t xml:space="preserve">določeno </w:t>
      </w:r>
      <w:r w:rsidR="00CC786A">
        <w:t>obliko indeksacije, spada</w:t>
      </w:r>
      <w:r w:rsidR="00F842B3">
        <w:t>ta</w:t>
      </w:r>
      <w:r w:rsidR="00CC786A">
        <w:t xml:space="preserve"> kolektivn</w:t>
      </w:r>
      <w:r w:rsidR="00F842B3">
        <w:t>i</w:t>
      </w:r>
      <w:r w:rsidR="00CC786A">
        <w:t xml:space="preserve"> pogodb</w:t>
      </w:r>
      <w:r w:rsidR="00F842B3">
        <w:t>i</w:t>
      </w:r>
      <w:r w:rsidR="00CC786A">
        <w:t xml:space="preserve"> za</w:t>
      </w:r>
      <w:r w:rsidR="00E11CAC">
        <w:t xml:space="preserve"> dejavnost</w:t>
      </w:r>
      <w:r w:rsidR="00CC786A">
        <w:t xml:space="preserve"> trgovin</w:t>
      </w:r>
      <w:r w:rsidR="00E11CAC">
        <w:t>e</w:t>
      </w:r>
      <w:r w:rsidR="00F842B3">
        <w:t xml:space="preserve"> in za </w:t>
      </w:r>
      <w:r w:rsidR="00CC786A">
        <w:t>kovinsko industrijo</w:t>
      </w:r>
      <w:r w:rsidR="00E11CAC">
        <w:t xml:space="preserve"> (</w:t>
      </w:r>
      <w:r w:rsidR="00EA7453">
        <w:t xml:space="preserve">kar zadeva </w:t>
      </w:r>
      <w:r w:rsidR="00D558D7">
        <w:t>skup</w:t>
      </w:r>
      <w:r w:rsidR="00EA7453">
        <w:t>a</w:t>
      </w:r>
      <w:r w:rsidR="00D558D7">
        <w:t>j</w:t>
      </w:r>
      <w:r w:rsidR="00E11CAC">
        <w:t xml:space="preserve"> okoli 170 tisoč</w:t>
      </w:r>
      <w:r w:rsidR="00D558D7">
        <w:t xml:space="preserve"> prejemnikov plač</w:t>
      </w:r>
      <w:r w:rsidR="008A30E7">
        <w:t>)</w:t>
      </w:r>
      <w:r w:rsidR="00D558D7">
        <w:t>.</w:t>
      </w:r>
      <w:r w:rsidR="00302D29">
        <w:t xml:space="preserve"> Čeprav so tudi druge dejavnosti po številu prejemnikov plač</w:t>
      </w:r>
      <w:r w:rsidR="00A1762F">
        <w:t xml:space="preserve"> razmeroma</w:t>
      </w:r>
      <w:r w:rsidR="00302D29">
        <w:t xml:space="preserve"> velike</w:t>
      </w:r>
      <w:r w:rsidR="008B38D5">
        <w:t xml:space="preserve"> (npr. gradbene dejavnosti in elektroindustrija)</w:t>
      </w:r>
      <w:r w:rsidR="00302D29">
        <w:t>, pa zaradi delne razširjene veljavnosti</w:t>
      </w:r>
      <w:r w:rsidR="00D96FB7">
        <w:t xml:space="preserve"> (ali odsotnosti razširjene veljavnosti)</w:t>
      </w:r>
      <w:r w:rsidR="00302D29">
        <w:t xml:space="preserve"> kolektivnih pogodb</w:t>
      </w:r>
      <w:r w:rsidR="00020750">
        <w:t xml:space="preserve"> </w:t>
      </w:r>
      <w:r w:rsidR="00A1762F">
        <w:t xml:space="preserve">te za </w:t>
      </w:r>
      <w:r w:rsidR="00D96FB7">
        <w:t>del</w:t>
      </w:r>
      <w:r w:rsidR="00A1762F">
        <w:t xml:space="preserve"> prejemnikov plač </w:t>
      </w:r>
      <w:r w:rsidR="00302D29">
        <w:t>ne velja</w:t>
      </w:r>
      <w:r w:rsidR="00A1762F">
        <w:t>jo</w:t>
      </w:r>
      <w:r w:rsidR="00302D29">
        <w:t>.</w:t>
      </w:r>
    </w:p>
    <w:p w14:paraId="4D0D11BA" w14:textId="77777777" w:rsidR="00112C5F" w:rsidRDefault="00112C5F" w:rsidP="009D6F28">
      <w:pPr>
        <w:pStyle w:val="BesediloUMAR"/>
      </w:pPr>
    </w:p>
    <w:p w14:paraId="689114CB" w14:textId="2B0112C1" w:rsidR="00777A94" w:rsidRDefault="0072767F" w:rsidP="00777A94">
      <w:pPr>
        <w:pStyle w:val="Heading1"/>
      </w:pPr>
      <w:r>
        <w:t>G</w:t>
      </w:r>
      <w:r w:rsidR="00B4456A">
        <w:t>ibanj</w:t>
      </w:r>
      <w:r>
        <w:t>e</w:t>
      </w:r>
      <w:r w:rsidR="00B4456A">
        <w:t xml:space="preserve"> osnovnih plač</w:t>
      </w:r>
      <w:r w:rsidR="000E75AF">
        <w:t xml:space="preserve"> po kolektivnih pogodbah</w:t>
      </w:r>
      <w:r w:rsidR="00B4456A">
        <w:t xml:space="preserve"> in</w:t>
      </w:r>
      <w:r>
        <w:t xml:space="preserve"> </w:t>
      </w:r>
      <w:r w:rsidR="00DE6E8B">
        <w:t>njihova</w:t>
      </w:r>
      <w:r>
        <w:t xml:space="preserve"> primerjava z</w:t>
      </w:r>
      <w:r w:rsidR="00777A94">
        <w:t xml:space="preserve"> dejanski</w:t>
      </w:r>
      <w:r>
        <w:t>mi</w:t>
      </w:r>
      <w:r w:rsidR="00777A94">
        <w:t xml:space="preserve"> plač</w:t>
      </w:r>
      <w:r>
        <w:t>ami</w:t>
      </w:r>
    </w:p>
    <w:p w14:paraId="382FAF9E" w14:textId="1C777929" w:rsidR="001D44BF" w:rsidRPr="000E75AF" w:rsidRDefault="001D44BF" w:rsidP="001D44BF">
      <w:pPr>
        <w:pStyle w:val="BesediloUMAR"/>
      </w:pPr>
      <w:r w:rsidRPr="00112C5F">
        <w:rPr>
          <w:rStyle w:val="VodilnistavekUMARChar"/>
        </w:rPr>
        <w:t xml:space="preserve">Do sprememb </w:t>
      </w:r>
      <w:r>
        <w:rPr>
          <w:rStyle w:val="VodilnistavekUMARChar"/>
        </w:rPr>
        <w:t>osnovnih plač</w:t>
      </w:r>
      <w:r w:rsidRPr="00112C5F">
        <w:rPr>
          <w:rStyle w:val="VodilnistavekUMARChar"/>
        </w:rPr>
        <w:t xml:space="preserve"> v okviru usklajevanj najpogosteje prihaja v začetku leta, veliko </w:t>
      </w:r>
      <w:r w:rsidR="003C26B6">
        <w:rPr>
          <w:rStyle w:val="VodilnistavekUMARChar"/>
        </w:rPr>
        <w:t>sprememb</w:t>
      </w:r>
      <w:r w:rsidRPr="00112C5F">
        <w:rPr>
          <w:rStyle w:val="VodilnistavekUMARChar"/>
        </w:rPr>
        <w:t xml:space="preserve"> pa se zvrsti tudi v </w:t>
      </w:r>
      <w:r w:rsidR="003C26B6">
        <w:rPr>
          <w:rStyle w:val="VodilnistavekUMARChar"/>
        </w:rPr>
        <w:t>preostalih</w:t>
      </w:r>
      <w:r w:rsidRPr="00112C5F">
        <w:rPr>
          <w:rStyle w:val="VodilnistavekUMARChar"/>
        </w:rPr>
        <w:t xml:space="preserve"> mesecih.</w:t>
      </w:r>
      <w:r w:rsidRPr="000E75AF">
        <w:rPr>
          <w:rStyle w:val="BesediloUMARChar"/>
        </w:rPr>
        <w:t xml:space="preserve"> V daljšem obdobju se število uskladitev na letni ravni, z izjemo leta 2008 in 2009, sicer n</w:t>
      </w:r>
      <w:r w:rsidR="007A1000">
        <w:rPr>
          <w:rStyle w:val="BesediloUMARChar"/>
        </w:rPr>
        <w:t xml:space="preserve">i </w:t>
      </w:r>
      <w:r w:rsidR="007A1000" w:rsidRPr="000E75AF">
        <w:rPr>
          <w:rStyle w:val="BesediloUMARChar"/>
        </w:rPr>
        <w:t>bistveno</w:t>
      </w:r>
      <w:r w:rsidRPr="000E75AF">
        <w:rPr>
          <w:rStyle w:val="BesediloUMARChar"/>
        </w:rPr>
        <w:t xml:space="preserve"> spreminja</w:t>
      </w:r>
      <w:r w:rsidR="007A1000">
        <w:rPr>
          <w:rStyle w:val="BesediloUMARChar"/>
        </w:rPr>
        <w:t>lo</w:t>
      </w:r>
      <w:r w:rsidRPr="000E75AF">
        <w:rPr>
          <w:rStyle w:val="BesediloUMARChar"/>
        </w:rPr>
        <w:t xml:space="preserve"> (</w:t>
      </w:r>
      <w:r w:rsidR="00120D0E">
        <w:rPr>
          <w:rStyle w:val="BesediloUMARChar"/>
        </w:rPr>
        <w:t xml:space="preserve">gl. </w:t>
      </w:r>
      <w:r w:rsidRPr="000E75AF">
        <w:rPr>
          <w:rStyle w:val="BesediloUMARChar"/>
        </w:rPr>
        <w:t>slik</w:t>
      </w:r>
      <w:r w:rsidR="00120D0E">
        <w:rPr>
          <w:rStyle w:val="BesediloUMARChar"/>
        </w:rPr>
        <w:t>o</w:t>
      </w:r>
      <w:r w:rsidRPr="000E75AF">
        <w:rPr>
          <w:rStyle w:val="BesediloUMARChar"/>
        </w:rPr>
        <w:t xml:space="preserve"> </w:t>
      </w:r>
      <w:r w:rsidR="00CB3D0E">
        <w:rPr>
          <w:rStyle w:val="BesediloUMARChar"/>
        </w:rPr>
        <w:t>1</w:t>
      </w:r>
      <w:r w:rsidRPr="000E75AF">
        <w:rPr>
          <w:rStyle w:val="BesediloUMARChar"/>
        </w:rPr>
        <w:t>).</w:t>
      </w:r>
      <w:r>
        <w:rPr>
          <w:rStyle w:val="BesediloUMARChar"/>
        </w:rPr>
        <w:t xml:space="preserve"> Od kolektivnih pogodb, ki veljajo celotno proučevano obdobje (od </w:t>
      </w:r>
      <w:r w:rsidR="00D9072E">
        <w:rPr>
          <w:rStyle w:val="BesediloUMARChar"/>
        </w:rPr>
        <w:t>januarja 2008 do januarja 2022</w:t>
      </w:r>
      <w:r>
        <w:rPr>
          <w:rStyle w:val="BesediloUMARChar"/>
        </w:rPr>
        <w:t xml:space="preserve">), se je vrednost tarifnih razredov največkrat spremenila v kolektivni pogodbi cestnega potniškega prometa (15-krat), sledijo pa kolektivne pogodbe za kovinsko industrijo (13-krat) ter gozdarstvo in elektroindustrijo (oboje po 11-krat). Najmanj pogosto se je vredost tarifnih razredov spremenila v dejavnosti </w:t>
      </w:r>
      <w:r w:rsidR="00090452">
        <w:rPr>
          <w:rStyle w:val="BesediloUMARChar"/>
        </w:rPr>
        <w:t>gostinstva in turizma (</w:t>
      </w:r>
      <w:r w:rsidR="00D2280F">
        <w:rPr>
          <w:rStyle w:val="BesediloUMARChar"/>
        </w:rPr>
        <w:t>pet</w:t>
      </w:r>
      <w:r w:rsidR="00090452">
        <w:rPr>
          <w:rStyle w:val="BesediloUMARChar"/>
        </w:rPr>
        <w:t>krat), gradbenih dejavnostih (</w:t>
      </w:r>
      <w:r w:rsidR="00D2280F">
        <w:rPr>
          <w:rStyle w:val="BesediloUMARChar"/>
        </w:rPr>
        <w:t>štiri</w:t>
      </w:r>
      <w:r w:rsidR="00090452">
        <w:rPr>
          <w:rStyle w:val="BesediloUMARChar"/>
        </w:rPr>
        <w:t xml:space="preserve">krat) in </w:t>
      </w:r>
      <w:r>
        <w:rPr>
          <w:rStyle w:val="BesediloUMARChar"/>
        </w:rPr>
        <w:t>elektrogospodarstv</w:t>
      </w:r>
      <w:r w:rsidR="00090452">
        <w:rPr>
          <w:rStyle w:val="BesediloUMARChar"/>
        </w:rPr>
        <w:t>u</w:t>
      </w:r>
      <w:r>
        <w:rPr>
          <w:rStyle w:val="BesediloUMARChar"/>
        </w:rPr>
        <w:t xml:space="preserve"> (</w:t>
      </w:r>
      <w:r w:rsidR="00D2280F">
        <w:rPr>
          <w:rStyle w:val="BesediloUMARChar"/>
        </w:rPr>
        <w:t>dva</w:t>
      </w:r>
      <w:r>
        <w:rPr>
          <w:rStyle w:val="BesediloUMARChar"/>
        </w:rPr>
        <w:t>krat).</w:t>
      </w:r>
      <w:r w:rsidR="007A1000">
        <w:rPr>
          <w:rStyle w:val="BesediloUMARChar"/>
        </w:rPr>
        <w:t xml:space="preserve"> </w:t>
      </w:r>
    </w:p>
    <w:p w14:paraId="18711B4A" w14:textId="1D980D6D" w:rsidR="001D44BF" w:rsidRDefault="001D44BF" w:rsidP="001D44BF">
      <w:pPr>
        <w:pStyle w:val="Caption"/>
      </w:pPr>
      <w:r>
        <w:t xml:space="preserve">Slika </w:t>
      </w:r>
      <w:r>
        <w:fldChar w:fldCharType="begin"/>
      </w:r>
      <w:r>
        <w:instrText xml:space="preserve"> SEQ Slika \* ARABIC </w:instrText>
      </w:r>
      <w:r>
        <w:fldChar w:fldCharType="separate"/>
      </w:r>
      <w:r w:rsidR="002424CD">
        <w:t>1</w:t>
      </w:r>
      <w:r>
        <w:fldChar w:fldCharType="end"/>
      </w:r>
      <w:r>
        <w:t>: Število sprememb vrednosti tarifnih razredov po mesecih</w:t>
      </w:r>
    </w:p>
    <w:p w14:paraId="4630A605" w14:textId="056F4C22" w:rsidR="001D44BF" w:rsidRDefault="00727D99" w:rsidP="001D44BF">
      <w:pPr>
        <w:pStyle w:val="BesediloUMAR"/>
      </w:pPr>
      <w:r>
        <w:rPr>
          <w:noProof/>
        </w:rPr>
        <w:drawing>
          <wp:inline distT="0" distB="0" distL="0" distR="0" wp14:anchorId="0495936C" wp14:editId="3EE3EDDC">
            <wp:extent cx="5797492" cy="21029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7093" cy="2120908"/>
                    </a:xfrm>
                    <a:prstGeom prst="rect">
                      <a:avLst/>
                    </a:prstGeom>
                    <a:noFill/>
                  </pic:spPr>
                </pic:pic>
              </a:graphicData>
            </a:graphic>
          </wp:inline>
        </w:drawing>
      </w:r>
    </w:p>
    <w:p w14:paraId="535DFA3D" w14:textId="0BE29CAD" w:rsidR="001D44BF" w:rsidRDefault="001D44BF" w:rsidP="001D44BF">
      <w:pPr>
        <w:pStyle w:val="VirUMAR"/>
      </w:pPr>
      <w:r>
        <w:t>Vir</w:t>
      </w:r>
      <w:r w:rsidR="00162A1B">
        <w:t>: Posamezne kolektivne pogodbe,</w:t>
      </w:r>
      <w:r w:rsidR="0050239A">
        <w:t xml:space="preserve"> </w:t>
      </w:r>
      <w:r w:rsidR="00BD76E1">
        <w:fldChar w:fldCharType="begin"/>
      </w:r>
      <w:r w:rsidR="00BD76E1">
        <w:instrText xml:space="preserve"> ADDIN ZOTERO_ITEM CSL_CITATION {"citationID":"BVYCDtim","properties":{"formattedCitation":"(ZSSS, 2022)","plainCitation":"(ZSSS, 2022)","noteIndex":0},"citationItems":[{"id":2436,"uris":["http://zotero.org/groups/4141114/items/7JZZ3N97"],"uri":["http://zotero.org/groups/4141114/items/7JZZ3N97"],"itemData":{"id":2436,"type":"report","publisher":"Zveza svobodnih sindikatov Slovenije","title":"E-baza kolektivnih pogodb","URL":"https://kp-zsss.si/","author":[{"family":"ZSSS","given":""}],"accessed":{"date-parts":[["2022",7,20]]},"issued":{"date-parts":[["2022"]]}}}],"schema":"https://github.com/citation-style-language/schema/raw/master/csl-citation.json"} </w:instrText>
      </w:r>
      <w:r w:rsidR="00BD76E1">
        <w:fldChar w:fldCharType="separate"/>
      </w:r>
      <w:r w:rsidR="00BD76E1" w:rsidRPr="00BD76E1">
        <w:rPr>
          <w:rFonts w:ascii="Arial" w:hAnsi="Arial" w:cs="Arial"/>
        </w:rPr>
        <w:t>(ZSSS, 2022)</w:t>
      </w:r>
      <w:r w:rsidR="00BD76E1">
        <w:fldChar w:fldCharType="end"/>
      </w:r>
      <w:r w:rsidR="00162A1B">
        <w:t>.</w:t>
      </w:r>
    </w:p>
    <w:p w14:paraId="7489B198" w14:textId="57CB5950" w:rsidR="00162A1B" w:rsidRDefault="00162A1B" w:rsidP="001D44BF">
      <w:pPr>
        <w:pStyle w:val="VirUMAR"/>
      </w:pPr>
      <w:r>
        <w:t xml:space="preserve">Opomba: </w:t>
      </w:r>
      <w:r w:rsidR="00F40178" w:rsidRPr="00F40178">
        <w:t>Slika je izrisana za kolektivne pogodbe, ki so veljale v obdobju januar 2008–januar 2022.</w:t>
      </w:r>
    </w:p>
    <w:p w14:paraId="1FB3E9D9" w14:textId="40AB9C55" w:rsidR="001D44BF" w:rsidRDefault="001D44BF" w:rsidP="004D7E10">
      <w:pPr>
        <w:pStyle w:val="BesediloUMAR"/>
        <w:rPr>
          <w:rStyle w:val="BesediloUMARChar"/>
        </w:rPr>
      </w:pPr>
    </w:p>
    <w:p w14:paraId="7D43F648" w14:textId="0D4FF1F4" w:rsidR="00162A1B" w:rsidRDefault="001D44BF" w:rsidP="002905D7">
      <w:pPr>
        <w:pStyle w:val="BesediloUMAR"/>
        <w:rPr>
          <w:rStyle w:val="BesediloUMARChar"/>
        </w:rPr>
      </w:pPr>
      <w:r w:rsidRPr="007D3BC2">
        <w:rPr>
          <w:rStyle w:val="VodilnistavekUMARChar"/>
        </w:rPr>
        <w:t xml:space="preserve">Za gibanje vrednosti tarifnih razredov je značilno postopno naraščanje, čeprav </w:t>
      </w:r>
      <w:r w:rsidR="00807872">
        <w:rPr>
          <w:rStyle w:val="VodilnistavekUMARChar"/>
        </w:rPr>
        <w:t>s</w:t>
      </w:r>
      <w:r w:rsidRPr="007D3BC2">
        <w:rPr>
          <w:rStyle w:val="VodilnistavekUMARChar"/>
        </w:rPr>
        <w:t xml:space="preserve">e </w:t>
      </w:r>
      <w:r w:rsidR="009515F5">
        <w:rPr>
          <w:rStyle w:val="VodilnistavekUMARChar"/>
        </w:rPr>
        <w:t>slednje</w:t>
      </w:r>
      <w:r w:rsidR="009515F5" w:rsidRPr="007D3BC2">
        <w:rPr>
          <w:rStyle w:val="VodilnistavekUMARChar"/>
        </w:rPr>
        <w:t xml:space="preserve"> </w:t>
      </w:r>
      <w:r w:rsidRPr="007D3BC2">
        <w:rPr>
          <w:rStyle w:val="VodilnistavekUMARChar"/>
        </w:rPr>
        <w:t xml:space="preserve">med kolektivnimi pogodbami precej </w:t>
      </w:r>
      <w:r>
        <w:rPr>
          <w:rStyle w:val="VodilnistavekUMARChar"/>
        </w:rPr>
        <w:t>razli</w:t>
      </w:r>
      <w:r w:rsidR="00807872">
        <w:rPr>
          <w:rStyle w:val="VodilnistavekUMARChar"/>
        </w:rPr>
        <w:t>kuje</w:t>
      </w:r>
      <w:r w:rsidRPr="007D3BC2">
        <w:rPr>
          <w:rStyle w:val="VodilnistavekUMARChar"/>
        </w:rPr>
        <w:t>.</w:t>
      </w:r>
      <w:r w:rsidRPr="007D3BC2">
        <w:rPr>
          <w:rStyle w:val="BesediloUMARChar"/>
        </w:rPr>
        <w:t xml:space="preserve"> </w:t>
      </w:r>
      <w:r w:rsidR="00D9072E" w:rsidRPr="00D9072E">
        <w:rPr>
          <w:rStyle w:val="BesediloUMARChar"/>
        </w:rPr>
        <w:t>V kolektivnih pogodbah, kjer se je vrednost tarifnih razredov spremenila večkrat, je bila kumulativna rast njhove vrednosti tudi relativno večja kot v ostalih kolektivnih pogodbah.</w:t>
      </w:r>
      <w:r w:rsidR="00D9072E">
        <w:rPr>
          <w:rStyle w:val="BesediloUMARChar"/>
        </w:rPr>
        <w:t xml:space="preserve"> Kljub temu pa je zaradi narave usklajevanj in pogajanj značilno, da vrednost tarifnih razredov dlje časa ostaja nespremenjena, pri čemer pa lahko po daljšem obdobju </w:t>
      </w:r>
      <w:r w:rsidR="00090452">
        <w:rPr>
          <w:rStyle w:val="BesediloUMARChar"/>
        </w:rPr>
        <w:t>odsotnosti sprememb</w:t>
      </w:r>
      <w:r w:rsidR="00D9072E">
        <w:rPr>
          <w:rStyle w:val="BesediloUMARChar"/>
        </w:rPr>
        <w:t xml:space="preserve"> pride do relativno velike enkratne uskladitve vrednosti</w:t>
      </w:r>
      <w:r w:rsidR="003A27D1">
        <w:rPr>
          <w:rStyle w:val="BesediloUMARChar"/>
        </w:rPr>
        <w:t xml:space="preserve"> (gl</w:t>
      </w:r>
      <w:r w:rsidR="00120D0E">
        <w:rPr>
          <w:rStyle w:val="BesediloUMARChar"/>
        </w:rPr>
        <w:t>.</w:t>
      </w:r>
      <w:r w:rsidR="003A27D1">
        <w:rPr>
          <w:rStyle w:val="BesediloUMARChar"/>
        </w:rPr>
        <w:t xml:space="preserve"> sliko </w:t>
      </w:r>
      <w:r w:rsidR="00CB3D0E">
        <w:rPr>
          <w:rStyle w:val="BesediloUMARChar"/>
        </w:rPr>
        <w:t>2</w:t>
      </w:r>
      <w:r w:rsidR="003A27D1">
        <w:rPr>
          <w:rStyle w:val="BesediloUMARChar"/>
        </w:rPr>
        <w:t>)</w:t>
      </w:r>
      <w:r w:rsidR="00D9072E">
        <w:rPr>
          <w:rStyle w:val="BesediloUMARChar"/>
        </w:rPr>
        <w:t>. V obdobju januar 2008–januar 2022 se je povprečna vrednost tarifnih razredov</w:t>
      </w:r>
      <w:r w:rsidR="003A27D1">
        <w:rPr>
          <w:rStyle w:val="BesediloUMARChar"/>
        </w:rPr>
        <w:t xml:space="preserve"> sicer</w:t>
      </w:r>
      <w:r w:rsidR="00D9072E">
        <w:rPr>
          <w:rStyle w:val="BesediloUMARChar"/>
        </w:rPr>
        <w:t xml:space="preserve"> relativno najbolj povečala v kolektivni pogodbi cestnega </w:t>
      </w:r>
      <w:r w:rsidR="00D9072E">
        <w:rPr>
          <w:rStyle w:val="BesediloUMARChar"/>
        </w:rPr>
        <w:lastRenderedPageBreak/>
        <w:t>potniškega prometa (kumulativno za 92,9 %), v dejavnosti elektrogospodarstva</w:t>
      </w:r>
      <w:r w:rsidR="0078016D">
        <w:rPr>
          <w:rStyle w:val="FootnoteReference"/>
        </w:rPr>
        <w:footnoteReference w:id="5"/>
      </w:r>
      <w:r w:rsidR="00D9072E">
        <w:rPr>
          <w:rStyle w:val="BesediloUMARChar"/>
        </w:rPr>
        <w:t xml:space="preserve"> (68,6 %) ter v poštni in kurirski dejavnosti (65,3 %).</w:t>
      </w:r>
    </w:p>
    <w:p w14:paraId="7EEDD422" w14:textId="04BA87AC" w:rsidR="009F7F6B" w:rsidRDefault="009F7F6B" w:rsidP="009F7F6B">
      <w:pPr>
        <w:pStyle w:val="Caption"/>
      </w:pPr>
      <w:r>
        <w:t xml:space="preserve">Slika </w:t>
      </w:r>
      <w:r>
        <w:fldChar w:fldCharType="begin"/>
      </w:r>
      <w:r>
        <w:instrText xml:space="preserve"> SEQ Slika \* ARABIC </w:instrText>
      </w:r>
      <w:r>
        <w:fldChar w:fldCharType="separate"/>
      </w:r>
      <w:r w:rsidR="002424CD">
        <w:t>2</w:t>
      </w:r>
      <w:r>
        <w:fldChar w:fldCharType="end"/>
      </w:r>
      <w:r>
        <w:t>: Gibanje povprečne vrednosti tarifnih razredov za izbrane kolektivne pogodbe</w:t>
      </w:r>
    </w:p>
    <w:p w14:paraId="711FEAE4" w14:textId="3EC3071A" w:rsidR="009F7F6B" w:rsidRDefault="00727D99" w:rsidP="009F7F6B">
      <w:pPr>
        <w:pStyle w:val="BesediloUMAR"/>
      </w:pPr>
      <w:r>
        <w:rPr>
          <w:noProof/>
        </w:rPr>
        <w:drawing>
          <wp:inline distT="0" distB="0" distL="0" distR="0" wp14:anchorId="5882D714" wp14:editId="47FD2388">
            <wp:extent cx="5778207" cy="34082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3124" cy="3422915"/>
                    </a:xfrm>
                    <a:prstGeom prst="rect">
                      <a:avLst/>
                    </a:prstGeom>
                    <a:noFill/>
                  </pic:spPr>
                </pic:pic>
              </a:graphicData>
            </a:graphic>
          </wp:inline>
        </w:drawing>
      </w:r>
    </w:p>
    <w:p w14:paraId="5AF44BDB" w14:textId="7C79FE1E" w:rsidR="00727D99" w:rsidRDefault="00727D99" w:rsidP="009F7F6B">
      <w:pPr>
        <w:pStyle w:val="BesediloUMAR"/>
      </w:pPr>
    </w:p>
    <w:p w14:paraId="6F16B37D" w14:textId="63DAFDBF" w:rsidR="00727D99" w:rsidRDefault="00727D99" w:rsidP="009F7F6B">
      <w:pPr>
        <w:pStyle w:val="BesediloUMAR"/>
      </w:pPr>
      <w:r>
        <w:rPr>
          <w:noProof/>
        </w:rPr>
        <w:drawing>
          <wp:inline distT="0" distB="0" distL="0" distR="0" wp14:anchorId="74196519" wp14:editId="624B058D">
            <wp:extent cx="5745018" cy="3406902"/>
            <wp:effectExtent l="0" t="0" r="825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423" cy="3417223"/>
                    </a:xfrm>
                    <a:prstGeom prst="rect">
                      <a:avLst/>
                    </a:prstGeom>
                    <a:noFill/>
                  </pic:spPr>
                </pic:pic>
              </a:graphicData>
            </a:graphic>
          </wp:inline>
        </w:drawing>
      </w:r>
    </w:p>
    <w:p w14:paraId="33FC4C0F" w14:textId="77777777" w:rsidR="00727D99" w:rsidRDefault="00727D99" w:rsidP="009F7F6B">
      <w:pPr>
        <w:pStyle w:val="BesediloUMAR"/>
      </w:pPr>
    </w:p>
    <w:p w14:paraId="0C6FCF4C" w14:textId="14C1CB41" w:rsidR="009F7F6B" w:rsidRDefault="009F7F6B" w:rsidP="009F7F6B">
      <w:pPr>
        <w:pStyle w:val="VirUMAR"/>
      </w:pPr>
      <w:r>
        <w:t xml:space="preserve">Vir: Posamezne kolektivne pogodbe, </w:t>
      </w:r>
      <w:r w:rsidR="00BD76E1">
        <w:fldChar w:fldCharType="begin"/>
      </w:r>
      <w:r w:rsidR="00BD76E1">
        <w:instrText xml:space="preserve"> ADDIN ZOTERO_ITEM CSL_CITATION {"citationID":"EuNtpXED","properties":{"formattedCitation":"(ZSSS, 2022)","plainCitation":"(ZSSS, 2022)","noteIndex":0},"citationItems":[{"id":2436,"uris":["http://zotero.org/groups/4141114/items/7JZZ3N97"],"uri":["http://zotero.org/groups/4141114/items/7JZZ3N97"],"itemData":{"id":2436,"type":"report","publisher":"Zveza svobodnih sindikatov Slovenije","title":"E-baza kolektivnih pogodb","URL":"https://kp-zsss.si/","author":[{"family":"ZSSS","given":""}],"accessed":{"date-parts":[["2022",7,20]]},"issued":{"date-parts":[["2022"]]}}}],"schema":"https://github.com/citation-style-language/schema/raw/master/csl-citation.json"} </w:instrText>
      </w:r>
      <w:r w:rsidR="00BD76E1">
        <w:fldChar w:fldCharType="separate"/>
      </w:r>
      <w:r w:rsidR="00BD76E1" w:rsidRPr="00BD76E1">
        <w:rPr>
          <w:rFonts w:ascii="Arial" w:hAnsi="Arial" w:cs="Arial"/>
        </w:rPr>
        <w:t>(ZSSS, 2022)</w:t>
      </w:r>
      <w:r w:rsidR="00BD76E1">
        <w:fldChar w:fldCharType="end"/>
      </w:r>
      <w:r w:rsidR="0050239A">
        <w:t>,</w:t>
      </w:r>
      <w:r>
        <w:t xml:space="preserve"> preračuni UMAR.</w:t>
      </w:r>
    </w:p>
    <w:p w14:paraId="3F727EC5" w14:textId="59869E65" w:rsidR="009F7F6B" w:rsidRDefault="009F7F6B" w:rsidP="009F7F6B">
      <w:pPr>
        <w:pStyle w:val="VirUMAR"/>
      </w:pPr>
      <w:r>
        <w:t>Opomba:</w:t>
      </w:r>
      <w:r w:rsidR="00F40178">
        <w:t xml:space="preserve"> Slika je izrisana za kolektivne pogodbe, </w:t>
      </w:r>
      <w:r w:rsidR="001E1A17">
        <w:t xml:space="preserve">veljavne </w:t>
      </w:r>
      <w:r w:rsidR="00F40178">
        <w:t>v obdobju januar 2008–januar 2022.</w:t>
      </w:r>
    </w:p>
    <w:p w14:paraId="469940F3" w14:textId="4B7D7F3C" w:rsidR="00505383" w:rsidRDefault="00505383" w:rsidP="004D7E10">
      <w:pPr>
        <w:pStyle w:val="BesediloUMAR"/>
        <w:rPr>
          <w:rStyle w:val="BesediloUMARChar"/>
        </w:rPr>
      </w:pPr>
    </w:p>
    <w:p w14:paraId="41A37727" w14:textId="6D6AD13B" w:rsidR="00505383" w:rsidRDefault="00A87B81" w:rsidP="00505383">
      <w:pPr>
        <w:pStyle w:val="VodilnistavekUMAR"/>
        <w:rPr>
          <w:rStyle w:val="BesediloUMARChar"/>
          <w:b w:val="0"/>
        </w:rPr>
      </w:pPr>
      <w:r w:rsidRPr="00951B63">
        <w:t>Predpostavljena</w:t>
      </w:r>
      <w:r w:rsidR="00505383">
        <w:t xml:space="preserve"> povezava med</w:t>
      </w:r>
      <w:r w:rsidR="0063588F">
        <w:t xml:space="preserve"> dogovorjenimi</w:t>
      </w:r>
      <w:r w:rsidR="00505383">
        <w:t xml:space="preserve"> osnovnimi plačami po kolektivnih pogodbah in dejanskimi plačami </w:t>
      </w:r>
      <w:r w:rsidR="00EC6781">
        <w:t xml:space="preserve">bi lahko bila </w:t>
      </w:r>
      <w:r w:rsidR="00667DAF">
        <w:t>razmeroma</w:t>
      </w:r>
      <w:r w:rsidR="00505383">
        <w:t xml:space="preserve"> šibka</w:t>
      </w:r>
      <w:r w:rsidR="00505383" w:rsidRPr="009F3B61">
        <w:t>.</w:t>
      </w:r>
      <w:r w:rsidR="00505383">
        <w:rPr>
          <w:rStyle w:val="BesediloUMARChar"/>
          <w:b w:val="0"/>
        </w:rPr>
        <w:t xml:space="preserve"> </w:t>
      </w:r>
      <w:r w:rsidR="0013178B">
        <w:rPr>
          <w:rStyle w:val="BesediloUMARChar"/>
          <w:b w:val="0"/>
        </w:rPr>
        <w:t>To je posledica dejstva, da</w:t>
      </w:r>
      <w:r w:rsidR="00505383">
        <w:rPr>
          <w:rStyle w:val="BesediloUMARChar"/>
          <w:b w:val="0"/>
        </w:rPr>
        <w:t xml:space="preserve"> </w:t>
      </w:r>
      <w:r w:rsidR="0013178B">
        <w:rPr>
          <w:rStyle w:val="BesediloUMARChar"/>
          <w:b w:val="0"/>
        </w:rPr>
        <w:t xml:space="preserve">so </w:t>
      </w:r>
      <w:r w:rsidR="00505383">
        <w:rPr>
          <w:rStyle w:val="BesediloUMARChar"/>
          <w:b w:val="0"/>
        </w:rPr>
        <w:t>osnovne plače, ki so določene v kolektivnih pogodbah</w:t>
      </w:r>
      <w:r w:rsidR="0013178B">
        <w:rPr>
          <w:rStyle w:val="BesediloUMARChar"/>
          <w:b w:val="0"/>
        </w:rPr>
        <w:t xml:space="preserve"> (zlasti v nižjih tarifnih razredih)</w:t>
      </w:r>
      <w:r w:rsidR="00505383">
        <w:rPr>
          <w:rStyle w:val="BesediloUMARChar"/>
          <w:b w:val="0"/>
        </w:rPr>
        <w:t>, pogosto nižje od zakonsko določene minimalne plače</w:t>
      </w:r>
      <w:r w:rsidR="00676B55">
        <w:rPr>
          <w:rStyle w:val="BesediloUMARChar"/>
          <w:b w:val="0"/>
        </w:rPr>
        <w:t>, ki je najnižji znesek, ki ga lahko delavec prejme za svoje delo (za polni delovni čas)</w:t>
      </w:r>
      <w:r w:rsidR="00505383">
        <w:rPr>
          <w:rStyle w:val="BesediloUMARChar"/>
          <w:b w:val="0"/>
        </w:rPr>
        <w:t>.</w:t>
      </w:r>
      <w:r w:rsidR="00676B55">
        <w:rPr>
          <w:rStyle w:val="BesediloUMARChar"/>
          <w:b w:val="0"/>
        </w:rPr>
        <w:t xml:space="preserve"> V tem primeru delodajalec </w:t>
      </w:r>
      <w:r w:rsidR="0033724B">
        <w:rPr>
          <w:rStyle w:val="BesediloUMARChar"/>
          <w:b w:val="0"/>
        </w:rPr>
        <w:t>delavcu</w:t>
      </w:r>
      <w:r w:rsidR="0013178B">
        <w:rPr>
          <w:rStyle w:val="BesediloUMARChar"/>
          <w:b w:val="0"/>
        </w:rPr>
        <w:t xml:space="preserve"> sicer</w:t>
      </w:r>
      <w:r w:rsidR="0033724B">
        <w:rPr>
          <w:rStyle w:val="BesediloUMARChar"/>
          <w:b w:val="0"/>
        </w:rPr>
        <w:t xml:space="preserve"> izplača</w:t>
      </w:r>
      <w:r w:rsidR="003D7CE4">
        <w:rPr>
          <w:rStyle w:val="BesediloUMARChar"/>
          <w:b w:val="0"/>
        </w:rPr>
        <w:t xml:space="preserve"> tudi</w:t>
      </w:r>
      <w:r w:rsidR="0033724B">
        <w:rPr>
          <w:rStyle w:val="BesediloUMARChar"/>
          <w:b w:val="0"/>
        </w:rPr>
        <w:t xml:space="preserve"> razliko do minimalne plače.</w:t>
      </w:r>
      <w:r w:rsidR="0013178B">
        <w:rPr>
          <w:rStyle w:val="BesediloUMARChar"/>
          <w:b w:val="0"/>
        </w:rPr>
        <w:t xml:space="preserve"> Zaradi tega osnovne plače, ki so nižje od minimalne plače, nimajo neposredno močnega učinka na dejansko izplačano plačo. Povezava med osnovno plačo in dejanskimi plačami tako v večji meri izhaja iz vpliva, ki ga ima povečanje osnovnih plač v višjih tarifnih razredih</w:t>
      </w:r>
      <w:r w:rsidR="005B7F60">
        <w:rPr>
          <w:rStyle w:val="BesediloUMARChar"/>
          <w:b w:val="0"/>
        </w:rPr>
        <w:t>,</w:t>
      </w:r>
      <w:r w:rsidR="00124F15">
        <w:rPr>
          <w:rStyle w:val="FootnoteReference"/>
        </w:rPr>
        <w:footnoteReference w:id="6"/>
      </w:r>
      <w:r w:rsidR="00923E5C">
        <w:rPr>
          <w:rStyle w:val="BesediloUMARChar"/>
          <w:b w:val="0"/>
        </w:rPr>
        <w:t xml:space="preserve"> ki so n</w:t>
      </w:r>
      <w:r w:rsidR="0013178B">
        <w:rPr>
          <w:rStyle w:val="BesediloUMARChar"/>
          <w:b w:val="0"/>
        </w:rPr>
        <w:t>a ali nad ravnjo minimalne plače</w:t>
      </w:r>
      <w:r w:rsidR="00923E5C">
        <w:rPr>
          <w:rStyle w:val="BesediloUMARChar"/>
          <w:b w:val="0"/>
        </w:rPr>
        <w:t>,</w:t>
      </w:r>
      <w:r w:rsidR="0013178B">
        <w:rPr>
          <w:rStyle w:val="BesediloUMARChar"/>
          <w:b w:val="0"/>
        </w:rPr>
        <w:t xml:space="preserve"> in preko višjih </w:t>
      </w:r>
      <w:r w:rsidR="003D7CE4">
        <w:rPr>
          <w:rStyle w:val="BesediloUMARChar"/>
          <w:b w:val="0"/>
        </w:rPr>
        <w:t xml:space="preserve">izplačil </w:t>
      </w:r>
      <w:r w:rsidR="0013178B">
        <w:rPr>
          <w:rStyle w:val="BesediloUMARChar"/>
          <w:b w:val="0"/>
        </w:rPr>
        <w:t>dodatkov, ki so najpogosteje vezani na delavčevo osnovno plačo.</w:t>
      </w:r>
      <w:r w:rsidR="00052C36">
        <w:rPr>
          <w:rStyle w:val="BesediloUMARChar"/>
          <w:b w:val="0"/>
        </w:rPr>
        <w:t xml:space="preserve"> Ocenjujemo, da je število osnovnih plač, ki so nižje od minimalne plače, čedalje večje, na kar je vplivalo hitrejše povečevanje vrednosti minimalne plače kot tarifnih razredov.</w:t>
      </w:r>
    </w:p>
    <w:p w14:paraId="3430B431" w14:textId="77777777" w:rsidR="00505383" w:rsidRDefault="00505383" w:rsidP="004D7E10">
      <w:pPr>
        <w:pStyle w:val="BesediloUMAR"/>
        <w:rPr>
          <w:rStyle w:val="BesediloUMARChar"/>
        </w:rPr>
      </w:pPr>
    </w:p>
    <w:p w14:paraId="59719DC5" w14:textId="13C40C54" w:rsidR="00CF579E" w:rsidRDefault="00562AB3" w:rsidP="004D7E10">
      <w:pPr>
        <w:pStyle w:val="BesediloUMAR"/>
      </w:pPr>
      <w:r>
        <w:rPr>
          <w:rStyle w:val="VodilnistavekUMARChar"/>
        </w:rPr>
        <w:t xml:space="preserve">Izdelava </w:t>
      </w:r>
      <w:r w:rsidR="004D7E10" w:rsidRPr="007D3BC2">
        <w:rPr>
          <w:rStyle w:val="VodilnistavekUMARChar"/>
        </w:rPr>
        <w:t>enotnega agregatnega kazalnika, ki bi zaobjel vse kolektivne pogodbe in njihove tarifne razrede</w:t>
      </w:r>
      <w:r w:rsidR="00B35211">
        <w:rPr>
          <w:rStyle w:val="VodilnistavekUMARChar"/>
        </w:rPr>
        <w:t xml:space="preserve"> oz. osnovne plače</w:t>
      </w:r>
      <w:r w:rsidR="004D7E10" w:rsidRPr="007D3BC2">
        <w:rPr>
          <w:rStyle w:val="VodilnistavekUMARChar"/>
        </w:rPr>
        <w:t xml:space="preserve">, je zaradi nerazpoložljivosti podrobnih podatkov </w:t>
      </w:r>
      <w:r w:rsidR="00AC5B8A">
        <w:rPr>
          <w:rStyle w:val="VodilnistavekUMARChar"/>
        </w:rPr>
        <w:t>zahtevn</w:t>
      </w:r>
      <w:r w:rsidR="00C2027D">
        <w:rPr>
          <w:rStyle w:val="VodilnistavekUMARChar"/>
        </w:rPr>
        <w:t>a</w:t>
      </w:r>
      <w:r w:rsidR="004D7E10" w:rsidRPr="007D3BC2">
        <w:rPr>
          <w:rStyle w:val="VodilnistavekUMARChar"/>
        </w:rPr>
        <w:t>.</w:t>
      </w:r>
      <w:r w:rsidR="004D7E10" w:rsidRPr="007D3BC2">
        <w:rPr>
          <w:rStyle w:val="VodilnistavekUMARChar"/>
          <w:b w:val="0"/>
        </w:rPr>
        <w:t xml:space="preserve"> </w:t>
      </w:r>
      <w:r w:rsidR="0079002D">
        <w:rPr>
          <w:rStyle w:val="VodilnistavekUMARChar"/>
          <w:b w:val="0"/>
        </w:rPr>
        <w:br/>
      </w:r>
      <w:r w:rsidR="004D7E10" w:rsidRPr="007D3BC2">
        <w:t>V posamezni kolektivni pogodbi je običajno devet tarifnih razredov, velikokrat tudi s posameznimi podrazredi. Zaradi nerazpoložljivosti podrobnih podatkov o številu zaposlenih v posameznem tarifnem razredu izdelava</w:t>
      </w:r>
      <w:r w:rsidR="004D7E10">
        <w:t xml:space="preserve"> natančne</w:t>
      </w:r>
      <w:r w:rsidR="004D7E10" w:rsidRPr="007D3BC2">
        <w:t xml:space="preserve"> ocene</w:t>
      </w:r>
      <w:r w:rsidR="004D7E10">
        <w:t xml:space="preserve"> o agregatni </w:t>
      </w:r>
      <w:r w:rsidR="004D7E10" w:rsidRPr="007D3BC2">
        <w:t>vrednosti tarifnih razredov</w:t>
      </w:r>
      <w:r w:rsidR="0033546E">
        <w:t xml:space="preserve"> oz. osnovni plači</w:t>
      </w:r>
      <w:r w:rsidR="004D7E10" w:rsidRPr="007D3BC2">
        <w:t xml:space="preserve"> </w:t>
      </w:r>
      <w:r w:rsidR="00AC5B8A">
        <w:t>ni mogoča</w:t>
      </w:r>
      <w:r w:rsidR="004D7E10" w:rsidRPr="007D3BC2">
        <w:t>. Zaradi tega je potrebna poenostavitev</w:t>
      </w:r>
      <w:r w:rsidR="002A6F32">
        <w:t xml:space="preserve"> z določenimi predpostavkami. Kot o</w:t>
      </w:r>
      <w:r w:rsidR="004D7E10">
        <w:t>ceno</w:t>
      </w:r>
      <w:r w:rsidR="004D7E10" w:rsidRPr="007D3BC2">
        <w:t xml:space="preserve"> </w:t>
      </w:r>
      <w:r w:rsidR="004D7E10">
        <w:t>gibanja vrednosti tarifnih razredov, ki izhajajo iz kolektivnih pogodb,</w:t>
      </w:r>
      <w:r w:rsidR="002A6F32">
        <w:t xml:space="preserve"> smo izračunali</w:t>
      </w:r>
      <w:r w:rsidR="004D7E10" w:rsidRPr="007D3BC2">
        <w:t xml:space="preserve"> </w:t>
      </w:r>
      <w:r w:rsidR="004D7E10" w:rsidRPr="0089114A">
        <w:rPr>
          <w:i/>
          <w:iCs/>
        </w:rPr>
        <w:t xml:space="preserve">povprečno </w:t>
      </w:r>
      <w:r w:rsidR="0033546E">
        <w:rPr>
          <w:i/>
          <w:iCs/>
        </w:rPr>
        <w:t xml:space="preserve">uteženo vrednost </w:t>
      </w:r>
      <w:r w:rsidR="004D7E10" w:rsidRPr="0089114A">
        <w:rPr>
          <w:i/>
          <w:iCs/>
        </w:rPr>
        <w:t>tarifnih razredov</w:t>
      </w:r>
      <w:r w:rsidR="00724615">
        <w:rPr>
          <w:i/>
          <w:iCs/>
        </w:rPr>
        <w:t xml:space="preserve"> </w:t>
      </w:r>
      <w:r w:rsidR="00724615">
        <w:t>(dogovorjene plače)</w:t>
      </w:r>
      <w:r w:rsidR="002A6F32" w:rsidRPr="002A6F32">
        <w:t>.</w:t>
      </w:r>
      <w:r w:rsidR="002A6F32">
        <w:t xml:space="preserve"> Ta kazalnik </w:t>
      </w:r>
      <w:r w:rsidR="004D7E10">
        <w:t>upošteva</w:t>
      </w:r>
      <w:r w:rsidR="00AC5B8A">
        <w:t xml:space="preserve"> zgolj</w:t>
      </w:r>
      <w:r w:rsidR="004D7E10">
        <w:t xml:space="preserve"> kolektivne pogodbe, ki so veljale v celotnem proučevanem obdobju, in je utežen s številom prejemnikov plač v posamezni dejavnosti, ki jo kolektivna pogodba pokriva.</w:t>
      </w:r>
      <w:r w:rsidR="004D7E10">
        <w:rPr>
          <w:rStyle w:val="FootnoteReference"/>
        </w:rPr>
        <w:footnoteReference w:id="7"/>
      </w:r>
      <w:r w:rsidR="003C5584">
        <w:t xml:space="preserve"> Ob tem </w:t>
      </w:r>
      <w:r w:rsidR="002A6F32">
        <w:t>velja</w:t>
      </w:r>
      <w:r w:rsidR="003C5584">
        <w:t xml:space="preserve"> predpostavka</w:t>
      </w:r>
      <w:r w:rsidR="003C5584" w:rsidRPr="004A3960">
        <w:t>,</w:t>
      </w:r>
      <w:r w:rsidR="00463662">
        <w:t xml:space="preserve"> da</w:t>
      </w:r>
      <w:r w:rsidR="003C5584" w:rsidRPr="004A3960">
        <w:t xml:space="preserve"> </w:t>
      </w:r>
      <w:r w:rsidR="002A6F32">
        <w:t>imajo vse kolektivne pogodbe razširjeno veljavnost</w:t>
      </w:r>
      <w:r w:rsidR="003C5584" w:rsidRPr="004A3960">
        <w:t xml:space="preserve"> za vse dejavnosti, za katere je sklenjena kolektivna pogodba. To temelji na predpostavki, da plače v podjetju, ki ni zavezano k upoštevanju določil</w:t>
      </w:r>
      <w:r w:rsidR="003C5584">
        <w:t xml:space="preserve"> sektorske</w:t>
      </w:r>
      <w:r w:rsidR="003C5584" w:rsidRPr="004A3960">
        <w:t xml:space="preserve"> kolektivne pogodbe, ne odstopajo bistveno</w:t>
      </w:r>
      <w:r w:rsidR="003C5584">
        <w:t xml:space="preserve"> od</w:t>
      </w:r>
      <w:r w:rsidR="003C5584" w:rsidRPr="004A3960">
        <w:t xml:space="preserve"> plač v podjetjih, ki</w:t>
      </w:r>
      <w:r w:rsidR="003C5584" w:rsidRPr="000957AC">
        <w:t xml:space="preserve"> </w:t>
      </w:r>
      <w:r w:rsidR="003C5584" w:rsidRPr="004A3960">
        <w:t>delujejo v enaki dejavnosti</w:t>
      </w:r>
      <w:r w:rsidR="003C5584">
        <w:t xml:space="preserve"> in</w:t>
      </w:r>
      <w:r w:rsidR="003C5584" w:rsidRPr="004A3960">
        <w:t xml:space="preserve"> jih kolektivna pogodba</w:t>
      </w:r>
      <w:r w:rsidR="003C5584">
        <w:t xml:space="preserve"> ne</w:t>
      </w:r>
      <w:r w:rsidR="003C5584" w:rsidRPr="004A3960">
        <w:t xml:space="preserve"> zavezuje</w:t>
      </w:r>
      <w:r w:rsidR="002A6F32">
        <w:t>.</w:t>
      </w:r>
      <w:r w:rsidR="00706439">
        <w:t xml:space="preserve"> </w:t>
      </w:r>
    </w:p>
    <w:p w14:paraId="17477E94" w14:textId="07E427AE" w:rsidR="009E2DA6" w:rsidRDefault="009E2DA6" w:rsidP="004D7E10">
      <w:pPr>
        <w:pStyle w:val="BesediloUMAR"/>
      </w:pPr>
    </w:p>
    <w:p w14:paraId="010AD3A0" w14:textId="3B7707AF" w:rsidR="002723E2" w:rsidRDefault="00724615" w:rsidP="000F33FE">
      <w:pPr>
        <w:pStyle w:val="VodilnistavekUMAR"/>
        <w:rPr>
          <w:rStyle w:val="BesediloUMARChar"/>
          <w:b w:val="0"/>
        </w:rPr>
      </w:pPr>
      <w:r>
        <w:t>Dogovorjene p</w:t>
      </w:r>
      <w:r w:rsidR="00EB00D7">
        <w:t>lače, ki izhajajo iz kolektivnih pogodb, in dejanske plače</w:t>
      </w:r>
      <w:r w:rsidR="002047FF">
        <w:t xml:space="preserve"> </w:t>
      </w:r>
      <w:r w:rsidR="00EB00D7">
        <w:t>izkazujejo podobno</w:t>
      </w:r>
      <w:r w:rsidR="002723E2">
        <w:t xml:space="preserve"> gibanje.</w:t>
      </w:r>
      <w:r w:rsidR="00EB00D7">
        <w:t xml:space="preserve"> </w:t>
      </w:r>
      <w:r w:rsidR="00430943">
        <w:rPr>
          <w:rStyle w:val="BesediloUMARChar"/>
          <w:b w:val="0"/>
        </w:rPr>
        <w:t xml:space="preserve">Medletna rast </w:t>
      </w:r>
      <w:r w:rsidR="0063588F">
        <w:rPr>
          <w:rStyle w:val="BesediloUMARChar"/>
          <w:b w:val="0"/>
        </w:rPr>
        <w:t>dogovorjenih plač</w:t>
      </w:r>
      <w:r w:rsidR="00430943">
        <w:rPr>
          <w:rStyle w:val="BesediloUMARChar"/>
          <w:b w:val="0"/>
        </w:rPr>
        <w:t>, ki je bila v začetku 2009 še visoka (po številnih dvigih vrednosti tarifnih razredov v letu 2008), se je nato hitro umirila (</w:t>
      </w:r>
      <w:r w:rsidR="00120D0E">
        <w:rPr>
          <w:rStyle w:val="BesediloUMARChar"/>
          <w:b w:val="0"/>
        </w:rPr>
        <w:t xml:space="preserve">gl. </w:t>
      </w:r>
      <w:r w:rsidR="00430943">
        <w:rPr>
          <w:rStyle w:val="BesediloUMARChar"/>
          <w:b w:val="0"/>
        </w:rPr>
        <w:t>slik</w:t>
      </w:r>
      <w:r w:rsidR="00120D0E">
        <w:rPr>
          <w:rStyle w:val="BesediloUMARChar"/>
          <w:b w:val="0"/>
        </w:rPr>
        <w:t>o</w:t>
      </w:r>
      <w:r w:rsidR="00430943">
        <w:rPr>
          <w:rStyle w:val="BesediloUMARChar"/>
          <w:b w:val="0"/>
        </w:rPr>
        <w:t xml:space="preserve"> </w:t>
      </w:r>
      <w:r w:rsidR="00832835">
        <w:rPr>
          <w:rStyle w:val="BesediloUMARChar"/>
          <w:b w:val="0"/>
        </w:rPr>
        <w:t>3</w:t>
      </w:r>
      <w:r w:rsidR="00430943">
        <w:rPr>
          <w:rStyle w:val="BesediloUMARChar"/>
          <w:b w:val="0"/>
        </w:rPr>
        <w:t xml:space="preserve"> levo). </w:t>
      </w:r>
      <w:r w:rsidR="00463662">
        <w:rPr>
          <w:rStyle w:val="BesediloUMARChar"/>
          <w:b w:val="0"/>
        </w:rPr>
        <w:t xml:space="preserve">Rast </w:t>
      </w:r>
      <w:r w:rsidR="00430943">
        <w:rPr>
          <w:rStyle w:val="BesediloUMARChar"/>
          <w:b w:val="0"/>
        </w:rPr>
        <w:t xml:space="preserve">dejanskih plač </w:t>
      </w:r>
      <w:r w:rsidR="00463662">
        <w:rPr>
          <w:rStyle w:val="BesediloUMARChar"/>
          <w:b w:val="0"/>
        </w:rPr>
        <w:t xml:space="preserve">se je medtem </w:t>
      </w:r>
      <w:r w:rsidR="00430943">
        <w:rPr>
          <w:rStyle w:val="BesediloUMARChar"/>
          <w:b w:val="0"/>
        </w:rPr>
        <w:t xml:space="preserve">po močnem povečanju v 2010 zaradi dviga minimalne plače umirila šele v 2012. Njeno relativno visoko rast je do takrat ohranjal tudi strukturni učinek, ko so zaposlitve izgubljali zlasti zaposleni v delovno intenzivnih dejavnostih z nizkimi plačami, kar je povprečno plačo </w:t>
      </w:r>
      <w:r w:rsidR="00676FEB">
        <w:rPr>
          <w:rStyle w:val="BesediloUMARChar"/>
          <w:b w:val="0"/>
        </w:rPr>
        <w:t xml:space="preserve">statistično </w:t>
      </w:r>
      <w:r w:rsidR="00430943">
        <w:rPr>
          <w:rStyle w:val="BesediloUMARChar"/>
          <w:b w:val="0"/>
        </w:rPr>
        <w:t>ohranjalo na višji ravni. V obdobju 2012–2019 je bilo gibanje</w:t>
      </w:r>
      <w:r w:rsidR="0063588F">
        <w:rPr>
          <w:rStyle w:val="BesediloUMARChar"/>
          <w:b w:val="0"/>
        </w:rPr>
        <w:t xml:space="preserve"> dogovorjenih</w:t>
      </w:r>
      <w:r w:rsidR="00430943">
        <w:rPr>
          <w:rStyle w:val="BesediloUMARChar"/>
          <w:b w:val="0"/>
        </w:rPr>
        <w:t xml:space="preserve"> plač po kolektivnih pogodbah in dejanskih plač podobno, pri čemer se je šele </w:t>
      </w:r>
      <w:r w:rsidR="0062508D">
        <w:rPr>
          <w:rStyle w:val="BesediloUMARChar"/>
          <w:b w:val="0"/>
        </w:rPr>
        <w:t>po letu 2017</w:t>
      </w:r>
      <w:r w:rsidR="00430943">
        <w:rPr>
          <w:rStyle w:val="BesediloUMARChar"/>
          <w:b w:val="0"/>
        </w:rPr>
        <w:t xml:space="preserve"> rast </w:t>
      </w:r>
      <w:r w:rsidR="00832835">
        <w:rPr>
          <w:rStyle w:val="BesediloUMARChar"/>
          <w:b w:val="0"/>
        </w:rPr>
        <w:t xml:space="preserve">obeh </w:t>
      </w:r>
      <w:r w:rsidR="00430943">
        <w:rPr>
          <w:rStyle w:val="BesediloUMARChar"/>
          <w:b w:val="0"/>
        </w:rPr>
        <w:t xml:space="preserve">dvignila na nekoliko višjo raven, </w:t>
      </w:r>
      <w:r w:rsidR="00762D5A">
        <w:rPr>
          <w:rStyle w:val="BesediloUMARChar"/>
          <w:b w:val="0"/>
        </w:rPr>
        <w:t>na kar je vplivala padajoča</w:t>
      </w:r>
      <w:r w:rsidR="00430943">
        <w:rPr>
          <w:rStyle w:val="BesediloUMARChar"/>
          <w:b w:val="0"/>
        </w:rPr>
        <w:t xml:space="preserve"> brezposeln</w:t>
      </w:r>
      <w:r w:rsidR="00762D5A">
        <w:rPr>
          <w:rStyle w:val="BesediloUMARChar"/>
          <w:b w:val="0"/>
        </w:rPr>
        <w:t>ost</w:t>
      </w:r>
      <w:r w:rsidR="00430943">
        <w:rPr>
          <w:rStyle w:val="BesediloUMARChar"/>
          <w:b w:val="0"/>
        </w:rPr>
        <w:t xml:space="preserve"> in naraščajoč</w:t>
      </w:r>
      <w:r w:rsidR="00762D5A">
        <w:rPr>
          <w:rStyle w:val="BesediloUMARChar"/>
          <w:b w:val="0"/>
        </w:rPr>
        <w:t>e</w:t>
      </w:r>
      <w:r w:rsidR="00430943">
        <w:rPr>
          <w:rStyle w:val="BesediloUMARChar"/>
          <w:b w:val="0"/>
        </w:rPr>
        <w:t xml:space="preserve"> pomanjkanje delovne sile.</w:t>
      </w:r>
    </w:p>
    <w:p w14:paraId="1BBF501A" w14:textId="144C345B" w:rsidR="002723E2" w:rsidRDefault="002723E2" w:rsidP="00706439">
      <w:pPr>
        <w:pStyle w:val="VodilnistavekUMAR"/>
        <w:rPr>
          <w:rStyle w:val="BesediloUMARChar"/>
          <w:b w:val="0"/>
        </w:rPr>
      </w:pPr>
    </w:p>
    <w:p w14:paraId="4DEE493D" w14:textId="1B8A6BEF" w:rsidR="002723E2" w:rsidRDefault="000F58B2" w:rsidP="00706439">
      <w:pPr>
        <w:pStyle w:val="VodilnistavekUMAR"/>
        <w:rPr>
          <w:rStyle w:val="BesediloUMARChar"/>
          <w:b w:val="0"/>
        </w:rPr>
      </w:pPr>
      <w:r>
        <w:t>Povezava</w:t>
      </w:r>
      <w:r w:rsidR="0063588F">
        <w:t xml:space="preserve"> dogovorjenih plač po kolektivnih pogodbah</w:t>
      </w:r>
      <w:r w:rsidR="00F934B1">
        <w:t xml:space="preserve"> in </w:t>
      </w:r>
      <w:r w:rsidR="00490472">
        <w:t>dejanskih</w:t>
      </w:r>
      <w:r w:rsidR="00F934B1">
        <w:t xml:space="preserve"> povprečnih plač</w:t>
      </w:r>
      <w:r w:rsidR="002723E2" w:rsidRPr="002723E2">
        <w:t xml:space="preserve"> </w:t>
      </w:r>
      <w:r>
        <w:t>je</w:t>
      </w:r>
      <w:r w:rsidR="002723E2" w:rsidRPr="002723E2">
        <w:t xml:space="preserve"> po pos</w:t>
      </w:r>
      <w:r w:rsidR="00291970">
        <w:t>a</w:t>
      </w:r>
      <w:r w:rsidR="002723E2" w:rsidRPr="002723E2">
        <w:t>meznih dejavnostih precej različna.</w:t>
      </w:r>
      <w:r w:rsidR="002723E2">
        <w:rPr>
          <w:rStyle w:val="BesediloUMARChar"/>
          <w:b w:val="0"/>
        </w:rPr>
        <w:t xml:space="preserve"> </w:t>
      </w:r>
      <w:r w:rsidR="00A221A2">
        <w:rPr>
          <w:rStyle w:val="BesediloUMARChar"/>
          <w:b w:val="0"/>
        </w:rPr>
        <w:t xml:space="preserve">Gibanje </w:t>
      </w:r>
      <w:r w:rsidR="00B92B21">
        <w:rPr>
          <w:rStyle w:val="BesediloUMARChar"/>
          <w:b w:val="0"/>
        </w:rPr>
        <w:t>dogovorjenih plač</w:t>
      </w:r>
      <w:r w:rsidR="001F22D6">
        <w:rPr>
          <w:rStyle w:val="BesediloUMARChar"/>
          <w:b w:val="0"/>
        </w:rPr>
        <w:t xml:space="preserve"> in dejanskih plač </w:t>
      </w:r>
      <w:r w:rsidR="002D47BD">
        <w:rPr>
          <w:rStyle w:val="BesediloUMARChar"/>
          <w:b w:val="0"/>
        </w:rPr>
        <w:t xml:space="preserve">se </w:t>
      </w:r>
      <w:r w:rsidR="001F22D6">
        <w:rPr>
          <w:rStyle w:val="BesediloUMARChar"/>
          <w:b w:val="0"/>
        </w:rPr>
        <w:t>po posameznih kolektivnih pogodbah lahko zelo razlikuje</w:t>
      </w:r>
      <w:r w:rsidR="002723E2">
        <w:rPr>
          <w:rStyle w:val="BesediloUMARChar"/>
          <w:b w:val="0"/>
        </w:rPr>
        <w:t xml:space="preserve">, </w:t>
      </w:r>
      <w:r w:rsidR="00434333">
        <w:rPr>
          <w:rStyle w:val="BesediloUMARChar"/>
          <w:b w:val="0"/>
        </w:rPr>
        <w:t>medsebojna povezava je</w:t>
      </w:r>
      <w:r w:rsidR="002723E2">
        <w:rPr>
          <w:rStyle w:val="BesediloUMARChar"/>
          <w:b w:val="0"/>
        </w:rPr>
        <w:t xml:space="preserve"> </w:t>
      </w:r>
      <w:r w:rsidR="00C02110">
        <w:rPr>
          <w:rStyle w:val="BesediloUMARChar"/>
          <w:b w:val="0"/>
        </w:rPr>
        <w:t xml:space="preserve">lahko </w:t>
      </w:r>
      <w:r w:rsidR="00434333">
        <w:rPr>
          <w:rStyle w:val="BesediloUMARChar"/>
          <w:b w:val="0"/>
        </w:rPr>
        <w:t xml:space="preserve">šibka, </w:t>
      </w:r>
      <w:r w:rsidR="00434333">
        <w:rPr>
          <w:rStyle w:val="BesediloUMARChar"/>
          <w:b w:val="0"/>
        </w:rPr>
        <w:lastRenderedPageBreak/>
        <w:t>spremembe pa</w:t>
      </w:r>
      <w:r w:rsidR="001F22D6">
        <w:rPr>
          <w:rStyle w:val="BesediloUMARChar"/>
          <w:b w:val="0"/>
        </w:rPr>
        <w:t xml:space="preserve"> pogosto ne sovpada</w:t>
      </w:r>
      <w:r w:rsidR="00434333">
        <w:rPr>
          <w:rStyle w:val="BesediloUMARChar"/>
          <w:b w:val="0"/>
        </w:rPr>
        <w:t>jo</w:t>
      </w:r>
      <w:r w:rsidR="001F22D6">
        <w:rPr>
          <w:rStyle w:val="BesediloUMARChar"/>
          <w:b w:val="0"/>
        </w:rPr>
        <w:t xml:space="preserve"> sočasno</w:t>
      </w:r>
      <w:r w:rsidR="002723E2">
        <w:rPr>
          <w:rStyle w:val="BesediloUMARChar"/>
          <w:b w:val="0"/>
        </w:rPr>
        <w:t xml:space="preserve"> (</w:t>
      </w:r>
      <w:r w:rsidR="00120D0E">
        <w:rPr>
          <w:rStyle w:val="BesediloUMARChar"/>
          <w:b w:val="0"/>
        </w:rPr>
        <w:t xml:space="preserve">gl. </w:t>
      </w:r>
      <w:r w:rsidR="002723E2">
        <w:rPr>
          <w:rStyle w:val="BesediloUMARChar"/>
          <w:b w:val="0"/>
        </w:rPr>
        <w:t>slik</w:t>
      </w:r>
      <w:r w:rsidR="00120D0E">
        <w:rPr>
          <w:rStyle w:val="BesediloUMARChar"/>
          <w:b w:val="0"/>
        </w:rPr>
        <w:t>o</w:t>
      </w:r>
      <w:r w:rsidR="002723E2">
        <w:rPr>
          <w:rStyle w:val="BesediloUMARChar"/>
          <w:b w:val="0"/>
        </w:rPr>
        <w:t xml:space="preserve"> </w:t>
      </w:r>
      <w:r>
        <w:rPr>
          <w:rStyle w:val="BesediloUMARChar"/>
          <w:b w:val="0"/>
        </w:rPr>
        <w:t>3</w:t>
      </w:r>
      <w:r w:rsidR="002723E2">
        <w:rPr>
          <w:rStyle w:val="BesediloUMARChar"/>
          <w:b w:val="0"/>
        </w:rPr>
        <w:t xml:space="preserve"> desno)</w:t>
      </w:r>
      <w:r w:rsidR="001F22D6">
        <w:rPr>
          <w:rStyle w:val="BesediloUMARChar"/>
          <w:b w:val="0"/>
        </w:rPr>
        <w:t xml:space="preserve">. </w:t>
      </w:r>
      <w:r w:rsidR="00B773F2">
        <w:rPr>
          <w:rStyle w:val="BesediloUMARChar"/>
          <w:b w:val="0"/>
        </w:rPr>
        <w:t xml:space="preserve">Iz </w:t>
      </w:r>
      <w:r w:rsidR="00DB75E1">
        <w:rPr>
          <w:rStyle w:val="BesediloUMARChar"/>
          <w:b w:val="0"/>
        </w:rPr>
        <w:t>velikosti</w:t>
      </w:r>
      <w:r w:rsidR="00B773F2">
        <w:rPr>
          <w:rStyle w:val="BesediloUMARChar"/>
          <w:b w:val="0"/>
        </w:rPr>
        <w:t xml:space="preserve"> korelacije je razvidno</w:t>
      </w:r>
      <w:r w:rsidR="001F22D6">
        <w:rPr>
          <w:rStyle w:val="BesediloUMARChar"/>
          <w:b w:val="0"/>
        </w:rPr>
        <w:t xml:space="preserve">, da je lahko </w:t>
      </w:r>
      <w:r w:rsidR="002723E2">
        <w:rPr>
          <w:rStyle w:val="BesediloUMARChar"/>
          <w:b w:val="0"/>
        </w:rPr>
        <w:t>smer gibanja</w:t>
      </w:r>
      <w:r w:rsidR="001F22D6">
        <w:rPr>
          <w:rStyle w:val="BesediloUMARChar"/>
          <w:b w:val="0"/>
        </w:rPr>
        <w:t xml:space="preserve"> med plačama različno močna</w:t>
      </w:r>
      <w:r w:rsidR="002D47BD">
        <w:rPr>
          <w:rStyle w:val="BesediloUMARChar"/>
          <w:b w:val="0"/>
        </w:rPr>
        <w:t xml:space="preserve">. </w:t>
      </w:r>
      <w:r w:rsidR="000F33FE">
        <w:rPr>
          <w:rStyle w:val="BesediloUMARChar"/>
          <w:b w:val="0"/>
        </w:rPr>
        <w:t xml:space="preserve">Dejanske </w:t>
      </w:r>
      <w:r w:rsidR="002D47BD">
        <w:rPr>
          <w:rStyle w:val="BesediloUMARChar"/>
          <w:b w:val="0"/>
        </w:rPr>
        <w:t>plače</w:t>
      </w:r>
      <w:r w:rsidR="00725D85">
        <w:rPr>
          <w:rStyle w:val="BesediloUMARChar"/>
          <w:b w:val="0"/>
        </w:rPr>
        <w:t xml:space="preserve"> so namreč</w:t>
      </w:r>
      <w:r w:rsidR="000F33FE">
        <w:rPr>
          <w:rStyle w:val="BesediloUMARChar"/>
          <w:b w:val="0"/>
        </w:rPr>
        <w:t>, za razliko od</w:t>
      </w:r>
      <w:r w:rsidR="00C02110">
        <w:rPr>
          <w:rStyle w:val="BesediloUMARChar"/>
          <w:b w:val="0"/>
        </w:rPr>
        <w:t xml:space="preserve"> dogovorjenih</w:t>
      </w:r>
      <w:r w:rsidR="000F33FE">
        <w:rPr>
          <w:rStyle w:val="BesediloUMARChar"/>
          <w:b w:val="0"/>
        </w:rPr>
        <w:t xml:space="preserve"> plač po kolektivnih pogodbah,</w:t>
      </w:r>
      <w:r w:rsidR="002D47BD">
        <w:rPr>
          <w:rStyle w:val="BesediloUMARChar"/>
          <w:b w:val="0"/>
        </w:rPr>
        <w:t xml:space="preserve"> </w:t>
      </w:r>
      <w:r w:rsidR="000F33FE">
        <w:rPr>
          <w:rStyle w:val="BesediloUMARChar"/>
          <w:b w:val="0"/>
        </w:rPr>
        <w:t>pod vplivom številnih drugih dejavnikov</w:t>
      </w:r>
      <w:r w:rsidR="001F22D6">
        <w:rPr>
          <w:rStyle w:val="BesediloUMARChar"/>
          <w:b w:val="0"/>
        </w:rPr>
        <w:t xml:space="preserve">, kot so prehodi v in iz dejavnosti zaposlitve, </w:t>
      </w:r>
      <w:r w:rsidR="008E1738">
        <w:rPr>
          <w:rStyle w:val="BesediloUMARChar"/>
          <w:b w:val="0"/>
        </w:rPr>
        <w:t>število ur opravljenega dela, napredovanja zaposlenih v višje tarifne razrede, poviševanje minimalne plače</w:t>
      </w:r>
      <w:r w:rsidR="00A25C17">
        <w:rPr>
          <w:rStyle w:val="BesediloUMARChar"/>
          <w:b w:val="0"/>
        </w:rPr>
        <w:t xml:space="preserve"> ter</w:t>
      </w:r>
      <w:r w:rsidR="008E1738">
        <w:rPr>
          <w:rStyle w:val="BesediloUMARChar"/>
          <w:b w:val="0"/>
        </w:rPr>
        <w:t xml:space="preserve"> višina</w:t>
      </w:r>
      <w:r w:rsidR="007B715D">
        <w:rPr>
          <w:rStyle w:val="BesediloUMARChar"/>
          <w:b w:val="0"/>
        </w:rPr>
        <w:t xml:space="preserve"> in obseg</w:t>
      </w:r>
      <w:r w:rsidR="008E1738">
        <w:rPr>
          <w:rStyle w:val="BesediloUMARChar"/>
          <w:b w:val="0"/>
        </w:rPr>
        <w:t xml:space="preserve"> dodatkov, vezanih na delo.</w:t>
      </w:r>
      <w:r w:rsidR="0033336C">
        <w:rPr>
          <w:rStyle w:val="BesediloUMARChar"/>
          <w:b w:val="0"/>
        </w:rPr>
        <w:t xml:space="preserve"> Tudi časovno sovpadanje sprememb med plačama se med </w:t>
      </w:r>
      <w:r w:rsidR="00036183">
        <w:rPr>
          <w:rStyle w:val="BesediloUMARChar"/>
          <w:b w:val="0"/>
        </w:rPr>
        <w:t>dejavnostmi kolektivnih pogodb razlikuje</w:t>
      </w:r>
      <w:r w:rsidR="00D03A76">
        <w:rPr>
          <w:rStyle w:val="BesediloUMARChar"/>
          <w:b w:val="0"/>
        </w:rPr>
        <w:t xml:space="preserve">, kar je </w:t>
      </w:r>
      <w:r w:rsidR="0033336C">
        <w:rPr>
          <w:rStyle w:val="BesediloUMARChar"/>
          <w:b w:val="0"/>
        </w:rPr>
        <w:t>razvidno iz</w:t>
      </w:r>
      <w:r w:rsidR="005C6C9C">
        <w:rPr>
          <w:rStyle w:val="BesediloUMARChar"/>
          <w:b w:val="0"/>
        </w:rPr>
        <w:t xml:space="preserve"> predznaka</w:t>
      </w:r>
      <w:r w:rsidR="0033336C">
        <w:rPr>
          <w:rStyle w:val="BesediloUMARChar"/>
          <w:b w:val="0"/>
        </w:rPr>
        <w:t xml:space="preserve"> vrednosti korelacijskega koeficienta, ki je lahko najvišji tudi pri </w:t>
      </w:r>
      <w:r w:rsidR="002723E2">
        <w:rPr>
          <w:rStyle w:val="BesediloUMARChar"/>
          <w:b w:val="0"/>
        </w:rPr>
        <w:t>preteklih ali prihodnjih vrednostih (levo ali desno od odloga 0)</w:t>
      </w:r>
      <w:r w:rsidR="0033336C">
        <w:rPr>
          <w:rStyle w:val="BesediloUMARChar"/>
          <w:b w:val="0"/>
        </w:rPr>
        <w:t>.</w:t>
      </w:r>
      <w:r w:rsidR="00D03A76">
        <w:rPr>
          <w:rStyle w:val="BesediloUMARChar"/>
          <w:b w:val="0"/>
        </w:rPr>
        <w:t xml:space="preserve"> To </w:t>
      </w:r>
      <w:r w:rsidR="002D47BD">
        <w:rPr>
          <w:rStyle w:val="BesediloUMARChar"/>
          <w:b w:val="0"/>
        </w:rPr>
        <w:t xml:space="preserve">nakazuje, da lahko v praksi spremembe </w:t>
      </w:r>
      <w:r w:rsidR="00C02110">
        <w:rPr>
          <w:rStyle w:val="BesediloUMARChar"/>
          <w:b w:val="0"/>
        </w:rPr>
        <w:t>v dogovorjenih plačah</w:t>
      </w:r>
      <w:r w:rsidR="002D47BD">
        <w:rPr>
          <w:rStyle w:val="BesediloUMARChar"/>
          <w:b w:val="0"/>
        </w:rPr>
        <w:t xml:space="preserve"> včasih prednjačijo pred spremembami dejanskih plač, včasih pa prednjačijo dejanske plače, medtem ko </w:t>
      </w:r>
      <w:r w:rsidR="00CF03BE">
        <w:rPr>
          <w:rStyle w:val="BesediloUMARChar"/>
          <w:b w:val="0"/>
        </w:rPr>
        <w:t xml:space="preserve">do sprememb v </w:t>
      </w:r>
      <w:r w:rsidR="00C02110">
        <w:rPr>
          <w:rStyle w:val="BesediloUMARChar"/>
          <w:b w:val="0"/>
        </w:rPr>
        <w:t>dogovorjenih plačah</w:t>
      </w:r>
      <w:r w:rsidR="00CF03BE">
        <w:rPr>
          <w:rStyle w:val="BesediloUMARChar"/>
          <w:b w:val="0"/>
        </w:rPr>
        <w:t xml:space="preserve"> pride</w:t>
      </w:r>
      <w:r w:rsidR="00532234">
        <w:rPr>
          <w:rStyle w:val="BesediloUMARChar"/>
          <w:b w:val="0"/>
        </w:rPr>
        <w:t xml:space="preserve"> kasneje</w:t>
      </w:r>
      <w:r w:rsidR="009A04D6">
        <w:rPr>
          <w:rStyle w:val="BesediloUMARChar"/>
          <w:b w:val="0"/>
        </w:rPr>
        <w:t xml:space="preserve">. </w:t>
      </w:r>
      <w:r w:rsidR="00CF03BE">
        <w:rPr>
          <w:rStyle w:val="BesediloUMARChar"/>
          <w:b w:val="0"/>
        </w:rPr>
        <w:t xml:space="preserve">Ocenjujemo, da lahko na </w:t>
      </w:r>
      <w:r w:rsidR="00117FD7">
        <w:rPr>
          <w:rStyle w:val="BesediloUMARChar"/>
          <w:b w:val="0"/>
        </w:rPr>
        <w:t>slednje</w:t>
      </w:r>
      <w:r w:rsidR="009A04D6">
        <w:rPr>
          <w:rStyle w:val="BesediloUMARChar"/>
          <w:b w:val="0"/>
        </w:rPr>
        <w:t xml:space="preserve"> vpliva n</w:t>
      </w:r>
      <w:r w:rsidR="009A04D6" w:rsidRPr="009A04D6">
        <w:rPr>
          <w:rStyle w:val="BesediloUMARChar"/>
          <w:b w:val="0"/>
        </w:rPr>
        <w:t>arava pogajanj med delavci in delojemalci ter časovna veljavnost kolektivnih pogodb</w:t>
      </w:r>
      <w:r w:rsidR="009A04D6">
        <w:rPr>
          <w:rStyle w:val="BesediloUMARChar"/>
          <w:b w:val="0"/>
        </w:rPr>
        <w:t>, pri čemer se</w:t>
      </w:r>
      <w:r w:rsidR="009A04D6" w:rsidRPr="009A04D6">
        <w:rPr>
          <w:rStyle w:val="BesediloUMARChar"/>
          <w:b w:val="0"/>
        </w:rPr>
        <w:t xml:space="preserve"> vrednost tarifnih razredov lahko sprem</w:t>
      </w:r>
      <w:r w:rsidR="00DE50C4">
        <w:rPr>
          <w:rStyle w:val="BesediloUMARChar"/>
          <w:b w:val="0"/>
        </w:rPr>
        <w:t>inja</w:t>
      </w:r>
      <w:r w:rsidR="009A04D6" w:rsidRPr="009A04D6">
        <w:rPr>
          <w:rStyle w:val="BesediloUMARChar"/>
          <w:b w:val="0"/>
        </w:rPr>
        <w:t xml:space="preserve"> zgolj občasno, ne glede na trenutno gospodarsko okolje ali druge dejavnike, medtem ko dejanske plače na gospodarska gibanja odreagirajo hitreje. To lahko vpliva na opažanje, da se</w:t>
      </w:r>
      <w:r w:rsidR="00463662">
        <w:rPr>
          <w:rStyle w:val="BesediloUMARChar"/>
          <w:b w:val="0"/>
        </w:rPr>
        <w:t xml:space="preserve"> </w:t>
      </w:r>
      <w:r w:rsidR="00C02110">
        <w:rPr>
          <w:rStyle w:val="BesediloUMARChar"/>
          <w:b w:val="0"/>
        </w:rPr>
        <w:t>dogovorjene plače</w:t>
      </w:r>
      <w:r w:rsidR="009A04D6" w:rsidRPr="009A04D6">
        <w:rPr>
          <w:rStyle w:val="BesediloUMARChar"/>
          <w:b w:val="0"/>
        </w:rPr>
        <w:t xml:space="preserve"> prilagodi</w:t>
      </w:r>
      <w:r w:rsidR="00C02110">
        <w:rPr>
          <w:rStyle w:val="BesediloUMARChar"/>
          <w:b w:val="0"/>
        </w:rPr>
        <w:t>jo</w:t>
      </w:r>
      <w:r w:rsidR="009A04D6" w:rsidRPr="009A04D6">
        <w:rPr>
          <w:rStyle w:val="BesediloUMARChar"/>
          <w:b w:val="0"/>
        </w:rPr>
        <w:t xml:space="preserve"> dejanskim </w:t>
      </w:r>
      <w:r w:rsidR="00463662">
        <w:rPr>
          <w:rStyle w:val="BesediloUMARChar"/>
          <w:b w:val="0"/>
        </w:rPr>
        <w:t>plačam</w:t>
      </w:r>
      <w:r w:rsidR="009A04D6" w:rsidRPr="009A04D6">
        <w:rPr>
          <w:rStyle w:val="BesediloUMARChar"/>
          <w:b w:val="0"/>
        </w:rPr>
        <w:t xml:space="preserve"> tudi z zamikom.</w:t>
      </w:r>
      <w:r w:rsidR="00117FD7">
        <w:rPr>
          <w:rStyle w:val="BesediloUMARChar"/>
          <w:b w:val="0"/>
        </w:rPr>
        <w:t xml:space="preserve"> </w:t>
      </w:r>
      <w:r w:rsidR="00F91946">
        <w:rPr>
          <w:rStyle w:val="BesediloUMARChar"/>
          <w:b w:val="0"/>
        </w:rPr>
        <w:t>Zgolj dolgoročno, ne pa tudi kratkoročno, povezavo med dogovorjenimi in dejanskimi plačami smo potrdili tudi m</w:t>
      </w:r>
      <w:r w:rsidR="002669AD">
        <w:rPr>
          <w:rStyle w:val="BesediloUMARChar"/>
          <w:b w:val="0"/>
        </w:rPr>
        <w:t>odelsk</w:t>
      </w:r>
      <w:r w:rsidR="00F91946">
        <w:rPr>
          <w:rStyle w:val="BesediloUMARChar"/>
          <w:b w:val="0"/>
        </w:rPr>
        <w:t>o</w:t>
      </w:r>
      <w:r w:rsidR="00AD4231">
        <w:rPr>
          <w:rStyle w:val="BesediloUMARChar"/>
          <w:b w:val="0"/>
        </w:rPr>
        <w:t>, kar prikazujemo v nadaljevanju.</w:t>
      </w:r>
    </w:p>
    <w:p w14:paraId="7F6142B1" w14:textId="195140AF" w:rsidR="00A46EA8" w:rsidRDefault="00A46EA8" w:rsidP="00A46EA8">
      <w:pPr>
        <w:pStyle w:val="Caption"/>
      </w:pPr>
      <w:r>
        <w:t xml:space="preserve">Slika </w:t>
      </w:r>
      <w:r>
        <w:fldChar w:fldCharType="begin"/>
      </w:r>
      <w:r>
        <w:instrText xml:space="preserve"> SEQ Slika \* ARABIC </w:instrText>
      </w:r>
      <w:r>
        <w:fldChar w:fldCharType="separate"/>
      </w:r>
      <w:r w:rsidR="002424CD">
        <w:t>3</w:t>
      </w:r>
      <w:r>
        <w:fldChar w:fldCharType="end"/>
      </w:r>
      <w:r>
        <w:t xml:space="preserve">: </w:t>
      </w:r>
      <w:r w:rsidR="006D4007">
        <w:t xml:space="preserve">Medletna rast </w:t>
      </w:r>
      <w:r w:rsidR="00647614">
        <w:t xml:space="preserve">skupne </w:t>
      </w:r>
      <w:r w:rsidR="006D4007">
        <w:t>povprečne utežene vrednosti tarifnih razredov</w:t>
      </w:r>
      <w:r w:rsidR="0063588F">
        <w:t xml:space="preserve"> (dogovorjene plače)</w:t>
      </w:r>
      <w:r w:rsidR="006D4007">
        <w:t xml:space="preserve"> in </w:t>
      </w:r>
      <w:r w:rsidR="00647614">
        <w:t xml:space="preserve">dejanske </w:t>
      </w:r>
      <w:r w:rsidR="006D4007">
        <w:t>povprečne bruto plače</w:t>
      </w:r>
      <w:r w:rsidR="00AF7225">
        <w:t xml:space="preserve"> </w:t>
      </w:r>
      <w:r w:rsidR="00706439">
        <w:t>(levo) ter k</w:t>
      </w:r>
      <w:r w:rsidR="00706439" w:rsidRPr="00706439">
        <w:t xml:space="preserve">orelacijski koeficienti med serijo </w:t>
      </w:r>
      <w:r w:rsidR="003F1B13">
        <w:t>rasti dogovorjenih plač in</w:t>
      </w:r>
      <w:r w:rsidR="00706439" w:rsidRPr="00706439">
        <w:t xml:space="preserve"> dejansk</w:t>
      </w:r>
      <w:r w:rsidR="003F1B13">
        <w:t>ih</w:t>
      </w:r>
      <w:r w:rsidR="00706439" w:rsidRPr="00706439">
        <w:t xml:space="preserve"> plač po kolektivnih pogodbah</w:t>
      </w:r>
      <w:r w:rsidR="00706439">
        <w:t xml:space="preserve"> (desno)</w:t>
      </w:r>
    </w:p>
    <w:tbl>
      <w:tblPr>
        <w:tblStyle w:val="TableGridLight"/>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507"/>
        <w:gridCol w:w="4563"/>
      </w:tblGrid>
      <w:tr w:rsidR="00727D99" w14:paraId="094C4158" w14:textId="77777777" w:rsidTr="00706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shd w:val="clear" w:color="auto" w:fill="auto"/>
          </w:tcPr>
          <w:p w14:paraId="30155444" w14:textId="5E23490B" w:rsidR="00706439" w:rsidRDefault="00727D99" w:rsidP="00A46EA8">
            <w:pPr>
              <w:pStyle w:val="BesediloUMAR"/>
            </w:pPr>
            <w:r>
              <w:rPr>
                <w:noProof/>
              </w:rPr>
              <w:drawing>
                <wp:inline distT="0" distB="0" distL="0" distR="0" wp14:anchorId="7BA03439" wp14:editId="0E830EA6">
                  <wp:extent cx="2782800" cy="228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2800" cy="2286000"/>
                          </a:xfrm>
                          <a:prstGeom prst="rect">
                            <a:avLst/>
                          </a:prstGeom>
                          <a:noFill/>
                        </pic:spPr>
                      </pic:pic>
                    </a:graphicData>
                  </a:graphic>
                </wp:inline>
              </w:drawing>
            </w:r>
          </w:p>
        </w:tc>
        <w:tc>
          <w:tcPr>
            <w:tcW w:w="4535" w:type="dxa"/>
            <w:shd w:val="clear" w:color="auto" w:fill="auto"/>
          </w:tcPr>
          <w:p w14:paraId="3D4E8B8C" w14:textId="25A46A65" w:rsidR="00706439" w:rsidRDefault="00727D99" w:rsidP="00A46EA8">
            <w:pPr>
              <w:pStyle w:val="BesediloUMA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3A4419EB" wp14:editId="68C85AC0">
                  <wp:extent cx="2825454" cy="230909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4155" cy="2316202"/>
                          </a:xfrm>
                          <a:prstGeom prst="rect">
                            <a:avLst/>
                          </a:prstGeom>
                          <a:noFill/>
                        </pic:spPr>
                      </pic:pic>
                    </a:graphicData>
                  </a:graphic>
                </wp:inline>
              </w:drawing>
            </w:r>
          </w:p>
        </w:tc>
      </w:tr>
    </w:tbl>
    <w:p w14:paraId="514878B6" w14:textId="2B390513" w:rsidR="00A46EA8" w:rsidRDefault="00A46EA8" w:rsidP="00A46EA8">
      <w:pPr>
        <w:pStyle w:val="BesediloUMAR"/>
      </w:pPr>
    </w:p>
    <w:p w14:paraId="644BB40F" w14:textId="592E0E47" w:rsidR="00A46EA8" w:rsidRDefault="00A46EA8" w:rsidP="00A46EA8">
      <w:pPr>
        <w:pStyle w:val="VirUMAR"/>
      </w:pPr>
      <w:r>
        <w:t xml:space="preserve">Vir: </w:t>
      </w:r>
      <w:r w:rsidR="0011104E">
        <w:t>P</w:t>
      </w:r>
      <w:r>
        <w:t xml:space="preserve">osamezne kolektivne pogodbe, </w:t>
      </w:r>
      <w:r w:rsidR="004C0830">
        <w:fldChar w:fldCharType="begin"/>
      </w:r>
      <w:r w:rsidR="004C0830">
        <w:instrText xml:space="preserve"> ADDIN ZOTERO_ITEM CSL_CITATION {"citationID":"BJhudKS1","properties":{"formattedCitation":"(SURS, 2022)","plainCitation":"(SURS, 2022)","noteIndex":0},"citationItems":[{"id":2439,"uris":["http://zotero.org/groups/4141114/items/JGEUQIYA"],"uri":["http://zotero.org/groups/4141114/items/JGEUQIYA"],"itemData":{"id":2439,"type":"report","event-place":"Ljubljana","publisher":"Statistični urad RS","publisher-place":"Ljubljana","title":"Povprečne mesečne bruto pri pravni osebah","URL":"https://pxweb.stat.si/SiStat/sl/Podrocja/Index/98/place-in-stroski-dela","author":[{"family":"SURS","given":""}],"issued":{"date-parts":[["2022"]]}}}],"schema":"https://github.com/citation-style-language/schema/raw/master/csl-citation.json"} </w:instrText>
      </w:r>
      <w:r w:rsidR="004C0830">
        <w:fldChar w:fldCharType="separate"/>
      </w:r>
      <w:r w:rsidR="004C0830" w:rsidRPr="004C0830">
        <w:rPr>
          <w:rFonts w:ascii="Arial" w:hAnsi="Arial" w:cs="Arial"/>
        </w:rPr>
        <w:t>(SURS, 2022)</w:t>
      </w:r>
      <w:r w:rsidR="004C0830">
        <w:fldChar w:fldCharType="end"/>
      </w:r>
      <w:r w:rsidR="00312B87">
        <w:t>, preračuni UMAR</w:t>
      </w:r>
      <w:r w:rsidR="00C65D87">
        <w:t>.</w:t>
      </w:r>
    </w:p>
    <w:p w14:paraId="5C91B51F" w14:textId="23C0559B" w:rsidR="006D4007" w:rsidRDefault="006D4007" w:rsidP="00A46EA8">
      <w:pPr>
        <w:pStyle w:val="VirUMAR"/>
      </w:pPr>
      <w:r>
        <w:t>Opomba:</w:t>
      </w:r>
      <w:r w:rsidR="00910DDC">
        <w:t xml:space="preserve"> </w:t>
      </w:r>
      <w:r>
        <w:t xml:space="preserve">Povprečna bruto plača je </w:t>
      </w:r>
      <w:r w:rsidR="00706439">
        <w:t>zglajena kot trimesečna drseča sredina.</w:t>
      </w:r>
      <w:r w:rsidR="00910DDC">
        <w:t xml:space="preserve"> Črne pike na krivuljah korelacijski</w:t>
      </w:r>
      <w:r w:rsidR="00430943">
        <w:t>h</w:t>
      </w:r>
      <w:r w:rsidR="00910DDC">
        <w:t xml:space="preserve"> koeficientov označujejo odlog, kjer je bil koeficient največji.</w:t>
      </w:r>
    </w:p>
    <w:p w14:paraId="558781DF" w14:textId="0E489556" w:rsidR="002723E2" w:rsidRDefault="002723E2" w:rsidP="004D7E10">
      <w:pPr>
        <w:pStyle w:val="BesediloUMAR"/>
      </w:pPr>
    </w:p>
    <w:p w14:paraId="2CD24ABA" w14:textId="75B3C4C9" w:rsidR="00CA3388" w:rsidRDefault="00CA3388" w:rsidP="00A86723">
      <w:pPr>
        <w:pStyle w:val="BesediloUMAR"/>
      </w:pPr>
      <w:r w:rsidRPr="004501D9">
        <w:rPr>
          <w:rStyle w:val="VodilnistavekUMARChar"/>
        </w:rPr>
        <w:t>Za ugotavljanje obstoja medsebojne kratkoročne in dolgoročne vzročnosti dejanskih in dogovorjenih plač smo uporabili vektorski avtoregresijski model s kointegracijo (VEC model).</w:t>
      </w:r>
      <w:r w:rsidRPr="00434333">
        <w:rPr>
          <w:rStyle w:val="FootnoteReference"/>
          <w:b/>
        </w:rPr>
        <w:footnoteReference w:id="8"/>
      </w:r>
      <w:r w:rsidRPr="00CA3388">
        <w:t xml:space="preserve"> Najprej smo na podlagi Johansenovega testa potrdili obstoj kointegracijske povezave med navedenima spremenljivkama, kar smo nato upoštevali pri ocenjevanju VEC modela. Na podlagi ocenjene kointegracijske povezave (</w:t>
      </w:r>
      <w:r w:rsidR="00120D0E">
        <w:t xml:space="preserve">gl. </w:t>
      </w:r>
      <w:r w:rsidR="00B01A0C">
        <w:t>t</w:t>
      </w:r>
      <w:r w:rsidRPr="00CA3388">
        <w:t>abel</w:t>
      </w:r>
      <w:r w:rsidR="00120D0E">
        <w:t>o</w:t>
      </w:r>
      <w:r w:rsidRPr="00CA3388">
        <w:t xml:space="preserve"> </w:t>
      </w:r>
      <w:r w:rsidR="00B92B21">
        <w:t>2</w:t>
      </w:r>
      <w:r w:rsidRPr="00CA3388">
        <w:t>) ugotavljamo, da je povezava med dogovorjenimi in dejanskimi plačami na dolgi rok pozitivna. Iz nje izhaja, da se zvišanje dogovorjenih plač za 1</w:t>
      </w:r>
      <w:r w:rsidR="004427DF">
        <w:t> </w:t>
      </w:r>
      <w:r w:rsidRPr="00CA3388">
        <w:t>% odrazi na zvišanju dejanskih plač za približno 1,4</w:t>
      </w:r>
      <w:r w:rsidR="004427DF">
        <w:t> </w:t>
      </w:r>
      <w:r w:rsidRPr="00CA3388">
        <w:t>%. V nasprotni smeri pa se zaradi 1-odstotnega dviga dejanskih plač dogovorjene plače zvišajo za okoli 0,7</w:t>
      </w:r>
      <w:r w:rsidR="004427DF">
        <w:t> </w:t>
      </w:r>
      <w:r w:rsidRPr="00CA3388">
        <w:t>%, kar kaže na to, da je tudi pri določanju vrednosti tarifnih razredov v kolektivnih pogodbah</w:t>
      </w:r>
      <w:r w:rsidR="00B01A0C">
        <w:t xml:space="preserve"> lahko</w:t>
      </w:r>
      <w:r w:rsidRPr="00CA3388">
        <w:t xml:space="preserve"> prisotno zgledovanje po dejanskih plačah. Medsebojno </w:t>
      </w:r>
      <w:r w:rsidRPr="00CA3388">
        <w:lastRenderedPageBreak/>
        <w:t>vzročnost obeh spremenljivk na dolgi rok potrjujeta statistično značilna koeficienta korekcijskih členov, ki merita hitrost prilagajanja k dolgoročnemu ravnotežju.</w:t>
      </w:r>
      <w:r w:rsidR="0078714E">
        <w:t xml:space="preserve"> Hitrost prilagajanja k ravnotežj</w:t>
      </w:r>
      <w:r w:rsidR="00434333">
        <w:t>u</w:t>
      </w:r>
      <w:r w:rsidR="0078714E">
        <w:t xml:space="preserve"> je sicer relativno majhna. </w:t>
      </w:r>
      <w:r w:rsidRPr="00CA3388">
        <w:t>Kratkoročne vzročnosti med dejanskimi in dogovorjenimi plačami pa v okviru ocenjenega modela nismo mogli potrditi.</w:t>
      </w:r>
      <w:r w:rsidR="009F2813" w:rsidRPr="009F2813">
        <w:t xml:space="preserve"> To bi lahko bila posledica prej omenjenih nizkih vrednosti določenih tarifnih razredov, ki so pogosto nižje kot minimalna plača, kar zaradi obveznega doplačevanja delodajalca do višine minimalne plače ne vpliva bistveno na višino dejansko izplačane plače neposredno po spremembi</w:t>
      </w:r>
      <w:r w:rsidR="005772EA">
        <w:t xml:space="preserve"> </w:t>
      </w:r>
      <w:r w:rsidR="00B15D0E">
        <w:t>višine osnovnih plač</w:t>
      </w:r>
      <w:r w:rsidR="009F2813" w:rsidRPr="009F2813">
        <w:t>.</w:t>
      </w:r>
    </w:p>
    <w:p w14:paraId="7C6DF17E" w14:textId="316BD5DE" w:rsidR="00CA3388" w:rsidRDefault="00A86723" w:rsidP="004501D9">
      <w:pPr>
        <w:pStyle w:val="Caption"/>
        <w:keepNext/>
      </w:pPr>
      <w:r>
        <w:t xml:space="preserve">Tabela </w:t>
      </w:r>
      <w:r>
        <w:fldChar w:fldCharType="begin"/>
      </w:r>
      <w:r>
        <w:instrText xml:space="preserve"> SEQ Tabela \* ARABIC </w:instrText>
      </w:r>
      <w:r>
        <w:fldChar w:fldCharType="separate"/>
      </w:r>
      <w:r w:rsidR="002424CD">
        <w:t>2</w:t>
      </w:r>
      <w:r>
        <w:fldChar w:fldCharType="end"/>
      </w:r>
      <w:r>
        <w:t xml:space="preserve">: </w:t>
      </w:r>
      <w:r w:rsidRPr="00A86723">
        <w:t>Ocene kointegracijske povezave in koeficientov prilagajanja</w:t>
      </w:r>
      <w:r>
        <w:t xml:space="preserve"> med dejanskimi in dogovorjenimi plačami</w:t>
      </w:r>
    </w:p>
    <w:tbl>
      <w:tblPr>
        <w:tblStyle w:val="TableGridLight"/>
        <w:tblW w:w="0" w:type="auto"/>
        <w:tblLook w:val="04A0" w:firstRow="1" w:lastRow="0" w:firstColumn="1" w:lastColumn="0" w:noHBand="0" w:noVBand="1"/>
      </w:tblPr>
      <w:tblGrid>
        <w:gridCol w:w="3023"/>
        <w:gridCol w:w="3023"/>
        <w:gridCol w:w="3024"/>
      </w:tblGrid>
      <w:tr w:rsidR="003E7AFA" w14:paraId="64477666" w14:textId="77777777" w:rsidTr="0079002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23" w:type="dxa"/>
          </w:tcPr>
          <w:p w14:paraId="6C43E2B8" w14:textId="73C349C5" w:rsidR="003E7AFA" w:rsidRPr="004501D9" w:rsidRDefault="003E7AFA" w:rsidP="004D7E10">
            <w:pPr>
              <w:pStyle w:val="BesediloUMAR"/>
              <w:rPr>
                <w:b/>
                <w:bCs/>
              </w:rPr>
            </w:pPr>
            <w:r w:rsidRPr="004501D9">
              <w:rPr>
                <w:b/>
                <w:bCs/>
              </w:rPr>
              <w:t>Spremenljivka</w:t>
            </w:r>
          </w:p>
        </w:tc>
        <w:tc>
          <w:tcPr>
            <w:tcW w:w="3023" w:type="dxa"/>
          </w:tcPr>
          <w:p w14:paraId="035D8CAE" w14:textId="53F532FF" w:rsidR="003E7AFA" w:rsidRPr="004501D9" w:rsidRDefault="003E7AFA" w:rsidP="004501D9">
            <w:pPr>
              <w:pStyle w:val="BesediloUMAR"/>
              <w:jc w:val="center"/>
              <w:cnfStyle w:val="100000000000" w:firstRow="1" w:lastRow="0" w:firstColumn="0" w:lastColumn="0" w:oddVBand="0" w:evenVBand="0" w:oddHBand="0" w:evenHBand="0" w:firstRowFirstColumn="0" w:firstRowLastColumn="0" w:lastRowFirstColumn="0" w:lastRowLastColumn="0"/>
              <w:rPr>
                <w:b/>
                <w:bCs/>
              </w:rPr>
            </w:pPr>
            <w:r w:rsidRPr="004501D9">
              <w:rPr>
                <w:b/>
                <w:bCs/>
              </w:rPr>
              <w:t>Kointegracijska povezava</w:t>
            </w:r>
          </w:p>
        </w:tc>
        <w:tc>
          <w:tcPr>
            <w:tcW w:w="3024" w:type="dxa"/>
          </w:tcPr>
          <w:p w14:paraId="36EAAEFA" w14:textId="496E8389" w:rsidR="003E7AFA" w:rsidRPr="004501D9" w:rsidRDefault="003E7AFA" w:rsidP="004501D9">
            <w:pPr>
              <w:pStyle w:val="BesediloUMAR"/>
              <w:jc w:val="center"/>
              <w:cnfStyle w:val="100000000000" w:firstRow="1" w:lastRow="0" w:firstColumn="0" w:lastColumn="0" w:oddVBand="0" w:evenVBand="0" w:oddHBand="0" w:evenHBand="0" w:firstRowFirstColumn="0" w:firstRowLastColumn="0" w:lastRowFirstColumn="0" w:lastRowLastColumn="0"/>
              <w:rPr>
                <w:b/>
                <w:bCs/>
              </w:rPr>
            </w:pPr>
            <w:r w:rsidRPr="004501D9">
              <w:rPr>
                <w:b/>
                <w:bCs/>
              </w:rPr>
              <w:t>Koeficient prilagajanja</w:t>
            </w:r>
          </w:p>
        </w:tc>
      </w:tr>
      <w:tr w:rsidR="003E7AFA" w14:paraId="2930AE9A" w14:textId="77777777" w:rsidTr="003E7AFA">
        <w:tc>
          <w:tcPr>
            <w:cnfStyle w:val="001000000000" w:firstRow="0" w:lastRow="0" w:firstColumn="1" w:lastColumn="0" w:oddVBand="0" w:evenVBand="0" w:oddHBand="0" w:evenHBand="0" w:firstRowFirstColumn="0" w:firstRowLastColumn="0" w:lastRowFirstColumn="0" w:lastRowLastColumn="0"/>
            <w:tcW w:w="3023" w:type="dxa"/>
          </w:tcPr>
          <w:p w14:paraId="24960F22" w14:textId="67FA9ADD" w:rsidR="003E7AFA" w:rsidRDefault="003E7AFA" w:rsidP="004D7E10">
            <w:pPr>
              <w:pStyle w:val="BesediloUMAR"/>
            </w:pPr>
            <w:r>
              <w:t>Dejanska plača</w:t>
            </w:r>
          </w:p>
        </w:tc>
        <w:tc>
          <w:tcPr>
            <w:tcW w:w="3023" w:type="dxa"/>
          </w:tcPr>
          <w:p w14:paraId="1568EC78" w14:textId="77777777" w:rsidR="003E7AFA" w:rsidRDefault="003E7AFA" w:rsidP="004501D9">
            <w:pPr>
              <w:pStyle w:val="BesediloUMAR"/>
              <w:jc w:val="center"/>
              <w:cnfStyle w:val="000000000000" w:firstRow="0" w:lastRow="0" w:firstColumn="0" w:lastColumn="0" w:oddVBand="0" w:evenVBand="0" w:oddHBand="0" w:evenHBand="0" w:firstRowFirstColumn="0" w:firstRowLastColumn="0" w:lastRowFirstColumn="0" w:lastRowLastColumn="0"/>
            </w:pPr>
            <w:r>
              <w:t>1,0000</w:t>
            </w:r>
          </w:p>
          <w:p w14:paraId="2BCF4A4B" w14:textId="75446260" w:rsidR="003E7AFA" w:rsidRDefault="003E7AFA" w:rsidP="004501D9">
            <w:pPr>
              <w:pStyle w:val="BesediloUMAR"/>
              <w:jc w:val="center"/>
              <w:cnfStyle w:val="000000000000" w:firstRow="0" w:lastRow="0" w:firstColumn="0" w:lastColumn="0" w:oddVBand="0" w:evenVBand="0" w:oddHBand="0" w:evenHBand="0" w:firstRowFirstColumn="0" w:firstRowLastColumn="0" w:lastRowFirstColumn="0" w:lastRowLastColumn="0"/>
            </w:pPr>
            <w:r>
              <w:t>(0,00000)</w:t>
            </w:r>
          </w:p>
        </w:tc>
        <w:tc>
          <w:tcPr>
            <w:tcW w:w="3024" w:type="dxa"/>
          </w:tcPr>
          <w:p w14:paraId="4A61E8E6" w14:textId="52E3C456" w:rsidR="003E7AFA" w:rsidRDefault="003E7AFA" w:rsidP="004501D9">
            <w:pPr>
              <w:pStyle w:val="BesediloUMAR"/>
              <w:jc w:val="center"/>
              <w:cnfStyle w:val="000000000000" w:firstRow="0" w:lastRow="0" w:firstColumn="0" w:lastColumn="0" w:oddVBand="0" w:evenVBand="0" w:oddHBand="0" w:evenHBand="0" w:firstRowFirstColumn="0" w:firstRowLastColumn="0" w:lastRowFirstColumn="0" w:lastRowLastColumn="0"/>
            </w:pPr>
            <w:r w:rsidRPr="003E7AFA">
              <w:t>–0,23***</w:t>
            </w:r>
          </w:p>
        </w:tc>
      </w:tr>
      <w:tr w:rsidR="003E7AFA" w14:paraId="79A74294" w14:textId="77777777" w:rsidTr="003E7AFA">
        <w:tc>
          <w:tcPr>
            <w:cnfStyle w:val="001000000000" w:firstRow="0" w:lastRow="0" w:firstColumn="1" w:lastColumn="0" w:oddVBand="0" w:evenVBand="0" w:oddHBand="0" w:evenHBand="0" w:firstRowFirstColumn="0" w:firstRowLastColumn="0" w:lastRowFirstColumn="0" w:lastRowLastColumn="0"/>
            <w:tcW w:w="3023" w:type="dxa"/>
          </w:tcPr>
          <w:p w14:paraId="4BA704C3" w14:textId="7495D13F" w:rsidR="003E7AFA" w:rsidRDefault="003E7AFA" w:rsidP="004D7E10">
            <w:pPr>
              <w:pStyle w:val="BesediloUMAR"/>
            </w:pPr>
            <w:r>
              <w:t>Dogovorjena plača</w:t>
            </w:r>
          </w:p>
        </w:tc>
        <w:tc>
          <w:tcPr>
            <w:tcW w:w="3023" w:type="dxa"/>
          </w:tcPr>
          <w:p w14:paraId="10224DB8" w14:textId="77777777" w:rsidR="003E7AFA" w:rsidRDefault="003E7AFA" w:rsidP="004501D9">
            <w:pPr>
              <w:pStyle w:val="BesediloUMAR"/>
              <w:jc w:val="center"/>
              <w:cnfStyle w:val="000000000000" w:firstRow="0" w:lastRow="0" w:firstColumn="0" w:lastColumn="0" w:oddVBand="0" w:evenVBand="0" w:oddHBand="0" w:evenHBand="0" w:firstRowFirstColumn="0" w:firstRowLastColumn="0" w:lastRowFirstColumn="0" w:lastRowLastColumn="0"/>
            </w:pPr>
            <w:r>
              <w:t>–1,4319</w:t>
            </w:r>
          </w:p>
          <w:p w14:paraId="616E9D3B" w14:textId="0F0C52E1" w:rsidR="003E7AFA" w:rsidRDefault="003E7AFA" w:rsidP="004501D9">
            <w:pPr>
              <w:pStyle w:val="BesediloUMAR"/>
              <w:jc w:val="center"/>
              <w:cnfStyle w:val="000000000000" w:firstRow="0" w:lastRow="0" w:firstColumn="0" w:lastColumn="0" w:oddVBand="0" w:evenVBand="0" w:oddHBand="0" w:evenHBand="0" w:firstRowFirstColumn="0" w:firstRowLastColumn="0" w:lastRowFirstColumn="0" w:lastRowLastColumn="0"/>
            </w:pPr>
            <w:r>
              <w:t>(0,11355)</w:t>
            </w:r>
          </w:p>
        </w:tc>
        <w:tc>
          <w:tcPr>
            <w:tcW w:w="3024" w:type="dxa"/>
          </w:tcPr>
          <w:p w14:paraId="6B92CBF4" w14:textId="306331E0" w:rsidR="003E7AFA" w:rsidRDefault="003E7AFA" w:rsidP="004501D9">
            <w:pPr>
              <w:pStyle w:val="BesediloUMAR"/>
              <w:jc w:val="center"/>
              <w:cnfStyle w:val="000000000000" w:firstRow="0" w:lastRow="0" w:firstColumn="0" w:lastColumn="0" w:oddVBand="0" w:evenVBand="0" w:oddHBand="0" w:evenHBand="0" w:firstRowFirstColumn="0" w:firstRowLastColumn="0" w:lastRowFirstColumn="0" w:lastRowLastColumn="0"/>
            </w:pPr>
            <w:r w:rsidRPr="003E7AFA">
              <w:t>0,06**</w:t>
            </w:r>
          </w:p>
        </w:tc>
      </w:tr>
    </w:tbl>
    <w:p w14:paraId="4F9B55D8" w14:textId="5F997BFF" w:rsidR="00B90D13" w:rsidRDefault="00B90D13" w:rsidP="00B90D13">
      <w:pPr>
        <w:pStyle w:val="VirUMAR"/>
      </w:pPr>
      <w:r>
        <w:t xml:space="preserve">Vir: </w:t>
      </w:r>
      <w:r w:rsidRPr="00B90D13">
        <w:t>Ocene VEC modela</w:t>
      </w:r>
      <w:r>
        <w:t>.</w:t>
      </w:r>
    </w:p>
    <w:p w14:paraId="1682E614" w14:textId="3F2F17C9" w:rsidR="003E7AFA" w:rsidRDefault="00B90D13" w:rsidP="00B90D13">
      <w:pPr>
        <w:pStyle w:val="VirUMAR"/>
      </w:pPr>
      <w:r>
        <w:t xml:space="preserve">Opomba: </w:t>
      </w:r>
      <w:r w:rsidRPr="00B90D13">
        <w:t>V oklepajih so navedene standardne napake. ***p &lt; 0,01, **p &lt; 0,05.</w:t>
      </w:r>
    </w:p>
    <w:p w14:paraId="51EC376A" w14:textId="77777777" w:rsidR="00B90D13" w:rsidRDefault="00B90D13" w:rsidP="004D7E10">
      <w:pPr>
        <w:pStyle w:val="BesediloUMAR"/>
      </w:pPr>
    </w:p>
    <w:p w14:paraId="0E2A6EA5" w14:textId="78048717" w:rsidR="00A75CE5" w:rsidRDefault="00A75CE5" w:rsidP="00A75CE5">
      <w:pPr>
        <w:pStyle w:val="Heading1"/>
      </w:pPr>
      <w:r>
        <w:t>Zaključek</w:t>
      </w:r>
    </w:p>
    <w:p w14:paraId="61E96C1E" w14:textId="5AC8900E" w:rsidR="00DB2C93" w:rsidRDefault="00DB2C93" w:rsidP="00AF2E43">
      <w:pPr>
        <w:pStyle w:val="BesediloUMAR"/>
      </w:pPr>
      <w:r w:rsidRPr="00DB2C93">
        <w:rPr>
          <w:rStyle w:val="VodilnistavekUMARChar"/>
        </w:rPr>
        <w:t>Kolektivne pogodbe dejavnosti, v katerih so določene osnovne plače, za zdaj preko indeksacije ne predstavljajo večjega dodatnega tveganja za hitrejšo agregatno rast plač, kljub trenutno visoki inflaciji.</w:t>
      </w:r>
      <w:r w:rsidRPr="00DB2C93">
        <w:t xml:space="preserve"> Ocenjujemo, da določanje osnovnih plač v kolektivnih pogodbah dejavnosti trenutno kljub visoki inflaciji predstavlja zgolj manjše tveganje za okrepljeno agregatno rast plač. Čeprav kolektivne pogodbe velikokrat vsebujejo določila za upoštevanje rasti cen pri določanju osnovnih plač, so ta določila zgolj dodaten kazalnik pri usklajevanju in pogajanju, pri čemer samodejna indeksacija osnovnih plač ni pogosta. Veliko pogodb prav tako nima razširjene veljavnosti ali pa imajo zgolj delno, kar drugih podjetij v dejavnosti, ki niso skleniteljice kolektivnih pogodb, ne zavezuje k upoštevanju njenih določil. Višina osnovnih plač je pogosto tudi nižja od minimalne plače, z obveznim doplačilom delodajalca do minimalne plače pa spremembe v osnovnih plačah tako ne vplivajo bistveno na dejansko izplačane plače. Čeprav osnovne plače in dejansko izplačane plače skozi daljše obdobje izkazujejo podobna naraščajoča gibanja, je to po posameznih dejavnostih lahko precej raznoliko. Pri tem lahko spremembe v osnovnih plačah včasih prednjačijo pred spremembami dejanskih plač ali obratno. Ob tem modelske ocene potrjujejo zgolj dolgoročno vzročno povezavo med osnovnimi in dejanskimi plačami, ne pa kratkoročne.</w:t>
      </w:r>
    </w:p>
    <w:p w14:paraId="4D2EA0D5" w14:textId="77777777" w:rsidR="00DB2C93" w:rsidRDefault="00DB2C93" w:rsidP="00AF2E43">
      <w:pPr>
        <w:pStyle w:val="BesediloUMAR"/>
      </w:pPr>
    </w:p>
    <w:p w14:paraId="6957E4E7" w14:textId="3A484F71" w:rsidR="000D4D43" w:rsidRDefault="00495A74" w:rsidP="00AF2E43">
      <w:pPr>
        <w:pStyle w:val="BesediloUMAR"/>
      </w:pPr>
      <w:r w:rsidRPr="006228A5">
        <w:rPr>
          <w:rStyle w:val="VodilnistavekUMARChar"/>
        </w:rPr>
        <w:t xml:space="preserve">Nekoliko večje tveganje </w:t>
      </w:r>
      <w:r w:rsidR="006228A5" w:rsidRPr="006228A5">
        <w:rPr>
          <w:rStyle w:val="VodilnistavekUMARChar"/>
        </w:rPr>
        <w:t>za rast plač bi lahko predstavljale kolektivne pogodbe na ravni podjetij.</w:t>
      </w:r>
      <w:r w:rsidR="006228A5">
        <w:t xml:space="preserve"> </w:t>
      </w:r>
      <w:r w:rsidR="00645471">
        <w:t>Na splošno lahko imajo k</w:t>
      </w:r>
      <w:r w:rsidR="00B940DC">
        <w:t xml:space="preserve">olektivne pogodbe na nižjih ravneh zgolj ugodnejšo ureditev od pogodb na višjih ravneh. </w:t>
      </w:r>
      <w:r w:rsidR="00645471">
        <w:t xml:space="preserve">V kolektivnih pogodbah na ravni podjetij so lahko urejene nekatere podrobnosti, ki jih sektorska kolektivna pogodba ne določa. </w:t>
      </w:r>
      <w:r w:rsidR="00B940DC">
        <w:t>Za razliko od kolektivnih pogodb dejavnosti lahko imajo</w:t>
      </w:r>
      <w:r w:rsidR="00645471">
        <w:t xml:space="preserve"> podjetniške</w:t>
      </w:r>
      <w:r w:rsidR="00B940DC">
        <w:t xml:space="preserve"> določeno pogostejšo usklajevanje </w:t>
      </w:r>
      <w:r w:rsidR="00645471">
        <w:t xml:space="preserve">in drugačno višino </w:t>
      </w:r>
      <w:r w:rsidR="00B940DC">
        <w:t>osnovnih plač</w:t>
      </w:r>
      <w:r w:rsidR="00345CA2">
        <w:t>, kar podjetjem omogoča fleksibilnost pri določanju</w:t>
      </w:r>
      <w:r w:rsidR="004D39D8">
        <w:t xml:space="preserve"> </w:t>
      </w:r>
      <w:r w:rsidR="00345CA2">
        <w:t>plač</w:t>
      </w:r>
      <w:r w:rsidR="004D39D8">
        <w:t xml:space="preserve"> in odzivanju na trenutne razmere.</w:t>
      </w:r>
    </w:p>
    <w:p w14:paraId="1968E98F" w14:textId="7EC18396" w:rsidR="000D4D43" w:rsidRDefault="000D4D43" w:rsidP="00AF2E43">
      <w:pPr>
        <w:pStyle w:val="BesediloUMAR"/>
      </w:pPr>
    </w:p>
    <w:p w14:paraId="2415ABB4" w14:textId="77777777" w:rsidR="000D4D43" w:rsidRDefault="000D4D43" w:rsidP="00AF2E43">
      <w:pPr>
        <w:pStyle w:val="BesediloUMAR"/>
      </w:pPr>
    </w:p>
    <w:p w14:paraId="1FA6ABFD" w14:textId="77777777" w:rsidR="001908FD" w:rsidRDefault="001908FD">
      <w:pPr>
        <w:spacing w:after="0" w:line="240" w:lineRule="auto"/>
        <w:rPr>
          <w:sz w:val="20"/>
        </w:rPr>
      </w:pPr>
      <w:r>
        <w:br w:type="page"/>
      </w:r>
    </w:p>
    <w:p w14:paraId="0F8E536B" w14:textId="77777777" w:rsidR="001908FD" w:rsidRDefault="001908FD" w:rsidP="001908FD">
      <w:pPr>
        <w:pStyle w:val="Heading3"/>
        <w:numPr>
          <w:ilvl w:val="0"/>
          <w:numId w:val="0"/>
        </w:numPr>
      </w:pPr>
      <w:r>
        <w:lastRenderedPageBreak/>
        <w:t>Literatura in viri</w:t>
      </w:r>
    </w:p>
    <w:p w14:paraId="77004D64" w14:textId="77777777" w:rsidR="0079002D" w:rsidRDefault="0079002D" w:rsidP="0079002D">
      <w:pPr>
        <w:pStyle w:val="Bibliography"/>
        <w:spacing w:line="288" w:lineRule="auto"/>
        <w:ind w:left="284" w:hanging="284"/>
        <w:rPr>
          <w:sz w:val="20"/>
          <w:szCs w:val="20"/>
          <w:lang w:val="en-GB"/>
        </w:rPr>
        <w:sectPr w:rsidR="0079002D" w:rsidSect="00706439">
          <w:headerReference w:type="default" r:id="rId21"/>
          <w:pgSz w:w="11906" w:h="16838"/>
          <w:pgMar w:top="1701" w:right="1418" w:bottom="1418" w:left="1418" w:header="567" w:footer="1134" w:gutter="0"/>
          <w:pgNumType w:start="1"/>
          <w:cols w:space="708"/>
          <w:docGrid w:linePitch="360"/>
        </w:sectPr>
      </w:pPr>
    </w:p>
    <w:p w14:paraId="49FDA20F" w14:textId="3DC62EDB" w:rsidR="003066C4" w:rsidRPr="0079002D" w:rsidRDefault="00371DD9" w:rsidP="0079002D">
      <w:pPr>
        <w:pStyle w:val="Bibliography"/>
        <w:spacing w:line="288" w:lineRule="auto"/>
        <w:ind w:left="284" w:hanging="284"/>
        <w:rPr>
          <w:rFonts w:ascii="Arial" w:hAnsi="Arial" w:cs="Arial"/>
          <w:sz w:val="20"/>
          <w:szCs w:val="20"/>
        </w:rPr>
      </w:pPr>
      <w:r w:rsidRPr="0079002D">
        <w:rPr>
          <w:sz w:val="20"/>
          <w:szCs w:val="20"/>
          <w:lang w:val="en-GB"/>
        </w:rPr>
        <w:fldChar w:fldCharType="begin"/>
      </w:r>
      <w:r w:rsidR="008B3D6A" w:rsidRPr="0079002D">
        <w:rPr>
          <w:sz w:val="20"/>
          <w:szCs w:val="20"/>
        </w:rPr>
        <w:instrText xml:space="preserve"> ADDIN ZOTERO_BIBL {"uncited":[],"omitted":[],"custom":[]} CSL_BIBLIOGRAPHY </w:instrText>
      </w:r>
      <w:r w:rsidRPr="0079002D">
        <w:rPr>
          <w:sz w:val="20"/>
          <w:szCs w:val="20"/>
          <w:lang w:val="en-GB"/>
        </w:rPr>
        <w:fldChar w:fldCharType="separate"/>
      </w:r>
      <w:r w:rsidR="003066C4" w:rsidRPr="0079002D">
        <w:rPr>
          <w:rFonts w:ascii="Arial" w:hAnsi="Arial" w:cs="Arial"/>
          <w:sz w:val="20"/>
          <w:szCs w:val="20"/>
        </w:rPr>
        <w:t>Kolektivna pogodba časopisnoinformativne, založniške in knjigotrške dejavnosti. (2000). Ur. l. RS, št. 43/00, 77/00 – popr.24/01, 48/01, 117/04, 79/05, 43/06, 95/06, 118/06, 10/07, 93/07, 35/08, 97/08, 8/10, 55/11, 17/12, 17/12, 63/13, 83/16, 57/18, 173/20 in 105/21.</w:t>
      </w:r>
    </w:p>
    <w:p w14:paraId="223EFD1B" w14:textId="40619B75"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dejavnosti bančništva. (2010). Ur. l. RS, št. 5/11, 14/13, 4/14, 95/14, 46/16, 24/18, 46/20 in 17/22.</w:t>
      </w:r>
    </w:p>
    <w:p w14:paraId="6580BE9C"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dejavnosti gostinstva in turizma. (2018). Ur. l. RS, št. 56/18, 16/19, 12/20, 93/20 in 87/22.</w:t>
      </w:r>
    </w:p>
    <w:p w14:paraId="171D63A8"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dejavnosti trgovine. (2018). Ur. l. RS, št. 52/18.</w:t>
      </w:r>
    </w:p>
    <w:p w14:paraId="5D84D69B"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dejavnosti za storitvene dejavnosti v kopenskem prometu. (2020). Ur. l. RS, št. 200/20.</w:t>
      </w:r>
    </w:p>
    <w:p w14:paraId="4C29E973"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elektrogospodarstva. (2017). Ur. l. RS, št. 41/17, 109/20, 204/21 in 79/22.</w:t>
      </w:r>
    </w:p>
    <w:p w14:paraId="7EEDC541"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gradbenih dejavnosti. (2015). Ur. l. RS, št. 101/15, 80/17, 5/19, 81/19, 67/21, 6/22 in 87/22.</w:t>
      </w:r>
    </w:p>
    <w:p w14:paraId="02B53EB6"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grafične dejavnosti. (2017). Ur. l. RS, št. 77/17, 84/18, 52/19, 175/20, 196/21 in 70/22.</w:t>
      </w:r>
    </w:p>
    <w:p w14:paraId="7E337566"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komunalnih dejavnosti. (2015). Ur. l. RS, št. 43/15, 86/16, 12/17, 80/17, 3/19, 81/19 in 105/21.</w:t>
      </w:r>
    </w:p>
    <w:p w14:paraId="172BCD7C"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med delavci in družbami drobnega gospodarstva. (2010). Ur. l. RS, št. 94/10 in 58/11.</w:t>
      </w:r>
    </w:p>
    <w:p w14:paraId="0676C92B"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premogovništva. (2019). Ur. l. RS, št. 32/19, 34/19 – popr.79/22.</w:t>
      </w:r>
    </w:p>
    <w:p w14:paraId="1610362A"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za cestni potniški promet. (2012). Ur. l. RS, št. 14/12, 52/12, 7/14, 3/15, 5/17 in 75/17.</w:t>
      </w:r>
    </w:p>
    <w:p w14:paraId="06FA9DF0"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za dejavnost elektroindustrije. (2005). Ur. l. RS, št. 108/05, 95/06, 82/07, 32/08, 70/08, 75/09, 10/10, 84/11, 104/11, 32/13, 26/15, 58/17, 84/18, 58/20 in 49/22.</w:t>
      </w:r>
    </w:p>
    <w:p w14:paraId="5789A7E6"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za dejavnost kovinskih materialov in livarn. (2014). Ur. l. RS, št. 78/14, 22/17, 84/18, 43/19 – popr.82/19, 105/21 in 26/22.</w:t>
      </w:r>
    </w:p>
    <w:p w14:paraId="56FB06BC"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za dejavnost poslovanja z nepremičninami. (2016). Ur. l. RS, št. 67/16 in 46/19.</w:t>
      </w:r>
    </w:p>
    <w:p w14:paraId="773E2E83"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za dejavnost zasebnega varovanja. (2016). Ur. l. RS, št. 5/16.</w:t>
      </w:r>
    </w:p>
    <w:p w14:paraId="278B5E17"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za dejavnosti pridobivanja in predelave nekovinskih rudnin. (2013). Ur. l. RS, št. 55/13, 6/14, 16/15, 4/16, 15/17 in 29/18.</w:t>
      </w:r>
    </w:p>
    <w:p w14:paraId="28A54DA2"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za gozdarstvo. (2005). Ur. l. RS, št. 16/05, 37/06, 43/06, 19/08, 99/08, 30/09, 46/10 in 44/15.</w:t>
      </w:r>
    </w:p>
    <w:p w14:paraId="689FF8F2"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za kmetijstvo in živilsko industrijo. (2019). Ur. l. RS, št. 24/19 in 40/21.</w:t>
      </w:r>
    </w:p>
    <w:p w14:paraId="5C1E457D"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za kovinsko industrijo. (2015). Ur. l. RS, št. 6/15, 6/17, 66/17, 82/18, 15/22 in 79/22.</w:t>
      </w:r>
    </w:p>
    <w:p w14:paraId="105CA3A1"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za lesarstvo. (2017). Ur. l. RS, št. 58/17, 51/18 in 45/19.</w:t>
      </w:r>
    </w:p>
    <w:p w14:paraId="4CFE1B73"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za papirno in papirno-predelovalno dejavnost. (2013). Ur. l. RS, št. 110/13, 52/16, 4/18, 2/19, 168/20 in 5/22.</w:t>
      </w:r>
    </w:p>
    <w:p w14:paraId="4B6FDAF3"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za poštne in kurirske dejavnosti. (2003). Ur. l. RS, št. 50/03, 94/04, 61/05, 43/06, 84/08, 91/09, 74/14, 90/14, 74/16, 173/20 in 202/21.</w:t>
      </w:r>
    </w:p>
    <w:p w14:paraId="1D2F83C1"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za tekstilne, oblačilne, usnjarske in usnjarsko-predelovalne dejavnosti. (2014). Ur. l. RS, št. 18/14 in 24/14.</w:t>
      </w:r>
    </w:p>
    <w:p w14:paraId="42DE5708"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Kolektivna pogodba za zavarovalstvo. (2011). Ur. l. RS, št. 24/11 in 192/21.</w:t>
      </w:r>
    </w:p>
    <w:p w14:paraId="66BDB887"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 xml:space="preserve">Pirš, S. (2022). Razširjena veljavnost kolektivnih pogodb dejavnosti zasebnega sektorja. </w:t>
      </w:r>
      <w:r w:rsidRPr="0079002D">
        <w:rPr>
          <w:rFonts w:ascii="Arial" w:hAnsi="Arial" w:cs="Arial"/>
          <w:i/>
          <w:iCs/>
          <w:sz w:val="20"/>
          <w:szCs w:val="20"/>
        </w:rPr>
        <w:t>Revija Delodajalec</w:t>
      </w:r>
      <w:r w:rsidRPr="0079002D">
        <w:rPr>
          <w:rFonts w:ascii="Arial" w:hAnsi="Arial" w:cs="Arial"/>
          <w:sz w:val="20"/>
          <w:szCs w:val="20"/>
        </w:rPr>
        <w:t xml:space="preserve">, </w:t>
      </w:r>
      <w:r w:rsidRPr="0079002D">
        <w:rPr>
          <w:rFonts w:ascii="Arial" w:hAnsi="Arial" w:cs="Arial"/>
          <w:i/>
          <w:iCs/>
          <w:sz w:val="20"/>
          <w:szCs w:val="20"/>
        </w:rPr>
        <w:t>2022/3</w:t>
      </w:r>
      <w:r w:rsidRPr="0079002D">
        <w:rPr>
          <w:rFonts w:ascii="Arial" w:hAnsi="Arial" w:cs="Arial"/>
          <w:sz w:val="20"/>
          <w:szCs w:val="20"/>
        </w:rPr>
        <w:t>, 12–14.</w:t>
      </w:r>
    </w:p>
    <w:p w14:paraId="175CFF18"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SURS. (2022). Povprečne mesečne bruto pri pravni osebah. Ljubljana: Statistični urad RS. Pridobljeno s https://pxweb.stat.si/SiStat/sl/Podrocja/Index/98/place-in-stroski-dela</w:t>
      </w:r>
    </w:p>
    <w:p w14:paraId="65B2EC58" w14:textId="77777777" w:rsidR="003066C4" w:rsidRPr="0079002D" w:rsidRDefault="003066C4" w:rsidP="0079002D">
      <w:pPr>
        <w:pStyle w:val="Bibliography"/>
        <w:spacing w:line="288" w:lineRule="auto"/>
        <w:ind w:left="284" w:hanging="284"/>
        <w:rPr>
          <w:rFonts w:ascii="Arial" w:hAnsi="Arial" w:cs="Arial"/>
          <w:sz w:val="20"/>
          <w:szCs w:val="20"/>
        </w:rPr>
      </w:pPr>
      <w:r w:rsidRPr="0079002D">
        <w:rPr>
          <w:rFonts w:ascii="Arial" w:hAnsi="Arial" w:cs="Arial"/>
          <w:sz w:val="20"/>
          <w:szCs w:val="20"/>
        </w:rPr>
        <w:t>ZSSS. (2022). E-baza kolektivnih pogodb. Zveza svobodnih sindikatov Slovenije. Pridobljeno s https://kp-zsss.si/</w:t>
      </w:r>
    </w:p>
    <w:p w14:paraId="32B2E33B" w14:textId="77777777" w:rsidR="0079002D" w:rsidRDefault="00371DD9" w:rsidP="0079002D">
      <w:pPr>
        <w:pStyle w:val="BesediloUMAR"/>
        <w:ind w:left="284" w:hanging="284"/>
        <w:rPr>
          <w:szCs w:val="20"/>
        </w:rPr>
        <w:sectPr w:rsidR="0079002D" w:rsidSect="0079002D">
          <w:type w:val="continuous"/>
          <w:pgSz w:w="11906" w:h="16838"/>
          <w:pgMar w:top="1701" w:right="1418" w:bottom="1418" w:left="1418" w:header="567" w:footer="1134" w:gutter="0"/>
          <w:pgNumType w:start="1"/>
          <w:cols w:num="2" w:space="708"/>
          <w:docGrid w:linePitch="360"/>
        </w:sectPr>
      </w:pPr>
      <w:r w:rsidRPr="0079002D">
        <w:rPr>
          <w:szCs w:val="20"/>
        </w:rPr>
        <w:fldChar w:fldCharType="end"/>
      </w:r>
    </w:p>
    <w:p w14:paraId="79CB374D" w14:textId="61A5DA41" w:rsidR="00371DD9" w:rsidRDefault="00371DD9" w:rsidP="0079002D">
      <w:pPr>
        <w:pStyle w:val="BesediloUMAR"/>
        <w:ind w:left="284" w:hanging="284"/>
      </w:pPr>
    </w:p>
    <w:sectPr w:rsidR="00371DD9" w:rsidSect="0079002D">
      <w:type w:val="continuous"/>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2FF39" w14:textId="77777777" w:rsidR="00B031FE" w:rsidRDefault="00B031FE" w:rsidP="009E1648">
      <w:r>
        <w:separator/>
      </w:r>
    </w:p>
    <w:p w14:paraId="5FB5DF88" w14:textId="77777777" w:rsidR="00B031FE" w:rsidRDefault="00B031FE" w:rsidP="009E1648"/>
    <w:p w14:paraId="5F4D5C97" w14:textId="77777777" w:rsidR="00B031FE" w:rsidRDefault="00B031FE" w:rsidP="009E1648"/>
    <w:p w14:paraId="35E5F42F" w14:textId="77777777" w:rsidR="00B031FE" w:rsidRDefault="00B031FE" w:rsidP="009E1648"/>
    <w:p w14:paraId="51D5750E" w14:textId="77777777" w:rsidR="00B031FE" w:rsidRDefault="00B031FE" w:rsidP="009E1648"/>
    <w:p w14:paraId="04F88CF4" w14:textId="77777777" w:rsidR="00B031FE" w:rsidRDefault="00B031FE" w:rsidP="009E1648"/>
    <w:p w14:paraId="4E443193" w14:textId="77777777" w:rsidR="00B031FE" w:rsidRDefault="00B031FE" w:rsidP="009E1648"/>
    <w:p w14:paraId="292EB270" w14:textId="77777777" w:rsidR="00B031FE" w:rsidRDefault="00B031FE" w:rsidP="009E1648"/>
    <w:p w14:paraId="7F804AF3" w14:textId="77777777" w:rsidR="00B031FE" w:rsidRDefault="00B031FE"/>
    <w:p w14:paraId="77C84B6D" w14:textId="77777777" w:rsidR="00B031FE" w:rsidRDefault="00B031FE"/>
    <w:p w14:paraId="5A029E3D" w14:textId="77777777" w:rsidR="00B031FE" w:rsidRDefault="00B031FE" w:rsidP="00A540FA"/>
    <w:p w14:paraId="317D7DED" w14:textId="77777777" w:rsidR="00B031FE" w:rsidRDefault="00B031FE" w:rsidP="00A540FA"/>
    <w:p w14:paraId="3654B8ED" w14:textId="77777777" w:rsidR="00B031FE" w:rsidRDefault="00B031FE" w:rsidP="00A540FA"/>
    <w:p w14:paraId="6B472F0A" w14:textId="77777777" w:rsidR="00B031FE" w:rsidRDefault="00B031FE" w:rsidP="00A540FA"/>
    <w:p w14:paraId="24E495C2" w14:textId="77777777" w:rsidR="00B031FE" w:rsidRDefault="00B031FE" w:rsidP="00A540FA"/>
    <w:p w14:paraId="70520884" w14:textId="77777777" w:rsidR="00B031FE" w:rsidRDefault="00B031FE"/>
  </w:endnote>
  <w:endnote w:type="continuationSeparator" w:id="0">
    <w:p w14:paraId="0CEA559F" w14:textId="77777777" w:rsidR="00B031FE" w:rsidRDefault="00B031FE" w:rsidP="009E1648">
      <w:r>
        <w:continuationSeparator/>
      </w:r>
    </w:p>
    <w:p w14:paraId="14E378F3" w14:textId="77777777" w:rsidR="00B031FE" w:rsidRDefault="00B031FE" w:rsidP="009E1648"/>
    <w:p w14:paraId="75A3C0FD" w14:textId="77777777" w:rsidR="00B031FE" w:rsidRDefault="00B031FE" w:rsidP="009E1648"/>
    <w:p w14:paraId="262FAB63" w14:textId="77777777" w:rsidR="00B031FE" w:rsidRDefault="00B031FE" w:rsidP="009E1648"/>
    <w:p w14:paraId="0DCECA03" w14:textId="77777777" w:rsidR="00B031FE" w:rsidRDefault="00B031FE" w:rsidP="009E1648"/>
    <w:p w14:paraId="51288EC9" w14:textId="77777777" w:rsidR="00B031FE" w:rsidRDefault="00B031FE" w:rsidP="009E1648"/>
    <w:p w14:paraId="1BFA899E" w14:textId="77777777" w:rsidR="00B031FE" w:rsidRDefault="00B031FE" w:rsidP="009E1648"/>
    <w:p w14:paraId="757E28A5" w14:textId="77777777" w:rsidR="00B031FE" w:rsidRDefault="00B031FE" w:rsidP="009E1648"/>
    <w:p w14:paraId="03EA2F44" w14:textId="77777777" w:rsidR="00B031FE" w:rsidRDefault="00B031FE"/>
    <w:p w14:paraId="4A23F7C7" w14:textId="77777777" w:rsidR="00B031FE" w:rsidRDefault="00B031FE"/>
    <w:p w14:paraId="60E57059" w14:textId="77777777" w:rsidR="00B031FE" w:rsidRDefault="00B031FE" w:rsidP="00A540FA"/>
    <w:p w14:paraId="5D13E51D" w14:textId="77777777" w:rsidR="00B031FE" w:rsidRDefault="00B031FE" w:rsidP="00A540FA"/>
    <w:p w14:paraId="5F49811E" w14:textId="77777777" w:rsidR="00B031FE" w:rsidRDefault="00B031FE" w:rsidP="00A540FA"/>
    <w:p w14:paraId="21EB5835" w14:textId="77777777" w:rsidR="00B031FE" w:rsidRDefault="00B031FE" w:rsidP="00A540FA"/>
    <w:p w14:paraId="5CA3A9D7" w14:textId="77777777" w:rsidR="00B031FE" w:rsidRDefault="00B031FE" w:rsidP="00A540FA"/>
    <w:p w14:paraId="0DB78CFA" w14:textId="77777777" w:rsidR="00B031FE" w:rsidRDefault="00B031FE"/>
  </w:endnote>
  <w:endnote w:type="continuationNotice" w:id="1">
    <w:p w14:paraId="2B1D36BD" w14:textId="77777777" w:rsidR="00B031FE" w:rsidRDefault="00B031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53D1" w14:textId="77777777" w:rsidR="002424CD" w:rsidRDefault="002424CD">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3596" w14:textId="77777777" w:rsidR="00B35647" w:rsidRDefault="00B35647" w:rsidP="00B35647">
    <w:pPr>
      <w:pStyle w:val="Footer"/>
      <w:framePr w:wrap="around"/>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3CA8" w14:textId="77777777" w:rsidR="002424CD" w:rsidRDefault="002424CD">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715DE" w14:textId="77777777" w:rsidR="00B031FE" w:rsidRPr="009B56EE" w:rsidRDefault="00B031FE" w:rsidP="009B56EE">
      <w:pPr>
        <w:pStyle w:val="BesediloUMAR"/>
      </w:pPr>
      <w:r w:rsidRPr="009B56EE">
        <w:separator/>
      </w:r>
    </w:p>
  </w:footnote>
  <w:footnote w:type="continuationSeparator" w:id="0">
    <w:p w14:paraId="7663FD79" w14:textId="77777777" w:rsidR="00B031FE" w:rsidRDefault="00B031FE">
      <w:r>
        <w:separator/>
      </w:r>
    </w:p>
  </w:footnote>
  <w:footnote w:type="continuationNotice" w:id="1">
    <w:p w14:paraId="1BF5AA06" w14:textId="77777777" w:rsidR="00B031FE" w:rsidRDefault="00B031FE">
      <w:pPr>
        <w:spacing w:line="240" w:lineRule="auto"/>
      </w:pPr>
    </w:p>
  </w:footnote>
  <w:footnote w:id="2">
    <w:p w14:paraId="1104A6DD" w14:textId="7648BED7" w:rsidR="007E46F2" w:rsidRPr="007E46F2" w:rsidRDefault="007E46F2" w:rsidP="007E46F2">
      <w:pPr>
        <w:pStyle w:val="SprotnaopombaUMAR"/>
      </w:pPr>
      <w:r>
        <w:rPr>
          <w:rStyle w:val="FootnoteReference"/>
        </w:rPr>
        <w:footnoteRef/>
      </w:r>
      <w:r>
        <w:t xml:space="preserve"> Pri osnovnih plačah gre za najnižje plačilo brez dodatkov.</w:t>
      </w:r>
    </w:p>
  </w:footnote>
  <w:footnote w:id="3">
    <w:p w14:paraId="6987F369" w14:textId="280234EA" w:rsidR="003F7AE4" w:rsidRPr="00863095" w:rsidRDefault="003F7AE4" w:rsidP="003F7AE4">
      <w:pPr>
        <w:pStyle w:val="SprotnaopombaUMAR"/>
      </w:pPr>
      <w:r>
        <w:rPr>
          <w:rStyle w:val="FootnoteReference"/>
        </w:rPr>
        <w:footnoteRef/>
      </w:r>
      <w:r>
        <w:t xml:space="preserve"> </w:t>
      </w:r>
      <w:r w:rsidR="00176126">
        <w:t>Takšen kazalnik je lahko na primer povprečna inflacija v določenem letu ali medletna inflacija (določen mesec v letu glede na enak mesec preteklega leta).</w:t>
      </w:r>
    </w:p>
  </w:footnote>
  <w:footnote w:id="4">
    <w:p w14:paraId="4F57EB4B" w14:textId="4C9EE785" w:rsidR="00FA3AC1" w:rsidRPr="00863095" w:rsidRDefault="00FA3AC1" w:rsidP="00FA3AC1">
      <w:pPr>
        <w:pStyle w:val="SprotnaopombaUMAR"/>
      </w:pPr>
      <w:r>
        <w:rPr>
          <w:rStyle w:val="FootnoteReference"/>
        </w:rPr>
        <w:footnoteRef/>
      </w:r>
      <w:r>
        <w:t xml:space="preserve"> </w:t>
      </w:r>
      <w:r w:rsidR="00E11CAC">
        <w:t>V analizi kot število delavcev</w:t>
      </w:r>
      <w:r w:rsidR="002B4814">
        <w:t xml:space="preserve"> v posamezni kolektivni pogodbi uporabljamo število prejemnikov plač po plačni statistiki SURS, tj. oseb</w:t>
      </w:r>
      <w:r w:rsidR="002E1A4A">
        <w:t>e</w:t>
      </w:r>
      <w:r w:rsidR="002B4814">
        <w:t>, ki so zaposlene pri pravnih osebah.</w:t>
      </w:r>
    </w:p>
  </w:footnote>
  <w:footnote w:id="5">
    <w:p w14:paraId="046DE90F" w14:textId="3DC39284" w:rsidR="0078016D" w:rsidRPr="00863095" w:rsidRDefault="0078016D" w:rsidP="0078016D">
      <w:pPr>
        <w:pStyle w:val="SprotnaopombaUMAR"/>
      </w:pPr>
      <w:r>
        <w:rPr>
          <w:rStyle w:val="FootnoteReference"/>
        </w:rPr>
        <w:footnoteRef/>
      </w:r>
      <w:r>
        <w:t xml:space="preserve"> </w:t>
      </w:r>
      <w:r w:rsidRPr="0078016D">
        <w:t>Kolektivna pogodba dejavnosti elektrogospodarstva je primer</w:t>
      </w:r>
      <w:r>
        <w:t>, ko vrednost tarifni</w:t>
      </w:r>
      <w:r w:rsidR="00090452">
        <w:t>h</w:t>
      </w:r>
      <w:r>
        <w:t xml:space="preserve"> razredov dlje časa </w:t>
      </w:r>
      <w:r w:rsidR="00090452">
        <w:t>ostaja nespremenjena</w:t>
      </w:r>
      <w:r>
        <w:t>, nato pa se z enkratno spremembo močno poveča.</w:t>
      </w:r>
    </w:p>
  </w:footnote>
  <w:footnote w:id="6">
    <w:p w14:paraId="66BB7AB4" w14:textId="01B1268E" w:rsidR="00124F15" w:rsidRPr="007C7C79" w:rsidRDefault="00124F15" w:rsidP="00124F15">
      <w:pPr>
        <w:pStyle w:val="SprotnaopombaUMAR"/>
      </w:pPr>
      <w:r>
        <w:rPr>
          <w:rStyle w:val="FootnoteReference"/>
        </w:rPr>
        <w:footnoteRef/>
      </w:r>
      <w:r>
        <w:t xml:space="preserve"> Povečanje tarifnih razredov je običajno enako ali podobno v vseh tarifnih razredih znotraj kolektivne pogodbe (kar ohranja plačna razmerja med </w:t>
      </w:r>
      <w:r w:rsidR="006801A0">
        <w:t>zaposlenimi</w:t>
      </w:r>
      <w:r>
        <w:t>).</w:t>
      </w:r>
    </w:p>
  </w:footnote>
  <w:footnote w:id="7">
    <w:p w14:paraId="737BC6DB" w14:textId="44896506" w:rsidR="004D7E10" w:rsidRPr="007C7C79" w:rsidRDefault="004D7E10" w:rsidP="004D7E10">
      <w:pPr>
        <w:pStyle w:val="SprotnaopombaUMAR"/>
      </w:pPr>
      <w:r>
        <w:rPr>
          <w:rStyle w:val="FootnoteReference"/>
        </w:rPr>
        <w:footnoteRef/>
      </w:r>
      <w:r>
        <w:t xml:space="preserve"> </w:t>
      </w:r>
      <w:r w:rsidR="001B5323">
        <w:t>V</w:t>
      </w:r>
      <w:r>
        <w:t xml:space="preserve"> kazalnik</w:t>
      </w:r>
      <w:r w:rsidR="001B5323">
        <w:t xml:space="preserve"> so</w:t>
      </w:r>
      <w:r>
        <w:t xml:space="preserve"> vkjučene kolektivne pogodbe, ki so veljale ves čas proučevanega obdobja (tj. ima nespremenjeno strukturo),</w:t>
      </w:r>
      <w:r w:rsidR="001B5323">
        <w:t xml:space="preserve"> zato</w:t>
      </w:r>
      <w:r>
        <w:t xml:space="preserve"> nanj ne vpliva dodajanje novih ali prekinitev </w:t>
      </w:r>
      <w:r w:rsidR="001B5323">
        <w:t>obstoječih</w:t>
      </w:r>
      <w:r>
        <w:t xml:space="preserve"> kolektivnih pogodb. Njegova agregatna ocena je narejena na način, da je</w:t>
      </w:r>
      <w:r w:rsidR="0033546E">
        <w:t xml:space="preserve"> </w:t>
      </w:r>
      <w:r>
        <w:t>povprečna vrednost tarifnih razredov</w:t>
      </w:r>
      <w:r w:rsidR="000039D6">
        <w:t xml:space="preserve"> (npr.</w:t>
      </w:r>
      <w:r w:rsidR="003D7CE4">
        <w:t xml:space="preserve"> povprečje</w:t>
      </w:r>
      <w:r w:rsidR="000039D6">
        <w:t xml:space="preserve"> I</w:t>
      </w:r>
      <w:r w:rsidR="00A75666">
        <w:t>.</w:t>
      </w:r>
      <w:r w:rsidR="008F024F">
        <w:t xml:space="preserve"> do </w:t>
      </w:r>
      <w:r w:rsidR="000039D6">
        <w:t xml:space="preserve">IX. </w:t>
      </w:r>
      <w:r w:rsidR="008F024F">
        <w:t>t</w:t>
      </w:r>
      <w:r w:rsidR="000039D6">
        <w:t>arifnega razreda)</w:t>
      </w:r>
      <w:r>
        <w:t xml:space="preserve"> v dejavnostih, za katere velja posamezna kolektivna pogodba, pomnožena s številom prejemnikov plač</w:t>
      </w:r>
      <w:r w:rsidR="0033546E">
        <w:t xml:space="preserve"> (pri pravnih osebah) v teh dejavnostih</w:t>
      </w:r>
      <w:r>
        <w:t xml:space="preserve">. </w:t>
      </w:r>
      <w:r w:rsidR="000039D6">
        <w:t>Tako d</w:t>
      </w:r>
      <w:r w:rsidR="001B5323">
        <w:t>obljena</w:t>
      </w:r>
      <w:r>
        <w:t xml:space="preserve"> masa pla</w:t>
      </w:r>
      <w:r w:rsidR="003916A2">
        <w:t>č po posameznih dejavnosti</w:t>
      </w:r>
      <w:r w:rsidR="004A3960">
        <w:t>h</w:t>
      </w:r>
      <w:r w:rsidR="003916A2">
        <w:t xml:space="preserve"> </w:t>
      </w:r>
      <w:r>
        <w:t xml:space="preserve">je </w:t>
      </w:r>
      <w:r w:rsidR="001B5323">
        <w:t>sešteta v skupno maso plač ter nato</w:t>
      </w:r>
      <w:r>
        <w:t xml:space="preserve"> zdeljena</w:t>
      </w:r>
      <w:r w:rsidR="0033546E">
        <w:t xml:space="preserve"> s skupnim</w:t>
      </w:r>
      <w:r>
        <w:t xml:space="preserve"> </w:t>
      </w:r>
      <w:r w:rsidR="0033546E">
        <w:t>številom prejemn</w:t>
      </w:r>
      <w:r w:rsidR="00DD4C49">
        <w:t>ikov plač v</w:t>
      </w:r>
      <w:r w:rsidR="00125452">
        <w:t xml:space="preserve"> teh</w:t>
      </w:r>
      <w:r w:rsidR="00DD4C49">
        <w:t xml:space="preserve"> dejavnostih.</w:t>
      </w:r>
      <w:r w:rsidR="003C5584">
        <w:t xml:space="preserve"> S tem dobimo povprečno vrednost tarifnih razredov, ki je utežena s številom prejemnikov plač. </w:t>
      </w:r>
      <w:r>
        <w:t>Pomanjkljivost</w:t>
      </w:r>
      <w:r w:rsidR="000957AC">
        <w:t xml:space="preserve"> tega agregatnega</w:t>
      </w:r>
      <w:r>
        <w:t xml:space="preserve"> kazalnika je</w:t>
      </w:r>
      <w:r w:rsidR="00DD4C49">
        <w:t xml:space="preserve"> si</w:t>
      </w:r>
      <w:r w:rsidR="003916A2">
        <w:t>cer predpostavka, da znotraj posamezne kolektivne pogodbe za</w:t>
      </w:r>
      <w:r w:rsidR="001B5323">
        <w:t xml:space="preserve"> vse</w:t>
      </w:r>
      <w:r w:rsidR="003916A2">
        <w:t xml:space="preserve"> prejemnik</w:t>
      </w:r>
      <w:r w:rsidR="001B5323">
        <w:t>e</w:t>
      </w:r>
      <w:r w:rsidR="003916A2">
        <w:t xml:space="preserve"> plač velja povprečna vrednost tarifnih razredov</w:t>
      </w:r>
      <w:r w:rsidR="001B5323">
        <w:t xml:space="preserve"> kolektivne pogodbe</w:t>
      </w:r>
      <w:r w:rsidR="008F024F">
        <w:t>; to bi veljalo, v kolikor bi bili zaposleni po tarifnih razredih porazdeljeni enakomerno.</w:t>
      </w:r>
    </w:p>
  </w:footnote>
  <w:footnote w:id="8">
    <w:p w14:paraId="07E112BC" w14:textId="6B399808" w:rsidR="00CA3388" w:rsidRPr="007C7C79" w:rsidRDefault="00CA3388" w:rsidP="00CA3388">
      <w:pPr>
        <w:pStyle w:val="SprotnaopombaUMAR"/>
      </w:pPr>
      <w:r>
        <w:rPr>
          <w:rStyle w:val="FootnoteReference"/>
        </w:rPr>
        <w:footnoteRef/>
      </w:r>
      <w:r>
        <w:t xml:space="preserve"> </w:t>
      </w:r>
      <w:r w:rsidRPr="00CA3388">
        <w:t xml:space="preserve">Obdobje ocenjevanja </w:t>
      </w:r>
      <w:r w:rsidR="00D8088A">
        <w:t>je trajalo</w:t>
      </w:r>
      <w:r w:rsidRPr="00CA3388">
        <w:t>od</w:t>
      </w:r>
      <w:r w:rsidR="00434333">
        <w:t xml:space="preserve"> januarja</w:t>
      </w:r>
      <w:r w:rsidRPr="00CA3388">
        <w:t xml:space="preserve"> 2009 do</w:t>
      </w:r>
      <w:r w:rsidR="00434333">
        <w:t xml:space="preserve"> decembra</w:t>
      </w:r>
      <w:r w:rsidRPr="00CA3388">
        <w:t xml:space="preserve"> 2019, ko sta seriji relativno stabilni brez večjih izrednih dogodkov.</w:t>
      </w:r>
      <w:r w:rsidR="009F2813" w:rsidRPr="009F2813">
        <w:t xml:space="preserve"> Seriji sicer izkazujeta nestacionarnost (integracijo reda I(1)), </w:t>
      </w:r>
      <w:r w:rsidR="00AD4231">
        <w:t xml:space="preserve">v VEC modelu smo uporabili </w:t>
      </w:r>
      <w:r w:rsidR="0006049B">
        <w:t>dva</w:t>
      </w:r>
      <w:r w:rsidR="00AD4231">
        <w:t xml:space="preserve"> odloga.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4316" w14:textId="77777777" w:rsidR="002424CD" w:rsidRDefault="00242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0A67" w14:textId="77777777" w:rsidR="002424CD" w:rsidRDefault="00242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E305" w14:textId="77777777" w:rsidR="002424CD" w:rsidRDefault="002424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0" w:type="dxa"/>
        <w:right w:w="0" w:type="dxa"/>
      </w:tblCellMar>
      <w:tblLook w:val="04A0" w:firstRow="1" w:lastRow="0" w:firstColumn="1" w:lastColumn="0" w:noHBand="0" w:noVBand="1"/>
    </w:tblPr>
    <w:tblGrid>
      <w:gridCol w:w="8276"/>
      <w:gridCol w:w="796"/>
    </w:tblGrid>
    <w:tr w:rsidR="004B4B54" w:rsidRPr="00A540FA" w14:paraId="0DC56C0A" w14:textId="77777777" w:rsidTr="002424CD">
      <w:trPr>
        <w:trHeight w:val="552"/>
      </w:trPr>
      <w:tc>
        <w:tcPr>
          <w:tcW w:w="8276" w:type="dxa"/>
        </w:tcPr>
        <w:p w14:paraId="2E672850" w14:textId="51C33E7B" w:rsidR="004B4B54" w:rsidRPr="00F43CB0" w:rsidRDefault="00A56E31" w:rsidP="002424CD">
          <w:pPr>
            <w:pStyle w:val="Header"/>
            <w:tabs>
              <w:tab w:val="clear" w:pos="4536"/>
              <w:tab w:val="clear" w:pos="9072"/>
              <w:tab w:val="right" w:pos="8276"/>
            </w:tabs>
            <w:spacing w:after="0"/>
            <w:rPr>
              <w:rFonts w:cstheme="minorHAnsi"/>
              <w:b/>
              <w:sz w:val="16"/>
            </w:rPr>
          </w:pPr>
          <w:r>
            <w:rPr>
              <w:rFonts w:cstheme="minorHAnsi"/>
              <w:b/>
              <w:sz w:val="16"/>
            </w:rPr>
            <w:t>UMAR</w:t>
          </w:r>
          <w:r w:rsidR="006667FE">
            <w:rPr>
              <w:rFonts w:cstheme="minorHAnsi"/>
              <w:b/>
              <w:sz w:val="16"/>
            </w:rPr>
            <w:t xml:space="preserve"> </w:t>
          </w:r>
          <w:r w:rsidR="004B4B54" w:rsidRPr="00F43CB0">
            <w:rPr>
              <w:rFonts w:cstheme="minorHAnsi"/>
              <w:b/>
              <w:sz w:val="16"/>
            </w:rPr>
            <w:t xml:space="preserve"> </w:t>
          </w:r>
          <w:r w:rsidRPr="00F43CB0">
            <w:rPr>
              <w:rFonts w:cstheme="minorHAnsi"/>
              <w:noProof/>
              <w:lang w:eastAsia="sl-SI"/>
            </w:rPr>
            <w:drawing>
              <wp:inline distT="0" distB="0" distL="0" distR="0" wp14:anchorId="03BA1CA8" wp14:editId="15EA1C65">
                <wp:extent cx="58825" cy="7633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sidR="006667FE">
            <w:rPr>
              <w:rFonts w:cstheme="minorHAnsi"/>
              <w:b/>
              <w:sz w:val="16"/>
            </w:rPr>
            <w:t xml:space="preserve"> </w:t>
          </w:r>
          <w:r>
            <w:rPr>
              <w:rFonts w:cstheme="minorHAnsi"/>
              <w:b/>
              <w:sz w:val="16"/>
            </w:rPr>
            <w:t xml:space="preserve"> </w:t>
          </w:r>
          <w:r w:rsidR="004501D9" w:rsidRPr="004501D9">
            <w:rPr>
              <w:rFonts w:cstheme="minorHAnsi"/>
              <w:b/>
              <w:sz w:val="16"/>
            </w:rPr>
            <w:t>Ali sektorske kolektivne pogodbe lahko vplivajo na agregatno rast plač v luči visoke inflacije?</w:t>
          </w:r>
          <w:r w:rsidR="004016AB">
            <w:rPr>
              <w:rFonts w:cstheme="minorHAnsi"/>
              <w:b/>
              <w:sz w:val="16"/>
            </w:rPr>
            <w:tab/>
          </w:r>
        </w:p>
      </w:tc>
      <w:tc>
        <w:tcPr>
          <w:tcW w:w="796" w:type="dxa"/>
          <w:vAlign w:val="center"/>
        </w:tcPr>
        <w:p w14:paraId="46823F5B" w14:textId="495B4231" w:rsidR="004B4B54" w:rsidRPr="00B607E3" w:rsidRDefault="002424CD" w:rsidP="002424CD">
          <w:pPr>
            <w:pStyle w:val="Header"/>
            <w:tabs>
              <w:tab w:val="left" w:pos="332"/>
              <w:tab w:val="center" w:pos="398"/>
              <w:tab w:val="right" w:pos="511"/>
              <w:tab w:val="right" w:pos="796"/>
            </w:tabs>
            <w:jc w:val="right"/>
            <w:rPr>
              <w:rFonts w:cstheme="minorHAnsi"/>
              <w:b/>
              <w:sz w:val="16"/>
              <w:szCs w:val="16"/>
            </w:rPr>
          </w:pPr>
          <w:r>
            <w:rPr>
              <w:rFonts w:cstheme="minorHAnsi"/>
              <w:b/>
              <w:sz w:val="16"/>
              <w:szCs w:val="16"/>
            </w:rPr>
            <w:tab/>
          </w:r>
          <w:r>
            <w:rPr>
              <w:rFonts w:cstheme="minorHAnsi"/>
              <w:b/>
              <w:sz w:val="16"/>
              <w:szCs w:val="16"/>
            </w:rPr>
            <w:tab/>
          </w:r>
          <w:r w:rsidR="004B4B54" w:rsidRPr="00B607E3">
            <w:rPr>
              <w:rFonts w:cstheme="minorHAnsi"/>
              <w:b/>
              <w:sz w:val="16"/>
              <w:szCs w:val="16"/>
            </w:rPr>
            <w:fldChar w:fldCharType="begin"/>
          </w:r>
          <w:r w:rsidR="004B4B54" w:rsidRPr="00B607E3">
            <w:rPr>
              <w:rFonts w:cstheme="minorHAnsi"/>
              <w:b/>
              <w:sz w:val="16"/>
              <w:szCs w:val="16"/>
            </w:rPr>
            <w:instrText xml:space="preserve"> PAGE  \* Arabic  \* MERGEFORMAT </w:instrText>
          </w:r>
          <w:r w:rsidR="004B4B54" w:rsidRPr="00B607E3">
            <w:rPr>
              <w:rFonts w:cstheme="minorHAnsi"/>
              <w:b/>
              <w:sz w:val="16"/>
              <w:szCs w:val="16"/>
            </w:rPr>
            <w:fldChar w:fldCharType="separate"/>
          </w:r>
          <w:r w:rsidR="00BF688F">
            <w:rPr>
              <w:rFonts w:cstheme="minorHAnsi"/>
              <w:b/>
              <w:noProof/>
              <w:sz w:val="16"/>
              <w:szCs w:val="16"/>
            </w:rPr>
            <w:t>3</w:t>
          </w:r>
          <w:r w:rsidR="004B4B54" w:rsidRPr="00B607E3">
            <w:rPr>
              <w:rFonts w:cstheme="minorHAnsi"/>
              <w:b/>
              <w:sz w:val="16"/>
              <w:szCs w:val="16"/>
            </w:rPr>
            <w:fldChar w:fldCharType="end"/>
          </w:r>
        </w:p>
      </w:tc>
    </w:tr>
  </w:tbl>
  <w:p w14:paraId="69CE7746" w14:textId="77777777" w:rsidR="004B4B54" w:rsidRDefault="004B4B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B50B98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D67B5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6EE6D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492909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C84785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0432F9"/>
    <w:multiLevelType w:val="hybridMultilevel"/>
    <w:tmpl w:val="CCB4C322"/>
    <w:lvl w:ilvl="0" w:tplc="A0042FE0">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08BC4480"/>
    <w:multiLevelType w:val="hybridMultilevel"/>
    <w:tmpl w:val="6E288B4A"/>
    <w:lvl w:ilvl="0" w:tplc="05028E56">
      <w:start w:val="1"/>
      <w:numFmt w:val="decimal"/>
      <w:lvlText w:val="%1."/>
      <w:lvlJc w:val="left"/>
      <w:pPr>
        <w:tabs>
          <w:tab w:val="num" w:pos="284"/>
        </w:tabs>
        <w:ind w:left="284" w:hanging="28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9A11E73"/>
    <w:multiLevelType w:val="hybridMultilevel"/>
    <w:tmpl w:val="A8F0AB2E"/>
    <w:lvl w:ilvl="0" w:tplc="0424000F">
      <w:start w:val="1"/>
      <w:numFmt w:val="decimal"/>
      <w:lvlText w:val="%1."/>
      <w:lvlJc w:val="left"/>
      <w:pPr>
        <w:tabs>
          <w:tab w:val="num" w:pos="786"/>
        </w:tabs>
        <w:ind w:left="786" w:hanging="360"/>
      </w:pPr>
    </w:lvl>
    <w:lvl w:ilvl="1" w:tplc="04240019" w:tentative="1">
      <w:start w:val="1"/>
      <w:numFmt w:val="lowerLetter"/>
      <w:lvlText w:val="%2."/>
      <w:lvlJc w:val="left"/>
      <w:pPr>
        <w:tabs>
          <w:tab w:val="num" w:pos="1506"/>
        </w:tabs>
        <w:ind w:left="1506" w:hanging="360"/>
      </w:pPr>
    </w:lvl>
    <w:lvl w:ilvl="2" w:tplc="0424001B" w:tentative="1">
      <w:start w:val="1"/>
      <w:numFmt w:val="lowerRoman"/>
      <w:lvlText w:val="%3."/>
      <w:lvlJc w:val="right"/>
      <w:pPr>
        <w:tabs>
          <w:tab w:val="num" w:pos="2226"/>
        </w:tabs>
        <w:ind w:left="2226" w:hanging="180"/>
      </w:pPr>
    </w:lvl>
    <w:lvl w:ilvl="3" w:tplc="0424000F" w:tentative="1">
      <w:start w:val="1"/>
      <w:numFmt w:val="decimal"/>
      <w:lvlText w:val="%4."/>
      <w:lvlJc w:val="left"/>
      <w:pPr>
        <w:tabs>
          <w:tab w:val="num" w:pos="2946"/>
        </w:tabs>
        <w:ind w:left="2946" w:hanging="360"/>
      </w:pPr>
    </w:lvl>
    <w:lvl w:ilvl="4" w:tplc="04240019" w:tentative="1">
      <w:start w:val="1"/>
      <w:numFmt w:val="lowerLetter"/>
      <w:lvlText w:val="%5."/>
      <w:lvlJc w:val="left"/>
      <w:pPr>
        <w:tabs>
          <w:tab w:val="num" w:pos="3666"/>
        </w:tabs>
        <w:ind w:left="3666" w:hanging="360"/>
      </w:pPr>
    </w:lvl>
    <w:lvl w:ilvl="5" w:tplc="0424001B" w:tentative="1">
      <w:start w:val="1"/>
      <w:numFmt w:val="lowerRoman"/>
      <w:lvlText w:val="%6."/>
      <w:lvlJc w:val="right"/>
      <w:pPr>
        <w:tabs>
          <w:tab w:val="num" w:pos="4386"/>
        </w:tabs>
        <w:ind w:left="4386" w:hanging="180"/>
      </w:pPr>
    </w:lvl>
    <w:lvl w:ilvl="6" w:tplc="0424000F" w:tentative="1">
      <w:start w:val="1"/>
      <w:numFmt w:val="decimal"/>
      <w:lvlText w:val="%7."/>
      <w:lvlJc w:val="left"/>
      <w:pPr>
        <w:tabs>
          <w:tab w:val="num" w:pos="5106"/>
        </w:tabs>
        <w:ind w:left="5106" w:hanging="360"/>
      </w:pPr>
    </w:lvl>
    <w:lvl w:ilvl="7" w:tplc="04240019" w:tentative="1">
      <w:start w:val="1"/>
      <w:numFmt w:val="lowerLetter"/>
      <w:lvlText w:val="%8."/>
      <w:lvlJc w:val="left"/>
      <w:pPr>
        <w:tabs>
          <w:tab w:val="num" w:pos="5826"/>
        </w:tabs>
        <w:ind w:left="5826" w:hanging="360"/>
      </w:pPr>
    </w:lvl>
    <w:lvl w:ilvl="8" w:tplc="0424001B" w:tentative="1">
      <w:start w:val="1"/>
      <w:numFmt w:val="lowerRoman"/>
      <w:lvlText w:val="%9."/>
      <w:lvlJc w:val="right"/>
      <w:pPr>
        <w:tabs>
          <w:tab w:val="num" w:pos="6546"/>
        </w:tabs>
        <w:ind w:left="6546" w:hanging="180"/>
      </w:pPr>
    </w:lvl>
  </w:abstractNum>
  <w:abstractNum w:abstractNumId="9" w15:restartNumberingAfterBreak="0">
    <w:nsid w:val="0D8F5101"/>
    <w:multiLevelType w:val="multilevel"/>
    <w:tmpl w:val="8FC0526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B1F36F1"/>
    <w:multiLevelType w:val="multilevel"/>
    <w:tmpl w:val="057E1FC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FBF0D08"/>
    <w:multiLevelType w:val="multilevel"/>
    <w:tmpl w:val="75E44CCC"/>
    <w:lvl w:ilvl="0">
      <w:start w:val="1"/>
      <w:numFmt w:val="upperRoman"/>
      <w:suff w:val="space"/>
      <w:lvlText w:val="%1"/>
      <w:lvlJc w:val="left"/>
      <w:pPr>
        <w:ind w:left="1077" w:hanging="1077"/>
      </w:pPr>
      <w:rPr>
        <w:rFonts w:ascii="Times New Roman" w:hAnsi="Times New Roman" w:hint="default"/>
        <w:b/>
        <w:i w:val="0"/>
        <w:sz w:val="28"/>
        <w:szCs w:val="28"/>
      </w:rPr>
    </w:lvl>
    <w:lvl w:ilvl="1">
      <w:start w:val="1"/>
      <w:numFmt w:val="decimal"/>
      <w:suff w:val="space"/>
      <w:lvlText w:val="%1.%2"/>
      <w:lvlJc w:val="left"/>
      <w:pPr>
        <w:ind w:left="936" w:hanging="93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A4F435C"/>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577061"/>
    <w:multiLevelType w:val="multilevel"/>
    <w:tmpl w:val="83A608A0"/>
    <w:lvl w:ilvl="0">
      <w:start w:val="1"/>
      <w:numFmt w:val="bullet"/>
      <w:lvlText w:val="–"/>
      <w:lvlJc w:val="left"/>
      <w:pPr>
        <w:tabs>
          <w:tab w:val="num" w:pos="624"/>
        </w:tabs>
        <w:ind w:left="644" w:hanging="360"/>
      </w:pPr>
      <w:rPr>
        <w:rFonts w:ascii="Arial" w:hAnsi="Arial" w:hint="default"/>
      </w:rPr>
    </w:lvl>
    <w:lvl w:ilvl="1">
      <w:start w:val="1"/>
      <w:numFmt w:val="bullet"/>
      <w:lvlText w:val="-"/>
      <w:lvlJc w:val="left"/>
      <w:pPr>
        <w:tabs>
          <w:tab w:val="num" w:pos="1724"/>
        </w:tabs>
        <w:ind w:left="1724" w:hanging="360"/>
      </w:pPr>
      <w:rPr>
        <w:rFonts w:ascii="Arial" w:hAnsi="Arial" w:hint="default"/>
      </w:rPr>
    </w:lvl>
    <w:lvl w:ilvl="2">
      <w:start w:val="1"/>
      <w:numFmt w:val="bullet"/>
      <w:lvlText w:val="-"/>
      <w:lvlJc w:val="left"/>
      <w:pPr>
        <w:tabs>
          <w:tab w:val="num" w:pos="2444"/>
        </w:tabs>
        <w:ind w:left="2444" w:hanging="360"/>
      </w:pPr>
      <w:rPr>
        <w:rFonts w:ascii="Arial" w:hAnsi="Arial"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C7656CE"/>
    <w:multiLevelType w:val="multilevel"/>
    <w:tmpl w:val="03F05868"/>
    <w:lvl w:ilvl="0">
      <w:start w:val="1"/>
      <w:numFmt w:val="bullet"/>
      <w:lvlText w:val="–"/>
      <w:lvlJc w:val="left"/>
      <w:pPr>
        <w:tabs>
          <w:tab w:val="num" w:pos="624"/>
        </w:tabs>
        <w:ind w:left="624" w:hanging="340"/>
      </w:pPr>
      <w:rPr>
        <w:rFonts w:ascii="Arial" w:hAnsi="Arial" w:hint="default"/>
      </w:rPr>
    </w:lvl>
    <w:lvl w:ilvl="1">
      <w:start w:val="1"/>
      <w:numFmt w:val="bullet"/>
      <w:lvlText w:val="-"/>
      <w:lvlJc w:val="left"/>
      <w:pPr>
        <w:tabs>
          <w:tab w:val="num" w:pos="1724"/>
        </w:tabs>
        <w:ind w:left="1724" w:hanging="360"/>
      </w:pPr>
      <w:rPr>
        <w:rFonts w:ascii="Arial" w:hAnsi="Arial" w:hint="default"/>
      </w:rPr>
    </w:lvl>
    <w:lvl w:ilvl="2">
      <w:start w:val="1"/>
      <w:numFmt w:val="bullet"/>
      <w:lvlText w:val="-"/>
      <w:lvlJc w:val="left"/>
      <w:pPr>
        <w:tabs>
          <w:tab w:val="num" w:pos="2444"/>
        </w:tabs>
        <w:ind w:left="2444" w:hanging="360"/>
      </w:pPr>
      <w:rPr>
        <w:rFonts w:ascii="Arial" w:hAnsi="Arial"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00F71CD"/>
    <w:multiLevelType w:val="hybridMultilevel"/>
    <w:tmpl w:val="1DF6BBD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14B3D24"/>
    <w:multiLevelType w:val="hybridMultilevel"/>
    <w:tmpl w:val="DA58DAD0"/>
    <w:lvl w:ilvl="0" w:tplc="382650E2">
      <w:start w:val="1"/>
      <w:numFmt w:val="bullet"/>
      <w:lvlText w:val="–"/>
      <w:lvlJc w:val="left"/>
      <w:pPr>
        <w:tabs>
          <w:tab w:val="num" w:pos="1191"/>
        </w:tabs>
        <w:ind w:left="1211" w:hanging="360"/>
      </w:pPr>
      <w:rPr>
        <w:rFonts w:ascii="Arial" w:hAnsi="Arial" w:hint="default"/>
      </w:rPr>
    </w:lvl>
    <w:lvl w:ilvl="1" w:tplc="04240003" w:tentative="1">
      <w:start w:val="1"/>
      <w:numFmt w:val="bullet"/>
      <w:lvlText w:val="o"/>
      <w:lvlJc w:val="left"/>
      <w:pPr>
        <w:tabs>
          <w:tab w:val="num" w:pos="2291"/>
        </w:tabs>
        <w:ind w:left="2291" w:hanging="360"/>
      </w:pPr>
      <w:rPr>
        <w:rFonts w:ascii="Courier New" w:hAnsi="Courier New" w:cs="Courier New" w:hint="default"/>
      </w:rPr>
    </w:lvl>
    <w:lvl w:ilvl="2" w:tplc="04240005" w:tentative="1">
      <w:start w:val="1"/>
      <w:numFmt w:val="bullet"/>
      <w:lvlText w:val=""/>
      <w:lvlJc w:val="left"/>
      <w:pPr>
        <w:tabs>
          <w:tab w:val="num" w:pos="3011"/>
        </w:tabs>
        <w:ind w:left="3011" w:hanging="360"/>
      </w:pPr>
      <w:rPr>
        <w:rFonts w:ascii="Wingdings" w:hAnsi="Wingdings" w:hint="default"/>
      </w:rPr>
    </w:lvl>
    <w:lvl w:ilvl="3" w:tplc="04240001" w:tentative="1">
      <w:start w:val="1"/>
      <w:numFmt w:val="bullet"/>
      <w:lvlText w:val=""/>
      <w:lvlJc w:val="left"/>
      <w:pPr>
        <w:tabs>
          <w:tab w:val="num" w:pos="3731"/>
        </w:tabs>
        <w:ind w:left="3731" w:hanging="360"/>
      </w:pPr>
      <w:rPr>
        <w:rFonts w:ascii="Symbol" w:hAnsi="Symbol" w:hint="default"/>
      </w:rPr>
    </w:lvl>
    <w:lvl w:ilvl="4" w:tplc="04240003" w:tentative="1">
      <w:start w:val="1"/>
      <w:numFmt w:val="bullet"/>
      <w:lvlText w:val="o"/>
      <w:lvlJc w:val="left"/>
      <w:pPr>
        <w:tabs>
          <w:tab w:val="num" w:pos="4451"/>
        </w:tabs>
        <w:ind w:left="4451" w:hanging="360"/>
      </w:pPr>
      <w:rPr>
        <w:rFonts w:ascii="Courier New" w:hAnsi="Courier New" w:cs="Courier New" w:hint="default"/>
      </w:rPr>
    </w:lvl>
    <w:lvl w:ilvl="5" w:tplc="04240005" w:tentative="1">
      <w:start w:val="1"/>
      <w:numFmt w:val="bullet"/>
      <w:lvlText w:val=""/>
      <w:lvlJc w:val="left"/>
      <w:pPr>
        <w:tabs>
          <w:tab w:val="num" w:pos="5171"/>
        </w:tabs>
        <w:ind w:left="5171" w:hanging="360"/>
      </w:pPr>
      <w:rPr>
        <w:rFonts w:ascii="Wingdings" w:hAnsi="Wingdings" w:hint="default"/>
      </w:rPr>
    </w:lvl>
    <w:lvl w:ilvl="6" w:tplc="04240001" w:tentative="1">
      <w:start w:val="1"/>
      <w:numFmt w:val="bullet"/>
      <w:lvlText w:val=""/>
      <w:lvlJc w:val="left"/>
      <w:pPr>
        <w:tabs>
          <w:tab w:val="num" w:pos="5891"/>
        </w:tabs>
        <w:ind w:left="5891" w:hanging="360"/>
      </w:pPr>
      <w:rPr>
        <w:rFonts w:ascii="Symbol" w:hAnsi="Symbol" w:hint="default"/>
      </w:rPr>
    </w:lvl>
    <w:lvl w:ilvl="7" w:tplc="04240003" w:tentative="1">
      <w:start w:val="1"/>
      <w:numFmt w:val="bullet"/>
      <w:lvlText w:val="o"/>
      <w:lvlJc w:val="left"/>
      <w:pPr>
        <w:tabs>
          <w:tab w:val="num" w:pos="6611"/>
        </w:tabs>
        <w:ind w:left="6611" w:hanging="360"/>
      </w:pPr>
      <w:rPr>
        <w:rFonts w:ascii="Courier New" w:hAnsi="Courier New" w:cs="Courier New" w:hint="default"/>
      </w:rPr>
    </w:lvl>
    <w:lvl w:ilvl="8" w:tplc="0424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4672100"/>
    <w:multiLevelType w:val="hybridMultilevel"/>
    <w:tmpl w:val="6D26A858"/>
    <w:lvl w:ilvl="0" w:tplc="0424000F">
      <w:start w:val="1"/>
      <w:numFmt w:val="decimal"/>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18" w15:restartNumberingAfterBreak="0">
    <w:nsid w:val="35DB615E"/>
    <w:multiLevelType w:val="multilevel"/>
    <w:tmpl w:val="A370959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755E7C"/>
    <w:multiLevelType w:val="hybridMultilevel"/>
    <w:tmpl w:val="196ED4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B060CD8"/>
    <w:multiLevelType w:val="multilevel"/>
    <w:tmpl w:val="994A3B26"/>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B7000AC"/>
    <w:multiLevelType w:val="hybridMultilevel"/>
    <w:tmpl w:val="54F253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1285FA4"/>
    <w:multiLevelType w:val="hybridMultilevel"/>
    <w:tmpl w:val="95322098"/>
    <w:lvl w:ilvl="0" w:tplc="181A1200">
      <w:start w:val="1"/>
      <w:numFmt w:val="upperRoman"/>
      <w:lvlText w:val="%1."/>
      <w:lvlJc w:val="right"/>
      <w:pPr>
        <w:tabs>
          <w:tab w:val="num" w:pos="57"/>
        </w:tabs>
        <w:ind w:left="57" w:firstLine="0"/>
      </w:pPr>
      <w:rPr>
        <w:rFonts w:ascii="Arial Narrow" w:hAnsi="Arial Narrow" w:hint="default"/>
        <w:b/>
        <w:i w:val="0"/>
        <w:sz w:val="2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1F508F8"/>
    <w:multiLevelType w:val="multilevel"/>
    <w:tmpl w:val="820EBFD4"/>
    <w:lvl w:ilvl="0">
      <w:start w:val="1"/>
      <w:numFmt w:val="upperRoman"/>
      <w:suff w:val="space"/>
      <w:lvlText w:val="%1"/>
      <w:lvlJc w:val="left"/>
      <w:pPr>
        <w:ind w:left="0" w:firstLine="0"/>
      </w:pPr>
      <w:rPr>
        <w:rFonts w:ascii="Times New Roman" w:hAnsi="Times New Roman" w:hint="default"/>
        <w:b/>
        <w:i w:val="0"/>
        <w:sz w:val="28"/>
        <w:szCs w:val="28"/>
      </w:rPr>
    </w:lvl>
    <w:lvl w:ilvl="1">
      <w:start w:val="1"/>
      <w:numFmt w:val="decimal"/>
      <w:suff w:val="space"/>
      <w:lvlText w:val="%1.%2"/>
      <w:lvlJc w:val="left"/>
      <w:pPr>
        <w:ind w:left="936" w:hanging="93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03019E1"/>
    <w:multiLevelType w:val="hybridMultilevel"/>
    <w:tmpl w:val="73726508"/>
    <w:lvl w:ilvl="0" w:tplc="74F2F2C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4904F60"/>
    <w:multiLevelType w:val="hybridMultilevel"/>
    <w:tmpl w:val="93B630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5F301E0"/>
    <w:multiLevelType w:val="hybridMultilevel"/>
    <w:tmpl w:val="5AD29BD4"/>
    <w:lvl w:ilvl="0" w:tplc="0424000F">
      <w:start w:val="1"/>
      <w:numFmt w:val="decimal"/>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27" w15:restartNumberingAfterBreak="0">
    <w:nsid w:val="5CB66A94"/>
    <w:multiLevelType w:val="singleLevel"/>
    <w:tmpl w:val="BEAEA458"/>
    <w:lvl w:ilvl="0">
      <w:start w:val="1"/>
      <w:numFmt w:val="decimal"/>
      <w:pStyle w:val="LiteraturaUMAR"/>
      <w:lvlText w:val="%1."/>
      <w:lvlJc w:val="left"/>
      <w:pPr>
        <w:tabs>
          <w:tab w:val="num" w:pos="360"/>
        </w:tabs>
        <w:ind w:left="360" w:hanging="360"/>
      </w:pPr>
      <w:rPr>
        <w:rFonts w:hint="default"/>
      </w:rPr>
    </w:lvl>
  </w:abstractNum>
  <w:abstractNum w:abstractNumId="28" w15:restartNumberingAfterBreak="0">
    <w:nsid w:val="63754D46"/>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8892335"/>
    <w:multiLevelType w:val="multilevel"/>
    <w:tmpl w:val="6FBAC3C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10219ED"/>
    <w:multiLevelType w:val="hybridMultilevel"/>
    <w:tmpl w:val="FEFCD4AC"/>
    <w:lvl w:ilvl="0" w:tplc="0424000F">
      <w:start w:val="1"/>
      <w:numFmt w:val="decimal"/>
      <w:lvlText w:val="%1."/>
      <w:lvlJc w:val="left"/>
      <w:pPr>
        <w:tabs>
          <w:tab w:val="num" w:pos="1854"/>
        </w:tabs>
        <w:ind w:left="1854" w:hanging="360"/>
      </w:pPr>
    </w:lvl>
    <w:lvl w:ilvl="1" w:tplc="04240019" w:tentative="1">
      <w:start w:val="1"/>
      <w:numFmt w:val="lowerLetter"/>
      <w:lvlText w:val="%2."/>
      <w:lvlJc w:val="left"/>
      <w:pPr>
        <w:tabs>
          <w:tab w:val="num" w:pos="2574"/>
        </w:tabs>
        <w:ind w:left="2574" w:hanging="360"/>
      </w:pPr>
    </w:lvl>
    <w:lvl w:ilvl="2" w:tplc="0424001B" w:tentative="1">
      <w:start w:val="1"/>
      <w:numFmt w:val="lowerRoman"/>
      <w:lvlText w:val="%3."/>
      <w:lvlJc w:val="right"/>
      <w:pPr>
        <w:tabs>
          <w:tab w:val="num" w:pos="3294"/>
        </w:tabs>
        <w:ind w:left="3294" w:hanging="180"/>
      </w:pPr>
    </w:lvl>
    <w:lvl w:ilvl="3" w:tplc="0424000F" w:tentative="1">
      <w:start w:val="1"/>
      <w:numFmt w:val="decimal"/>
      <w:lvlText w:val="%4."/>
      <w:lvlJc w:val="left"/>
      <w:pPr>
        <w:tabs>
          <w:tab w:val="num" w:pos="4014"/>
        </w:tabs>
        <w:ind w:left="4014" w:hanging="360"/>
      </w:pPr>
    </w:lvl>
    <w:lvl w:ilvl="4" w:tplc="04240019" w:tentative="1">
      <w:start w:val="1"/>
      <w:numFmt w:val="lowerLetter"/>
      <w:lvlText w:val="%5."/>
      <w:lvlJc w:val="left"/>
      <w:pPr>
        <w:tabs>
          <w:tab w:val="num" w:pos="4734"/>
        </w:tabs>
        <w:ind w:left="4734" w:hanging="360"/>
      </w:pPr>
    </w:lvl>
    <w:lvl w:ilvl="5" w:tplc="0424001B" w:tentative="1">
      <w:start w:val="1"/>
      <w:numFmt w:val="lowerRoman"/>
      <w:lvlText w:val="%6."/>
      <w:lvlJc w:val="right"/>
      <w:pPr>
        <w:tabs>
          <w:tab w:val="num" w:pos="5454"/>
        </w:tabs>
        <w:ind w:left="5454" w:hanging="180"/>
      </w:pPr>
    </w:lvl>
    <w:lvl w:ilvl="6" w:tplc="0424000F" w:tentative="1">
      <w:start w:val="1"/>
      <w:numFmt w:val="decimal"/>
      <w:lvlText w:val="%7."/>
      <w:lvlJc w:val="left"/>
      <w:pPr>
        <w:tabs>
          <w:tab w:val="num" w:pos="6174"/>
        </w:tabs>
        <w:ind w:left="6174" w:hanging="360"/>
      </w:pPr>
    </w:lvl>
    <w:lvl w:ilvl="7" w:tplc="04240019" w:tentative="1">
      <w:start w:val="1"/>
      <w:numFmt w:val="lowerLetter"/>
      <w:lvlText w:val="%8."/>
      <w:lvlJc w:val="left"/>
      <w:pPr>
        <w:tabs>
          <w:tab w:val="num" w:pos="6894"/>
        </w:tabs>
        <w:ind w:left="6894" w:hanging="360"/>
      </w:pPr>
    </w:lvl>
    <w:lvl w:ilvl="8" w:tplc="0424001B" w:tentative="1">
      <w:start w:val="1"/>
      <w:numFmt w:val="lowerRoman"/>
      <w:lvlText w:val="%9."/>
      <w:lvlJc w:val="right"/>
      <w:pPr>
        <w:tabs>
          <w:tab w:val="num" w:pos="7614"/>
        </w:tabs>
        <w:ind w:left="7614" w:hanging="180"/>
      </w:pPr>
    </w:lvl>
  </w:abstractNum>
  <w:abstractNum w:abstractNumId="31" w15:restartNumberingAfterBreak="0">
    <w:nsid w:val="743F62E2"/>
    <w:multiLevelType w:val="multilevel"/>
    <w:tmpl w:val="B874CE0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4D6157B"/>
    <w:multiLevelType w:val="multilevel"/>
    <w:tmpl w:val="0B5E6D3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6987A0D"/>
    <w:multiLevelType w:val="multilevel"/>
    <w:tmpl w:val="6FBAC3C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6"/>
  </w:num>
  <w:num w:numId="3">
    <w:abstractNumId w:val="30"/>
  </w:num>
  <w:num w:numId="4">
    <w:abstractNumId w:val="15"/>
  </w:num>
  <w:num w:numId="5">
    <w:abstractNumId w:val="27"/>
    <w:lvlOverride w:ilvl="0">
      <w:startOverride w:val="1"/>
    </w:lvlOverride>
  </w:num>
  <w:num w:numId="6">
    <w:abstractNumId w:val="27"/>
  </w:num>
  <w:num w:numId="7">
    <w:abstractNumId w:val="14"/>
  </w:num>
  <w:num w:numId="8">
    <w:abstractNumId w:val="16"/>
  </w:num>
  <w:num w:numId="9">
    <w:abstractNumId w:val="23"/>
  </w:num>
  <w:num w:numId="10">
    <w:abstractNumId w:val="20"/>
  </w:num>
  <w:num w:numId="11">
    <w:abstractNumId w:val="9"/>
  </w:num>
  <w:num w:numId="12">
    <w:abstractNumId w:val="11"/>
  </w:num>
  <w:num w:numId="13">
    <w:abstractNumId w:val="13"/>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33"/>
  </w:num>
  <w:num w:numId="21">
    <w:abstractNumId w:val="27"/>
    <w:lvlOverride w:ilvl="0">
      <w:startOverride w:val="1"/>
    </w:lvlOverride>
  </w:num>
  <w:num w:numId="22">
    <w:abstractNumId w:val="27"/>
    <w:lvlOverride w:ilvl="0">
      <w:startOverride w:val="1"/>
    </w:lvlOverride>
  </w:num>
  <w:num w:numId="23">
    <w:abstractNumId w:val="28"/>
  </w:num>
  <w:num w:numId="24">
    <w:abstractNumId w:val="29"/>
  </w:num>
  <w:num w:numId="25">
    <w:abstractNumId w:val="18"/>
  </w:num>
  <w:num w:numId="26">
    <w:abstractNumId w:val="31"/>
  </w:num>
  <w:num w:numId="27">
    <w:abstractNumId w:val="10"/>
  </w:num>
  <w:num w:numId="28">
    <w:abstractNumId w:val="32"/>
  </w:num>
  <w:num w:numId="29">
    <w:abstractNumId w:val="27"/>
    <w:lvlOverride w:ilvl="0">
      <w:startOverride w:val="1"/>
    </w:lvlOverride>
  </w:num>
  <w:num w:numId="30">
    <w:abstractNumId w:val="12"/>
  </w:num>
  <w:num w:numId="31">
    <w:abstractNumId w:val="7"/>
  </w:num>
  <w:num w:numId="32">
    <w:abstractNumId w:val="22"/>
  </w:num>
  <w:num w:numId="33">
    <w:abstractNumId w:val="20"/>
  </w:num>
  <w:num w:numId="34">
    <w:abstractNumId w:val="20"/>
  </w:num>
  <w:num w:numId="35">
    <w:abstractNumId w:val="20"/>
  </w:num>
  <w:num w:numId="36">
    <w:abstractNumId w:val="27"/>
    <w:lvlOverride w:ilvl="0">
      <w:startOverride w:val="1"/>
    </w:lvlOverride>
  </w:num>
  <w:num w:numId="37">
    <w:abstractNumId w:val="24"/>
  </w:num>
  <w:num w:numId="38">
    <w:abstractNumId w:val="21"/>
  </w:num>
  <w:num w:numId="39">
    <w:abstractNumId w:val="5"/>
  </w:num>
  <w:num w:numId="40">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5"/>
  </w:num>
  <w:num w:numId="43">
    <w:abstractNumId w:val="2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hideSpellingErrors/>
  <w:hideGrammaticalErrors/>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efaultTableStyle w:val="TableGridLight"/>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791"/>
    <w:rsid w:val="00001392"/>
    <w:rsid w:val="000026EC"/>
    <w:rsid w:val="00002CAF"/>
    <w:rsid w:val="000032F1"/>
    <w:rsid w:val="000039D6"/>
    <w:rsid w:val="00003E9D"/>
    <w:rsid w:val="00004DAC"/>
    <w:rsid w:val="00005996"/>
    <w:rsid w:val="00006657"/>
    <w:rsid w:val="00006975"/>
    <w:rsid w:val="00006BC6"/>
    <w:rsid w:val="000071B5"/>
    <w:rsid w:val="00007719"/>
    <w:rsid w:val="00012850"/>
    <w:rsid w:val="0001379C"/>
    <w:rsid w:val="00013848"/>
    <w:rsid w:val="000141E1"/>
    <w:rsid w:val="00014DA7"/>
    <w:rsid w:val="000171B0"/>
    <w:rsid w:val="00020750"/>
    <w:rsid w:val="00021509"/>
    <w:rsid w:val="00023A5C"/>
    <w:rsid w:val="00023FFD"/>
    <w:rsid w:val="0002452C"/>
    <w:rsid w:val="00024FA0"/>
    <w:rsid w:val="000267E2"/>
    <w:rsid w:val="00026ACB"/>
    <w:rsid w:val="0003011B"/>
    <w:rsid w:val="0003301B"/>
    <w:rsid w:val="00033FF7"/>
    <w:rsid w:val="00035FBD"/>
    <w:rsid w:val="00036183"/>
    <w:rsid w:val="000365D0"/>
    <w:rsid w:val="00036BBD"/>
    <w:rsid w:val="0003751E"/>
    <w:rsid w:val="000375FE"/>
    <w:rsid w:val="00037DDD"/>
    <w:rsid w:val="00041BCA"/>
    <w:rsid w:val="00042B8F"/>
    <w:rsid w:val="00043435"/>
    <w:rsid w:val="000438D4"/>
    <w:rsid w:val="00045149"/>
    <w:rsid w:val="00051EAE"/>
    <w:rsid w:val="0005279D"/>
    <w:rsid w:val="00052C36"/>
    <w:rsid w:val="00054645"/>
    <w:rsid w:val="0005475A"/>
    <w:rsid w:val="000547F0"/>
    <w:rsid w:val="000550D9"/>
    <w:rsid w:val="000572B9"/>
    <w:rsid w:val="00057C74"/>
    <w:rsid w:val="00060302"/>
    <w:rsid w:val="0006049B"/>
    <w:rsid w:val="00063283"/>
    <w:rsid w:val="00066A45"/>
    <w:rsid w:val="00067064"/>
    <w:rsid w:val="00067FD7"/>
    <w:rsid w:val="0007025B"/>
    <w:rsid w:val="00070B55"/>
    <w:rsid w:val="00072E0A"/>
    <w:rsid w:val="0007354C"/>
    <w:rsid w:val="00074999"/>
    <w:rsid w:val="00075D73"/>
    <w:rsid w:val="00077993"/>
    <w:rsid w:val="00077C63"/>
    <w:rsid w:val="00077E9C"/>
    <w:rsid w:val="0008109A"/>
    <w:rsid w:val="00083E22"/>
    <w:rsid w:val="00084484"/>
    <w:rsid w:val="00084F48"/>
    <w:rsid w:val="000866CA"/>
    <w:rsid w:val="00090452"/>
    <w:rsid w:val="000918F3"/>
    <w:rsid w:val="0009247A"/>
    <w:rsid w:val="000929C6"/>
    <w:rsid w:val="00092DA8"/>
    <w:rsid w:val="000936DA"/>
    <w:rsid w:val="000957AC"/>
    <w:rsid w:val="000968B4"/>
    <w:rsid w:val="000969D0"/>
    <w:rsid w:val="00096DB6"/>
    <w:rsid w:val="000A1F78"/>
    <w:rsid w:val="000A528A"/>
    <w:rsid w:val="000A59BB"/>
    <w:rsid w:val="000A6E55"/>
    <w:rsid w:val="000A78C0"/>
    <w:rsid w:val="000B0C7C"/>
    <w:rsid w:val="000B177F"/>
    <w:rsid w:val="000B1D60"/>
    <w:rsid w:val="000B1E80"/>
    <w:rsid w:val="000B2CC4"/>
    <w:rsid w:val="000B3619"/>
    <w:rsid w:val="000B48FF"/>
    <w:rsid w:val="000B75F3"/>
    <w:rsid w:val="000C1C5A"/>
    <w:rsid w:val="000C2CAF"/>
    <w:rsid w:val="000C43BF"/>
    <w:rsid w:val="000C4E62"/>
    <w:rsid w:val="000C5063"/>
    <w:rsid w:val="000C5C8F"/>
    <w:rsid w:val="000C66F6"/>
    <w:rsid w:val="000D0C8F"/>
    <w:rsid w:val="000D1E72"/>
    <w:rsid w:val="000D3588"/>
    <w:rsid w:val="000D39E4"/>
    <w:rsid w:val="000D4A4D"/>
    <w:rsid w:val="000D4CA8"/>
    <w:rsid w:val="000D4D43"/>
    <w:rsid w:val="000D6AF1"/>
    <w:rsid w:val="000E0B25"/>
    <w:rsid w:val="000E1358"/>
    <w:rsid w:val="000E3BEC"/>
    <w:rsid w:val="000E70CE"/>
    <w:rsid w:val="000E75AF"/>
    <w:rsid w:val="000E76D4"/>
    <w:rsid w:val="000E7B27"/>
    <w:rsid w:val="000E7BCB"/>
    <w:rsid w:val="000F0B06"/>
    <w:rsid w:val="000F23D6"/>
    <w:rsid w:val="000F2B1C"/>
    <w:rsid w:val="000F33FE"/>
    <w:rsid w:val="000F37C8"/>
    <w:rsid w:val="000F58B2"/>
    <w:rsid w:val="000F68EC"/>
    <w:rsid w:val="000F6F5D"/>
    <w:rsid w:val="00100DB9"/>
    <w:rsid w:val="00102756"/>
    <w:rsid w:val="0010366B"/>
    <w:rsid w:val="0010507E"/>
    <w:rsid w:val="00105A87"/>
    <w:rsid w:val="00105D95"/>
    <w:rsid w:val="00106B4D"/>
    <w:rsid w:val="00106BE5"/>
    <w:rsid w:val="00107A6B"/>
    <w:rsid w:val="00107A7C"/>
    <w:rsid w:val="00110C49"/>
    <w:rsid w:val="00110FEB"/>
    <w:rsid w:val="0011104E"/>
    <w:rsid w:val="00112C5F"/>
    <w:rsid w:val="00115051"/>
    <w:rsid w:val="001153EC"/>
    <w:rsid w:val="00115454"/>
    <w:rsid w:val="0011551D"/>
    <w:rsid w:val="001170C5"/>
    <w:rsid w:val="00117115"/>
    <w:rsid w:val="00117342"/>
    <w:rsid w:val="0011783D"/>
    <w:rsid w:val="00117FD7"/>
    <w:rsid w:val="00120D0E"/>
    <w:rsid w:val="00121772"/>
    <w:rsid w:val="00124C9D"/>
    <w:rsid w:val="00124F15"/>
    <w:rsid w:val="00125452"/>
    <w:rsid w:val="00127B1E"/>
    <w:rsid w:val="00130A1A"/>
    <w:rsid w:val="001312B3"/>
    <w:rsid w:val="0013178B"/>
    <w:rsid w:val="0013312D"/>
    <w:rsid w:val="0013548A"/>
    <w:rsid w:val="00135CF8"/>
    <w:rsid w:val="00137AB5"/>
    <w:rsid w:val="001406F5"/>
    <w:rsid w:val="00140706"/>
    <w:rsid w:val="00141E1A"/>
    <w:rsid w:val="00142AFF"/>
    <w:rsid w:val="00143E7F"/>
    <w:rsid w:val="001455D8"/>
    <w:rsid w:val="0014741F"/>
    <w:rsid w:val="00150E9F"/>
    <w:rsid w:val="0015410A"/>
    <w:rsid w:val="0015528E"/>
    <w:rsid w:val="001562FC"/>
    <w:rsid w:val="00157E5E"/>
    <w:rsid w:val="00160F80"/>
    <w:rsid w:val="00161445"/>
    <w:rsid w:val="00161611"/>
    <w:rsid w:val="0016173F"/>
    <w:rsid w:val="00162561"/>
    <w:rsid w:val="00162A1B"/>
    <w:rsid w:val="00165810"/>
    <w:rsid w:val="00166A3E"/>
    <w:rsid w:val="001673B5"/>
    <w:rsid w:val="001673FC"/>
    <w:rsid w:val="001709CB"/>
    <w:rsid w:val="00175219"/>
    <w:rsid w:val="00175751"/>
    <w:rsid w:val="00175D93"/>
    <w:rsid w:val="00176126"/>
    <w:rsid w:val="001764AB"/>
    <w:rsid w:val="001770F0"/>
    <w:rsid w:val="001800CD"/>
    <w:rsid w:val="00180FB9"/>
    <w:rsid w:val="00181502"/>
    <w:rsid w:val="00181CCA"/>
    <w:rsid w:val="00181D9E"/>
    <w:rsid w:val="0018449F"/>
    <w:rsid w:val="0018519C"/>
    <w:rsid w:val="001908FD"/>
    <w:rsid w:val="001910C2"/>
    <w:rsid w:val="001917B6"/>
    <w:rsid w:val="00193343"/>
    <w:rsid w:val="00195F97"/>
    <w:rsid w:val="0019617A"/>
    <w:rsid w:val="0019720D"/>
    <w:rsid w:val="001A0885"/>
    <w:rsid w:val="001A1629"/>
    <w:rsid w:val="001A6F64"/>
    <w:rsid w:val="001B1B14"/>
    <w:rsid w:val="001B2F40"/>
    <w:rsid w:val="001B3439"/>
    <w:rsid w:val="001B4430"/>
    <w:rsid w:val="001B5323"/>
    <w:rsid w:val="001B6398"/>
    <w:rsid w:val="001C20B3"/>
    <w:rsid w:val="001C3059"/>
    <w:rsid w:val="001C3A0A"/>
    <w:rsid w:val="001C487D"/>
    <w:rsid w:val="001C4D46"/>
    <w:rsid w:val="001C5AF2"/>
    <w:rsid w:val="001D0A6E"/>
    <w:rsid w:val="001D0B2F"/>
    <w:rsid w:val="001D10B4"/>
    <w:rsid w:val="001D1834"/>
    <w:rsid w:val="001D3A3F"/>
    <w:rsid w:val="001D44BF"/>
    <w:rsid w:val="001D65E7"/>
    <w:rsid w:val="001D663D"/>
    <w:rsid w:val="001D6AC6"/>
    <w:rsid w:val="001D73BF"/>
    <w:rsid w:val="001E07FD"/>
    <w:rsid w:val="001E0960"/>
    <w:rsid w:val="001E1A17"/>
    <w:rsid w:val="001E60C7"/>
    <w:rsid w:val="001E7BEE"/>
    <w:rsid w:val="001F0482"/>
    <w:rsid w:val="001F0B09"/>
    <w:rsid w:val="001F1537"/>
    <w:rsid w:val="001F166C"/>
    <w:rsid w:val="001F1F26"/>
    <w:rsid w:val="001F22D6"/>
    <w:rsid w:val="001F2E56"/>
    <w:rsid w:val="001F379C"/>
    <w:rsid w:val="001F43EE"/>
    <w:rsid w:val="001F60CF"/>
    <w:rsid w:val="001F62CF"/>
    <w:rsid w:val="00203C04"/>
    <w:rsid w:val="002047FF"/>
    <w:rsid w:val="00205616"/>
    <w:rsid w:val="002111FC"/>
    <w:rsid w:val="002115C8"/>
    <w:rsid w:val="00212697"/>
    <w:rsid w:val="00214084"/>
    <w:rsid w:val="00214A8B"/>
    <w:rsid w:val="002168E1"/>
    <w:rsid w:val="00217E32"/>
    <w:rsid w:val="00220A86"/>
    <w:rsid w:val="00220E84"/>
    <w:rsid w:val="002225D3"/>
    <w:rsid w:val="00223F01"/>
    <w:rsid w:val="00225170"/>
    <w:rsid w:val="0022533F"/>
    <w:rsid w:val="002257A9"/>
    <w:rsid w:val="00230DE5"/>
    <w:rsid w:val="00232BBE"/>
    <w:rsid w:val="00234DFD"/>
    <w:rsid w:val="00235E12"/>
    <w:rsid w:val="002424CD"/>
    <w:rsid w:val="00242FD4"/>
    <w:rsid w:val="00243D25"/>
    <w:rsid w:val="00244E0B"/>
    <w:rsid w:val="00250B99"/>
    <w:rsid w:val="00252660"/>
    <w:rsid w:val="00252AD7"/>
    <w:rsid w:val="00252F81"/>
    <w:rsid w:val="002531D4"/>
    <w:rsid w:val="00253567"/>
    <w:rsid w:val="002572F0"/>
    <w:rsid w:val="002577FF"/>
    <w:rsid w:val="002628DA"/>
    <w:rsid w:val="00263E3D"/>
    <w:rsid w:val="00265B02"/>
    <w:rsid w:val="00265E7B"/>
    <w:rsid w:val="002669AD"/>
    <w:rsid w:val="00266B89"/>
    <w:rsid w:val="00271665"/>
    <w:rsid w:val="002723E2"/>
    <w:rsid w:val="00272C68"/>
    <w:rsid w:val="00274A6B"/>
    <w:rsid w:val="002750B5"/>
    <w:rsid w:val="00275202"/>
    <w:rsid w:val="00275A07"/>
    <w:rsid w:val="00275CAC"/>
    <w:rsid w:val="002800D2"/>
    <w:rsid w:val="00280BB5"/>
    <w:rsid w:val="00281355"/>
    <w:rsid w:val="00282A01"/>
    <w:rsid w:val="00282A20"/>
    <w:rsid w:val="00287C4E"/>
    <w:rsid w:val="002901C9"/>
    <w:rsid w:val="002905D7"/>
    <w:rsid w:val="00291052"/>
    <w:rsid w:val="00291970"/>
    <w:rsid w:val="00291B55"/>
    <w:rsid w:val="0029204B"/>
    <w:rsid w:val="00295489"/>
    <w:rsid w:val="002956BC"/>
    <w:rsid w:val="00296655"/>
    <w:rsid w:val="00296ADF"/>
    <w:rsid w:val="00296B59"/>
    <w:rsid w:val="002A0E59"/>
    <w:rsid w:val="002A1940"/>
    <w:rsid w:val="002A368E"/>
    <w:rsid w:val="002A3A70"/>
    <w:rsid w:val="002A3D10"/>
    <w:rsid w:val="002A6C97"/>
    <w:rsid w:val="002A6F32"/>
    <w:rsid w:val="002B06FB"/>
    <w:rsid w:val="002B3773"/>
    <w:rsid w:val="002B3890"/>
    <w:rsid w:val="002B3FA8"/>
    <w:rsid w:val="002B4814"/>
    <w:rsid w:val="002B4F2F"/>
    <w:rsid w:val="002B5937"/>
    <w:rsid w:val="002B5D48"/>
    <w:rsid w:val="002B631F"/>
    <w:rsid w:val="002B680D"/>
    <w:rsid w:val="002B6F96"/>
    <w:rsid w:val="002B7CE6"/>
    <w:rsid w:val="002C0D76"/>
    <w:rsid w:val="002C42D3"/>
    <w:rsid w:val="002C551D"/>
    <w:rsid w:val="002D065D"/>
    <w:rsid w:val="002D0D1B"/>
    <w:rsid w:val="002D1D30"/>
    <w:rsid w:val="002D4281"/>
    <w:rsid w:val="002D460E"/>
    <w:rsid w:val="002D47BD"/>
    <w:rsid w:val="002D5102"/>
    <w:rsid w:val="002E032A"/>
    <w:rsid w:val="002E1A4A"/>
    <w:rsid w:val="002E37AA"/>
    <w:rsid w:val="002E45C6"/>
    <w:rsid w:val="002F145F"/>
    <w:rsid w:val="002F1A4B"/>
    <w:rsid w:val="002F36AC"/>
    <w:rsid w:val="002F49CF"/>
    <w:rsid w:val="002F49FE"/>
    <w:rsid w:val="002F537C"/>
    <w:rsid w:val="002F5D0F"/>
    <w:rsid w:val="002F62CB"/>
    <w:rsid w:val="002F64D9"/>
    <w:rsid w:val="0030011D"/>
    <w:rsid w:val="0030146E"/>
    <w:rsid w:val="003014DC"/>
    <w:rsid w:val="00302D29"/>
    <w:rsid w:val="003042B5"/>
    <w:rsid w:val="00304973"/>
    <w:rsid w:val="00305596"/>
    <w:rsid w:val="00305924"/>
    <w:rsid w:val="003066C4"/>
    <w:rsid w:val="00306706"/>
    <w:rsid w:val="00310184"/>
    <w:rsid w:val="003119D2"/>
    <w:rsid w:val="00312B87"/>
    <w:rsid w:val="00315406"/>
    <w:rsid w:val="0031550F"/>
    <w:rsid w:val="00320692"/>
    <w:rsid w:val="00322E48"/>
    <w:rsid w:val="00330829"/>
    <w:rsid w:val="0033107B"/>
    <w:rsid w:val="003312A2"/>
    <w:rsid w:val="0033336C"/>
    <w:rsid w:val="003335F9"/>
    <w:rsid w:val="00334607"/>
    <w:rsid w:val="0033546E"/>
    <w:rsid w:val="00336899"/>
    <w:rsid w:val="0033724B"/>
    <w:rsid w:val="00340546"/>
    <w:rsid w:val="0034152B"/>
    <w:rsid w:val="00341EEF"/>
    <w:rsid w:val="00343039"/>
    <w:rsid w:val="00344940"/>
    <w:rsid w:val="00344FE4"/>
    <w:rsid w:val="00345931"/>
    <w:rsid w:val="00345CA2"/>
    <w:rsid w:val="00347515"/>
    <w:rsid w:val="0035126D"/>
    <w:rsid w:val="00351BD0"/>
    <w:rsid w:val="003529F5"/>
    <w:rsid w:val="00353175"/>
    <w:rsid w:val="00353D73"/>
    <w:rsid w:val="00354A68"/>
    <w:rsid w:val="00355D20"/>
    <w:rsid w:val="00364CEA"/>
    <w:rsid w:val="003656BC"/>
    <w:rsid w:val="00365B36"/>
    <w:rsid w:val="00365CA9"/>
    <w:rsid w:val="003663C9"/>
    <w:rsid w:val="00367549"/>
    <w:rsid w:val="00367E0B"/>
    <w:rsid w:val="00371DD9"/>
    <w:rsid w:val="003732D7"/>
    <w:rsid w:val="00373951"/>
    <w:rsid w:val="00373E63"/>
    <w:rsid w:val="00374268"/>
    <w:rsid w:val="003743DD"/>
    <w:rsid w:val="00374A64"/>
    <w:rsid w:val="00375C3D"/>
    <w:rsid w:val="00376234"/>
    <w:rsid w:val="00380DEB"/>
    <w:rsid w:val="00382537"/>
    <w:rsid w:val="00383F11"/>
    <w:rsid w:val="003844E5"/>
    <w:rsid w:val="00385490"/>
    <w:rsid w:val="00386ACD"/>
    <w:rsid w:val="0038783C"/>
    <w:rsid w:val="00387AF6"/>
    <w:rsid w:val="00391645"/>
    <w:rsid w:val="003916A2"/>
    <w:rsid w:val="0039255E"/>
    <w:rsid w:val="003926AD"/>
    <w:rsid w:val="003936E4"/>
    <w:rsid w:val="00394200"/>
    <w:rsid w:val="003944B6"/>
    <w:rsid w:val="00394B17"/>
    <w:rsid w:val="00395593"/>
    <w:rsid w:val="00396660"/>
    <w:rsid w:val="003A130C"/>
    <w:rsid w:val="003A1CC3"/>
    <w:rsid w:val="003A27D1"/>
    <w:rsid w:val="003A2EB1"/>
    <w:rsid w:val="003A4B98"/>
    <w:rsid w:val="003A4C58"/>
    <w:rsid w:val="003A5848"/>
    <w:rsid w:val="003A6C2F"/>
    <w:rsid w:val="003A7D45"/>
    <w:rsid w:val="003A7F44"/>
    <w:rsid w:val="003B0869"/>
    <w:rsid w:val="003B1BDA"/>
    <w:rsid w:val="003B277C"/>
    <w:rsid w:val="003B2E0E"/>
    <w:rsid w:val="003B3D3D"/>
    <w:rsid w:val="003B5F73"/>
    <w:rsid w:val="003B64A5"/>
    <w:rsid w:val="003B7CD1"/>
    <w:rsid w:val="003B7E36"/>
    <w:rsid w:val="003C26B6"/>
    <w:rsid w:val="003C33AF"/>
    <w:rsid w:val="003C3E4B"/>
    <w:rsid w:val="003C4B13"/>
    <w:rsid w:val="003C5584"/>
    <w:rsid w:val="003D214E"/>
    <w:rsid w:val="003D2EFD"/>
    <w:rsid w:val="003D39EE"/>
    <w:rsid w:val="003D431F"/>
    <w:rsid w:val="003D5CA8"/>
    <w:rsid w:val="003D65E1"/>
    <w:rsid w:val="003D7C84"/>
    <w:rsid w:val="003D7CE4"/>
    <w:rsid w:val="003D7EE3"/>
    <w:rsid w:val="003E0B22"/>
    <w:rsid w:val="003E193D"/>
    <w:rsid w:val="003E1D01"/>
    <w:rsid w:val="003E2BA4"/>
    <w:rsid w:val="003E31F6"/>
    <w:rsid w:val="003E3A2D"/>
    <w:rsid w:val="003E4990"/>
    <w:rsid w:val="003E5C63"/>
    <w:rsid w:val="003E7AFA"/>
    <w:rsid w:val="003F058C"/>
    <w:rsid w:val="003F090C"/>
    <w:rsid w:val="003F0C5F"/>
    <w:rsid w:val="003F18D2"/>
    <w:rsid w:val="003F1B13"/>
    <w:rsid w:val="003F1B14"/>
    <w:rsid w:val="003F1D22"/>
    <w:rsid w:val="003F26A8"/>
    <w:rsid w:val="003F3099"/>
    <w:rsid w:val="003F5FD3"/>
    <w:rsid w:val="003F6AB1"/>
    <w:rsid w:val="003F774E"/>
    <w:rsid w:val="003F7AE4"/>
    <w:rsid w:val="00400226"/>
    <w:rsid w:val="00400465"/>
    <w:rsid w:val="00400DE5"/>
    <w:rsid w:val="004016AB"/>
    <w:rsid w:val="004021A6"/>
    <w:rsid w:val="00402400"/>
    <w:rsid w:val="004029BB"/>
    <w:rsid w:val="00402B00"/>
    <w:rsid w:val="00402FE2"/>
    <w:rsid w:val="00404473"/>
    <w:rsid w:val="00404841"/>
    <w:rsid w:val="004049B7"/>
    <w:rsid w:val="00405A9F"/>
    <w:rsid w:val="00407C0D"/>
    <w:rsid w:val="00411AEA"/>
    <w:rsid w:val="00411FE9"/>
    <w:rsid w:val="00413A61"/>
    <w:rsid w:val="004155C8"/>
    <w:rsid w:val="00415D75"/>
    <w:rsid w:val="00416D9C"/>
    <w:rsid w:val="00420719"/>
    <w:rsid w:val="0042350D"/>
    <w:rsid w:val="00423D6C"/>
    <w:rsid w:val="004248C0"/>
    <w:rsid w:val="0042500E"/>
    <w:rsid w:val="0042577D"/>
    <w:rsid w:val="00427E7B"/>
    <w:rsid w:val="00430943"/>
    <w:rsid w:val="00430947"/>
    <w:rsid w:val="004316F7"/>
    <w:rsid w:val="00431FB3"/>
    <w:rsid w:val="00434333"/>
    <w:rsid w:val="00435423"/>
    <w:rsid w:val="00435429"/>
    <w:rsid w:val="00437A43"/>
    <w:rsid w:val="00437CB6"/>
    <w:rsid w:val="00440A22"/>
    <w:rsid w:val="00440FB2"/>
    <w:rsid w:val="00441504"/>
    <w:rsid w:val="0044242E"/>
    <w:rsid w:val="004427DF"/>
    <w:rsid w:val="0044421E"/>
    <w:rsid w:val="004448D1"/>
    <w:rsid w:val="00446186"/>
    <w:rsid w:val="0044754D"/>
    <w:rsid w:val="00447A71"/>
    <w:rsid w:val="004501D9"/>
    <w:rsid w:val="00452B84"/>
    <w:rsid w:val="00454751"/>
    <w:rsid w:val="00454E5D"/>
    <w:rsid w:val="00455C82"/>
    <w:rsid w:val="00457841"/>
    <w:rsid w:val="00457C59"/>
    <w:rsid w:val="004610CF"/>
    <w:rsid w:val="00461535"/>
    <w:rsid w:val="00463654"/>
    <w:rsid w:val="00463662"/>
    <w:rsid w:val="0046366D"/>
    <w:rsid w:val="00467B42"/>
    <w:rsid w:val="00470031"/>
    <w:rsid w:val="00471237"/>
    <w:rsid w:val="00471568"/>
    <w:rsid w:val="00471D85"/>
    <w:rsid w:val="00472173"/>
    <w:rsid w:val="00472E85"/>
    <w:rsid w:val="004730B8"/>
    <w:rsid w:val="00473A60"/>
    <w:rsid w:val="00474F4F"/>
    <w:rsid w:val="0047533F"/>
    <w:rsid w:val="00475C9E"/>
    <w:rsid w:val="0047635E"/>
    <w:rsid w:val="004774EA"/>
    <w:rsid w:val="004774F9"/>
    <w:rsid w:val="00477DBE"/>
    <w:rsid w:val="00481206"/>
    <w:rsid w:val="0048191C"/>
    <w:rsid w:val="00481B30"/>
    <w:rsid w:val="00481E14"/>
    <w:rsid w:val="00484DF1"/>
    <w:rsid w:val="00485096"/>
    <w:rsid w:val="00485174"/>
    <w:rsid w:val="004856A5"/>
    <w:rsid w:val="0048594C"/>
    <w:rsid w:val="0048599C"/>
    <w:rsid w:val="00487357"/>
    <w:rsid w:val="00487D9F"/>
    <w:rsid w:val="00487DB9"/>
    <w:rsid w:val="00487FA1"/>
    <w:rsid w:val="004901C2"/>
    <w:rsid w:val="00490472"/>
    <w:rsid w:val="0049345B"/>
    <w:rsid w:val="0049356B"/>
    <w:rsid w:val="004945BD"/>
    <w:rsid w:val="00495854"/>
    <w:rsid w:val="00495889"/>
    <w:rsid w:val="00495A74"/>
    <w:rsid w:val="00496165"/>
    <w:rsid w:val="004964EE"/>
    <w:rsid w:val="004966FB"/>
    <w:rsid w:val="00497805"/>
    <w:rsid w:val="004A19BA"/>
    <w:rsid w:val="004A318E"/>
    <w:rsid w:val="004A3312"/>
    <w:rsid w:val="004A3960"/>
    <w:rsid w:val="004A45DA"/>
    <w:rsid w:val="004B275E"/>
    <w:rsid w:val="004B3384"/>
    <w:rsid w:val="004B39ED"/>
    <w:rsid w:val="004B4B54"/>
    <w:rsid w:val="004B4BE9"/>
    <w:rsid w:val="004C0235"/>
    <w:rsid w:val="004C0830"/>
    <w:rsid w:val="004C1588"/>
    <w:rsid w:val="004C1673"/>
    <w:rsid w:val="004C22C6"/>
    <w:rsid w:val="004C5AD3"/>
    <w:rsid w:val="004C6B99"/>
    <w:rsid w:val="004D13CE"/>
    <w:rsid w:val="004D1933"/>
    <w:rsid w:val="004D1C81"/>
    <w:rsid w:val="004D22FB"/>
    <w:rsid w:val="004D2B31"/>
    <w:rsid w:val="004D33D1"/>
    <w:rsid w:val="004D372F"/>
    <w:rsid w:val="004D39D8"/>
    <w:rsid w:val="004D51EA"/>
    <w:rsid w:val="004D5670"/>
    <w:rsid w:val="004D6D6F"/>
    <w:rsid w:val="004D78A9"/>
    <w:rsid w:val="004D7E10"/>
    <w:rsid w:val="004E26C0"/>
    <w:rsid w:val="004E538D"/>
    <w:rsid w:val="004E5E21"/>
    <w:rsid w:val="004E6AB0"/>
    <w:rsid w:val="004E75C8"/>
    <w:rsid w:val="004F09ED"/>
    <w:rsid w:val="004F0F3E"/>
    <w:rsid w:val="004F1872"/>
    <w:rsid w:val="004F25F6"/>
    <w:rsid w:val="004F2BE3"/>
    <w:rsid w:val="004F38FC"/>
    <w:rsid w:val="004F3AD4"/>
    <w:rsid w:val="004F3C08"/>
    <w:rsid w:val="004F54A2"/>
    <w:rsid w:val="004F58FD"/>
    <w:rsid w:val="004F62F9"/>
    <w:rsid w:val="004F6889"/>
    <w:rsid w:val="0050010C"/>
    <w:rsid w:val="00501B23"/>
    <w:rsid w:val="00501BD9"/>
    <w:rsid w:val="0050239A"/>
    <w:rsid w:val="00502FA8"/>
    <w:rsid w:val="00505383"/>
    <w:rsid w:val="0050550D"/>
    <w:rsid w:val="00507640"/>
    <w:rsid w:val="0050798F"/>
    <w:rsid w:val="00510461"/>
    <w:rsid w:val="005139FA"/>
    <w:rsid w:val="00513F8E"/>
    <w:rsid w:val="0051582D"/>
    <w:rsid w:val="0051702C"/>
    <w:rsid w:val="00520E00"/>
    <w:rsid w:val="005237FD"/>
    <w:rsid w:val="00524C78"/>
    <w:rsid w:val="0052552A"/>
    <w:rsid w:val="00525FE4"/>
    <w:rsid w:val="00530590"/>
    <w:rsid w:val="00532234"/>
    <w:rsid w:val="0053228F"/>
    <w:rsid w:val="00532FEB"/>
    <w:rsid w:val="005331FB"/>
    <w:rsid w:val="00534995"/>
    <w:rsid w:val="00537053"/>
    <w:rsid w:val="0054083E"/>
    <w:rsid w:val="00543646"/>
    <w:rsid w:val="00543748"/>
    <w:rsid w:val="00543ADD"/>
    <w:rsid w:val="0054632F"/>
    <w:rsid w:val="0054650F"/>
    <w:rsid w:val="005472C7"/>
    <w:rsid w:val="00550662"/>
    <w:rsid w:val="00551677"/>
    <w:rsid w:val="00555663"/>
    <w:rsid w:val="0055724C"/>
    <w:rsid w:val="005604EC"/>
    <w:rsid w:val="0056113D"/>
    <w:rsid w:val="00562AB3"/>
    <w:rsid w:val="005633C7"/>
    <w:rsid w:val="00564898"/>
    <w:rsid w:val="00571215"/>
    <w:rsid w:val="005727D4"/>
    <w:rsid w:val="00575C6D"/>
    <w:rsid w:val="005769B0"/>
    <w:rsid w:val="005772EA"/>
    <w:rsid w:val="00577D88"/>
    <w:rsid w:val="00577FCD"/>
    <w:rsid w:val="00585BA6"/>
    <w:rsid w:val="00585C7B"/>
    <w:rsid w:val="005861F1"/>
    <w:rsid w:val="0058622D"/>
    <w:rsid w:val="00586C8F"/>
    <w:rsid w:val="00587AA5"/>
    <w:rsid w:val="00590676"/>
    <w:rsid w:val="005912DB"/>
    <w:rsid w:val="0059231A"/>
    <w:rsid w:val="00593328"/>
    <w:rsid w:val="00594ACA"/>
    <w:rsid w:val="00594B4F"/>
    <w:rsid w:val="005955CD"/>
    <w:rsid w:val="00596071"/>
    <w:rsid w:val="00596BFA"/>
    <w:rsid w:val="005A1D18"/>
    <w:rsid w:val="005A265B"/>
    <w:rsid w:val="005A7F55"/>
    <w:rsid w:val="005B0540"/>
    <w:rsid w:val="005B0D84"/>
    <w:rsid w:val="005B108A"/>
    <w:rsid w:val="005B1129"/>
    <w:rsid w:val="005B3500"/>
    <w:rsid w:val="005B3B73"/>
    <w:rsid w:val="005B4654"/>
    <w:rsid w:val="005B629B"/>
    <w:rsid w:val="005B6E4D"/>
    <w:rsid w:val="005B7F60"/>
    <w:rsid w:val="005C00FC"/>
    <w:rsid w:val="005C161F"/>
    <w:rsid w:val="005C2526"/>
    <w:rsid w:val="005C2CEA"/>
    <w:rsid w:val="005C441B"/>
    <w:rsid w:val="005C5C18"/>
    <w:rsid w:val="005C60C3"/>
    <w:rsid w:val="005C6830"/>
    <w:rsid w:val="005C6C9C"/>
    <w:rsid w:val="005D0DF9"/>
    <w:rsid w:val="005D1010"/>
    <w:rsid w:val="005D17C6"/>
    <w:rsid w:val="005D1D02"/>
    <w:rsid w:val="005D1FEF"/>
    <w:rsid w:val="005D2EF5"/>
    <w:rsid w:val="005D40BC"/>
    <w:rsid w:val="005D46FD"/>
    <w:rsid w:val="005D50A8"/>
    <w:rsid w:val="005D6BEE"/>
    <w:rsid w:val="005D6EE4"/>
    <w:rsid w:val="005D741E"/>
    <w:rsid w:val="005E2A7C"/>
    <w:rsid w:val="005E3DEA"/>
    <w:rsid w:val="005E5C13"/>
    <w:rsid w:val="005F333F"/>
    <w:rsid w:val="005F3BD9"/>
    <w:rsid w:val="005F3C8A"/>
    <w:rsid w:val="005F3F17"/>
    <w:rsid w:val="005F4578"/>
    <w:rsid w:val="005F4B6E"/>
    <w:rsid w:val="005F52F4"/>
    <w:rsid w:val="005F7F5A"/>
    <w:rsid w:val="006000A1"/>
    <w:rsid w:val="006040E6"/>
    <w:rsid w:val="0060433C"/>
    <w:rsid w:val="00604372"/>
    <w:rsid w:val="00605B8A"/>
    <w:rsid w:val="00611240"/>
    <w:rsid w:val="006119CB"/>
    <w:rsid w:val="006134EC"/>
    <w:rsid w:val="0061384F"/>
    <w:rsid w:val="006151CF"/>
    <w:rsid w:val="0061586C"/>
    <w:rsid w:val="00617A5B"/>
    <w:rsid w:val="00617F94"/>
    <w:rsid w:val="006217FD"/>
    <w:rsid w:val="006228A5"/>
    <w:rsid w:val="00622948"/>
    <w:rsid w:val="0062508D"/>
    <w:rsid w:val="00626525"/>
    <w:rsid w:val="00627EFE"/>
    <w:rsid w:val="0063281E"/>
    <w:rsid w:val="00632C88"/>
    <w:rsid w:val="00633AA6"/>
    <w:rsid w:val="00634D6B"/>
    <w:rsid w:val="0063588F"/>
    <w:rsid w:val="00637ECF"/>
    <w:rsid w:val="00641386"/>
    <w:rsid w:val="0064491A"/>
    <w:rsid w:val="00645471"/>
    <w:rsid w:val="00647468"/>
    <w:rsid w:val="00647614"/>
    <w:rsid w:val="006501DA"/>
    <w:rsid w:val="006556AC"/>
    <w:rsid w:val="00655CD6"/>
    <w:rsid w:val="00656424"/>
    <w:rsid w:val="00661508"/>
    <w:rsid w:val="0066357F"/>
    <w:rsid w:val="006658A7"/>
    <w:rsid w:val="006667FE"/>
    <w:rsid w:val="00666BE2"/>
    <w:rsid w:val="006674A7"/>
    <w:rsid w:val="0066780A"/>
    <w:rsid w:val="00667DAF"/>
    <w:rsid w:val="00670044"/>
    <w:rsid w:val="00670EC9"/>
    <w:rsid w:val="0067202D"/>
    <w:rsid w:val="0067227C"/>
    <w:rsid w:val="006730C0"/>
    <w:rsid w:val="0067505F"/>
    <w:rsid w:val="006750B1"/>
    <w:rsid w:val="00676B55"/>
    <w:rsid w:val="00676FEB"/>
    <w:rsid w:val="00677435"/>
    <w:rsid w:val="006801A0"/>
    <w:rsid w:val="00681F5E"/>
    <w:rsid w:val="006839FC"/>
    <w:rsid w:val="00686F72"/>
    <w:rsid w:val="006909E4"/>
    <w:rsid w:val="00691112"/>
    <w:rsid w:val="00691861"/>
    <w:rsid w:val="006921AC"/>
    <w:rsid w:val="00693AF7"/>
    <w:rsid w:val="00693BD3"/>
    <w:rsid w:val="006954CB"/>
    <w:rsid w:val="006966BC"/>
    <w:rsid w:val="006969C3"/>
    <w:rsid w:val="006A2507"/>
    <w:rsid w:val="006A2EF0"/>
    <w:rsid w:val="006A3744"/>
    <w:rsid w:val="006A7381"/>
    <w:rsid w:val="006B1D3D"/>
    <w:rsid w:val="006B20DE"/>
    <w:rsid w:val="006B2E64"/>
    <w:rsid w:val="006B6013"/>
    <w:rsid w:val="006B7AE0"/>
    <w:rsid w:val="006C086E"/>
    <w:rsid w:val="006C09F7"/>
    <w:rsid w:val="006C1815"/>
    <w:rsid w:val="006C403C"/>
    <w:rsid w:val="006C47E6"/>
    <w:rsid w:val="006C4B8D"/>
    <w:rsid w:val="006C4DBB"/>
    <w:rsid w:val="006C6647"/>
    <w:rsid w:val="006C680F"/>
    <w:rsid w:val="006C7E4C"/>
    <w:rsid w:val="006D0C34"/>
    <w:rsid w:val="006D1872"/>
    <w:rsid w:val="006D1AFD"/>
    <w:rsid w:val="006D4007"/>
    <w:rsid w:val="006D48B0"/>
    <w:rsid w:val="006D4C24"/>
    <w:rsid w:val="006D6E53"/>
    <w:rsid w:val="006D7195"/>
    <w:rsid w:val="006D7E11"/>
    <w:rsid w:val="006E2C8C"/>
    <w:rsid w:val="006E4FDE"/>
    <w:rsid w:val="006E78F4"/>
    <w:rsid w:val="006E7DEF"/>
    <w:rsid w:val="006F3B76"/>
    <w:rsid w:val="006F3E2A"/>
    <w:rsid w:val="006F4BBF"/>
    <w:rsid w:val="006F5351"/>
    <w:rsid w:val="006F75D7"/>
    <w:rsid w:val="007001E7"/>
    <w:rsid w:val="00701097"/>
    <w:rsid w:val="00701E95"/>
    <w:rsid w:val="00703342"/>
    <w:rsid w:val="00704190"/>
    <w:rsid w:val="00704A07"/>
    <w:rsid w:val="00705590"/>
    <w:rsid w:val="00705F14"/>
    <w:rsid w:val="00706439"/>
    <w:rsid w:val="00706494"/>
    <w:rsid w:val="0070699D"/>
    <w:rsid w:val="0071002E"/>
    <w:rsid w:val="007123CD"/>
    <w:rsid w:val="0071240A"/>
    <w:rsid w:val="0071423C"/>
    <w:rsid w:val="007149B8"/>
    <w:rsid w:val="00715ED8"/>
    <w:rsid w:val="00717AD3"/>
    <w:rsid w:val="007209FA"/>
    <w:rsid w:val="00722488"/>
    <w:rsid w:val="00722E17"/>
    <w:rsid w:val="00724615"/>
    <w:rsid w:val="007247EC"/>
    <w:rsid w:val="0072522B"/>
    <w:rsid w:val="00725D56"/>
    <w:rsid w:val="00725D85"/>
    <w:rsid w:val="0072767F"/>
    <w:rsid w:val="00727AA2"/>
    <w:rsid w:val="00727D99"/>
    <w:rsid w:val="00731841"/>
    <w:rsid w:val="00732BAD"/>
    <w:rsid w:val="00733E66"/>
    <w:rsid w:val="007340C3"/>
    <w:rsid w:val="007345C0"/>
    <w:rsid w:val="00736DB1"/>
    <w:rsid w:val="0073783D"/>
    <w:rsid w:val="007439FD"/>
    <w:rsid w:val="007444E2"/>
    <w:rsid w:val="007444EC"/>
    <w:rsid w:val="00744F0D"/>
    <w:rsid w:val="00747002"/>
    <w:rsid w:val="007532FA"/>
    <w:rsid w:val="007538F0"/>
    <w:rsid w:val="00753CE9"/>
    <w:rsid w:val="00756DFB"/>
    <w:rsid w:val="00757564"/>
    <w:rsid w:val="00761FD7"/>
    <w:rsid w:val="00762D5A"/>
    <w:rsid w:val="00763700"/>
    <w:rsid w:val="00763CDB"/>
    <w:rsid w:val="00763F41"/>
    <w:rsid w:val="00765C58"/>
    <w:rsid w:val="007661DC"/>
    <w:rsid w:val="00771744"/>
    <w:rsid w:val="00772268"/>
    <w:rsid w:val="007731CD"/>
    <w:rsid w:val="007736C3"/>
    <w:rsid w:val="00774B58"/>
    <w:rsid w:val="007759EA"/>
    <w:rsid w:val="00776801"/>
    <w:rsid w:val="00777A94"/>
    <w:rsid w:val="00777F46"/>
    <w:rsid w:val="0078016D"/>
    <w:rsid w:val="00780A82"/>
    <w:rsid w:val="00781D29"/>
    <w:rsid w:val="00781F66"/>
    <w:rsid w:val="0078243B"/>
    <w:rsid w:val="00784074"/>
    <w:rsid w:val="00784670"/>
    <w:rsid w:val="007849C7"/>
    <w:rsid w:val="007860F8"/>
    <w:rsid w:val="0078714E"/>
    <w:rsid w:val="00787735"/>
    <w:rsid w:val="00787EC1"/>
    <w:rsid w:val="00787F5E"/>
    <w:rsid w:val="0079002D"/>
    <w:rsid w:val="007915C0"/>
    <w:rsid w:val="00791F9C"/>
    <w:rsid w:val="00792BEF"/>
    <w:rsid w:val="00794DA5"/>
    <w:rsid w:val="007960DF"/>
    <w:rsid w:val="00796692"/>
    <w:rsid w:val="007A0214"/>
    <w:rsid w:val="007A1000"/>
    <w:rsid w:val="007A2A1F"/>
    <w:rsid w:val="007A3179"/>
    <w:rsid w:val="007A3C64"/>
    <w:rsid w:val="007A7B67"/>
    <w:rsid w:val="007B34D6"/>
    <w:rsid w:val="007B6137"/>
    <w:rsid w:val="007B715D"/>
    <w:rsid w:val="007B7666"/>
    <w:rsid w:val="007B7A62"/>
    <w:rsid w:val="007B7CC6"/>
    <w:rsid w:val="007C0819"/>
    <w:rsid w:val="007C26AB"/>
    <w:rsid w:val="007C3A38"/>
    <w:rsid w:val="007C58E1"/>
    <w:rsid w:val="007C5ADD"/>
    <w:rsid w:val="007C6528"/>
    <w:rsid w:val="007C6D29"/>
    <w:rsid w:val="007C7C79"/>
    <w:rsid w:val="007D02D4"/>
    <w:rsid w:val="007D0CDD"/>
    <w:rsid w:val="007D1E7A"/>
    <w:rsid w:val="007D22BF"/>
    <w:rsid w:val="007D3AC0"/>
    <w:rsid w:val="007D3BC2"/>
    <w:rsid w:val="007D4FDE"/>
    <w:rsid w:val="007D5672"/>
    <w:rsid w:val="007D5FE5"/>
    <w:rsid w:val="007D6B1B"/>
    <w:rsid w:val="007E2B35"/>
    <w:rsid w:val="007E46F2"/>
    <w:rsid w:val="007E5A59"/>
    <w:rsid w:val="007E5FB3"/>
    <w:rsid w:val="007F1CC9"/>
    <w:rsid w:val="007F24FB"/>
    <w:rsid w:val="007F3981"/>
    <w:rsid w:val="00803E1C"/>
    <w:rsid w:val="00804622"/>
    <w:rsid w:val="0080469D"/>
    <w:rsid w:val="00805108"/>
    <w:rsid w:val="00806D14"/>
    <w:rsid w:val="00807872"/>
    <w:rsid w:val="008101ED"/>
    <w:rsid w:val="008118B7"/>
    <w:rsid w:val="00811F1B"/>
    <w:rsid w:val="00812202"/>
    <w:rsid w:val="008135D9"/>
    <w:rsid w:val="008139D4"/>
    <w:rsid w:val="00813F73"/>
    <w:rsid w:val="00814B1D"/>
    <w:rsid w:val="00816849"/>
    <w:rsid w:val="00816CD8"/>
    <w:rsid w:val="00817887"/>
    <w:rsid w:val="00817F43"/>
    <w:rsid w:val="0082247E"/>
    <w:rsid w:val="00824448"/>
    <w:rsid w:val="00825445"/>
    <w:rsid w:val="00825CC5"/>
    <w:rsid w:val="008261A9"/>
    <w:rsid w:val="00826216"/>
    <w:rsid w:val="00826853"/>
    <w:rsid w:val="00830962"/>
    <w:rsid w:val="0083280E"/>
    <w:rsid w:val="00832835"/>
    <w:rsid w:val="00833551"/>
    <w:rsid w:val="008336EA"/>
    <w:rsid w:val="00835CBB"/>
    <w:rsid w:val="00835D43"/>
    <w:rsid w:val="008374CD"/>
    <w:rsid w:val="00840B11"/>
    <w:rsid w:val="008416E2"/>
    <w:rsid w:val="00841F72"/>
    <w:rsid w:val="00846CA0"/>
    <w:rsid w:val="00847855"/>
    <w:rsid w:val="00847870"/>
    <w:rsid w:val="008507C3"/>
    <w:rsid w:val="00852D36"/>
    <w:rsid w:val="008534CA"/>
    <w:rsid w:val="008542A0"/>
    <w:rsid w:val="008544BC"/>
    <w:rsid w:val="008544ED"/>
    <w:rsid w:val="00855889"/>
    <w:rsid w:val="008577F4"/>
    <w:rsid w:val="00857B3E"/>
    <w:rsid w:val="0086156C"/>
    <w:rsid w:val="008621D2"/>
    <w:rsid w:val="00863095"/>
    <w:rsid w:val="008639E8"/>
    <w:rsid w:val="00865904"/>
    <w:rsid w:val="00867CC9"/>
    <w:rsid w:val="00870DED"/>
    <w:rsid w:val="008723E5"/>
    <w:rsid w:val="0087311A"/>
    <w:rsid w:val="0087606A"/>
    <w:rsid w:val="00880DE7"/>
    <w:rsid w:val="008811DC"/>
    <w:rsid w:val="00881457"/>
    <w:rsid w:val="00881CF9"/>
    <w:rsid w:val="00885D57"/>
    <w:rsid w:val="00886E25"/>
    <w:rsid w:val="008875AD"/>
    <w:rsid w:val="008876AA"/>
    <w:rsid w:val="00887956"/>
    <w:rsid w:val="00890FA1"/>
    <w:rsid w:val="0089114A"/>
    <w:rsid w:val="00892F28"/>
    <w:rsid w:val="00895B4C"/>
    <w:rsid w:val="00897C29"/>
    <w:rsid w:val="00897D11"/>
    <w:rsid w:val="008A0496"/>
    <w:rsid w:val="008A22EA"/>
    <w:rsid w:val="008A30E7"/>
    <w:rsid w:val="008A3347"/>
    <w:rsid w:val="008A5C0C"/>
    <w:rsid w:val="008A5FC7"/>
    <w:rsid w:val="008B068D"/>
    <w:rsid w:val="008B1409"/>
    <w:rsid w:val="008B18F0"/>
    <w:rsid w:val="008B234F"/>
    <w:rsid w:val="008B38D5"/>
    <w:rsid w:val="008B3D6A"/>
    <w:rsid w:val="008B3DEC"/>
    <w:rsid w:val="008B4957"/>
    <w:rsid w:val="008B4AB1"/>
    <w:rsid w:val="008B5EA1"/>
    <w:rsid w:val="008B6EC2"/>
    <w:rsid w:val="008B7525"/>
    <w:rsid w:val="008C2631"/>
    <w:rsid w:val="008C4268"/>
    <w:rsid w:val="008C44ED"/>
    <w:rsid w:val="008D00FC"/>
    <w:rsid w:val="008D0E22"/>
    <w:rsid w:val="008D64B9"/>
    <w:rsid w:val="008E1738"/>
    <w:rsid w:val="008E1911"/>
    <w:rsid w:val="008E1ECC"/>
    <w:rsid w:val="008E2858"/>
    <w:rsid w:val="008E32CA"/>
    <w:rsid w:val="008F024F"/>
    <w:rsid w:val="008F0A52"/>
    <w:rsid w:val="008F1409"/>
    <w:rsid w:val="008F19FA"/>
    <w:rsid w:val="008F27B7"/>
    <w:rsid w:val="008F3146"/>
    <w:rsid w:val="008F329B"/>
    <w:rsid w:val="008F35C6"/>
    <w:rsid w:val="008F4F89"/>
    <w:rsid w:val="008F5E24"/>
    <w:rsid w:val="00900064"/>
    <w:rsid w:val="00901025"/>
    <w:rsid w:val="0090185E"/>
    <w:rsid w:val="00901ACE"/>
    <w:rsid w:val="00902F48"/>
    <w:rsid w:val="00902FFE"/>
    <w:rsid w:val="00904D7C"/>
    <w:rsid w:val="00905537"/>
    <w:rsid w:val="00910DDC"/>
    <w:rsid w:val="00912B20"/>
    <w:rsid w:val="009138CB"/>
    <w:rsid w:val="00914772"/>
    <w:rsid w:val="00915007"/>
    <w:rsid w:val="00917FB8"/>
    <w:rsid w:val="00921E98"/>
    <w:rsid w:val="00922D25"/>
    <w:rsid w:val="00923AFA"/>
    <w:rsid w:val="00923B83"/>
    <w:rsid w:val="00923E5C"/>
    <w:rsid w:val="0092535E"/>
    <w:rsid w:val="00925373"/>
    <w:rsid w:val="00932310"/>
    <w:rsid w:val="00932E92"/>
    <w:rsid w:val="00933E33"/>
    <w:rsid w:val="00936DB4"/>
    <w:rsid w:val="009400F0"/>
    <w:rsid w:val="00941D0A"/>
    <w:rsid w:val="00942199"/>
    <w:rsid w:val="0094225F"/>
    <w:rsid w:val="009431E7"/>
    <w:rsid w:val="009436C9"/>
    <w:rsid w:val="009457C6"/>
    <w:rsid w:val="00947E74"/>
    <w:rsid w:val="009515F5"/>
    <w:rsid w:val="00951B63"/>
    <w:rsid w:val="009525B3"/>
    <w:rsid w:val="00956337"/>
    <w:rsid w:val="00960685"/>
    <w:rsid w:val="009627CD"/>
    <w:rsid w:val="00963048"/>
    <w:rsid w:val="00965315"/>
    <w:rsid w:val="00966613"/>
    <w:rsid w:val="009674D7"/>
    <w:rsid w:val="00967DEC"/>
    <w:rsid w:val="0097063C"/>
    <w:rsid w:val="0097070F"/>
    <w:rsid w:val="009715AE"/>
    <w:rsid w:val="00972DE4"/>
    <w:rsid w:val="00973B3C"/>
    <w:rsid w:val="00977677"/>
    <w:rsid w:val="00977E7C"/>
    <w:rsid w:val="00982CCE"/>
    <w:rsid w:val="00986CB8"/>
    <w:rsid w:val="00987E90"/>
    <w:rsid w:val="0099400D"/>
    <w:rsid w:val="00994EDF"/>
    <w:rsid w:val="0099612C"/>
    <w:rsid w:val="00996BF0"/>
    <w:rsid w:val="009A02AF"/>
    <w:rsid w:val="009A04D6"/>
    <w:rsid w:val="009A0AA1"/>
    <w:rsid w:val="009A3A04"/>
    <w:rsid w:val="009A4C1B"/>
    <w:rsid w:val="009A5300"/>
    <w:rsid w:val="009A5A07"/>
    <w:rsid w:val="009A7FC8"/>
    <w:rsid w:val="009B0A34"/>
    <w:rsid w:val="009B469A"/>
    <w:rsid w:val="009B56EE"/>
    <w:rsid w:val="009B5D75"/>
    <w:rsid w:val="009B7C4C"/>
    <w:rsid w:val="009C1561"/>
    <w:rsid w:val="009C2471"/>
    <w:rsid w:val="009C2527"/>
    <w:rsid w:val="009C27DC"/>
    <w:rsid w:val="009C3497"/>
    <w:rsid w:val="009C44C8"/>
    <w:rsid w:val="009C4DDF"/>
    <w:rsid w:val="009C5658"/>
    <w:rsid w:val="009C6C39"/>
    <w:rsid w:val="009D02DD"/>
    <w:rsid w:val="009D0D0B"/>
    <w:rsid w:val="009D0F39"/>
    <w:rsid w:val="009D4A53"/>
    <w:rsid w:val="009D6F28"/>
    <w:rsid w:val="009D702B"/>
    <w:rsid w:val="009E1648"/>
    <w:rsid w:val="009E2576"/>
    <w:rsid w:val="009E2DA6"/>
    <w:rsid w:val="009E3791"/>
    <w:rsid w:val="009E5452"/>
    <w:rsid w:val="009E60E6"/>
    <w:rsid w:val="009E627A"/>
    <w:rsid w:val="009E660C"/>
    <w:rsid w:val="009E6EA1"/>
    <w:rsid w:val="009F174F"/>
    <w:rsid w:val="009F2785"/>
    <w:rsid w:val="009F2813"/>
    <w:rsid w:val="009F330F"/>
    <w:rsid w:val="009F3B61"/>
    <w:rsid w:val="009F5424"/>
    <w:rsid w:val="009F7F6B"/>
    <w:rsid w:val="00A01AE4"/>
    <w:rsid w:val="00A01F8A"/>
    <w:rsid w:val="00A02596"/>
    <w:rsid w:val="00A02AF2"/>
    <w:rsid w:val="00A02FC4"/>
    <w:rsid w:val="00A03F4D"/>
    <w:rsid w:val="00A04ED7"/>
    <w:rsid w:val="00A0586D"/>
    <w:rsid w:val="00A05D92"/>
    <w:rsid w:val="00A071B9"/>
    <w:rsid w:val="00A10415"/>
    <w:rsid w:val="00A10664"/>
    <w:rsid w:val="00A1240D"/>
    <w:rsid w:val="00A148E1"/>
    <w:rsid w:val="00A149C2"/>
    <w:rsid w:val="00A15DC1"/>
    <w:rsid w:val="00A1762F"/>
    <w:rsid w:val="00A21F90"/>
    <w:rsid w:val="00A221A2"/>
    <w:rsid w:val="00A23281"/>
    <w:rsid w:val="00A242AE"/>
    <w:rsid w:val="00A25C17"/>
    <w:rsid w:val="00A271A3"/>
    <w:rsid w:val="00A30109"/>
    <w:rsid w:val="00A30C4A"/>
    <w:rsid w:val="00A32666"/>
    <w:rsid w:val="00A33A1F"/>
    <w:rsid w:val="00A35181"/>
    <w:rsid w:val="00A3547C"/>
    <w:rsid w:val="00A35AF0"/>
    <w:rsid w:val="00A40C13"/>
    <w:rsid w:val="00A41999"/>
    <w:rsid w:val="00A4374F"/>
    <w:rsid w:val="00A46EA8"/>
    <w:rsid w:val="00A476FC"/>
    <w:rsid w:val="00A479C5"/>
    <w:rsid w:val="00A50610"/>
    <w:rsid w:val="00A51E1C"/>
    <w:rsid w:val="00A52DF1"/>
    <w:rsid w:val="00A53E2D"/>
    <w:rsid w:val="00A540FA"/>
    <w:rsid w:val="00A56E31"/>
    <w:rsid w:val="00A57D65"/>
    <w:rsid w:val="00A600FE"/>
    <w:rsid w:val="00A61130"/>
    <w:rsid w:val="00A62BAF"/>
    <w:rsid w:val="00A63099"/>
    <w:rsid w:val="00A637C9"/>
    <w:rsid w:val="00A6402E"/>
    <w:rsid w:val="00A647F3"/>
    <w:rsid w:val="00A652F0"/>
    <w:rsid w:val="00A65C05"/>
    <w:rsid w:val="00A700C6"/>
    <w:rsid w:val="00A7070D"/>
    <w:rsid w:val="00A716E2"/>
    <w:rsid w:val="00A71860"/>
    <w:rsid w:val="00A7408A"/>
    <w:rsid w:val="00A74277"/>
    <w:rsid w:val="00A748B2"/>
    <w:rsid w:val="00A74EFF"/>
    <w:rsid w:val="00A75666"/>
    <w:rsid w:val="00A75CE5"/>
    <w:rsid w:val="00A77D2B"/>
    <w:rsid w:val="00A81144"/>
    <w:rsid w:val="00A81562"/>
    <w:rsid w:val="00A8210E"/>
    <w:rsid w:val="00A836E7"/>
    <w:rsid w:val="00A83835"/>
    <w:rsid w:val="00A83BBC"/>
    <w:rsid w:val="00A8446A"/>
    <w:rsid w:val="00A86723"/>
    <w:rsid w:val="00A87994"/>
    <w:rsid w:val="00A87B81"/>
    <w:rsid w:val="00A9191A"/>
    <w:rsid w:val="00A92A65"/>
    <w:rsid w:val="00A947DF"/>
    <w:rsid w:val="00A9542E"/>
    <w:rsid w:val="00A970ED"/>
    <w:rsid w:val="00AA0164"/>
    <w:rsid w:val="00AA0F51"/>
    <w:rsid w:val="00AA1566"/>
    <w:rsid w:val="00AA1A80"/>
    <w:rsid w:val="00AA1D6E"/>
    <w:rsid w:val="00AA5404"/>
    <w:rsid w:val="00AA5EF3"/>
    <w:rsid w:val="00AA6CE9"/>
    <w:rsid w:val="00AA796C"/>
    <w:rsid w:val="00AB09C9"/>
    <w:rsid w:val="00AB1E38"/>
    <w:rsid w:val="00AB276E"/>
    <w:rsid w:val="00AB2BDC"/>
    <w:rsid w:val="00AB2D21"/>
    <w:rsid w:val="00AB514D"/>
    <w:rsid w:val="00AB67A2"/>
    <w:rsid w:val="00AB770E"/>
    <w:rsid w:val="00AC0949"/>
    <w:rsid w:val="00AC2293"/>
    <w:rsid w:val="00AC23C3"/>
    <w:rsid w:val="00AC2E3B"/>
    <w:rsid w:val="00AC47E6"/>
    <w:rsid w:val="00AC5AF3"/>
    <w:rsid w:val="00AC5B8A"/>
    <w:rsid w:val="00AD1692"/>
    <w:rsid w:val="00AD208C"/>
    <w:rsid w:val="00AD4231"/>
    <w:rsid w:val="00AD46D5"/>
    <w:rsid w:val="00AD492E"/>
    <w:rsid w:val="00AD53FA"/>
    <w:rsid w:val="00AD78D7"/>
    <w:rsid w:val="00AD7EE1"/>
    <w:rsid w:val="00AE10D2"/>
    <w:rsid w:val="00AE26CD"/>
    <w:rsid w:val="00AE2805"/>
    <w:rsid w:val="00AE3561"/>
    <w:rsid w:val="00AE35C2"/>
    <w:rsid w:val="00AE438F"/>
    <w:rsid w:val="00AF2E43"/>
    <w:rsid w:val="00AF4378"/>
    <w:rsid w:val="00AF4BD4"/>
    <w:rsid w:val="00AF5825"/>
    <w:rsid w:val="00AF7225"/>
    <w:rsid w:val="00B00D38"/>
    <w:rsid w:val="00B01A0C"/>
    <w:rsid w:val="00B031FE"/>
    <w:rsid w:val="00B039FE"/>
    <w:rsid w:val="00B045D1"/>
    <w:rsid w:val="00B1008F"/>
    <w:rsid w:val="00B107CA"/>
    <w:rsid w:val="00B10C74"/>
    <w:rsid w:val="00B1199C"/>
    <w:rsid w:val="00B122B4"/>
    <w:rsid w:val="00B12FF0"/>
    <w:rsid w:val="00B155DD"/>
    <w:rsid w:val="00B15C74"/>
    <w:rsid w:val="00B15D0E"/>
    <w:rsid w:val="00B1676B"/>
    <w:rsid w:val="00B201D8"/>
    <w:rsid w:val="00B22F4C"/>
    <w:rsid w:val="00B254E3"/>
    <w:rsid w:val="00B35211"/>
    <w:rsid w:val="00B35647"/>
    <w:rsid w:val="00B3615D"/>
    <w:rsid w:val="00B36A91"/>
    <w:rsid w:val="00B3702F"/>
    <w:rsid w:val="00B371B2"/>
    <w:rsid w:val="00B37623"/>
    <w:rsid w:val="00B418EF"/>
    <w:rsid w:val="00B41D1B"/>
    <w:rsid w:val="00B426E6"/>
    <w:rsid w:val="00B42A9F"/>
    <w:rsid w:val="00B434E0"/>
    <w:rsid w:val="00B438C8"/>
    <w:rsid w:val="00B4456A"/>
    <w:rsid w:val="00B44E41"/>
    <w:rsid w:val="00B45979"/>
    <w:rsid w:val="00B50920"/>
    <w:rsid w:val="00B514FD"/>
    <w:rsid w:val="00B515D5"/>
    <w:rsid w:val="00B53D6C"/>
    <w:rsid w:val="00B54069"/>
    <w:rsid w:val="00B550F2"/>
    <w:rsid w:val="00B560A6"/>
    <w:rsid w:val="00B606C0"/>
    <w:rsid w:val="00B607E3"/>
    <w:rsid w:val="00B62243"/>
    <w:rsid w:val="00B62D16"/>
    <w:rsid w:val="00B63504"/>
    <w:rsid w:val="00B64CD8"/>
    <w:rsid w:val="00B65FA9"/>
    <w:rsid w:val="00B6790D"/>
    <w:rsid w:val="00B724BA"/>
    <w:rsid w:val="00B72513"/>
    <w:rsid w:val="00B7361D"/>
    <w:rsid w:val="00B75916"/>
    <w:rsid w:val="00B75EE2"/>
    <w:rsid w:val="00B7609F"/>
    <w:rsid w:val="00B767D7"/>
    <w:rsid w:val="00B767E9"/>
    <w:rsid w:val="00B773F2"/>
    <w:rsid w:val="00B77A5C"/>
    <w:rsid w:val="00B80CF5"/>
    <w:rsid w:val="00B813D7"/>
    <w:rsid w:val="00B81785"/>
    <w:rsid w:val="00B81A22"/>
    <w:rsid w:val="00B82720"/>
    <w:rsid w:val="00B82E45"/>
    <w:rsid w:val="00B83BE7"/>
    <w:rsid w:val="00B83EB7"/>
    <w:rsid w:val="00B84351"/>
    <w:rsid w:val="00B85066"/>
    <w:rsid w:val="00B85FA5"/>
    <w:rsid w:val="00B8778C"/>
    <w:rsid w:val="00B904AA"/>
    <w:rsid w:val="00B90D13"/>
    <w:rsid w:val="00B91D24"/>
    <w:rsid w:val="00B92993"/>
    <w:rsid w:val="00B92B21"/>
    <w:rsid w:val="00B92FB5"/>
    <w:rsid w:val="00B93C61"/>
    <w:rsid w:val="00B940DC"/>
    <w:rsid w:val="00B94B1F"/>
    <w:rsid w:val="00B951D5"/>
    <w:rsid w:val="00B95EA1"/>
    <w:rsid w:val="00B96F89"/>
    <w:rsid w:val="00BA0EC6"/>
    <w:rsid w:val="00BA23F1"/>
    <w:rsid w:val="00BA3AE0"/>
    <w:rsid w:val="00BA4571"/>
    <w:rsid w:val="00BA53B1"/>
    <w:rsid w:val="00BA6D9F"/>
    <w:rsid w:val="00BB1A06"/>
    <w:rsid w:val="00BB1C7E"/>
    <w:rsid w:val="00BB213C"/>
    <w:rsid w:val="00BB247E"/>
    <w:rsid w:val="00BB3265"/>
    <w:rsid w:val="00BB3F75"/>
    <w:rsid w:val="00BB539F"/>
    <w:rsid w:val="00BB6173"/>
    <w:rsid w:val="00BB6382"/>
    <w:rsid w:val="00BC08F1"/>
    <w:rsid w:val="00BC12D7"/>
    <w:rsid w:val="00BC1C29"/>
    <w:rsid w:val="00BC4993"/>
    <w:rsid w:val="00BC4F2C"/>
    <w:rsid w:val="00BD4DE8"/>
    <w:rsid w:val="00BD5C16"/>
    <w:rsid w:val="00BD6088"/>
    <w:rsid w:val="00BD76E1"/>
    <w:rsid w:val="00BE0341"/>
    <w:rsid w:val="00BE0B32"/>
    <w:rsid w:val="00BE117F"/>
    <w:rsid w:val="00BE3732"/>
    <w:rsid w:val="00BE3842"/>
    <w:rsid w:val="00BE3DAE"/>
    <w:rsid w:val="00BE4897"/>
    <w:rsid w:val="00BE49D4"/>
    <w:rsid w:val="00BE55C3"/>
    <w:rsid w:val="00BE5E05"/>
    <w:rsid w:val="00BE72A5"/>
    <w:rsid w:val="00BF00D5"/>
    <w:rsid w:val="00BF1449"/>
    <w:rsid w:val="00BF245F"/>
    <w:rsid w:val="00BF3456"/>
    <w:rsid w:val="00BF36C2"/>
    <w:rsid w:val="00BF3D71"/>
    <w:rsid w:val="00BF4CF8"/>
    <w:rsid w:val="00BF688F"/>
    <w:rsid w:val="00BF6CC1"/>
    <w:rsid w:val="00BF7667"/>
    <w:rsid w:val="00C0037D"/>
    <w:rsid w:val="00C0057E"/>
    <w:rsid w:val="00C02110"/>
    <w:rsid w:val="00C02607"/>
    <w:rsid w:val="00C047F1"/>
    <w:rsid w:val="00C055A6"/>
    <w:rsid w:val="00C0565A"/>
    <w:rsid w:val="00C07CEA"/>
    <w:rsid w:val="00C166CD"/>
    <w:rsid w:val="00C16942"/>
    <w:rsid w:val="00C17700"/>
    <w:rsid w:val="00C177BB"/>
    <w:rsid w:val="00C200C8"/>
    <w:rsid w:val="00C2027D"/>
    <w:rsid w:val="00C224BE"/>
    <w:rsid w:val="00C23E2B"/>
    <w:rsid w:val="00C2435B"/>
    <w:rsid w:val="00C24E64"/>
    <w:rsid w:val="00C26C65"/>
    <w:rsid w:val="00C2792D"/>
    <w:rsid w:val="00C30182"/>
    <w:rsid w:val="00C304F9"/>
    <w:rsid w:val="00C32C57"/>
    <w:rsid w:val="00C36BAB"/>
    <w:rsid w:val="00C40673"/>
    <w:rsid w:val="00C40E92"/>
    <w:rsid w:val="00C40ED6"/>
    <w:rsid w:val="00C41181"/>
    <w:rsid w:val="00C412E2"/>
    <w:rsid w:val="00C42146"/>
    <w:rsid w:val="00C43BBD"/>
    <w:rsid w:val="00C453A8"/>
    <w:rsid w:val="00C475AF"/>
    <w:rsid w:val="00C47C65"/>
    <w:rsid w:val="00C500CC"/>
    <w:rsid w:val="00C50BE0"/>
    <w:rsid w:val="00C52E1F"/>
    <w:rsid w:val="00C52FC3"/>
    <w:rsid w:val="00C53A5D"/>
    <w:rsid w:val="00C54592"/>
    <w:rsid w:val="00C56118"/>
    <w:rsid w:val="00C56760"/>
    <w:rsid w:val="00C5680B"/>
    <w:rsid w:val="00C56B2A"/>
    <w:rsid w:val="00C5740D"/>
    <w:rsid w:val="00C5748F"/>
    <w:rsid w:val="00C57950"/>
    <w:rsid w:val="00C57DED"/>
    <w:rsid w:val="00C60027"/>
    <w:rsid w:val="00C60116"/>
    <w:rsid w:val="00C60AA9"/>
    <w:rsid w:val="00C60D3F"/>
    <w:rsid w:val="00C63E97"/>
    <w:rsid w:val="00C64AD2"/>
    <w:rsid w:val="00C65D87"/>
    <w:rsid w:val="00C66804"/>
    <w:rsid w:val="00C673B1"/>
    <w:rsid w:val="00C70492"/>
    <w:rsid w:val="00C71B4C"/>
    <w:rsid w:val="00C72360"/>
    <w:rsid w:val="00C73240"/>
    <w:rsid w:val="00C76913"/>
    <w:rsid w:val="00C7748A"/>
    <w:rsid w:val="00C7779E"/>
    <w:rsid w:val="00C77FD3"/>
    <w:rsid w:val="00C824F7"/>
    <w:rsid w:val="00C85995"/>
    <w:rsid w:val="00C86814"/>
    <w:rsid w:val="00C9246C"/>
    <w:rsid w:val="00C92F5E"/>
    <w:rsid w:val="00C936E9"/>
    <w:rsid w:val="00C93B11"/>
    <w:rsid w:val="00C94362"/>
    <w:rsid w:val="00CA1D5E"/>
    <w:rsid w:val="00CA3388"/>
    <w:rsid w:val="00CA37B1"/>
    <w:rsid w:val="00CA387F"/>
    <w:rsid w:val="00CA4C1C"/>
    <w:rsid w:val="00CA6C96"/>
    <w:rsid w:val="00CA6CC8"/>
    <w:rsid w:val="00CB06BD"/>
    <w:rsid w:val="00CB123D"/>
    <w:rsid w:val="00CB2CAB"/>
    <w:rsid w:val="00CB36AD"/>
    <w:rsid w:val="00CB3D0E"/>
    <w:rsid w:val="00CB4E86"/>
    <w:rsid w:val="00CB560C"/>
    <w:rsid w:val="00CB6664"/>
    <w:rsid w:val="00CB7058"/>
    <w:rsid w:val="00CC1DD1"/>
    <w:rsid w:val="00CC2626"/>
    <w:rsid w:val="00CC28D2"/>
    <w:rsid w:val="00CC786A"/>
    <w:rsid w:val="00CC7CC0"/>
    <w:rsid w:val="00CC7E33"/>
    <w:rsid w:val="00CD0A87"/>
    <w:rsid w:val="00CD3C68"/>
    <w:rsid w:val="00CD40DF"/>
    <w:rsid w:val="00CD432D"/>
    <w:rsid w:val="00CD605E"/>
    <w:rsid w:val="00CE03CD"/>
    <w:rsid w:val="00CE0A6D"/>
    <w:rsid w:val="00CE0C27"/>
    <w:rsid w:val="00CE1396"/>
    <w:rsid w:val="00CE2225"/>
    <w:rsid w:val="00CE5E57"/>
    <w:rsid w:val="00CE6D73"/>
    <w:rsid w:val="00CE7996"/>
    <w:rsid w:val="00CF03BE"/>
    <w:rsid w:val="00CF1CE6"/>
    <w:rsid w:val="00CF24CE"/>
    <w:rsid w:val="00CF579E"/>
    <w:rsid w:val="00CF5DDE"/>
    <w:rsid w:val="00CF623C"/>
    <w:rsid w:val="00CF7EEE"/>
    <w:rsid w:val="00D0193B"/>
    <w:rsid w:val="00D01AE0"/>
    <w:rsid w:val="00D01C8E"/>
    <w:rsid w:val="00D01EB5"/>
    <w:rsid w:val="00D01F75"/>
    <w:rsid w:val="00D02F94"/>
    <w:rsid w:val="00D03A76"/>
    <w:rsid w:val="00D100FC"/>
    <w:rsid w:val="00D1060A"/>
    <w:rsid w:val="00D11999"/>
    <w:rsid w:val="00D1212F"/>
    <w:rsid w:val="00D12E86"/>
    <w:rsid w:val="00D13F34"/>
    <w:rsid w:val="00D142E1"/>
    <w:rsid w:val="00D146D5"/>
    <w:rsid w:val="00D15EE0"/>
    <w:rsid w:val="00D17034"/>
    <w:rsid w:val="00D2280F"/>
    <w:rsid w:val="00D22DA7"/>
    <w:rsid w:val="00D26069"/>
    <w:rsid w:val="00D302CC"/>
    <w:rsid w:val="00D30945"/>
    <w:rsid w:val="00D3263F"/>
    <w:rsid w:val="00D359EB"/>
    <w:rsid w:val="00D364AA"/>
    <w:rsid w:val="00D36E92"/>
    <w:rsid w:val="00D37EFE"/>
    <w:rsid w:val="00D37F4E"/>
    <w:rsid w:val="00D40127"/>
    <w:rsid w:val="00D41181"/>
    <w:rsid w:val="00D4386F"/>
    <w:rsid w:val="00D44FE5"/>
    <w:rsid w:val="00D50AB4"/>
    <w:rsid w:val="00D51523"/>
    <w:rsid w:val="00D52C76"/>
    <w:rsid w:val="00D558D7"/>
    <w:rsid w:val="00D56DEC"/>
    <w:rsid w:val="00D570AD"/>
    <w:rsid w:val="00D61039"/>
    <w:rsid w:val="00D635FC"/>
    <w:rsid w:val="00D63900"/>
    <w:rsid w:val="00D63DB9"/>
    <w:rsid w:val="00D64796"/>
    <w:rsid w:val="00D64CC5"/>
    <w:rsid w:val="00D6595C"/>
    <w:rsid w:val="00D67382"/>
    <w:rsid w:val="00D67472"/>
    <w:rsid w:val="00D71159"/>
    <w:rsid w:val="00D73AC0"/>
    <w:rsid w:val="00D77D88"/>
    <w:rsid w:val="00D8088A"/>
    <w:rsid w:val="00D82C2A"/>
    <w:rsid w:val="00D83D84"/>
    <w:rsid w:val="00D85442"/>
    <w:rsid w:val="00D86267"/>
    <w:rsid w:val="00D862F1"/>
    <w:rsid w:val="00D86C63"/>
    <w:rsid w:val="00D9072E"/>
    <w:rsid w:val="00D90D0F"/>
    <w:rsid w:val="00D91C7F"/>
    <w:rsid w:val="00D92B68"/>
    <w:rsid w:val="00D92D9F"/>
    <w:rsid w:val="00D949E6"/>
    <w:rsid w:val="00D95305"/>
    <w:rsid w:val="00D957BA"/>
    <w:rsid w:val="00D963ED"/>
    <w:rsid w:val="00D96FB7"/>
    <w:rsid w:val="00DA02F7"/>
    <w:rsid w:val="00DA1F19"/>
    <w:rsid w:val="00DA220C"/>
    <w:rsid w:val="00DA2EAA"/>
    <w:rsid w:val="00DA3048"/>
    <w:rsid w:val="00DA3486"/>
    <w:rsid w:val="00DA4AB3"/>
    <w:rsid w:val="00DA7D75"/>
    <w:rsid w:val="00DB1C17"/>
    <w:rsid w:val="00DB2577"/>
    <w:rsid w:val="00DB2A47"/>
    <w:rsid w:val="00DB2C93"/>
    <w:rsid w:val="00DB3F24"/>
    <w:rsid w:val="00DB407A"/>
    <w:rsid w:val="00DB5113"/>
    <w:rsid w:val="00DB5596"/>
    <w:rsid w:val="00DB6A25"/>
    <w:rsid w:val="00DB75E1"/>
    <w:rsid w:val="00DC0C5E"/>
    <w:rsid w:val="00DC1380"/>
    <w:rsid w:val="00DC19BC"/>
    <w:rsid w:val="00DC1B9A"/>
    <w:rsid w:val="00DC26E4"/>
    <w:rsid w:val="00DC26F6"/>
    <w:rsid w:val="00DC2848"/>
    <w:rsid w:val="00DC305D"/>
    <w:rsid w:val="00DC4347"/>
    <w:rsid w:val="00DC7DF8"/>
    <w:rsid w:val="00DD4080"/>
    <w:rsid w:val="00DD4C49"/>
    <w:rsid w:val="00DD6E8D"/>
    <w:rsid w:val="00DE26F9"/>
    <w:rsid w:val="00DE3607"/>
    <w:rsid w:val="00DE5022"/>
    <w:rsid w:val="00DE50C4"/>
    <w:rsid w:val="00DE5A9A"/>
    <w:rsid w:val="00DE6D08"/>
    <w:rsid w:val="00DE6E8B"/>
    <w:rsid w:val="00DF0F79"/>
    <w:rsid w:val="00DF1FEA"/>
    <w:rsid w:val="00DF3078"/>
    <w:rsid w:val="00DF567A"/>
    <w:rsid w:val="00DF595C"/>
    <w:rsid w:val="00DF709F"/>
    <w:rsid w:val="00DF777C"/>
    <w:rsid w:val="00E01653"/>
    <w:rsid w:val="00E02549"/>
    <w:rsid w:val="00E04A19"/>
    <w:rsid w:val="00E100BA"/>
    <w:rsid w:val="00E108A8"/>
    <w:rsid w:val="00E11CAC"/>
    <w:rsid w:val="00E1338F"/>
    <w:rsid w:val="00E14771"/>
    <w:rsid w:val="00E162C5"/>
    <w:rsid w:val="00E171D2"/>
    <w:rsid w:val="00E2567D"/>
    <w:rsid w:val="00E3333B"/>
    <w:rsid w:val="00E35522"/>
    <w:rsid w:val="00E402B8"/>
    <w:rsid w:val="00E4053F"/>
    <w:rsid w:val="00E405D9"/>
    <w:rsid w:val="00E41A80"/>
    <w:rsid w:val="00E42EFE"/>
    <w:rsid w:val="00E43059"/>
    <w:rsid w:val="00E4547C"/>
    <w:rsid w:val="00E47687"/>
    <w:rsid w:val="00E47F60"/>
    <w:rsid w:val="00E47F9F"/>
    <w:rsid w:val="00E52D30"/>
    <w:rsid w:val="00E53CF6"/>
    <w:rsid w:val="00E56B74"/>
    <w:rsid w:val="00E56ECC"/>
    <w:rsid w:val="00E56FBC"/>
    <w:rsid w:val="00E571AD"/>
    <w:rsid w:val="00E57AD2"/>
    <w:rsid w:val="00E621D1"/>
    <w:rsid w:val="00E6657A"/>
    <w:rsid w:val="00E71624"/>
    <w:rsid w:val="00E71E41"/>
    <w:rsid w:val="00E71E7E"/>
    <w:rsid w:val="00E72ACF"/>
    <w:rsid w:val="00E7465A"/>
    <w:rsid w:val="00E74A26"/>
    <w:rsid w:val="00E81D39"/>
    <w:rsid w:val="00E8317D"/>
    <w:rsid w:val="00E838DA"/>
    <w:rsid w:val="00E855DE"/>
    <w:rsid w:val="00E87633"/>
    <w:rsid w:val="00E8774C"/>
    <w:rsid w:val="00E92596"/>
    <w:rsid w:val="00E9270C"/>
    <w:rsid w:val="00E95014"/>
    <w:rsid w:val="00EA0B3A"/>
    <w:rsid w:val="00EA1B99"/>
    <w:rsid w:val="00EA61C6"/>
    <w:rsid w:val="00EA61C7"/>
    <w:rsid w:val="00EA7277"/>
    <w:rsid w:val="00EA7453"/>
    <w:rsid w:val="00EA7ECB"/>
    <w:rsid w:val="00EB00D7"/>
    <w:rsid w:val="00EB071D"/>
    <w:rsid w:val="00EB3FE9"/>
    <w:rsid w:val="00EB5559"/>
    <w:rsid w:val="00EB5B82"/>
    <w:rsid w:val="00EB5C23"/>
    <w:rsid w:val="00EB67A4"/>
    <w:rsid w:val="00EC02BB"/>
    <w:rsid w:val="00EC293E"/>
    <w:rsid w:val="00EC2E5D"/>
    <w:rsid w:val="00EC35DA"/>
    <w:rsid w:val="00EC3F6C"/>
    <w:rsid w:val="00EC6781"/>
    <w:rsid w:val="00EC78CF"/>
    <w:rsid w:val="00EC7E96"/>
    <w:rsid w:val="00ED0F42"/>
    <w:rsid w:val="00ED12FD"/>
    <w:rsid w:val="00ED180F"/>
    <w:rsid w:val="00ED1C7D"/>
    <w:rsid w:val="00ED1EFE"/>
    <w:rsid w:val="00ED222C"/>
    <w:rsid w:val="00ED39B9"/>
    <w:rsid w:val="00ED53E3"/>
    <w:rsid w:val="00ED6923"/>
    <w:rsid w:val="00ED71F8"/>
    <w:rsid w:val="00ED7E59"/>
    <w:rsid w:val="00EE5402"/>
    <w:rsid w:val="00EE6BD9"/>
    <w:rsid w:val="00EE6DFB"/>
    <w:rsid w:val="00EE7B76"/>
    <w:rsid w:val="00EF00FF"/>
    <w:rsid w:val="00EF1FAC"/>
    <w:rsid w:val="00EF351C"/>
    <w:rsid w:val="00EF4A8B"/>
    <w:rsid w:val="00EF4C70"/>
    <w:rsid w:val="00EF4DF5"/>
    <w:rsid w:val="00EF6D2F"/>
    <w:rsid w:val="00F00DBD"/>
    <w:rsid w:val="00F0161D"/>
    <w:rsid w:val="00F02E77"/>
    <w:rsid w:val="00F044BD"/>
    <w:rsid w:val="00F04AA9"/>
    <w:rsid w:val="00F04C07"/>
    <w:rsid w:val="00F04C77"/>
    <w:rsid w:val="00F067C5"/>
    <w:rsid w:val="00F10327"/>
    <w:rsid w:val="00F12103"/>
    <w:rsid w:val="00F1212F"/>
    <w:rsid w:val="00F146F6"/>
    <w:rsid w:val="00F14F84"/>
    <w:rsid w:val="00F168D8"/>
    <w:rsid w:val="00F20854"/>
    <w:rsid w:val="00F21006"/>
    <w:rsid w:val="00F22E73"/>
    <w:rsid w:val="00F266D5"/>
    <w:rsid w:val="00F267DB"/>
    <w:rsid w:val="00F314E4"/>
    <w:rsid w:val="00F31D84"/>
    <w:rsid w:val="00F326B5"/>
    <w:rsid w:val="00F32F09"/>
    <w:rsid w:val="00F34E4E"/>
    <w:rsid w:val="00F356EA"/>
    <w:rsid w:val="00F371DB"/>
    <w:rsid w:val="00F37B0C"/>
    <w:rsid w:val="00F40178"/>
    <w:rsid w:val="00F409FE"/>
    <w:rsid w:val="00F43CB0"/>
    <w:rsid w:val="00F44D19"/>
    <w:rsid w:val="00F45418"/>
    <w:rsid w:val="00F45BA7"/>
    <w:rsid w:val="00F4632F"/>
    <w:rsid w:val="00F468ED"/>
    <w:rsid w:val="00F47618"/>
    <w:rsid w:val="00F47EDC"/>
    <w:rsid w:val="00F50628"/>
    <w:rsid w:val="00F50D6E"/>
    <w:rsid w:val="00F533F1"/>
    <w:rsid w:val="00F541ED"/>
    <w:rsid w:val="00F54777"/>
    <w:rsid w:val="00F54E0F"/>
    <w:rsid w:val="00F56F61"/>
    <w:rsid w:val="00F574AC"/>
    <w:rsid w:val="00F61C64"/>
    <w:rsid w:val="00F6642F"/>
    <w:rsid w:val="00F6783F"/>
    <w:rsid w:val="00F7040B"/>
    <w:rsid w:val="00F70E22"/>
    <w:rsid w:val="00F71219"/>
    <w:rsid w:val="00F72346"/>
    <w:rsid w:val="00F758B8"/>
    <w:rsid w:val="00F76BF2"/>
    <w:rsid w:val="00F76F39"/>
    <w:rsid w:val="00F8044E"/>
    <w:rsid w:val="00F80B42"/>
    <w:rsid w:val="00F8107B"/>
    <w:rsid w:val="00F81263"/>
    <w:rsid w:val="00F81B2B"/>
    <w:rsid w:val="00F81F7D"/>
    <w:rsid w:val="00F8318F"/>
    <w:rsid w:val="00F83532"/>
    <w:rsid w:val="00F838A6"/>
    <w:rsid w:val="00F842B3"/>
    <w:rsid w:val="00F85D25"/>
    <w:rsid w:val="00F86AD3"/>
    <w:rsid w:val="00F87F62"/>
    <w:rsid w:val="00F911D7"/>
    <w:rsid w:val="00F91946"/>
    <w:rsid w:val="00F91B32"/>
    <w:rsid w:val="00F92DA9"/>
    <w:rsid w:val="00F934B1"/>
    <w:rsid w:val="00F935C1"/>
    <w:rsid w:val="00F938A5"/>
    <w:rsid w:val="00F944CB"/>
    <w:rsid w:val="00F9728B"/>
    <w:rsid w:val="00FA02D9"/>
    <w:rsid w:val="00FA1C6E"/>
    <w:rsid w:val="00FA2BC2"/>
    <w:rsid w:val="00FA3974"/>
    <w:rsid w:val="00FA3AC1"/>
    <w:rsid w:val="00FA3B35"/>
    <w:rsid w:val="00FA51E5"/>
    <w:rsid w:val="00FA6389"/>
    <w:rsid w:val="00FA6FE2"/>
    <w:rsid w:val="00FA703B"/>
    <w:rsid w:val="00FB014E"/>
    <w:rsid w:val="00FB1AC1"/>
    <w:rsid w:val="00FB43C3"/>
    <w:rsid w:val="00FB5F5D"/>
    <w:rsid w:val="00FB63FA"/>
    <w:rsid w:val="00FB6FB0"/>
    <w:rsid w:val="00FB7A1E"/>
    <w:rsid w:val="00FC17BD"/>
    <w:rsid w:val="00FC225E"/>
    <w:rsid w:val="00FC2624"/>
    <w:rsid w:val="00FC27DC"/>
    <w:rsid w:val="00FC2FDB"/>
    <w:rsid w:val="00FC4A55"/>
    <w:rsid w:val="00FC69C8"/>
    <w:rsid w:val="00FC7274"/>
    <w:rsid w:val="00FC7B14"/>
    <w:rsid w:val="00FD013A"/>
    <w:rsid w:val="00FD10AF"/>
    <w:rsid w:val="00FD227E"/>
    <w:rsid w:val="00FD2392"/>
    <w:rsid w:val="00FD2422"/>
    <w:rsid w:val="00FD5276"/>
    <w:rsid w:val="00FD6A49"/>
    <w:rsid w:val="00FE0498"/>
    <w:rsid w:val="00FE0769"/>
    <w:rsid w:val="00FE334C"/>
    <w:rsid w:val="00FE374D"/>
    <w:rsid w:val="00FE3914"/>
    <w:rsid w:val="00FE4644"/>
    <w:rsid w:val="00FE4B4C"/>
    <w:rsid w:val="00FE5200"/>
    <w:rsid w:val="00FF2D03"/>
    <w:rsid w:val="00FF6180"/>
    <w:rsid w:val="00FF695F"/>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62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35F9"/>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_UMAR"/>
    <w:next w:val="BesediloUMAR"/>
    <w:link w:val="Heading1Char"/>
    <w:uiPriority w:val="1"/>
    <w:qFormat/>
    <w:rsid w:val="00806D14"/>
    <w:pPr>
      <w:keepNext/>
      <w:numPr>
        <w:numId w:val="35"/>
      </w:numPr>
      <w:spacing w:before="200" w:after="100" w:line="288" w:lineRule="auto"/>
      <w:outlineLvl w:val="0"/>
    </w:pPr>
    <w:rPr>
      <w:rFonts w:asciiTheme="minorHAnsi" w:eastAsiaTheme="minorHAnsi" w:hAnsiTheme="minorHAnsi" w:cs="Arial"/>
      <w:b/>
      <w:bCs/>
      <w:color w:val="9E001A" w:themeColor="accent1"/>
      <w:kern w:val="32"/>
      <w:sz w:val="28"/>
      <w:szCs w:val="22"/>
      <w:lang w:eastAsia="en-US"/>
    </w:rPr>
  </w:style>
  <w:style w:type="paragraph" w:styleId="Heading2">
    <w:name w:val="heading 2"/>
    <w:aliases w:val="Heading 2_UMAR"/>
    <w:next w:val="BesediloUMAR"/>
    <w:link w:val="Heading2Char"/>
    <w:uiPriority w:val="1"/>
    <w:qFormat/>
    <w:rsid w:val="00806D14"/>
    <w:pPr>
      <w:numPr>
        <w:ilvl w:val="1"/>
        <w:numId w:val="35"/>
      </w:numPr>
      <w:spacing w:before="200" w:after="100" w:line="288" w:lineRule="auto"/>
      <w:contextualSpacing/>
      <w:outlineLvl w:val="1"/>
    </w:pPr>
    <w:rPr>
      <w:rFonts w:asciiTheme="minorHAnsi" w:eastAsiaTheme="minorHAnsi" w:hAnsiTheme="minorHAnsi" w:cstheme="minorBidi"/>
      <w:b/>
      <w:color w:val="9E001A" w:themeColor="accent1"/>
      <w:sz w:val="24"/>
      <w:szCs w:val="22"/>
      <w:lang w:eastAsia="en-US"/>
    </w:rPr>
  </w:style>
  <w:style w:type="paragraph" w:styleId="Heading3">
    <w:name w:val="heading 3"/>
    <w:aliases w:val="Heading 3_UMAR"/>
    <w:next w:val="BesediloUMAR"/>
    <w:link w:val="Heading3Char"/>
    <w:uiPriority w:val="1"/>
    <w:qFormat/>
    <w:rsid w:val="00806D14"/>
    <w:pPr>
      <w:keepNext/>
      <w:numPr>
        <w:ilvl w:val="2"/>
        <w:numId w:val="35"/>
      </w:numPr>
      <w:spacing w:before="200" w:after="100" w:line="288" w:lineRule="auto"/>
      <w:contextualSpacing/>
      <w:outlineLvl w:val="2"/>
    </w:pPr>
    <w:rPr>
      <w:rFonts w:asciiTheme="minorHAnsi" w:eastAsiaTheme="minorHAnsi" w:hAnsiTheme="minorHAnsi" w:cs="Arial"/>
      <w:b/>
      <w:bCs/>
      <w:color w:val="9E001A" w:themeColor="accent1"/>
      <w:sz w:val="24"/>
      <w:szCs w:val="26"/>
      <w:lang w:eastAsia="en-US"/>
    </w:rPr>
  </w:style>
  <w:style w:type="paragraph" w:styleId="Heading4">
    <w:name w:val="heading 4"/>
    <w:basedOn w:val="Normal"/>
    <w:next w:val="Normal"/>
    <w:uiPriority w:val="1"/>
    <w:rsid w:val="000F0B06"/>
    <w:pPr>
      <w:keepNext/>
      <w:numPr>
        <w:ilvl w:val="3"/>
        <w:numId w:val="35"/>
      </w:numPr>
      <w:spacing w:before="360" w:after="240"/>
      <w:outlineLvl w:val="3"/>
    </w:pPr>
    <w:rPr>
      <w:b/>
      <w:bCs/>
    </w:rPr>
  </w:style>
  <w:style w:type="paragraph" w:styleId="Heading5">
    <w:name w:val="heading 5"/>
    <w:basedOn w:val="Normal"/>
    <w:next w:val="Normal"/>
    <w:uiPriority w:val="1"/>
    <w:rsid w:val="000F0B06"/>
    <w:pPr>
      <w:numPr>
        <w:ilvl w:val="4"/>
        <w:numId w:val="35"/>
      </w:numPr>
      <w:spacing w:before="240" w:after="60"/>
      <w:outlineLvl w:val="4"/>
    </w:pPr>
    <w:rPr>
      <w:b/>
      <w:bCs/>
      <w:iCs/>
      <w:szCs w:val="26"/>
    </w:rPr>
  </w:style>
  <w:style w:type="paragraph" w:styleId="Heading6">
    <w:name w:val="heading 6"/>
    <w:basedOn w:val="Normal"/>
    <w:next w:val="Normal"/>
    <w:uiPriority w:val="1"/>
    <w:rsid w:val="000F0B06"/>
    <w:pPr>
      <w:numPr>
        <w:ilvl w:val="5"/>
        <w:numId w:val="35"/>
      </w:numPr>
      <w:spacing w:before="240" w:after="60"/>
      <w:outlineLvl w:val="5"/>
    </w:pPr>
    <w:rPr>
      <w:b/>
      <w:bCs/>
    </w:rPr>
  </w:style>
  <w:style w:type="paragraph" w:styleId="Heading7">
    <w:name w:val="heading 7"/>
    <w:basedOn w:val="Normal"/>
    <w:next w:val="Normal"/>
    <w:uiPriority w:val="1"/>
    <w:rsid w:val="000F0B06"/>
    <w:pPr>
      <w:numPr>
        <w:ilvl w:val="6"/>
        <w:numId w:val="35"/>
      </w:numPr>
      <w:spacing w:before="240" w:after="60"/>
      <w:outlineLvl w:val="6"/>
    </w:pPr>
  </w:style>
  <w:style w:type="paragraph" w:styleId="Heading8">
    <w:name w:val="heading 8"/>
    <w:basedOn w:val="Normal"/>
    <w:next w:val="Normal"/>
    <w:uiPriority w:val="1"/>
    <w:rsid w:val="000F0B06"/>
    <w:pPr>
      <w:numPr>
        <w:ilvl w:val="7"/>
        <w:numId w:val="35"/>
      </w:numPr>
      <w:spacing w:before="240" w:after="60"/>
      <w:outlineLvl w:val="7"/>
    </w:pPr>
    <w:rPr>
      <w:i/>
      <w:iCs/>
    </w:rPr>
  </w:style>
  <w:style w:type="paragraph" w:styleId="Heading9">
    <w:name w:val="heading 9"/>
    <w:basedOn w:val="Normal"/>
    <w:next w:val="Normal"/>
    <w:uiPriority w:val="1"/>
    <w:rsid w:val="000F0B06"/>
    <w:pPr>
      <w:numPr>
        <w:ilvl w:val="8"/>
        <w:numId w:val="35"/>
      </w:numPr>
      <w:spacing w:before="240" w:after="60"/>
      <w:outlineLvl w:val="8"/>
    </w:pPr>
    <w:rPr>
      <w:rFonts w:cs="Arial"/>
    </w:rPr>
  </w:style>
  <w:style w:type="character" w:default="1" w:styleId="DefaultParagraphFont">
    <w:name w:val="Default Paragraph Font"/>
    <w:uiPriority w:val="1"/>
    <w:semiHidden/>
    <w:unhideWhenUsed/>
    <w:rsid w:val="003335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35F9"/>
  </w:style>
  <w:style w:type="paragraph" w:styleId="FootnoteText">
    <w:name w:val="footnote text"/>
    <w:aliases w:val="Sprotna opomba-besedilo, Char Char,Char Char"/>
    <w:basedOn w:val="Normal"/>
    <w:link w:val="FootnoteTextChar"/>
    <w:autoRedefine/>
    <w:semiHidden/>
    <w:rsid w:val="001D1834"/>
    <w:rPr>
      <w:szCs w:val="14"/>
    </w:rPr>
  </w:style>
  <w:style w:type="character" w:customStyle="1" w:styleId="FootnoteTextChar">
    <w:name w:val="Footnote Text Char"/>
    <w:aliases w:val="Sprotna opomba-besedilo Char, Char Char Char,Char Char Char"/>
    <w:basedOn w:val="DefaultParagraphFont"/>
    <w:link w:val="FootnoteText"/>
    <w:semiHidden/>
    <w:rsid w:val="001D1834"/>
    <w:rPr>
      <w:rFonts w:ascii="Myriad Pro" w:eastAsiaTheme="minorHAnsi" w:hAnsi="Myriad Pro" w:cstheme="minorBidi"/>
      <w:sz w:val="18"/>
      <w:szCs w:val="14"/>
      <w:lang w:eastAsia="en-US"/>
    </w:rPr>
  </w:style>
  <w:style w:type="character" w:styleId="FootnoteReference">
    <w:name w:val="footnote reference"/>
    <w:aliases w:val="Footnote symbol,Fussnota,Footnote"/>
    <w:basedOn w:val="DefaultParagraphFont"/>
    <w:rsid w:val="00B75916"/>
    <w:rPr>
      <w:rFonts w:asciiTheme="minorHAnsi" w:hAnsiTheme="minorHAnsi"/>
      <w:sz w:val="18"/>
      <w:vertAlign w:val="superscript"/>
    </w:rPr>
  </w:style>
  <w:style w:type="paragraph" w:styleId="Caption">
    <w:name w:val="caption"/>
    <w:aliases w:val="Okvir/Slika/Tabela_UMAR"/>
    <w:basedOn w:val="TableofFigures"/>
    <w:next w:val="BesediloUMAR"/>
    <w:link w:val="CaptionChar"/>
    <w:uiPriority w:val="1"/>
    <w:qFormat/>
    <w:rsid w:val="00C40E92"/>
    <w:pPr>
      <w:spacing w:before="240" w:after="60"/>
      <w:contextualSpacing/>
    </w:pPr>
    <w:rPr>
      <w:b/>
      <w:bCs/>
    </w:rPr>
  </w:style>
  <w:style w:type="paragraph" w:styleId="Footer">
    <w:name w:val="footer"/>
    <w:basedOn w:val="Normal"/>
    <w:next w:val="Normal"/>
    <w:link w:val="FooterChar"/>
    <w:autoRedefine/>
    <w:uiPriority w:val="99"/>
    <w:rsid w:val="00BF7667"/>
    <w:pPr>
      <w:framePr w:wrap="around" w:vAnchor="text" w:hAnchor="margin" w:xAlign="center" w:y="1"/>
      <w:tabs>
        <w:tab w:val="center" w:pos="4536"/>
        <w:tab w:val="right" w:pos="9072"/>
      </w:tabs>
      <w:jc w:val="center"/>
    </w:pPr>
    <w:rPr>
      <w:noProof/>
      <w:sz w:val="16"/>
      <w:szCs w:val="16"/>
    </w:rPr>
  </w:style>
  <w:style w:type="paragraph" w:styleId="TableofFigures">
    <w:name w:val="table of figures"/>
    <w:basedOn w:val="BesediloUMAR"/>
    <w:next w:val="BesediloUMAR"/>
    <w:autoRedefine/>
    <w:uiPriority w:val="99"/>
    <w:rsid w:val="001910C2"/>
    <w:pPr>
      <w:tabs>
        <w:tab w:val="right" w:leader="dot" w:pos="9070"/>
      </w:tabs>
    </w:pPr>
    <w:rPr>
      <w:noProof/>
      <w:szCs w:val="20"/>
    </w:rPr>
  </w:style>
  <w:style w:type="paragraph" w:styleId="TableofAuthorities">
    <w:name w:val="table of authorities"/>
    <w:basedOn w:val="Normal"/>
    <w:next w:val="Normal"/>
    <w:semiHidden/>
    <w:rsid w:val="00BF7667"/>
    <w:pPr>
      <w:ind w:left="220" w:hanging="220"/>
    </w:pPr>
  </w:style>
  <w:style w:type="paragraph" w:styleId="TOAHeading">
    <w:name w:val="toa heading"/>
    <w:basedOn w:val="Normal"/>
    <w:next w:val="Normal"/>
    <w:semiHidden/>
    <w:rsid w:val="00BF7667"/>
    <w:pPr>
      <w:spacing w:before="120"/>
    </w:pPr>
    <w:rPr>
      <w:rFonts w:cs="Arial"/>
      <w:b/>
      <w:bCs/>
    </w:rPr>
  </w:style>
  <w:style w:type="paragraph" w:styleId="TOC1">
    <w:name w:val="toc 1"/>
    <w:basedOn w:val="BesediloUMAR"/>
    <w:next w:val="BesediloUMAR"/>
    <w:autoRedefine/>
    <w:uiPriority w:val="39"/>
    <w:rsid w:val="00CD432D"/>
    <w:pPr>
      <w:tabs>
        <w:tab w:val="left" w:pos="340"/>
        <w:tab w:val="right" w:leader="dot" w:pos="9070"/>
      </w:tabs>
      <w:spacing w:before="100" w:after="100"/>
    </w:pPr>
    <w:rPr>
      <w:rFonts w:cs="Arial"/>
      <w:noProof/>
      <w:szCs w:val="20"/>
    </w:rPr>
  </w:style>
  <w:style w:type="paragraph" w:styleId="TOC2">
    <w:name w:val="toc 2"/>
    <w:basedOn w:val="BesediloUMAR"/>
    <w:next w:val="BesediloUMAR"/>
    <w:autoRedefine/>
    <w:uiPriority w:val="39"/>
    <w:rsid w:val="00CD432D"/>
    <w:pPr>
      <w:tabs>
        <w:tab w:val="right" w:leader="dot" w:pos="9070"/>
      </w:tabs>
      <w:spacing w:before="100" w:after="100"/>
      <w:ind w:left="340"/>
    </w:pPr>
    <w:rPr>
      <w:noProof/>
    </w:rPr>
  </w:style>
  <w:style w:type="paragraph" w:styleId="TOC3">
    <w:name w:val="toc 3"/>
    <w:next w:val="BesediloUMAR"/>
    <w:autoRedefine/>
    <w:uiPriority w:val="39"/>
    <w:rsid w:val="00806D14"/>
    <w:pPr>
      <w:tabs>
        <w:tab w:val="right" w:leader="dot" w:pos="9070"/>
      </w:tabs>
      <w:spacing w:after="100" w:line="288" w:lineRule="auto"/>
      <w:ind w:left="680"/>
      <w:jc w:val="both"/>
    </w:pPr>
    <w:rPr>
      <w:rFonts w:asciiTheme="minorHAnsi" w:eastAsiaTheme="minorHAnsi" w:hAnsiTheme="minorHAnsi" w:cstheme="minorBidi"/>
      <w:szCs w:val="22"/>
      <w:lang w:eastAsia="en-US"/>
    </w:rPr>
  </w:style>
  <w:style w:type="paragraph" w:styleId="TOC4">
    <w:name w:val="toc 4"/>
    <w:basedOn w:val="Normal"/>
    <w:autoRedefine/>
    <w:semiHidden/>
    <w:rsid w:val="00B75916"/>
    <w:pPr>
      <w:spacing w:after="20"/>
      <w:ind w:left="340"/>
      <w:contextualSpacing/>
    </w:pPr>
  </w:style>
  <w:style w:type="paragraph" w:styleId="TOC5">
    <w:name w:val="toc 5"/>
    <w:basedOn w:val="Normal"/>
    <w:autoRedefine/>
    <w:semiHidden/>
    <w:rsid w:val="00B75916"/>
    <w:pPr>
      <w:spacing w:after="20"/>
      <w:contextualSpacing/>
    </w:pPr>
  </w:style>
  <w:style w:type="paragraph" w:styleId="TOC6">
    <w:name w:val="toc 6"/>
    <w:basedOn w:val="Normal"/>
    <w:next w:val="Normal"/>
    <w:autoRedefine/>
    <w:semiHidden/>
    <w:rsid w:val="00BF7667"/>
    <w:pPr>
      <w:ind w:left="1100"/>
    </w:pPr>
  </w:style>
  <w:style w:type="paragraph" w:styleId="TOC7">
    <w:name w:val="toc 7"/>
    <w:basedOn w:val="Normal"/>
    <w:next w:val="Normal"/>
    <w:autoRedefine/>
    <w:semiHidden/>
    <w:rsid w:val="00BF7667"/>
    <w:pPr>
      <w:ind w:left="1320"/>
    </w:pPr>
  </w:style>
  <w:style w:type="paragraph" w:styleId="TOC8">
    <w:name w:val="toc 8"/>
    <w:basedOn w:val="Normal"/>
    <w:next w:val="Normal"/>
    <w:autoRedefine/>
    <w:semiHidden/>
    <w:rsid w:val="00BF7667"/>
    <w:pPr>
      <w:ind w:left="1540"/>
    </w:pPr>
  </w:style>
  <w:style w:type="paragraph" w:styleId="TOC9">
    <w:name w:val="toc 9"/>
    <w:basedOn w:val="Normal"/>
    <w:next w:val="Normal"/>
    <w:autoRedefine/>
    <w:semiHidden/>
    <w:rsid w:val="00BF7667"/>
    <w:pPr>
      <w:ind w:left="1760"/>
    </w:pPr>
  </w:style>
  <w:style w:type="paragraph" w:styleId="CommentText">
    <w:name w:val="annotation text"/>
    <w:basedOn w:val="Normal"/>
    <w:link w:val="CommentTextChar"/>
    <w:semiHidden/>
    <w:rsid w:val="00BF7667"/>
    <w:rPr>
      <w:szCs w:val="20"/>
    </w:rPr>
  </w:style>
  <w:style w:type="character" w:styleId="CommentReference">
    <w:name w:val="annotation reference"/>
    <w:basedOn w:val="DefaultParagraphFont"/>
    <w:semiHidden/>
    <w:rsid w:val="00BF7667"/>
    <w:rPr>
      <w:sz w:val="16"/>
      <w:szCs w:val="16"/>
    </w:rPr>
  </w:style>
  <w:style w:type="paragraph" w:styleId="EndnoteText">
    <w:name w:val="endnote text"/>
    <w:basedOn w:val="Normal"/>
    <w:autoRedefine/>
    <w:semiHidden/>
    <w:rsid w:val="00BF7667"/>
    <w:rPr>
      <w:szCs w:val="20"/>
    </w:rPr>
  </w:style>
  <w:style w:type="character" w:styleId="EndnoteReference">
    <w:name w:val="endnote reference"/>
    <w:basedOn w:val="DefaultParagraphFont"/>
    <w:semiHidden/>
    <w:rsid w:val="00BF7667"/>
    <w:rPr>
      <w:vertAlign w:val="superscript"/>
    </w:rPr>
  </w:style>
  <w:style w:type="paragraph" w:styleId="MacroText">
    <w:name w:val="macro"/>
    <w:semiHidden/>
    <w:rsid w:val="00BF7667"/>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Index1">
    <w:name w:val="index 1"/>
    <w:basedOn w:val="Normal"/>
    <w:next w:val="Normal"/>
    <w:autoRedefine/>
    <w:semiHidden/>
    <w:rsid w:val="00BF7667"/>
    <w:pPr>
      <w:ind w:left="220" w:hanging="220"/>
    </w:pPr>
  </w:style>
  <w:style w:type="paragraph" w:styleId="IndexHeading">
    <w:name w:val="index heading"/>
    <w:basedOn w:val="Normal"/>
    <w:next w:val="Index1"/>
    <w:semiHidden/>
    <w:rsid w:val="00BF7667"/>
    <w:rPr>
      <w:rFonts w:cs="Arial"/>
      <w:b/>
      <w:bCs/>
    </w:rPr>
  </w:style>
  <w:style w:type="paragraph" w:styleId="Index2">
    <w:name w:val="index 2"/>
    <w:basedOn w:val="Normal"/>
    <w:next w:val="Normal"/>
    <w:autoRedefine/>
    <w:semiHidden/>
    <w:rsid w:val="00BF7667"/>
    <w:pPr>
      <w:ind w:left="440" w:hanging="220"/>
    </w:pPr>
  </w:style>
  <w:style w:type="paragraph" w:styleId="Index3">
    <w:name w:val="index 3"/>
    <w:basedOn w:val="Normal"/>
    <w:next w:val="Normal"/>
    <w:autoRedefine/>
    <w:semiHidden/>
    <w:rsid w:val="00BF7667"/>
    <w:pPr>
      <w:ind w:left="660" w:hanging="220"/>
    </w:pPr>
  </w:style>
  <w:style w:type="paragraph" w:styleId="Index4">
    <w:name w:val="index 4"/>
    <w:basedOn w:val="Normal"/>
    <w:next w:val="Normal"/>
    <w:autoRedefine/>
    <w:semiHidden/>
    <w:rsid w:val="00BF7667"/>
    <w:pPr>
      <w:ind w:left="880" w:hanging="220"/>
    </w:pPr>
  </w:style>
  <w:style w:type="paragraph" w:styleId="Index5">
    <w:name w:val="index 5"/>
    <w:basedOn w:val="Normal"/>
    <w:next w:val="Normal"/>
    <w:autoRedefine/>
    <w:semiHidden/>
    <w:rsid w:val="00BF7667"/>
    <w:pPr>
      <w:ind w:left="1100" w:hanging="220"/>
    </w:pPr>
  </w:style>
  <w:style w:type="paragraph" w:styleId="Index6">
    <w:name w:val="index 6"/>
    <w:basedOn w:val="Normal"/>
    <w:next w:val="Normal"/>
    <w:autoRedefine/>
    <w:semiHidden/>
    <w:rsid w:val="00BF7667"/>
    <w:pPr>
      <w:ind w:left="1320" w:hanging="220"/>
    </w:pPr>
  </w:style>
  <w:style w:type="paragraph" w:styleId="Index7">
    <w:name w:val="index 7"/>
    <w:basedOn w:val="Normal"/>
    <w:next w:val="Normal"/>
    <w:autoRedefine/>
    <w:semiHidden/>
    <w:rsid w:val="00BF7667"/>
    <w:pPr>
      <w:ind w:left="1540" w:hanging="220"/>
    </w:pPr>
  </w:style>
  <w:style w:type="paragraph" w:styleId="Index8">
    <w:name w:val="index 8"/>
    <w:basedOn w:val="Normal"/>
    <w:next w:val="Normal"/>
    <w:autoRedefine/>
    <w:semiHidden/>
    <w:rsid w:val="00BF7667"/>
    <w:pPr>
      <w:ind w:left="1760" w:hanging="220"/>
    </w:pPr>
  </w:style>
  <w:style w:type="paragraph" w:styleId="Index9">
    <w:name w:val="index 9"/>
    <w:basedOn w:val="Normal"/>
    <w:next w:val="Normal"/>
    <w:autoRedefine/>
    <w:semiHidden/>
    <w:rsid w:val="00BF7667"/>
    <w:pPr>
      <w:ind w:left="1980" w:hanging="220"/>
    </w:pPr>
  </w:style>
  <w:style w:type="paragraph" w:styleId="DocumentMap">
    <w:name w:val="Document Map"/>
    <w:basedOn w:val="Normal"/>
    <w:semiHidden/>
    <w:rsid w:val="00BF7667"/>
    <w:pPr>
      <w:shd w:val="clear" w:color="auto" w:fill="000080"/>
    </w:pPr>
    <w:rPr>
      <w:rFonts w:ascii="Tahoma" w:hAnsi="Tahoma" w:cs="Tahoma"/>
      <w:szCs w:val="20"/>
    </w:rPr>
  </w:style>
  <w:style w:type="paragraph" w:customStyle="1" w:styleId="SprotnaopombaUMAR">
    <w:name w:val="Sprotna opomba_UMAR"/>
    <w:basedOn w:val="BesediloUMAR"/>
    <w:link w:val="SprotnaopombaUMARChar"/>
    <w:uiPriority w:val="1"/>
    <w:qFormat/>
    <w:rsid w:val="00F81B2B"/>
    <w:rPr>
      <w:sz w:val="16"/>
      <w:szCs w:val="20"/>
    </w:rPr>
  </w:style>
  <w:style w:type="character" w:customStyle="1" w:styleId="SprotnaopombaUMARChar">
    <w:name w:val="Sprotna opomba_UMAR Char"/>
    <w:basedOn w:val="DefaultParagraphFont"/>
    <w:link w:val="SprotnaopombaUMAR"/>
    <w:uiPriority w:val="1"/>
    <w:rsid w:val="003A2EB1"/>
    <w:rPr>
      <w:rFonts w:asciiTheme="minorHAnsi" w:eastAsiaTheme="minorHAnsi" w:hAnsiTheme="minorHAnsi" w:cstheme="minorBidi"/>
      <w:sz w:val="16"/>
      <w:lang w:eastAsia="en-US"/>
    </w:rPr>
  </w:style>
  <w:style w:type="paragraph" w:styleId="BalloonText">
    <w:name w:val="Balloon Text"/>
    <w:basedOn w:val="Normal"/>
    <w:semiHidden/>
    <w:rsid w:val="00BF7667"/>
    <w:rPr>
      <w:rFonts w:ascii="Tahoma" w:hAnsi="Tahoma" w:cs="Tahoma"/>
      <w:sz w:val="16"/>
      <w:szCs w:val="16"/>
    </w:rPr>
  </w:style>
  <w:style w:type="character" w:customStyle="1" w:styleId="HeaderChar">
    <w:name w:val="Header Char"/>
    <w:basedOn w:val="DefaultParagraphFont"/>
    <w:link w:val="Header"/>
    <w:uiPriority w:val="99"/>
    <w:rsid w:val="00A540FA"/>
    <w:rPr>
      <w:rFonts w:ascii="Arial Narrow" w:hAnsi="Arial Narrow"/>
      <w:sz w:val="22"/>
      <w:szCs w:val="24"/>
    </w:rPr>
  </w:style>
  <w:style w:type="table" w:styleId="TableGrid">
    <w:name w:val="Table Grid"/>
    <w:basedOn w:val="TableNormal"/>
    <w:uiPriority w:val="59"/>
    <w:rsid w:val="00DA3486"/>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525B3"/>
    <w:pPr>
      <w:tabs>
        <w:tab w:val="center" w:pos="4536"/>
        <w:tab w:val="right" w:pos="9072"/>
      </w:tabs>
    </w:pPr>
  </w:style>
  <w:style w:type="character" w:styleId="Hyperlink">
    <w:name w:val="Hyperlink"/>
    <w:basedOn w:val="BesediloUMARChar"/>
    <w:uiPriority w:val="99"/>
    <w:rsid w:val="00B94B1F"/>
    <w:rPr>
      <w:rFonts w:asciiTheme="minorHAnsi" w:eastAsiaTheme="minorHAnsi" w:hAnsiTheme="minorHAnsi" w:cstheme="minorBidi"/>
      <w:color w:val="0000FF"/>
      <w:szCs w:val="22"/>
      <w:u w:val="single"/>
      <w:lang w:eastAsia="en-US"/>
    </w:rPr>
  </w:style>
  <w:style w:type="character" w:styleId="Emphasis">
    <w:name w:val="Emphasis"/>
    <w:aliases w:val="Italic poudarek_UMAR"/>
    <w:basedOn w:val="BesediloUMARChar"/>
    <w:qFormat/>
    <w:rsid w:val="0071423C"/>
    <w:rPr>
      <w:rFonts w:asciiTheme="minorHAnsi" w:eastAsiaTheme="minorHAnsi" w:hAnsiTheme="minorHAnsi" w:cstheme="minorBidi"/>
      <w:i/>
      <w:iCs/>
      <w:szCs w:val="22"/>
      <w:lang w:eastAsia="en-US"/>
    </w:rPr>
  </w:style>
  <w:style w:type="character" w:customStyle="1" w:styleId="Heading3Char">
    <w:name w:val="Heading 3 Char"/>
    <w:aliases w:val="Heading 3_UMAR Char"/>
    <w:basedOn w:val="DefaultParagraphFont"/>
    <w:link w:val="Heading3"/>
    <w:uiPriority w:val="1"/>
    <w:rsid w:val="0044421E"/>
    <w:rPr>
      <w:rFonts w:asciiTheme="minorHAnsi" w:eastAsiaTheme="minorHAnsi" w:hAnsiTheme="minorHAnsi" w:cs="Arial"/>
      <w:b/>
      <w:bCs/>
      <w:color w:val="9E001A" w:themeColor="accent1"/>
      <w:sz w:val="24"/>
      <w:szCs w:val="26"/>
      <w:lang w:eastAsia="en-US"/>
    </w:rPr>
  </w:style>
  <w:style w:type="character" w:customStyle="1" w:styleId="Heading2Char">
    <w:name w:val="Heading 2 Char"/>
    <w:aliases w:val="Heading 2_UMAR Char"/>
    <w:basedOn w:val="DefaultParagraphFont"/>
    <w:link w:val="Heading2"/>
    <w:uiPriority w:val="1"/>
    <w:rsid w:val="0044421E"/>
    <w:rPr>
      <w:rFonts w:asciiTheme="minorHAnsi" w:eastAsiaTheme="minorHAnsi" w:hAnsiTheme="minorHAnsi" w:cstheme="minorBidi"/>
      <w:b/>
      <w:color w:val="9E001A" w:themeColor="accent1"/>
      <w:sz w:val="24"/>
      <w:szCs w:val="22"/>
      <w:lang w:eastAsia="en-US"/>
    </w:rPr>
  </w:style>
  <w:style w:type="character" w:customStyle="1" w:styleId="Heading1Char">
    <w:name w:val="Heading 1 Char"/>
    <w:aliases w:val="Heading 1_UMAR Char"/>
    <w:basedOn w:val="DefaultParagraphFont"/>
    <w:link w:val="Heading1"/>
    <w:uiPriority w:val="1"/>
    <w:rsid w:val="0044421E"/>
    <w:rPr>
      <w:rFonts w:asciiTheme="minorHAnsi" w:eastAsiaTheme="minorHAnsi" w:hAnsiTheme="minorHAnsi" w:cs="Arial"/>
      <w:b/>
      <w:bCs/>
      <w:color w:val="9E001A" w:themeColor="accent1"/>
      <w:kern w:val="32"/>
      <w:sz w:val="28"/>
      <w:szCs w:val="22"/>
      <w:lang w:eastAsia="en-US"/>
    </w:rPr>
  </w:style>
  <w:style w:type="character" w:styleId="PlaceholderText">
    <w:name w:val="Placeholder Text"/>
    <w:basedOn w:val="DefaultParagraphFont"/>
    <w:uiPriority w:val="99"/>
    <w:semiHidden/>
    <w:rsid w:val="006F5351"/>
    <w:rPr>
      <w:color w:val="808080"/>
    </w:rPr>
  </w:style>
  <w:style w:type="character" w:customStyle="1" w:styleId="FooterChar">
    <w:name w:val="Footer Char"/>
    <w:basedOn w:val="DefaultParagraphFont"/>
    <w:link w:val="Footer"/>
    <w:uiPriority w:val="99"/>
    <w:rsid w:val="00731841"/>
    <w:rPr>
      <w:rFonts w:ascii="Myriad Pro" w:hAnsi="Myriad Pro"/>
      <w:noProof/>
      <w:sz w:val="16"/>
      <w:szCs w:val="16"/>
    </w:rPr>
  </w:style>
  <w:style w:type="paragraph" w:customStyle="1" w:styleId="BesediloUMAR">
    <w:name w:val="Besedilo_UMAR"/>
    <w:link w:val="BesediloUMARChar"/>
    <w:qFormat/>
    <w:rsid w:val="0071423C"/>
    <w:pPr>
      <w:spacing w:line="288" w:lineRule="auto"/>
      <w:jc w:val="both"/>
    </w:pPr>
    <w:rPr>
      <w:rFonts w:asciiTheme="minorHAnsi" w:eastAsiaTheme="minorHAnsi" w:hAnsiTheme="minorHAnsi" w:cstheme="minorBidi"/>
      <w:szCs w:val="22"/>
      <w:lang w:eastAsia="en-US"/>
    </w:rPr>
  </w:style>
  <w:style w:type="paragraph" w:customStyle="1" w:styleId="VodilnistavekUMAR">
    <w:name w:val="Vodilni stavek_UMAR"/>
    <w:basedOn w:val="BesediloUMAR"/>
    <w:link w:val="VodilnistavekUMARChar"/>
    <w:qFormat/>
    <w:rsid w:val="00B94B1F"/>
    <w:rPr>
      <w:b/>
    </w:rPr>
  </w:style>
  <w:style w:type="character" w:customStyle="1" w:styleId="BesediloUMARChar">
    <w:name w:val="Besedilo_UMAR Char"/>
    <w:basedOn w:val="DefaultParagraphFont"/>
    <w:link w:val="BesediloUMAR"/>
    <w:rsid w:val="0071423C"/>
    <w:rPr>
      <w:rFonts w:asciiTheme="minorHAnsi" w:eastAsiaTheme="minorHAnsi" w:hAnsiTheme="minorHAnsi" w:cstheme="minorBidi"/>
      <w:szCs w:val="22"/>
      <w:lang w:eastAsia="en-US"/>
    </w:rPr>
  </w:style>
  <w:style w:type="paragraph" w:customStyle="1" w:styleId="Literatura">
    <w:name w:val="Literatura"/>
    <w:aliases w:val="Viri_UMAR"/>
    <w:link w:val="LiteraturaChar"/>
    <w:uiPriority w:val="4"/>
    <w:qFormat/>
    <w:rsid w:val="00AF2E43"/>
    <w:pPr>
      <w:spacing w:line="288" w:lineRule="auto"/>
      <w:ind w:left="284" w:hanging="284"/>
    </w:pPr>
    <w:rPr>
      <w:rFonts w:asciiTheme="minorHAnsi" w:eastAsiaTheme="minorHAnsi" w:hAnsiTheme="minorHAnsi" w:cstheme="minorBidi"/>
      <w:szCs w:val="22"/>
      <w:lang w:eastAsia="en-US"/>
    </w:rPr>
  </w:style>
  <w:style w:type="character" w:customStyle="1" w:styleId="VodilnistavekUMARChar">
    <w:name w:val="Vodilni stavek_UMAR Char"/>
    <w:basedOn w:val="DefaultParagraphFont"/>
    <w:link w:val="VodilnistavekUMAR"/>
    <w:rsid w:val="00B94B1F"/>
    <w:rPr>
      <w:rFonts w:asciiTheme="minorHAnsi" w:eastAsiaTheme="minorHAnsi" w:hAnsiTheme="minorHAnsi" w:cstheme="minorBidi"/>
      <w:b/>
      <w:szCs w:val="22"/>
      <w:lang w:eastAsia="en-US"/>
    </w:rPr>
  </w:style>
  <w:style w:type="character" w:customStyle="1" w:styleId="LiteraturaChar">
    <w:name w:val="Literatura Char"/>
    <w:aliases w:val="Viri_UMAR Char"/>
    <w:basedOn w:val="DefaultParagraphFont"/>
    <w:link w:val="Literatura"/>
    <w:uiPriority w:val="4"/>
    <w:rsid w:val="003A2EB1"/>
    <w:rPr>
      <w:rFonts w:asciiTheme="minorHAnsi" w:eastAsiaTheme="minorHAnsi" w:hAnsiTheme="minorHAnsi" w:cstheme="minorBidi"/>
      <w:szCs w:val="22"/>
      <w:lang w:eastAsia="en-US"/>
    </w:rPr>
  </w:style>
  <w:style w:type="paragraph" w:customStyle="1" w:styleId="VirUMAR">
    <w:name w:val="Vir_UMAR"/>
    <w:basedOn w:val="BesediloUMAR"/>
    <w:link w:val="VirUMARChar"/>
    <w:uiPriority w:val="3"/>
    <w:qFormat/>
    <w:rsid w:val="00C40E92"/>
    <w:pPr>
      <w:spacing w:before="40" w:line="240" w:lineRule="auto"/>
    </w:pPr>
    <w:rPr>
      <w:sz w:val="16"/>
    </w:rPr>
  </w:style>
  <w:style w:type="character" w:customStyle="1" w:styleId="VirUMARChar">
    <w:name w:val="Vir_UMAR Char"/>
    <w:basedOn w:val="DefaultParagraphFont"/>
    <w:link w:val="VirUMAR"/>
    <w:uiPriority w:val="3"/>
    <w:rsid w:val="003A2EB1"/>
    <w:rPr>
      <w:rFonts w:asciiTheme="minorHAnsi" w:eastAsiaTheme="minorHAnsi" w:hAnsiTheme="minorHAnsi" w:cstheme="minorBidi"/>
      <w:sz w:val="16"/>
      <w:szCs w:val="22"/>
      <w:lang w:eastAsia="en-US"/>
    </w:rPr>
  </w:style>
  <w:style w:type="character" w:customStyle="1" w:styleId="CaptionChar">
    <w:name w:val="Caption Char"/>
    <w:aliases w:val="Okvir/Slika/Tabela_UMAR Char"/>
    <w:basedOn w:val="DefaultParagraphFont"/>
    <w:link w:val="Caption"/>
    <w:uiPriority w:val="1"/>
    <w:rsid w:val="003A2EB1"/>
    <w:rPr>
      <w:rFonts w:asciiTheme="minorHAnsi" w:eastAsiaTheme="minorHAnsi" w:hAnsiTheme="minorHAnsi" w:cstheme="minorBidi"/>
      <w:b/>
      <w:bCs/>
      <w:noProof/>
      <w:lang w:eastAsia="en-US"/>
    </w:rPr>
  </w:style>
  <w:style w:type="paragraph" w:customStyle="1" w:styleId="TabelaglavadesnoUMAR">
    <w:name w:val="Tabela glava desno_UMAR"/>
    <w:link w:val="TabelaglavadesnoUMARChar"/>
    <w:uiPriority w:val="3"/>
    <w:qFormat/>
    <w:rsid w:val="00C40E92"/>
    <w:pPr>
      <w:spacing w:before="10" w:after="10" w:line="220" w:lineRule="atLeast"/>
      <w:jc w:val="right"/>
    </w:pPr>
    <w:rPr>
      <w:rFonts w:asciiTheme="minorHAnsi" w:eastAsiaTheme="minorHAnsi" w:hAnsiTheme="minorHAnsi" w:cs="Calibri"/>
      <w:b/>
      <w:bCs/>
      <w:sz w:val="18"/>
      <w:szCs w:val="18"/>
      <w:lang w:eastAsia="en-US"/>
    </w:rPr>
  </w:style>
  <w:style w:type="character" w:customStyle="1" w:styleId="TabelaglavadesnoUMARChar">
    <w:name w:val="Tabela glava desno_UMAR Char"/>
    <w:basedOn w:val="DefaultParagraphFont"/>
    <w:link w:val="TabelaglavadesnoUMAR"/>
    <w:uiPriority w:val="3"/>
    <w:rsid w:val="003A2EB1"/>
    <w:rPr>
      <w:rFonts w:asciiTheme="minorHAnsi" w:eastAsiaTheme="minorHAnsi" w:hAnsiTheme="minorHAnsi" w:cs="Calibri"/>
      <w:b/>
      <w:bCs/>
      <w:sz w:val="18"/>
      <w:szCs w:val="18"/>
      <w:lang w:eastAsia="en-US"/>
    </w:rPr>
  </w:style>
  <w:style w:type="paragraph" w:customStyle="1" w:styleId="TabelaglavalevoUMAR">
    <w:name w:val="Tabela glava levo_UMAR"/>
    <w:basedOn w:val="TabelaglavadesnoUMAR"/>
    <w:link w:val="TabelaglavalevoUMARChar"/>
    <w:uiPriority w:val="2"/>
    <w:qFormat/>
    <w:rsid w:val="00C40E92"/>
    <w:pPr>
      <w:jc w:val="left"/>
    </w:pPr>
  </w:style>
  <w:style w:type="paragraph" w:customStyle="1" w:styleId="TabelalevoUMAR">
    <w:name w:val="Tabela levo_UMAR"/>
    <w:basedOn w:val="TabelaglavalevoUMAR"/>
    <w:link w:val="TabelalevoUMARChar"/>
    <w:uiPriority w:val="1"/>
    <w:qFormat/>
    <w:rsid w:val="00C40E92"/>
    <w:rPr>
      <w:b w:val="0"/>
    </w:rPr>
  </w:style>
  <w:style w:type="character" w:customStyle="1" w:styleId="TabelaglavalevoUMARChar">
    <w:name w:val="Tabela glava levo_UMAR Char"/>
    <w:basedOn w:val="TabelaglavadesnoUMARChar"/>
    <w:link w:val="TabelaglavalevoUMAR"/>
    <w:uiPriority w:val="2"/>
    <w:rsid w:val="003A2EB1"/>
    <w:rPr>
      <w:rFonts w:asciiTheme="minorHAnsi" w:eastAsiaTheme="minorHAnsi" w:hAnsiTheme="minorHAnsi" w:cs="Calibri"/>
      <w:b/>
      <w:bCs/>
      <w:sz w:val="18"/>
      <w:szCs w:val="18"/>
      <w:lang w:eastAsia="en-US"/>
    </w:rPr>
  </w:style>
  <w:style w:type="paragraph" w:customStyle="1" w:styleId="TabeladesnoUMAR">
    <w:name w:val="Tabela desno_UMAR"/>
    <w:basedOn w:val="TabelaglavadesnoUMAR"/>
    <w:link w:val="TabeladesnoUMARChar"/>
    <w:uiPriority w:val="2"/>
    <w:qFormat/>
    <w:rsid w:val="00C40E92"/>
    <w:rPr>
      <w:b w:val="0"/>
    </w:rPr>
  </w:style>
  <w:style w:type="character" w:customStyle="1" w:styleId="TabelalevoUMARChar">
    <w:name w:val="Tabela levo_UMAR Char"/>
    <w:basedOn w:val="TabelaglavalevoUMARChar"/>
    <w:link w:val="TabelalevoUMAR"/>
    <w:uiPriority w:val="1"/>
    <w:rsid w:val="003A2EB1"/>
    <w:rPr>
      <w:rFonts w:asciiTheme="minorHAnsi" w:eastAsiaTheme="minorHAnsi" w:hAnsiTheme="minorHAnsi" w:cs="Calibri"/>
      <w:b w:val="0"/>
      <w:bCs/>
      <w:sz w:val="18"/>
      <w:szCs w:val="18"/>
      <w:lang w:eastAsia="en-US"/>
    </w:rPr>
  </w:style>
  <w:style w:type="character" w:customStyle="1" w:styleId="TabeladesnoUMARChar">
    <w:name w:val="Tabela desno_UMAR Char"/>
    <w:basedOn w:val="TabelaglavadesnoUMARChar"/>
    <w:link w:val="TabeladesnoUMAR"/>
    <w:uiPriority w:val="2"/>
    <w:rsid w:val="003A2EB1"/>
    <w:rPr>
      <w:rFonts w:asciiTheme="minorHAnsi" w:eastAsiaTheme="minorHAnsi" w:hAnsiTheme="minorHAnsi" w:cs="Calibri"/>
      <w:b w:val="0"/>
      <w:bCs/>
      <w:sz w:val="18"/>
      <w:szCs w:val="18"/>
      <w:lang w:eastAsia="en-US"/>
    </w:rPr>
  </w:style>
  <w:style w:type="character" w:customStyle="1" w:styleId="BoldpoudarekUMAR">
    <w:name w:val="Bold poudarek_UMAR"/>
    <w:basedOn w:val="BesediloUMARChar"/>
    <w:qFormat/>
    <w:rsid w:val="00811F1B"/>
    <w:rPr>
      <w:rFonts w:asciiTheme="minorHAnsi" w:eastAsiaTheme="minorHAnsi" w:hAnsiTheme="minorHAnsi" w:cstheme="minorBidi"/>
      <w:b/>
      <w:szCs w:val="22"/>
      <w:lang w:eastAsia="en-US"/>
    </w:rPr>
  </w:style>
  <w:style w:type="paragraph" w:customStyle="1" w:styleId="NaslovnicanaslovUMAR">
    <w:name w:val="Naslovnica_naslov_UMAR"/>
    <w:basedOn w:val="Normal"/>
    <w:link w:val="NaslovnicanaslovUMARChar"/>
    <w:uiPriority w:val="99"/>
    <w:qFormat/>
    <w:rsid w:val="001F60CF"/>
    <w:pPr>
      <w:spacing w:after="0" w:line="780" w:lineRule="atLeast"/>
    </w:pPr>
    <w:rPr>
      <w:b/>
      <w:sz w:val="72"/>
      <w:szCs w:val="70"/>
    </w:rPr>
  </w:style>
  <w:style w:type="character" w:customStyle="1" w:styleId="NaslovnicanaslovUMARChar">
    <w:name w:val="Naslovnica_naslov_UMAR Char"/>
    <w:basedOn w:val="DefaultParagraphFont"/>
    <w:link w:val="NaslovnicanaslovUMAR"/>
    <w:uiPriority w:val="99"/>
    <w:rsid w:val="0044421E"/>
    <w:rPr>
      <w:rFonts w:asciiTheme="minorHAnsi" w:eastAsiaTheme="minorHAnsi" w:hAnsiTheme="minorHAnsi" w:cstheme="minorBidi"/>
      <w:b/>
      <w:sz w:val="72"/>
      <w:szCs w:val="70"/>
      <w:lang w:eastAsia="en-US"/>
    </w:rPr>
  </w:style>
  <w:style w:type="table" w:styleId="TableGridLight">
    <w:name w:val="Grid Table Light"/>
    <w:aliases w:val="UMAR tabela"/>
    <w:basedOn w:val="TableNormal"/>
    <w:uiPriority w:val="40"/>
    <w:rsid w:val="00C40E92"/>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PlainTable1">
    <w:name w:val="Plain Table 1"/>
    <w:basedOn w:val="TableNormal"/>
    <w:uiPriority w:val="41"/>
    <w:rsid w:val="00C561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61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61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61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61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61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D7E59"/>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ED7E59"/>
    <w:pPr>
      <w:spacing w:line="240" w:lineRule="auto"/>
    </w:pPr>
    <w:rPr>
      <w:b/>
      <w:bCs/>
      <w:sz w:val="20"/>
    </w:rPr>
  </w:style>
  <w:style w:type="character" w:customStyle="1" w:styleId="CommentTextChar">
    <w:name w:val="Comment Text Char"/>
    <w:basedOn w:val="DefaultParagraphFont"/>
    <w:link w:val="CommentText"/>
    <w:semiHidden/>
    <w:rsid w:val="00ED7E59"/>
    <w:rPr>
      <w:rFonts w:asciiTheme="minorHAnsi" w:eastAsiaTheme="minorHAnsi" w:hAnsiTheme="minorHAnsi" w:cstheme="minorBidi"/>
      <w:sz w:val="22"/>
      <w:lang w:eastAsia="en-US"/>
    </w:rPr>
  </w:style>
  <w:style w:type="character" w:customStyle="1" w:styleId="CommentSubjectChar">
    <w:name w:val="Comment Subject Char"/>
    <w:basedOn w:val="CommentTextChar"/>
    <w:link w:val="CommentSubject"/>
    <w:semiHidden/>
    <w:rsid w:val="00ED7E59"/>
    <w:rPr>
      <w:rFonts w:asciiTheme="minorHAnsi" w:eastAsiaTheme="minorHAnsi" w:hAnsiTheme="minorHAnsi" w:cstheme="minorBidi"/>
      <w:b/>
      <w:bCs/>
      <w:sz w:val="22"/>
      <w:lang w:eastAsia="en-US"/>
    </w:rPr>
  </w:style>
  <w:style w:type="table" w:customStyle="1" w:styleId="UMARokvir">
    <w:name w:val="UMAR okvir"/>
    <w:basedOn w:val="TableNormal"/>
    <w:uiPriority w:val="99"/>
    <w:rsid w:val="00C40E92"/>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TableNormal"/>
    <w:uiPriority w:val="99"/>
    <w:rsid w:val="00DC305D"/>
    <w:pPr>
      <w:jc w:val="center"/>
    </w:pPr>
    <w:rPr>
      <w:rFonts w:ascii="Myriad Pro" w:hAnsi="Myriad Pro"/>
    </w:rPr>
    <w:tblPr/>
    <w:tcPr>
      <w:vAlign w:val="center"/>
    </w:tcPr>
    <w:tblStylePr w:type="lastCol">
      <w:pPr>
        <w:jc w:val="right"/>
      </w:pPr>
    </w:tblStylePr>
  </w:style>
  <w:style w:type="paragraph" w:styleId="TOCHeading">
    <w:name w:val="TOC Heading"/>
    <w:basedOn w:val="Heading1"/>
    <w:next w:val="Normal"/>
    <w:uiPriority w:val="39"/>
    <w:unhideWhenUsed/>
    <w:rsid w:val="00A9191A"/>
    <w:pPr>
      <w:keepLines/>
      <w:numPr>
        <w:numId w:val="0"/>
      </w:numPr>
      <w:spacing w:before="240" w:after="0" w:line="259" w:lineRule="auto"/>
      <w:outlineLvl w:val="9"/>
    </w:pPr>
    <w:rPr>
      <w:rFonts w:asciiTheme="majorHAnsi" w:eastAsiaTheme="majorEastAsia" w:hAnsiTheme="majorHAnsi" w:cstheme="majorBidi"/>
      <w:b w:val="0"/>
      <w:bCs w:val="0"/>
      <w:color w:val="760013" w:themeColor="accent1" w:themeShade="BF"/>
      <w:kern w:val="0"/>
      <w:sz w:val="32"/>
      <w:szCs w:val="32"/>
      <w:lang w:val="en-US"/>
    </w:rPr>
  </w:style>
  <w:style w:type="paragraph" w:styleId="ListParagraph">
    <w:name w:val="List Paragraph"/>
    <w:basedOn w:val="Normal"/>
    <w:uiPriority w:val="34"/>
    <w:rsid w:val="00DC2848"/>
    <w:pPr>
      <w:ind w:left="720"/>
      <w:contextualSpacing/>
    </w:pPr>
  </w:style>
  <w:style w:type="paragraph" w:customStyle="1" w:styleId="LiteraturaUMAR">
    <w:name w:val="Literatura_UMAR"/>
    <w:basedOn w:val="BesediloUMAR"/>
    <w:link w:val="LiteraturaUMARChar"/>
    <w:qFormat/>
    <w:rsid w:val="001908FD"/>
    <w:pPr>
      <w:numPr>
        <w:numId w:val="6"/>
      </w:numPr>
    </w:pPr>
  </w:style>
  <w:style w:type="character" w:customStyle="1" w:styleId="LiteraturaUMARChar">
    <w:name w:val="Literatura_UMAR Char"/>
    <w:basedOn w:val="BesediloUMARChar"/>
    <w:link w:val="LiteraturaUMAR"/>
    <w:rsid w:val="001908FD"/>
    <w:rPr>
      <w:rFonts w:asciiTheme="minorHAnsi" w:eastAsiaTheme="minorHAnsi" w:hAnsiTheme="minorHAnsi" w:cstheme="minorBidi"/>
      <w:szCs w:val="22"/>
      <w:lang w:eastAsia="en-US"/>
    </w:rPr>
  </w:style>
  <w:style w:type="paragraph" w:styleId="Bibliography">
    <w:name w:val="Bibliography"/>
    <w:basedOn w:val="Normal"/>
    <w:next w:val="Normal"/>
    <w:uiPriority w:val="37"/>
    <w:unhideWhenUsed/>
    <w:rsid w:val="00371DD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 w:id="19307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13107-6A8D-4756-8A83-D961BBB3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2926</Words>
  <Characters>21851</Characters>
  <Application>Microsoft Office Word</Application>
  <DocSecurity>0</DocSecurity>
  <Lines>590</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24560</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2022-08-01T11:59:00Z</dcterms:created>
  <dcterms:modified xsi:type="dcterms:W3CDTF">2022-08-01T12:43:00Z</dcterms:modified>
</cp:coreProperties>
</file>