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9834C" w14:textId="77777777" w:rsidR="0050616E" w:rsidRPr="0050616E" w:rsidRDefault="00471713" w:rsidP="0050616E">
      <w:pPr>
        <w:pStyle w:val="Heading2"/>
        <w:numPr>
          <w:ilvl w:val="0"/>
          <w:numId w:val="0"/>
        </w:numPr>
      </w:pPr>
      <w:r>
        <w:rPr>
          <w:noProof/>
          <w:lang w:eastAsia="sl-SI"/>
        </w:rPr>
        <w:drawing>
          <wp:anchor distT="0" distB="0" distL="114300" distR="114300" simplePos="0" relativeHeight="251661312" behindDoc="0" locked="0" layoutInCell="1" allowOverlap="1" wp14:anchorId="1A233C08" wp14:editId="54C2BD52">
            <wp:simplePos x="0" y="0"/>
            <wp:positionH relativeFrom="column">
              <wp:posOffset>-900374</wp:posOffset>
            </wp:positionH>
            <wp:positionV relativeFrom="paragraph">
              <wp:posOffset>-1081405</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r w:rsidR="00341E37">
        <w:rPr>
          <w:noProof/>
          <w:lang w:eastAsia="sl-SI"/>
        </w:rPr>
        <w:drawing>
          <wp:anchor distT="0" distB="0" distL="114300" distR="114300" simplePos="0" relativeHeight="251663360" behindDoc="0" locked="0" layoutInCell="1" allowOverlap="1" wp14:anchorId="4DE5D864" wp14:editId="05AB59DC">
            <wp:simplePos x="0" y="0"/>
            <wp:positionH relativeFrom="column">
              <wp:posOffset>4939343</wp:posOffset>
            </wp:positionH>
            <wp:positionV relativeFrom="paragraph">
              <wp:posOffset>-626110</wp:posOffset>
            </wp:positionV>
            <wp:extent cx="1294227" cy="36585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MA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227" cy="365859"/>
                    </a:xfrm>
                    <a:prstGeom prst="rect">
                      <a:avLst/>
                    </a:prstGeom>
                  </pic:spPr>
                </pic:pic>
              </a:graphicData>
            </a:graphic>
            <wp14:sizeRelH relativeFrom="margin">
              <wp14:pctWidth>0</wp14:pctWidth>
            </wp14:sizeRelH>
            <wp14:sizeRelV relativeFrom="margin">
              <wp14:pctHeight>0</wp14:pctHeight>
            </wp14:sizeRelV>
          </wp:anchor>
        </w:drawing>
      </w:r>
    </w:p>
    <w:p w14:paraId="0B5EA8B2" w14:textId="77777777" w:rsidR="0050616E" w:rsidRPr="0050616E" w:rsidRDefault="00D66667" w:rsidP="0050616E">
      <w:pPr>
        <w:tabs>
          <w:tab w:val="left" w:pos="7227"/>
        </w:tabs>
        <w:sectPr w:rsidR="0050616E" w:rsidRPr="0050616E" w:rsidSect="007C3A38">
          <w:footerReference w:type="default" r:id="rId10"/>
          <w:pgSz w:w="11906" w:h="16838"/>
          <w:pgMar w:top="1701" w:right="1418" w:bottom="1418" w:left="1418" w:header="709" w:footer="709" w:gutter="0"/>
          <w:pgNumType w:fmt="lowerRoman" w:start="1"/>
          <w:cols w:space="708"/>
        </w:sectPr>
      </w:pPr>
      <w:r>
        <w:rPr>
          <w:noProof/>
          <w:lang w:eastAsia="sl-SI"/>
        </w:rPr>
        <mc:AlternateContent>
          <mc:Choice Requires="wps">
            <w:drawing>
              <wp:anchor distT="0" distB="0" distL="114300" distR="114300" simplePos="0" relativeHeight="251659262" behindDoc="0" locked="0" layoutInCell="1" allowOverlap="1" wp14:anchorId="19A3051F" wp14:editId="1E083295">
                <wp:simplePos x="0" y="0"/>
                <wp:positionH relativeFrom="column">
                  <wp:posOffset>2694750</wp:posOffset>
                </wp:positionH>
                <wp:positionV relativeFrom="paragraph">
                  <wp:posOffset>556895</wp:posOffset>
                </wp:positionV>
                <wp:extent cx="3680460" cy="8066405"/>
                <wp:effectExtent l="0" t="0" r="0" b="10795"/>
                <wp:wrapNone/>
                <wp:docPr id="2" name="Text Box 2"/>
                <wp:cNvGraphicFramePr/>
                <a:graphic xmlns:a="http://schemas.openxmlformats.org/drawingml/2006/main">
                  <a:graphicData uri="http://schemas.microsoft.com/office/word/2010/wordprocessingShape">
                    <wps:wsp>
                      <wps:cNvSpPr txBox="1"/>
                      <wps:spPr>
                        <a:xfrm>
                          <a:off x="0" y="0"/>
                          <a:ext cx="3680460" cy="8066405"/>
                        </a:xfrm>
                        <a:prstGeom prst="rect">
                          <a:avLst/>
                        </a:prstGeom>
                        <a:noFill/>
                        <a:ln w="6350">
                          <a:noFill/>
                        </a:ln>
                        <a:effectLst/>
                      </wps:spPr>
                      <wps:txbx>
                        <w:txbxContent>
                          <w:p w14:paraId="39D6CE3F" w14:textId="77777777" w:rsidR="00FA4D35" w:rsidRPr="0050616E" w:rsidRDefault="00FA4D35" w:rsidP="0050616E">
                            <w:pPr>
                              <w:pStyle w:val="NaslovnicanaslovUMAR"/>
                              <w:numPr>
                                <w:ilvl w:val="0"/>
                                <w:numId w:val="0"/>
                              </w:numPr>
                              <w:spacing w:line="760" w:lineRule="exact"/>
                              <w:rPr>
                                <w:color w:val="auto"/>
                                <w:sz w:val="76"/>
                                <w:szCs w:val="76"/>
                              </w:rPr>
                            </w:pPr>
                          </w:p>
                          <w:p w14:paraId="00B32932" w14:textId="77777777" w:rsidR="00FA4D35" w:rsidRPr="0050616E" w:rsidRDefault="00FA4D35" w:rsidP="0050616E">
                            <w:pPr>
                              <w:pStyle w:val="NaslovnicanaslovUMAR"/>
                              <w:numPr>
                                <w:ilvl w:val="0"/>
                                <w:numId w:val="0"/>
                              </w:numPr>
                              <w:spacing w:line="760" w:lineRule="exact"/>
                              <w:rPr>
                                <w:color w:val="auto"/>
                                <w:sz w:val="76"/>
                                <w:szCs w:val="76"/>
                              </w:rPr>
                            </w:pPr>
                          </w:p>
                          <w:p w14:paraId="744022A0" w14:textId="77777777" w:rsidR="00FA4D35" w:rsidRPr="0050616E" w:rsidRDefault="00FA4D35"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5B7D4E8F" w14:textId="4F3B05F4" w:rsidR="00FA4D35" w:rsidRPr="0050616E" w:rsidRDefault="00FA4D35" w:rsidP="0050616E">
                            <w:pPr>
                              <w:pStyle w:val="NaslovnicanaslovUMAR"/>
                              <w:numPr>
                                <w:ilvl w:val="0"/>
                                <w:numId w:val="0"/>
                              </w:numPr>
                              <w:spacing w:line="240" w:lineRule="auto"/>
                              <w:rPr>
                                <w:b w:val="0"/>
                                <w:bCs/>
                                <w:color w:val="auto"/>
                                <w:sz w:val="26"/>
                                <w:szCs w:val="26"/>
                              </w:rPr>
                            </w:pPr>
                            <w:r>
                              <w:rPr>
                                <w:b w:val="0"/>
                                <w:bCs/>
                                <w:color w:val="auto"/>
                                <w:sz w:val="26"/>
                                <w:szCs w:val="26"/>
                              </w:rPr>
                              <w:t>Avgust 2022</w:t>
                            </w:r>
                          </w:p>
                          <w:p w14:paraId="713BA1AF" w14:textId="77777777" w:rsidR="00FA4D35" w:rsidRPr="0050616E" w:rsidRDefault="00FA4D35" w:rsidP="0050616E">
                            <w:pPr>
                              <w:pStyle w:val="NaslovnicanaslovUMAR"/>
                              <w:numPr>
                                <w:ilvl w:val="0"/>
                                <w:numId w:val="0"/>
                              </w:numPr>
                              <w:spacing w:line="760" w:lineRule="exact"/>
                              <w:rPr>
                                <w:color w:val="auto"/>
                                <w:sz w:val="52"/>
                                <w:szCs w:val="52"/>
                              </w:rPr>
                            </w:pPr>
                          </w:p>
                          <w:p w14:paraId="17B69955" w14:textId="77777777" w:rsidR="00FA4D35" w:rsidRPr="0050616E" w:rsidRDefault="00FA4D35" w:rsidP="0050616E">
                            <w:pPr>
                              <w:pStyle w:val="NaslovnicanaslovUMAR"/>
                              <w:numPr>
                                <w:ilvl w:val="0"/>
                                <w:numId w:val="0"/>
                              </w:numPr>
                              <w:spacing w:after="240" w:line="760" w:lineRule="exact"/>
                              <w:rPr>
                                <w:b w:val="0"/>
                                <w:bCs/>
                                <w:color w:val="auto"/>
                                <w:sz w:val="52"/>
                                <w:szCs w:val="52"/>
                              </w:rPr>
                            </w:pPr>
                            <w:r>
                              <w:rPr>
                                <w:b w:val="0"/>
                                <w:bCs/>
                                <w:color w:val="auto"/>
                                <w:sz w:val="52"/>
                                <w:szCs w:val="52"/>
                              </w:rPr>
                              <w:t>Mojca Koprivnikar Šušteršič</w:t>
                            </w:r>
                          </w:p>
                          <w:p w14:paraId="532514F0" w14:textId="77777777" w:rsidR="00FA4D35" w:rsidRPr="0050616E" w:rsidRDefault="00FA4D35" w:rsidP="0050616E">
                            <w:pPr>
                              <w:pStyle w:val="NaslovnicanaslovUMAR"/>
                              <w:numPr>
                                <w:ilvl w:val="0"/>
                                <w:numId w:val="0"/>
                              </w:numPr>
                              <w:spacing w:line="760" w:lineRule="exact"/>
                              <w:rPr>
                                <w:color w:val="auto"/>
                                <w:sz w:val="76"/>
                                <w:szCs w:val="76"/>
                              </w:rPr>
                            </w:pPr>
                            <w:r>
                              <w:rPr>
                                <w:color w:val="auto"/>
                                <w:sz w:val="76"/>
                                <w:szCs w:val="76"/>
                              </w:rPr>
                              <w:t>Analiza poslovanja trgovskih gospodarskih družb v letu 2021</w:t>
                            </w:r>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3051F" id="_x0000_t202" coordsize="21600,21600" o:spt="202" path="m,l,21600r21600,l21600,xe">
                <v:stroke joinstyle="miter"/>
                <v:path gradientshapeok="t" o:connecttype="rect"/>
              </v:shapetype>
              <v:shape id="Text Box 2" o:spid="_x0000_s1026" type="#_x0000_t202" style="position:absolute;margin-left:212.2pt;margin-top:43.85pt;width:289.8pt;height:635.1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" filled="f" stroked="f" strokeweight=".5pt">
                <v:textbox style="layout-flow:vertical;mso-layout-flow-alt:bottom-to-top" inset="0,0,.5mm,0">
                  <w:txbxContent>
                    <w:p w14:paraId="39D6CE3F" w14:textId="77777777" w:rsidR="00FA4D35" w:rsidRPr="0050616E" w:rsidRDefault="00FA4D35" w:rsidP="0050616E">
                      <w:pPr>
                        <w:pStyle w:val="NaslovnicanaslovUMAR"/>
                        <w:numPr>
                          <w:ilvl w:val="0"/>
                          <w:numId w:val="0"/>
                        </w:numPr>
                        <w:spacing w:line="760" w:lineRule="exact"/>
                        <w:rPr>
                          <w:color w:val="auto"/>
                          <w:sz w:val="76"/>
                          <w:szCs w:val="76"/>
                        </w:rPr>
                      </w:pPr>
                    </w:p>
                    <w:p w14:paraId="00B32932" w14:textId="77777777" w:rsidR="00FA4D35" w:rsidRPr="0050616E" w:rsidRDefault="00FA4D35" w:rsidP="0050616E">
                      <w:pPr>
                        <w:pStyle w:val="NaslovnicanaslovUMAR"/>
                        <w:numPr>
                          <w:ilvl w:val="0"/>
                          <w:numId w:val="0"/>
                        </w:numPr>
                        <w:spacing w:line="760" w:lineRule="exact"/>
                        <w:rPr>
                          <w:color w:val="auto"/>
                          <w:sz w:val="76"/>
                          <w:szCs w:val="76"/>
                        </w:rPr>
                      </w:pPr>
                    </w:p>
                    <w:p w14:paraId="744022A0" w14:textId="77777777" w:rsidR="00FA4D35" w:rsidRPr="0050616E" w:rsidRDefault="00FA4D35"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5B7D4E8F" w14:textId="4F3B05F4" w:rsidR="00FA4D35" w:rsidRPr="0050616E" w:rsidRDefault="00FA4D35" w:rsidP="0050616E">
                      <w:pPr>
                        <w:pStyle w:val="NaslovnicanaslovUMAR"/>
                        <w:numPr>
                          <w:ilvl w:val="0"/>
                          <w:numId w:val="0"/>
                        </w:numPr>
                        <w:spacing w:line="240" w:lineRule="auto"/>
                        <w:rPr>
                          <w:b w:val="0"/>
                          <w:bCs/>
                          <w:color w:val="auto"/>
                          <w:sz w:val="26"/>
                          <w:szCs w:val="26"/>
                        </w:rPr>
                      </w:pPr>
                      <w:r>
                        <w:rPr>
                          <w:b w:val="0"/>
                          <w:bCs/>
                          <w:color w:val="auto"/>
                          <w:sz w:val="26"/>
                          <w:szCs w:val="26"/>
                        </w:rPr>
                        <w:t>Avgust 2022</w:t>
                      </w:r>
                    </w:p>
                    <w:p w14:paraId="713BA1AF" w14:textId="77777777" w:rsidR="00FA4D35" w:rsidRPr="0050616E" w:rsidRDefault="00FA4D35" w:rsidP="0050616E">
                      <w:pPr>
                        <w:pStyle w:val="NaslovnicanaslovUMAR"/>
                        <w:numPr>
                          <w:ilvl w:val="0"/>
                          <w:numId w:val="0"/>
                        </w:numPr>
                        <w:spacing w:line="760" w:lineRule="exact"/>
                        <w:rPr>
                          <w:color w:val="auto"/>
                          <w:sz w:val="52"/>
                          <w:szCs w:val="52"/>
                        </w:rPr>
                      </w:pPr>
                    </w:p>
                    <w:p w14:paraId="17B69955" w14:textId="77777777" w:rsidR="00FA4D35" w:rsidRPr="0050616E" w:rsidRDefault="00FA4D35" w:rsidP="0050616E">
                      <w:pPr>
                        <w:pStyle w:val="NaslovnicanaslovUMAR"/>
                        <w:numPr>
                          <w:ilvl w:val="0"/>
                          <w:numId w:val="0"/>
                        </w:numPr>
                        <w:spacing w:after="240" w:line="760" w:lineRule="exact"/>
                        <w:rPr>
                          <w:b w:val="0"/>
                          <w:bCs/>
                          <w:color w:val="auto"/>
                          <w:sz w:val="52"/>
                          <w:szCs w:val="52"/>
                        </w:rPr>
                      </w:pPr>
                      <w:r>
                        <w:rPr>
                          <w:b w:val="0"/>
                          <w:bCs/>
                          <w:color w:val="auto"/>
                          <w:sz w:val="52"/>
                          <w:szCs w:val="52"/>
                        </w:rPr>
                        <w:t>Mojca Koprivnikar Šušteršič</w:t>
                      </w:r>
                    </w:p>
                    <w:p w14:paraId="532514F0" w14:textId="77777777" w:rsidR="00FA4D35" w:rsidRPr="0050616E" w:rsidRDefault="00FA4D35" w:rsidP="0050616E">
                      <w:pPr>
                        <w:pStyle w:val="NaslovnicanaslovUMAR"/>
                        <w:numPr>
                          <w:ilvl w:val="0"/>
                          <w:numId w:val="0"/>
                        </w:numPr>
                        <w:spacing w:line="760" w:lineRule="exact"/>
                        <w:rPr>
                          <w:color w:val="auto"/>
                          <w:sz w:val="76"/>
                          <w:szCs w:val="76"/>
                        </w:rPr>
                      </w:pPr>
                      <w:r>
                        <w:rPr>
                          <w:color w:val="auto"/>
                          <w:sz w:val="76"/>
                          <w:szCs w:val="76"/>
                        </w:rPr>
                        <w:t>Analiza poslovanja trgovskih gospodarskih družb v letu 2021</w:t>
                      </w:r>
                    </w:p>
                  </w:txbxContent>
                </v:textbox>
              </v:shape>
            </w:pict>
          </mc:Fallback>
        </mc:AlternateContent>
      </w:r>
      <w:r w:rsidR="0050616E">
        <w:tab/>
      </w:r>
    </w:p>
    <w:p w14:paraId="497A5CFA" w14:textId="77777777" w:rsidR="00471713" w:rsidRDefault="00471713" w:rsidP="00247147">
      <w:pPr>
        <w:pStyle w:val="Heading1"/>
        <w:numPr>
          <w:ilvl w:val="0"/>
          <w:numId w:val="0"/>
        </w:numPr>
        <w:rPr>
          <w:rStyle w:val="VodilnistavekUMAR"/>
        </w:rPr>
      </w:pPr>
      <w:bookmarkStart w:id="0" w:name="_Toc525304171"/>
      <w:bookmarkStart w:id="1" w:name="_Toc527616894"/>
      <w:bookmarkStart w:id="2" w:name="_Toc528328881"/>
      <w:r w:rsidRPr="00471713">
        <w:lastRenderedPageBreak/>
        <w:t>Povzetek</w:t>
      </w:r>
    </w:p>
    <w:p w14:paraId="764DB204" w14:textId="77777777" w:rsidR="003E627F" w:rsidRDefault="003E627F" w:rsidP="003F33CD">
      <w:pPr>
        <w:pStyle w:val="BesediloUMAR"/>
        <w:rPr>
          <w:b/>
          <w:bCs/>
        </w:rPr>
      </w:pPr>
    </w:p>
    <w:p w14:paraId="1DB3436F" w14:textId="1FE0DEAB" w:rsidR="00247147" w:rsidRDefault="00247147" w:rsidP="00247147">
      <w:pPr>
        <w:pStyle w:val="BesediloUMAR"/>
        <w:rPr>
          <w:rStyle w:val="BoldpoudarekUMAR"/>
        </w:rPr>
      </w:pPr>
      <w:r w:rsidRPr="00247147">
        <w:rPr>
          <w:rStyle w:val="BoldpoudarekUMAR"/>
        </w:rPr>
        <w:t xml:space="preserve">V kratki </w:t>
      </w:r>
      <w:r w:rsidRPr="00693766">
        <w:rPr>
          <w:rStyle w:val="BoldpoudarekUMAR"/>
        </w:rPr>
        <w:t xml:space="preserve">analizi </w:t>
      </w:r>
      <w:r w:rsidR="00693766" w:rsidRPr="00693766">
        <w:rPr>
          <w:rStyle w:val="BoldpoudarekUMAR"/>
        </w:rPr>
        <w:t xml:space="preserve">proučimo </w:t>
      </w:r>
      <w:r w:rsidRPr="00247147">
        <w:rPr>
          <w:rStyle w:val="BoldpoudarekUMAR"/>
        </w:rPr>
        <w:t>statistične podatke</w:t>
      </w:r>
      <w:r w:rsidR="008C7079">
        <w:rPr>
          <w:rStyle w:val="BoldpoudarekUMAR"/>
        </w:rPr>
        <w:t xml:space="preserve"> iz bilanc stanja in izkaza poslovnega izida</w:t>
      </w:r>
      <w:r w:rsidRPr="00247147">
        <w:rPr>
          <w:rStyle w:val="BoldpoudarekUMAR"/>
        </w:rPr>
        <w:t xml:space="preserve"> gospodarskih družb</w:t>
      </w:r>
      <w:r w:rsidR="00192EC7">
        <w:rPr>
          <w:rStyle w:val="BoldpoudarekUMAR"/>
        </w:rPr>
        <w:t xml:space="preserve"> v</w:t>
      </w:r>
      <w:r w:rsidR="008C7079">
        <w:rPr>
          <w:rStyle w:val="BoldpoudarekUMAR"/>
        </w:rPr>
        <w:t xml:space="preserve"> dejavnost</w:t>
      </w:r>
      <w:r w:rsidR="00192EC7">
        <w:rPr>
          <w:rStyle w:val="BoldpoudarekUMAR"/>
        </w:rPr>
        <w:t>i</w:t>
      </w:r>
      <w:r w:rsidR="008C7079">
        <w:rPr>
          <w:rStyle w:val="BoldpoudarekUMAR"/>
        </w:rPr>
        <w:t xml:space="preserve"> trgovina ter vzdrževanje in popravila motornih vozil</w:t>
      </w:r>
      <w:r w:rsidR="00192EC7">
        <w:rPr>
          <w:rStyle w:val="BoldpoudarekUMAR"/>
        </w:rPr>
        <w:t xml:space="preserve"> (G</w:t>
      </w:r>
      <w:r w:rsidR="008C7079">
        <w:rPr>
          <w:rStyle w:val="BoldpoudarekUMAR"/>
        </w:rPr>
        <w:t>)</w:t>
      </w:r>
      <w:r w:rsidRPr="00247147">
        <w:rPr>
          <w:rStyle w:val="BoldpoudarekUMAR"/>
        </w:rPr>
        <w:t xml:space="preserve">, </w:t>
      </w:r>
      <w:r>
        <w:rPr>
          <w:rStyle w:val="BoldpoudarekUMAR"/>
        </w:rPr>
        <w:t xml:space="preserve">ki </w:t>
      </w:r>
      <w:r w:rsidRPr="00247147">
        <w:rPr>
          <w:rStyle w:val="BoldpoudarekUMAR"/>
        </w:rPr>
        <w:t xml:space="preserve">po deležu dodane vrednosti, neto čistega dobička in števila zaposlenih v celotni vrednosti </w:t>
      </w:r>
      <w:r w:rsidR="00F9780D">
        <w:rPr>
          <w:rStyle w:val="BoldpoudarekUMAR"/>
        </w:rPr>
        <w:t xml:space="preserve">vseh gospodarskih družb </w:t>
      </w:r>
      <w:r w:rsidRPr="00247147">
        <w:rPr>
          <w:rStyle w:val="BoldpoudarekUMAR"/>
        </w:rPr>
        <w:t>spada med največje</w:t>
      </w:r>
      <w:r w:rsidR="00DE477E">
        <w:rPr>
          <w:rStyle w:val="BoldpoudarekUMAR"/>
        </w:rPr>
        <w:t xml:space="preserve"> </w:t>
      </w:r>
      <w:r w:rsidRPr="00247147">
        <w:rPr>
          <w:rStyle w:val="BoldpoudarekUMAR"/>
        </w:rPr>
        <w:t>dejavnosti</w:t>
      </w:r>
      <w:r w:rsidR="000844BC">
        <w:rPr>
          <w:rStyle w:val="BoldpoudarekUMAR"/>
        </w:rPr>
        <w:t xml:space="preserve"> slovenskega gospodarstva</w:t>
      </w:r>
      <w:r w:rsidRPr="00247147">
        <w:rPr>
          <w:rStyle w:val="BoldpoudarekUMAR"/>
        </w:rPr>
        <w:t xml:space="preserve">. </w:t>
      </w:r>
      <w:r w:rsidR="00DE477E">
        <w:rPr>
          <w:rStyle w:val="BoldpoudarekUMAR"/>
        </w:rPr>
        <w:t>Te</w:t>
      </w:r>
      <w:r>
        <w:rPr>
          <w:rStyle w:val="BoldpoudarekUMAR"/>
        </w:rPr>
        <w:t xml:space="preserve"> družb</w:t>
      </w:r>
      <w:r w:rsidR="00DE477E">
        <w:rPr>
          <w:rStyle w:val="BoldpoudarekUMAR"/>
        </w:rPr>
        <w:t>e</w:t>
      </w:r>
      <w:r>
        <w:rPr>
          <w:rStyle w:val="BoldpoudarekUMAR"/>
        </w:rPr>
        <w:t xml:space="preserve"> </w:t>
      </w:r>
      <w:r w:rsidR="00DE477E">
        <w:rPr>
          <w:rStyle w:val="BoldpoudarekUMAR"/>
        </w:rPr>
        <w:t>ustvarijo</w:t>
      </w:r>
      <w:r w:rsidRPr="00247147">
        <w:rPr>
          <w:rStyle w:val="BoldpoudarekUMAR"/>
        </w:rPr>
        <w:t xml:space="preserve"> okoli 80 % dodane vrednosti celotne dejavnosti</w:t>
      </w:r>
      <w:r w:rsidR="00DE477E">
        <w:rPr>
          <w:rStyle w:val="BoldpoudarekUMAR"/>
        </w:rPr>
        <w:t xml:space="preserve"> trgovine</w:t>
      </w:r>
      <w:r w:rsidR="00192EC7">
        <w:rPr>
          <w:rStyle w:val="BoldpoudarekUMAR"/>
        </w:rPr>
        <w:t xml:space="preserve"> (ostalo drugi poslovni subjekti)</w:t>
      </w:r>
      <w:r w:rsidRPr="00247147">
        <w:rPr>
          <w:rStyle w:val="BoldpoudarekUMAR"/>
        </w:rPr>
        <w:t xml:space="preserve">. Zanimajo nas glavne značilnosti poslovanja in </w:t>
      </w:r>
      <w:r w:rsidR="008C7079">
        <w:rPr>
          <w:rStyle w:val="BoldpoudarekUMAR"/>
        </w:rPr>
        <w:t>njihov</w:t>
      </w:r>
      <w:r w:rsidR="002A7EEA">
        <w:rPr>
          <w:rStyle w:val="BoldpoudarekUMAR"/>
        </w:rPr>
        <w:t>ega</w:t>
      </w:r>
      <w:r w:rsidR="008C7079">
        <w:rPr>
          <w:rStyle w:val="BoldpoudarekUMAR"/>
        </w:rPr>
        <w:t xml:space="preserve"> </w:t>
      </w:r>
      <w:r w:rsidRPr="00247147">
        <w:rPr>
          <w:rStyle w:val="BoldpoudarekUMAR"/>
        </w:rPr>
        <w:t xml:space="preserve">premoženjsko-finančnega položaja. </w:t>
      </w:r>
      <w:r w:rsidR="00487BAB">
        <w:rPr>
          <w:rStyle w:val="BoldpoudarekUMAR"/>
        </w:rPr>
        <w:t>Analiza zajema</w:t>
      </w:r>
      <w:r w:rsidRPr="00247147">
        <w:rPr>
          <w:rStyle w:val="BoldpoudarekUMAR"/>
        </w:rPr>
        <w:t xml:space="preserve"> obdobje po </w:t>
      </w:r>
      <w:r w:rsidR="0011504B">
        <w:rPr>
          <w:rStyle w:val="BoldpoudarekUMAR"/>
        </w:rPr>
        <w:t>letu 2008</w:t>
      </w:r>
      <w:r w:rsidRPr="00247147">
        <w:rPr>
          <w:rStyle w:val="BoldpoudarekUMAR"/>
        </w:rPr>
        <w:t>,</w:t>
      </w:r>
      <w:r w:rsidR="00C16005">
        <w:rPr>
          <w:rStyle w:val="BoldpoudarekUMAR"/>
        </w:rPr>
        <w:t xml:space="preserve"> </w:t>
      </w:r>
      <w:r w:rsidR="00EC393D">
        <w:rPr>
          <w:rStyle w:val="BoldpoudarekUMAR"/>
        </w:rPr>
        <w:t xml:space="preserve">z glavnim poudarkom </w:t>
      </w:r>
      <w:r w:rsidRPr="00247147">
        <w:rPr>
          <w:rStyle w:val="BoldpoudarekUMAR"/>
        </w:rPr>
        <w:t>na poslovanj</w:t>
      </w:r>
      <w:r w:rsidR="00487BAB">
        <w:rPr>
          <w:rStyle w:val="BoldpoudarekUMAR"/>
        </w:rPr>
        <w:t>u</w:t>
      </w:r>
      <w:r w:rsidRPr="00247147">
        <w:rPr>
          <w:rStyle w:val="BoldpoudarekUMAR"/>
        </w:rPr>
        <w:t xml:space="preserve"> v zadnjem letu, tj. letu 2021. </w:t>
      </w:r>
    </w:p>
    <w:p w14:paraId="012EB618" w14:textId="77777777" w:rsidR="003E59E0" w:rsidRDefault="003E59E0" w:rsidP="00247147">
      <w:pPr>
        <w:pStyle w:val="BesediloUMAR"/>
        <w:rPr>
          <w:rStyle w:val="BoldpoudarekUMAR"/>
        </w:rPr>
      </w:pPr>
    </w:p>
    <w:p w14:paraId="780C761B" w14:textId="40C739C9" w:rsidR="003E59E0" w:rsidRPr="002F0A04" w:rsidRDefault="003E59E0" w:rsidP="00247147">
      <w:pPr>
        <w:pStyle w:val="BesediloUMAR"/>
        <w:rPr>
          <w:rStyle w:val="BoldpoudarekUMAR"/>
        </w:rPr>
      </w:pPr>
      <w:r w:rsidRPr="003E59E0">
        <w:rPr>
          <w:b/>
        </w:rPr>
        <w:t xml:space="preserve">Gospodarske družbe </w:t>
      </w:r>
      <w:r w:rsidR="00951823">
        <w:rPr>
          <w:b/>
        </w:rPr>
        <w:t xml:space="preserve">v dejavnosti </w:t>
      </w:r>
      <w:r w:rsidRPr="003E59E0">
        <w:rPr>
          <w:b/>
        </w:rPr>
        <w:t xml:space="preserve">trgovine ter vzdrževanja in popravil motornih vozil so po letu 2013 </w:t>
      </w:r>
      <w:r w:rsidR="008916EE">
        <w:rPr>
          <w:b/>
        </w:rPr>
        <w:t xml:space="preserve">vseskozi </w:t>
      </w:r>
      <w:r w:rsidRPr="003E59E0">
        <w:rPr>
          <w:b/>
        </w:rPr>
        <w:t xml:space="preserve">poslovale z neto čistim dobičkom. </w:t>
      </w:r>
      <w:r w:rsidRPr="003E59E0">
        <w:rPr>
          <w:b/>
          <w:lang w:val="it-IT"/>
        </w:rPr>
        <w:t>Ta se je leta 2020, ki ga je zaznamovala pandemija, sicer zmanjšal, leta 2021 pa ponovno močno pov</w:t>
      </w:r>
      <w:bookmarkStart w:id="3" w:name="_GoBack"/>
      <w:bookmarkEnd w:id="3"/>
      <w:r w:rsidRPr="003E59E0">
        <w:rPr>
          <w:b/>
          <w:lang w:val="it-IT"/>
        </w:rPr>
        <w:t>ečal. Na zmanjšanje leta 2020 je vplivalo predvsem ponovno povečanje oslabitev nepremičnin in opreme, odpisov zaradi prevrednotenja finančnih naložb in velikega zmanjšanja finančnih prihodkov družb različnih panog, pri nekaterih panogah pa se je poslovanje poslabšalo tudi zaradi manjše prodaje ob omejitvah pri poslovanju zaradi epidemije</w:t>
      </w:r>
      <w:r w:rsidR="009E6268">
        <w:rPr>
          <w:b/>
          <w:lang w:val="it-IT"/>
        </w:rPr>
        <w:t xml:space="preserve"> covida-19</w:t>
      </w:r>
      <w:r w:rsidRPr="003E59E0">
        <w:rPr>
          <w:b/>
          <w:lang w:val="it-IT"/>
        </w:rPr>
        <w:t>. V letu 2021 se je poslovanje izboljšalo v večini panog, na kar je vplival</w:t>
      </w:r>
      <w:r w:rsidR="00CC4A19">
        <w:rPr>
          <w:b/>
          <w:lang w:val="it-IT"/>
        </w:rPr>
        <w:t xml:space="preserve"> močan odboj pri </w:t>
      </w:r>
      <w:r w:rsidRPr="003E59E0">
        <w:rPr>
          <w:b/>
          <w:lang w:val="it-IT"/>
        </w:rPr>
        <w:t xml:space="preserve"> trošenj</w:t>
      </w:r>
      <w:r w:rsidR="00CC4A19">
        <w:rPr>
          <w:b/>
          <w:lang w:val="it-IT"/>
        </w:rPr>
        <w:t>u</w:t>
      </w:r>
      <w:r w:rsidRPr="003E59E0">
        <w:rPr>
          <w:b/>
          <w:lang w:val="it-IT"/>
        </w:rPr>
        <w:t xml:space="preserve"> gospodinjstev in </w:t>
      </w:r>
      <w:r w:rsidR="00CC4A19">
        <w:rPr>
          <w:b/>
          <w:lang w:val="it-IT"/>
        </w:rPr>
        <w:t xml:space="preserve">ponovna </w:t>
      </w:r>
      <w:r w:rsidRPr="003E59E0">
        <w:rPr>
          <w:b/>
          <w:lang w:val="it-IT"/>
        </w:rPr>
        <w:t>rast aktivnosti v dejavnostih, s katerimi je povezana trgovin</w:t>
      </w:r>
      <w:r w:rsidR="008916EE">
        <w:rPr>
          <w:b/>
          <w:lang w:val="it-IT"/>
        </w:rPr>
        <w:t>a</w:t>
      </w:r>
      <w:r w:rsidRPr="003E59E0">
        <w:rPr>
          <w:b/>
          <w:lang w:val="it-IT"/>
        </w:rPr>
        <w:t xml:space="preserve"> na debelo. Trgovske družbe so tako leto 2021 zaključile z visokimi rastmi dodane vrednosti, produktivnosti in dobička, ki so močno presegle rasti v povprečni gospodarski družbi (tako glede na leto 2020 kot glede na leto 2019). Močno se je izboljšala tudi gospodarnost poslovanja in </w:t>
      </w:r>
      <w:r w:rsidRPr="002F0A04">
        <w:rPr>
          <w:rStyle w:val="BoldpoudarekUMAR"/>
        </w:rPr>
        <w:t>povečal presežek prihodkov od prodaje nad stroški blaga, materiala, storitev in dela, ki sta dosegla najvišje vrednosti v celotnem obdobju 2008</w:t>
      </w:r>
      <w:r w:rsidR="0048776B" w:rsidRPr="002F0A04">
        <w:rPr>
          <w:rStyle w:val="BoldpoudarekUMAR"/>
        </w:rPr>
        <w:t>–</w:t>
      </w:r>
      <w:r w:rsidRPr="002F0A04">
        <w:rPr>
          <w:rStyle w:val="BoldpoudarekUMAR"/>
        </w:rPr>
        <w:t>2021.</w:t>
      </w:r>
    </w:p>
    <w:p w14:paraId="111BDD47" w14:textId="77777777" w:rsidR="0011504B" w:rsidRPr="00247147" w:rsidRDefault="0011504B" w:rsidP="00247147">
      <w:pPr>
        <w:pStyle w:val="BesediloUMAR"/>
        <w:rPr>
          <w:rStyle w:val="BoldpoudarekUMAR"/>
        </w:rPr>
      </w:pPr>
    </w:p>
    <w:p w14:paraId="7504A85C" w14:textId="77777777" w:rsidR="00407C0D" w:rsidRDefault="00407C0D" w:rsidP="00407C0D">
      <w:pPr>
        <w:pStyle w:val="BesediloUMAR"/>
      </w:pPr>
    </w:p>
    <w:p w14:paraId="4EBBBAC5" w14:textId="77777777" w:rsidR="00481B30" w:rsidRDefault="008F6BED" w:rsidP="00471713">
      <w:pPr>
        <w:pStyle w:val="Heading1"/>
      </w:pPr>
      <w:r>
        <w:lastRenderedPageBreak/>
        <w:t xml:space="preserve">Uvod </w:t>
      </w:r>
      <w:bookmarkEnd w:id="0"/>
      <w:bookmarkEnd w:id="1"/>
      <w:bookmarkEnd w:id="2"/>
    </w:p>
    <w:p w14:paraId="12F90065" w14:textId="77777777" w:rsidR="00962421" w:rsidRDefault="00962421" w:rsidP="006C15DE">
      <w:pPr>
        <w:pStyle w:val="BesediloUMAR"/>
      </w:pPr>
    </w:p>
    <w:p w14:paraId="7590DA96" w14:textId="3D8CB47E" w:rsidR="006C15DE" w:rsidRDefault="00C02438" w:rsidP="006C15DE">
      <w:pPr>
        <w:pStyle w:val="BesediloUMAR"/>
      </w:pPr>
      <w:r>
        <w:t xml:space="preserve">Podatki </w:t>
      </w:r>
      <w:r w:rsidRPr="006C15DE">
        <w:t>iz bilance stanja in izkaza poslovnega izida gospodarskih družb</w:t>
      </w:r>
      <w:r w:rsidRPr="00C02438">
        <w:rPr>
          <w:vertAlign w:val="superscript"/>
        </w:rPr>
        <w:footnoteReference w:id="2"/>
      </w:r>
      <w:r>
        <w:t xml:space="preserve"> nam omogočajo bolj tekoče (kot npr. strukturne statistike podjetij) oz. </w:t>
      </w:r>
      <w:r w:rsidR="00E0176B">
        <w:t xml:space="preserve">podrobnejše </w:t>
      </w:r>
      <w:r>
        <w:t xml:space="preserve">(kot npr. nacionalni računi) spremljanje gibanj v trgovinski dejavnosti. </w:t>
      </w:r>
      <w:r w:rsidR="006C15DE" w:rsidRPr="006C15DE">
        <w:t>Uporabljeni podatki za razliko od strukturnih statistik ali nacionalnih računov ne vključujejo rezultatov vseh poslovnih subjektov (poleg gospodarskih družb so to še samostojni podjetniki, zadruge, društva, pravne osebe zasebnega in javnega prava)</w:t>
      </w:r>
      <w:r>
        <w:t xml:space="preserve">, </w:t>
      </w:r>
      <w:r w:rsidR="00CC4A19">
        <w:t xml:space="preserve">kljub temu </w:t>
      </w:r>
      <w:r>
        <w:t xml:space="preserve">pa z </w:t>
      </w:r>
      <w:r w:rsidR="006C15DE" w:rsidRPr="006C15DE">
        <w:t xml:space="preserve">analizo podatkov o poslovanju gospodarskih družb zajamemo </w:t>
      </w:r>
      <w:r w:rsidR="00CC4A19">
        <w:t xml:space="preserve">kar </w:t>
      </w:r>
      <w:r>
        <w:t>okoli 80 %</w:t>
      </w:r>
      <w:r w:rsidR="006C15DE" w:rsidRPr="006C15DE">
        <w:t xml:space="preserve"> dodane vrednosti celotne</w:t>
      </w:r>
      <w:r>
        <w:t xml:space="preserve"> </w:t>
      </w:r>
      <w:r w:rsidR="009E6268">
        <w:t xml:space="preserve">trgovske </w:t>
      </w:r>
      <w:r>
        <w:t>dejavnosti.</w:t>
      </w:r>
      <w:r w:rsidR="006C15DE" w:rsidRPr="006C15DE">
        <w:t xml:space="preserve"> </w:t>
      </w:r>
    </w:p>
    <w:p w14:paraId="511E99A9" w14:textId="77777777" w:rsidR="006C15DE" w:rsidRPr="006C15DE" w:rsidRDefault="006C15DE" w:rsidP="006C15DE">
      <w:pPr>
        <w:pStyle w:val="BesediloUMAR"/>
      </w:pPr>
    </w:p>
    <w:p w14:paraId="1DF9DB43" w14:textId="59F50EAD" w:rsidR="00962421" w:rsidRDefault="006C15DE" w:rsidP="006C15DE">
      <w:pPr>
        <w:pStyle w:val="BesediloUMAR"/>
      </w:pPr>
      <w:r w:rsidRPr="006C15DE">
        <w:t xml:space="preserve">V </w:t>
      </w:r>
      <w:r w:rsidR="00C02438">
        <w:t xml:space="preserve">kratki analizi </w:t>
      </w:r>
      <w:r w:rsidR="00FF32C9">
        <w:t xml:space="preserve">proučimo </w:t>
      </w:r>
      <w:r w:rsidRPr="006C15DE">
        <w:t xml:space="preserve">statistične podatke </w:t>
      </w:r>
      <w:r w:rsidR="00CC4A19">
        <w:t xml:space="preserve">iz bilanc stanja in izkaza poslovnega izida </w:t>
      </w:r>
      <w:r w:rsidR="00962421">
        <w:t>gospodarskih družb</w:t>
      </w:r>
      <w:r w:rsidR="00192EC7">
        <w:t xml:space="preserve"> v dejavnosti trgovina ter popravila in vzdrževanje motornih vozil</w:t>
      </w:r>
      <w:r w:rsidR="001554D4">
        <w:t xml:space="preserve">, </w:t>
      </w:r>
      <w:r w:rsidR="001554D4" w:rsidRPr="003E627F">
        <w:t>ki po deležu</w:t>
      </w:r>
      <w:r w:rsidR="006C07EF" w:rsidRPr="003E627F">
        <w:t xml:space="preserve"> </w:t>
      </w:r>
      <w:r w:rsidR="003E627F" w:rsidRPr="003E627F">
        <w:t>dodan</w:t>
      </w:r>
      <w:r w:rsidR="006F12D5">
        <w:t>e</w:t>
      </w:r>
      <w:r w:rsidR="003E627F" w:rsidRPr="003E627F">
        <w:t xml:space="preserve"> vrednosti, neto čiste</w:t>
      </w:r>
      <w:r w:rsidR="006F12D5">
        <w:t>ga</w:t>
      </w:r>
      <w:r w:rsidR="003E627F" w:rsidRPr="003E627F">
        <w:t xml:space="preserve"> dobičk</w:t>
      </w:r>
      <w:r w:rsidR="006F12D5">
        <w:t>a</w:t>
      </w:r>
      <w:r w:rsidR="003E627F" w:rsidRPr="003E627F">
        <w:t xml:space="preserve"> in števil</w:t>
      </w:r>
      <w:r w:rsidR="006F12D5">
        <w:t>a</w:t>
      </w:r>
      <w:r w:rsidR="003E627F" w:rsidRPr="003E627F">
        <w:t xml:space="preserve"> zaposlenih </w:t>
      </w:r>
      <w:r w:rsidR="006F12D5">
        <w:t xml:space="preserve">v celotni vrednosti </w:t>
      </w:r>
      <w:r w:rsidR="001554D4" w:rsidRPr="003E627F">
        <w:t>spada med največje dejavnosti</w:t>
      </w:r>
      <w:r w:rsidR="00192EC7">
        <w:t xml:space="preserve"> slovenskega gospodarstva</w:t>
      </w:r>
      <w:r w:rsidR="003E627F" w:rsidRPr="003E627F">
        <w:t xml:space="preserve">. Po vseh omenjenih kazalnikih </w:t>
      </w:r>
      <w:r w:rsidR="00AD7B5E">
        <w:t>je dejavnost trgovine</w:t>
      </w:r>
      <w:r w:rsidR="003E627F" w:rsidRPr="003E627F">
        <w:t xml:space="preserve"> takoj za predelovalni</w:t>
      </w:r>
      <w:r w:rsidR="00336896">
        <w:t>mi</w:t>
      </w:r>
      <w:r w:rsidR="003E627F" w:rsidRPr="003E627F">
        <w:t xml:space="preserve"> dejavnost</w:t>
      </w:r>
      <w:r w:rsidR="00336896">
        <w:t>m</w:t>
      </w:r>
      <w:r w:rsidR="003E627F" w:rsidRPr="003E627F">
        <w:t xml:space="preserve">i, po številu družb pa </w:t>
      </w:r>
      <w:r w:rsidR="00336896">
        <w:t>je celo</w:t>
      </w:r>
      <w:r w:rsidR="00336896" w:rsidRPr="003E627F">
        <w:t xml:space="preserve"> </w:t>
      </w:r>
      <w:r w:rsidR="003E627F" w:rsidRPr="003E627F">
        <w:t>največj</w:t>
      </w:r>
      <w:r w:rsidR="00336896">
        <w:t>a</w:t>
      </w:r>
      <w:r w:rsidR="00962421" w:rsidRPr="003E627F">
        <w:t>.</w:t>
      </w:r>
      <w:r w:rsidR="003E627F">
        <w:t xml:space="preserve"> </w:t>
      </w:r>
      <w:r w:rsidRPr="003E627F">
        <w:t>Z</w:t>
      </w:r>
      <w:r w:rsidRPr="006C15DE">
        <w:t xml:space="preserve">animajo nas glavne značilnosti poslovanja in </w:t>
      </w:r>
      <w:r w:rsidR="00CC4A19">
        <w:t xml:space="preserve">njihov </w:t>
      </w:r>
      <w:r w:rsidRPr="006C15DE">
        <w:t>premoženjsko-finančn</w:t>
      </w:r>
      <w:r w:rsidR="00CC4A19">
        <w:t>i</w:t>
      </w:r>
      <w:r w:rsidRPr="006C15DE">
        <w:t xml:space="preserve"> položaj</w:t>
      </w:r>
      <w:r w:rsidR="00962421">
        <w:t>.</w:t>
      </w:r>
      <w:r w:rsidR="00962421" w:rsidRPr="00962421">
        <w:t xml:space="preserve"> </w:t>
      </w:r>
      <w:r w:rsidR="00962421" w:rsidRPr="006C15DE">
        <w:t xml:space="preserve">Zaradi spremembe Standardne klasifikacije dejavnosti z letom 2008 v </w:t>
      </w:r>
      <w:r w:rsidR="00962421">
        <w:t>kratki analizi</w:t>
      </w:r>
      <w:r w:rsidR="00962421" w:rsidRPr="006C15DE">
        <w:t xml:space="preserve"> večinoma analiziramo obdobje po tem letu</w:t>
      </w:r>
      <w:r w:rsidR="00962421">
        <w:t xml:space="preserve">, </w:t>
      </w:r>
      <w:r w:rsidR="00962421" w:rsidRPr="006C15DE">
        <w:t>pri čemer je glavni poudarek na analizi poslovanja v zadnjem letu</w:t>
      </w:r>
      <w:r w:rsidR="001554D4">
        <w:t>, tj. letu 2021</w:t>
      </w:r>
      <w:r w:rsidR="00962421" w:rsidRPr="006C15DE">
        <w:t>. Podatki za vsako od analiziranih let vključujejo gospodarske družbe, ki so v tistem letu dejansko poslovale.</w:t>
      </w:r>
      <w:r w:rsidR="00962421" w:rsidRPr="00962421">
        <w:t xml:space="preserve"> </w:t>
      </w:r>
      <w:r w:rsidR="00962421" w:rsidRPr="006C15DE">
        <w:t>Vse kategorije primerjamo v tekočih cenah</w:t>
      </w:r>
      <w:r w:rsidR="001554D4">
        <w:t>, veliko primerjav je predstavljenih tudi grafično</w:t>
      </w:r>
      <w:r w:rsidR="00962421" w:rsidRPr="006C15DE">
        <w:t>.</w:t>
      </w:r>
      <w:r w:rsidR="001554D4">
        <w:t xml:space="preserve"> </w:t>
      </w:r>
    </w:p>
    <w:p w14:paraId="155D5E47" w14:textId="77777777" w:rsidR="001554D4" w:rsidRDefault="001554D4" w:rsidP="006C15DE">
      <w:pPr>
        <w:pStyle w:val="BesediloUMAR"/>
      </w:pPr>
    </w:p>
    <w:p w14:paraId="39F68177" w14:textId="77777777" w:rsidR="00407C0D" w:rsidRPr="003F33CD" w:rsidRDefault="00407C0D" w:rsidP="00E60966">
      <w:pPr>
        <w:pStyle w:val="BesediloUMAR"/>
      </w:pPr>
    </w:p>
    <w:p w14:paraId="40D18A7F" w14:textId="77777777" w:rsidR="008F6BED" w:rsidRDefault="008F6BED" w:rsidP="008F6BED">
      <w:pPr>
        <w:pStyle w:val="Heading1"/>
      </w:pPr>
      <w:r>
        <w:lastRenderedPageBreak/>
        <w:t xml:space="preserve">Poslovanje trgovskih gospodarskih družb </w:t>
      </w:r>
    </w:p>
    <w:p w14:paraId="41BB02ED" w14:textId="64ACDC6C" w:rsidR="001554D4" w:rsidRPr="001554D4" w:rsidRDefault="00102453" w:rsidP="003E627F">
      <w:pPr>
        <w:pStyle w:val="BesediloUMAR"/>
      </w:pPr>
      <w:r>
        <w:rPr>
          <w:rStyle w:val="BoldpoudarekUMAR"/>
        </w:rPr>
        <w:t>Dejavnost trgovine</w:t>
      </w:r>
      <w:r w:rsidR="001554D4" w:rsidRPr="00A84F47">
        <w:rPr>
          <w:rStyle w:val="BoldpoudarekUMAR"/>
        </w:rPr>
        <w:t xml:space="preserve"> po </w:t>
      </w:r>
      <w:r w:rsidR="006F12D5" w:rsidRPr="00A84F47">
        <w:rPr>
          <w:rStyle w:val="BoldpoudarekUMAR"/>
        </w:rPr>
        <w:t>dodani vrednosti</w:t>
      </w:r>
      <w:r>
        <w:rPr>
          <w:rStyle w:val="BoldpoudarekUMAR"/>
        </w:rPr>
        <w:t xml:space="preserve"> in</w:t>
      </w:r>
      <w:r w:rsidR="006F12D5" w:rsidRPr="00A84F47">
        <w:rPr>
          <w:rStyle w:val="BoldpoudarekUMAR"/>
        </w:rPr>
        <w:t xml:space="preserve"> neto čistem dobičku</w:t>
      </w:r>
      <w:r>
        <w:rPr>
          <w:rStyle w:val="BoldpoudarekUMAR"/>
        </w:rPr>
        <w:t xml:space="preserve"> gospodarskih družb</w:t>
      </w:r>
      <w:r w:rsidR="006F12D5" w:rsidRPr="00A84F47">
        <w:rPr>
          <w:rStyle w:val="BoldpoudarekUMAR"/>
        </w:rPr>
        <w:t xml:space="preserve"> </w:t>
      </w:r>
      <w:r>
        <w:rPr>
          <w:rStyle w:val="BoldpoudarekUMAR"/>
        </w:rPr>
        <w:t>ter</w:t>
      </w:r>
      <w:r w:rsidR="006F12D5" w:rsidRPr="00A84F47">
        <w:rPr>
          <w:rStyle w:val="BoldpoudarekUMAR"/>
        </w:rPr>
        <w:t xml:space="preserve"> številu zaposlenih spada med največje dejavnosti</w:t>
      </w:r>
      <w:r w:rsidR="00F65C1E">
        <w:rPr>
          <w:rStyle w:val="BoldpoudarekUMAR"/>
        </w:rPr>
        <w:t xml:space="preserve"> slovenskega gospodarstva</w:t>
      </w:r>
      <w:r w:rsidR="006F12D5" w:rsidRPr="00A84F47">
        <w:rPr>
          <w:rStyle w:val="BoldpoudarekUMAR"/>
        </w:rPr>
        <w:t>.</w:t>
      </w:r>
      <w:r w:rsidR="006F12D5" w:rsidRPr="003E627F">
        <w:t xml:space="preserve"> Po vseh omenjenih kazalnikih </w:t>
      </w:r>
      <w:r w:rsidR="00336896">
        <w:t>je</w:t>
      </w:r>
      <w:r w:rsidR="006F12D5" w:rsidRPr="003E627F">
        <w:t xml:space="preserve"> </w:t>
      </w:r>
      <w:r w:rsidR="00A84F47">
        <w:t xml:space="preserve">dejavnost </w:t>
      </w:r>
      <w:r w:rsidR="00A84F47" w:rsidRPr="00A84F47">
        <w:rPr>
          <w:rStyle w:val="VodilnistavekUMAR"/>
          <w:b w:val="0"/>
        </w:rPr>
        <w:t>trgovin</w:t>
      </w:r>
      <w:r w:rsidR="00A84F47">
        <w:rPr>
          <w:rStyle w:val="VodilnistavekUMAR"/>
          <w:b w:val="0"/>
        </w:rPr>
        <w:t>a</w:t>
      </w:r>
      <w:r w:rsidR="00FC1E7F">
        <w:rPr>
          <w:rStyle w:val="VodilnistavekUMAR"/>
          <w:b w:val="0"/>
        </w:rPr>
        <w:t>,</w:t>
      </w:r>
      <w:r w:rsidR="00A84F47" w:rsidRPr="00A84F47">
        <w:rPr>
          <w:rStyle w:val="VodilnistavekUMAR"/>
          <w:b w:val="0"/>
        </w:rPr>
        <w:t xml:space="preserve"> vzdrževanj</w:t>
      </w:r>
      <w:r w:rsidR="00A84F47">
        <w:rPr>
          <w:rStyle w:val="VodilnistavekUMAR"/>
          <w:b w:val="0"/>
        </w:rPr>
        <w:t>e</w:t>
      </w:r>
      <w:r w:rsidR="00A84F47" w:rsidRPr="00A84F47">
        <w:rPr>
          <w:rStyle w:val="VodilnistavekUMAR"/>
          <w:b w:val="0"/>
        </w:rPr>
        <w:t xml:space="preserve"> in popravil</w:t>
      </w:r>
      <w:r w:rsidR="00FC1E7F">
        <w:rPr>
          <w:rStyle w:val="VodilnistavekUMAR"/>
          <w:b w:val="0"/>
        </w:rPr>
        <w:t>a</w:t>
      </w:r>
      <w:r w:rsidR="00A84F47" w:rsidRPr="00A84F47">
        <w:rPr>
          <w:rStyle w:val="VodilnistavekUMAR"/>
          <w:b w:val="0"/>
        </w:rPr>
        <w:t xml:space="preserve"> motornih vozil (G)</w:t>
      </w:r>
      <w:r w:rsidR="00A84F47">
        <w:rPr>
          <w:rStyle w:val="VodilnistavekUMAR"/>
          <w:b w:val="0"/>
        </w:rPr>
        <w:t xml:space="preserve"> </w:t>
      </w:r>
      <w:r w:rsidR="006F12D5" w:rsidRPr="003E627F">
        <w:t>takoj za predelovalni</w:t>
      </w:r>
      <w:r w:rsidR="00336896">
        <w:t>mi</w:t>
      </w:r>
      <w:r w:rsidR="006F12D5" w:rsidRPr="003E627F">
        <w:t xml:space="preserve"> dejavnost</w:t>
      </w:r>
      <w:r w:rsidR="00336896">
        <w:t>m</w:t>
      </w:r>
      <w:r w:rsidR="006F12D5" w:rsidRPr="003E627F">
        <w:t xml:space="preserve">i, po številu družb pa </w:t>
      </w:r>
      <w:r w:rsidR="00336896">
        <w:t>je celo</w:t>
      </w:r>
      <w:r w:rsidR="00336896" w:rsidRPr="003E627F">
        <w:t xml:space="preserve"> </w:t>
      </w:r>
      <w:r w:rsidR="006F12D5" w:rsidRPr="003E627F">
        <w:t>največj</w:t>
      </w:r>
      <w:r w:rsidR="00336896">
        <w:t>a</w:t>
      </w:r>
      <w:r w:rsidR="006F12D5" w:rsidRPr="003E627F">
        <w:t>.</w:t>
      </w:r>
      <w:r w:rsidR="00A84F47">
        <w:t xml:space="preserve"> </w:t>
      </w:r>
      <w:r w:rsidR="00336896">
        <w:t>Trgovske družbe p</w:t>
      </w:r>
      <w:r w:rsidR="00A84F47">
        <w:t>o vseh kazalnikih predstavljajo okoli petino celotne vrednosti</w:t>
      </w:r>
      <w:r w:rsidR="001F71C5">
        <w:t xml:space="preserve"> vseh gospodarskih družb</w:t>
      </w:r>
      <w:r w:rsidR="00A84F47">
        <w:t xml:space="preserve">. </w:t>
      </w:r>
      <w:r w:rsidR="001E55C4">
        <w:t>Trgovska d</w:t>
      </w:r>
      <w:r w:rsidR="00A84F47">
        <w:t xml:space="preserve">ejavnost </w:t>
      </w:r>
      <w:r w:rsidR="00EB453B">
        <w:t xml:space="preserve">je </w:t>
      </w:r>
      <w:r w:rsidR="007C71B5">
        <w:t>razdeljena na</w:t>
      </w:r>
      <w:r w:rsidR="001554D4">
        <w:t xml:space="preserve"> več panog, glavn</w:t>
      </w:r>
      <w:r w:rsidR="00247147">
        <w:t>i</w:t>
      </w:r>
      <w:r w:rsidR="001554D4">
        <w:t xml:space="preserve"> tri</w:t>
      </w:r>
      <w:r w:rsidR="00247147">
        <w:t>je oddelki</w:t>
      </w:r>
      <w:r w:rsidR="00EB453B">
        <w:t xml:space="preserve"> so</w:t>
      </w:r>
      <w:r w:rsidR="00FC1E7F">
        <w:t>:</w:t>
      </w:r>
      <w:r w:rsidR="00EB453B">
        <w:t xml:space="preserve"> trgovina </w:t>
      </w:r>
      <w:r w:rsidR="00342089">
        <w:br/>
      </w:r>
      <w:r w:rsidR="00EB453B">
        <w:t xml:space="preserve">z motornimi vozili in popravili le-teh (G45), </w:t>
      </w:r>
      <w:r w:rsidR="001E55C4">
        <w:t xml:space="preserve">ki je najmanjša </w:t>
      </w:r>
      <w:r w:rsidR="00336896">
        <w:t xml:space="preserve">trgovska </w:t>
      </w:r>
      <w:r w:rsidR="009E6268">
        <w:t>dejavnost</w:t>
      </w:r>
      <w:r w:rsidR="001E55C4">
        <w:t xml:space="preserve">; </w:t>
      </w:r>
      <w:r w:rsidR="00EB453B">
        <w:t>trgovina na debelo, razen z motornimi vozili (G46)</w:t>
      </w:r>
      <w:r w:rsidR="001E55C4">
        <w:t>, ki je največja dejavnost po deležu dodane vrednosti</w:t>
      </w:r>
      <w:r w:rsidR="00294CBF">
        <w:t>,</w:t>
      </w:r>
      <w:r w:rsidR="00EB453B">
        <w:t xml:space="preserve"> in trgovina na drobno, razen </w:t>
      </w:r>
      <w:r w:rsidR="00342089">
        <w:br/>
      </w:r>
      <w:r w:rsidR="00EB453B">
        <w:t>z motornimi vozili (G47)</w:t>
      </w:r>
      <w:r w:rsidR="001E55C4">
        <w:t xml:space="preserve">, ki je največja dejavnost po številu zaposlenih. </w:t>
      </w:r>
    </w:p>
    <w:p w14:paraId="3E6C214E" w14:textId="50720C3D" w:rsidR="005732E6" w:rsidRPr="00355D96" w:rsidRDefault="005732E6" w:rsidP="00355D96">
      <w:pPr>
        <w:pStyle w:val="Caption"/>
        <w:rPr>
          <w:rStyle w:val="DZBesediloChar"/>
          <w:szCs w:val="20"/>
        </w:rPr>
      </w:pPr>
      <w:r w:rsidRPr="00355D96">
        <w:t xml:space="preserve">Slika </w:t>
      </w:r>
      <w:r w:rsidRPr="00355D96">
        <w:fldChar w:fldCharType="begin"/>
      </w:r>
      <w:r w:rsidRPr="00355D96">
        <w:instrText xml:space="preserve"> SEQ Slika \* ARABIC </w:instrText>
      </w:r>
      <w:r w:rsidRPr="00355D96">
        <w:fldChar w:fldCharType="separate"/>
      </w:r>
      <w:r w:rsidRPr="00355D96">
        <w:t>1</w:t>
      </w:r>
      <w:r w:rsidRPr="00355D96">
        <w:fldChar w:fldCharType="end"/>
      </w:r>
      <w:r w:rsidRPr="00355D96">
        <w:rPr>
          <w:rStyle w:val="DZBesediloChar"/>
          <w:szCs w:val="20"/>
        </w:rPr>
        <w:t xml:space="preserve">: Trgovini na debelo in na drobno sta bili v letu 2021 precej izenačeni po deležu v dodani vrednosti celotne dejavnosti </w:t>
      </w:r>
    </w:p>
    <w:p w14:paraId="554673B1" w14:textId="0C7C6BDE" w:rsidR="005732E6" w:rsidRPr="005732E6" w:rsidRDefault="00BC5EEC" w:rsidP="005732E6">
      <w:pPr>
        <w:pStyle w:val="Caption"/>
      </w:pPr>
      <w:r w:rsidRPr="00BC5EEC">
        <w:drawing>
          <wp:inline distT="0" distB="0" distL="0" distR="0" wp14:anchorId="0981FC0B" wp14:editId="022D9266">
            <wp:extent cx="5973854" cy="22574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1920" cy="2260473"/>
                    </a:xfrm>
                    <a:prstGeom prst="rect">
                      <a:avLst/>
                    </a:prstGeom>
                    <a:noFill/>
                    <a:ln>
                      <a:noFill/>
                    </a:ln>
                  </pic:spPr>
                </pic:pic>
              </a:graphicData>
            </a:graphic>
          </wp:inline>
        </w:drawing>
      </w:r>
    </w:p>
    <w:p w14:paraId="0AD13CA6" w14:textId="77777777" w:rsidR="005732E6" w:rsidRDefault="00C03361" w:rsidP="00355D96">
      <w:pPr>
        <w:pStyle w:val="VirUMAR"/>
      </w:pPr>
      <w:bookmarkStart w:id="4" w:name="_Hlk109132995"/>
      <w:r w:rsidRPr="008F6BED">
        <w:t xml:space="preserve">Vir podatkov: </w:t>
      </w:r>
      <w:r w:rsidR="00B3524B">
        <w:fldChar w:fldCharType="begin"/>
      </w:r>
      <w:r w:rsidR="007309C9">
        <w:instrText xml:space="preserve"> ADDIN ZOTERO_ITEM CSL_CITATION {"citationID":"WD1ujlRp","properties":{"formattedCitation":"(AJPES,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rsidR="00B3524B">
        <w:fldChar w:fldCharType="separate"/>
      </w:r>
      <w:r w:rsidR="00B3524B" w:rsidRPr="00B3524B">
        <w:t xml:space="preserve">AJPES </w:t>
      </w:r>
      <w:r w:rsidR="00B3524B">
        <w:t>(</w:t>
      </w:r>
      <w:r w:rsidR="00B3524B" w:rsidRPr="00B3524B">
        <w:t>2022)</w:t>
      </w:r>
      <w:r w:rsidR="00B3524B">
        <w:fldChar w:fldCharType="end"/>
      </w:r>
      <w:r w:rsidRPr="008F6BED">
        <w:t>, lastni izračuni.</w:t>
      </w:r>
    </w:p>
    <w:bookmarkEnd w:id="4"/>
    <w:p w14:paraId="18105CA3" w14:textId="77777777" w:rsidR="00C03361" w:rsidRDefault="00C03361" w:rsidP="009D6F28">
      <w:pPr>
        <w:pStyle w:val="BesediloUMAR"/>
        <w:rPr>
          <w:sz w:val="16"/>
        </w:rPr>
      </w:pPr>
    </w:p>
    <w:p w14:paraId="46BE92C2" w14:textId="569110B9" w:rsidR="00C03361" w:rsidRDefault="00C03361" w:rsidP="009D6F28">
      <w:pPr>
        <w:pStyle w:val="BesediloUMAR"/>
      </w:pPr>
      <w:bookmarkStart w:id="5" w:name="_Hlk109126378"/>
      <w:r w:rsidRPr="005732E6">
        <w:rPr>
          <w:rStyle w:val="VodilnistavekUMAR"/>
        </w:rPr>
        <w:t>V letu 2021 je rast dodane vrednosti v družbah trgovine ter vzdrževanja in popravil motornih vozil glede na predhodno leto in glede na leto 2019 močno presegla rast povprečn</w:t>
      </w:r>
      <w:r w:rsidR="009E6268">
        <w:rPr>
          <w:rStyle w:val="VodilnistavekUMAR"/>
        </w:rPr>
        <w:t>e</w:t>
      </w:r>
      <w:r w:rsidRPr="005732E6">
        <w:rPr>
          <w:rStyle w:val="VodilnistavekUMAR"/>
        </w:rPr>
        <w:t xml:space="preserve"> gospodarsk</w:t>
      </w:r>
      <w:r w:rsidR="009E6268">
        <w:rPr>
          <w:rStyle w:val="VodilnistavekUMAR"/>
        </w:rPr>
        <w:t>e</w:t>
      </w:r>
      <w:r w:rsidRPr="005732E6">
        <w:rPr>
          <w:rStyle w:val="VodilnistavekUMAR"/>
        </w:rPr>
        <w:t xml:space="preserve"> družb</w:t>
      </w:r>
      <w:r w:rsidR="004A235B">
        <w:rPr>
          <w:rStyle w:val="VodilnistavekUMAR"/>
        </w:rPr>
        <w:t>e</w:t>
      </w:r>
      <w:r w:rsidRPr="005732E6">
        <w:rPr>
          <w:rStyle w:val="VodilnistavekUMAR"/>
        </w:rPr>
        <w:t>.</w:t>
      </w:r>
      <w:bookmarkEnd w:id="5"/>
      <w:r w:rsidRPr="005732E6">
        <w:t xml:space="preserve"> </w:t>
      </w:r>
      <w:r w:rsidR="00342089">
        <w:br/>
      </w:r>
      <w:r w:rsidRPr="005732E6">
        <w:t>Po zmanjševanju v obdobju 2011–2013 se je dodana vrednost trgovskih družb v naslednjih letih povečevala</w:t>
      </w:r>
      <w:r w:rsidR="005B3835">
        <w:rPr>
          <w:rStyle w:val="FootnoteReference"/>
        </w:rPr>
        <w:footnoteReference w:id="3"/>
      </w:r>
      <w:r w:rsidRPr="005732E6">
        <w:t xml:space="preserve">. Lani je bila za okoli petino višja kot leta 2020 in leta 2019, kar je bilo precej </w:t>
      </w:r>
      <w:r w:rsidR="009E6268">
        <w:t xml:space="preserve">več </w:t>
      </w:r>
      <w:r w:rsidRPr="005732E6">
        <w:t xml:space="preserve">kot v povprečju gospodarskih družb, kjer so raven iz leta 2019 presegli le za dobro desetino. S tem se je njen delež v skupni dodani vrednosti precej okrepil in bil </w:t>
      </w:r>
      <w:r w:rsidR="009E6268">
        <w:t>z</w:t>
      </w:r>
      <w:r w:rsidRPr="005732E6">
        <w:t xml:space="preserve"> 18,7 % najvišji po letu 2010. </w:t>
      </w:r>
      <w:r w:rsidR="00587409">
        <w:t xml:space="preserve">Družbe so </w:t>
      </w:r>
      <w:r w:rsidRPr="005732E6">
        <w:t>lani močneje okrepil</w:t>
      </w:r>
      <w:r w:rsidR="00587409">
        <w:t>e</w:t>
      </w:r>
      <w:r w:rsidRPr="005732E6">
        <w:t xml:space="preserve"> tudi produktivnost. Ta </w:t>
      </w:r>
      <w:r w:rsidR="00587409">
        <w:t xml:space="preserve">je </w:t>
      </w:r>
      <w:r w:rsidRPr="005732E6">
        <w:t>v dejavnosti trgovine v nominalnem znesku sicer vse od leta 2019 presega</w:t>
      </w:r>
      <w:r w:rsidR="00587409">
        <w:t>la</w:t>
      </w:r>
      <w:r w:rsidRPr="005732E6">
        <w:t xml:space="preserve"> povprečno produktivnost vseh gospodarskih družb, se je pa razlika v letu 2021 precej povečala (na 8 %, v letih 2019 in 2020 pa je znašala 3 %). Ob manjšem povečanju stroškov dela na zaposlenega od rasti produktivnosti se je leta 2021 opazneje zmanjšal delež stroškov dela v dodani vrednosti, ki je bil s 52,7</w:t>
      </w:r>
      <w:r w:rsidR="00D91D45">
        <w:t> </w:t>
      </w:r>
      <w:r w:rsidRPr="005732E6">
        <w:t>% najnižji od leta 2008.</w:t>
      </w:r>
    </w:p>
    <w:p w14:paraId="18110980" w14:textId="77777777" w:rsidR="001E55C4" w:rsidRDefault="001E55C4" w:rsidP="009D6F28">
      <w:pPr>
        <w:pStyle w:val="BesediloUMAR"/>
        <w:rPr>
          <w:sz w:val="16"/>
        </w:rPr>
      </w:pPr>
    </w:p>
    <w:p w14:paraId="60A631FD" w14:textId="57E15CB7" w:rsidR="001E55C4" w:rsidRPr="00C03361" w:rsidRDefault="001E55C4" w:rsidP="009D6F28">
      <w:pPr>
        <w:pStyle w:val="BesediloUMAR"/>
        <w:rPr>
          <w:sz w:val="16"/>
        </w:rPr>
      </w:pPr>
      <w:r w:rsidRPr="00C03361">
        <w:rPr>
          <w:rStyle w:val="VodilnistavekUMAR"/>
        </w:rPr>
        <w:lastRenderedPageBreak/>
        <w:t>Rast dodane vrednosti in produktivnosti so v letu 2021 dosegle družbe vseh treh oddelkov.</w:t>
      </w:r>
      <w:r w:rsidRPr="00C03361">
        <w:rPr>
          <w:b/>
        </w:rPr>
        <w:t xml:space="preserve"> </w:t>
      </w:r>
      <w:r w:rsidRPr="00C03361">
        <w:t>Visoko rast dodane vrednosti (17,6 %) so dosegle družbe,</w:t>
      </w:r>
      <w:r w:rsidRPr="00C03361">
        <w:rPr>
          <w:b/>
        </w:rPr>
        <w:t xml:space="preserve"> </w:t>
      </w:r>
      <w:r w:rsidRPr="00C03361">
        <w:t>ki se ukvarjajo s posredništvom in trgovino na debelo, razen z motornimi vozili, ki so edine izmed treh oddelkov tudi v letu 2020 poslovale z rastjo</w:t>
      </w:r>
      <w:r w:rsidRPr="00BC5EEC">
        <w:rPr>
          <w:bCs/>
        </w:rPr>
        <w:t>.</w:t>
      </w:r>
      <w:r w:rsidRPr="00C03361">
        <w:t xml:space="preserve"> Še višjo rast so dosegle družbe trgovine z motornimi vozili in njihovimi popravili (24,5 %) in družbe oddelka trgovine na drobno, razen z motornimi vozili (27,6 %), katerih poslovanje je bilo v letu 2020 pod vplivom omejitvenih ukrepov poslovanja ob razglašeni epidemiji slabše kot v letu 2019. Ob takšnih gibanjih so se družbe v trgovini na debelo in v trgovini na drobno precej izenačile po deležu v dodani vrednosti. Še okrepil se je delež družb v trgovini na drobno v zaposlenosti celotne dejavnosti, ki je dosegel 51,1 %. Ob rasti števila zaposlenih (razen v trgovini na debelo) se je nekoliko manj kot dodana vrednost povečala produktivnost dela, ki pa je z okoli petinsko rastjo v vseh treh glavnih panogah močno presegla rast povprečj</w:t>
      </w:r>
      <w:r w:rsidR="007A1284">
        <w:t>a</w:t>
      </w:r>
      <w:r w:rsidRPr="00C03361">
        <w:t xml:space="preserve"> gospodarskih družb (glede na 2020 in na 2019).</w:t>
      </w:r>
    </w:p>
    <w:p w14:paraId="62D8A37B" w14:textId="77777777" w:rsidR="00355D96" w:rsidRDefault="00355D96" w:rsidP="00355D96">
      <w:pPr>
        <w:pStyle w:val="Caption"/>
        <w:rPr>
          <w:rStyle w:val="DZBesediloChar"/>
          <w:szCs w:val="20"/>
        </w:rPr>
      </w:pPr>
      <w:bookmarkStart w:id="6" w:name="_Toc96409042"/>
      <w:r w:rsidRPr="00355D96">
        <w:t xml:space="preserve">Tabela </w:t>
      </w:r>
      <w:r w:rsidRPr="00355D96">
        <w:fldChar w:fldCharType="begin"/>
      </w:r>
      <w:r w:rsidRPr="00355D96">
        <w:instrText xml:space="preserve"> SEQ Tabela \* ARABIC </w:instrText>
      </w:r>
      <w:r w:rsidRPr="00355D96">
        <w:fldChar w:fldCharType="separate"/>
      </w:r>
      <w:r w:rsidRPr="00355D96">
        <w:t>1</w:t>
      </w:r>
      <w:r w:rsidRPr="00355D96">
        <w:fldChar w:fldCharType="end"/>
      </w:r>
      <w:r w:rsidRPr="00355D96">
        <w:rPr>
          <w:rStyle w:val="DZBesediloChar"/>
          <w:szCs w:val="20"/>
        </w:rPr>
        <w:t>: Kazalniki poslovanja gospodarskih družb v dejavnosti trgovina, vzdrževanje in popravila motornih vozil v izbranih letih</w:t>
      </w:r>
      <w:bookmarkEnd w:id="6"/>
    </w:p>
    <w:tbl>
      <w:tblPr>
        <w:tblStyle w:val="TableGridLight"/>
        <w:tblW w:w="9406" w:type="dxa"/>
        <w:tblLayout w:type="fixed"/>
        <w:tblLook w:val="01E0" w:firstRow="1" w:lastRow="1" w:firstColumn="1" w:lastColumn="1" w:noHBand="0" w:noVBand="0"/>
      </w:tblPr>
      <w:tblGrid>
        <w:gridCol w:w="4443"/>
        <w:gridCol w:w="825"/>
        <w:gridCol w:w="827"/>
        <w:gridCol w:w="826"/>
        <w:gridCol w:w="827"/>
        <w:gridCol w:w="829"/>
        <w:gridCol w:w="829"/>
      </w:tblGrid>
      <w:tr w:rsidR="00355D96" w:rsidRPr="00355D96" w14:paraId="332486D6" w14:textId="77777777" w:rsidTr="00355D96">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443" w:type="dxa"/>
          </w:tcPr>
          <w:p w14:paraId="2C048718" w14:textId="77777777" w:rsidR="00355D96" w:rsidRPr="00355D96" w:rsidRDefault="00355D96" w:rsidP="00355D96">
            <w:pPr>
              <w:pStyle w:val="BesediloUMAR"/>
              <w:rPr>
                <w:b/>
                <w:bCs/>
                <w:sz w:val="20"/>
              </w:rPr>
            </w:pPr>
          </w:p>
        </w:tc>
        <w:tc>
          <w:tcPr>
            <w:cnfStyle w:val="000010000000" w:firstRow="0" w:lastRow="0" w:firstColumn="0" w:lastColumn="0" w:oddVBand="1" w:evenVBand="0" w:oddHBand="0" w:evenHBand="0" w:firstRowFirstColumn="0" w:firstRowLastColumn="0" w:lastRowFirstColumn="0" w:lastRowLastColumn="0"/>
            <w:tcW w:w="825" w:type="dxa"/>
          </w:tcPr>
          <w:p w14:paraId="44BF5C4A" w14:textId="77777777" w:rsidR="00355D96" w:rsidRPr="00355D96" w:rsidRDefault="00355D96" w:rsidP="00355D96">
            <w:pPr>
              <w:pStyle w:val="TabelaglavadesnoUMAR"/>
            </w:pPr>
            <w:r w:rsidRPr="00355D96">
              <w:t>2008</w:t>
            </w:r>
          </w:p>
        </w:tc>
        <w:tc>
          <w:tcPr>
            <w:cnfStyle w:val="000001000000" w:firstRow="0" w:lastRow="0" w:firstColumn="0" w:lastColumn="0" w:oddVBand="0" w:evenVBand="1" w:oddHBand="0" w:evenHBand="0" w:firstRowFirstColumn="0" w:firstRowLastColumn="0" w:lastRowFirstColumn="0" w:lastRowLastColumn="0"/>
            <w:tcW w:w="827" w:type="dxa"/>
          </w:tcPr>
          <w:p w14:paraId="7C44620A" w14:textId="77777777" w:rsidR="00355D96" w:rsidRPr="00355D96" w:rsidRDefault="00355D96" w:rsidP="00355D96">
            <w:pPr>
              <w:pStyle w:val="TabelaglavadesnoUMAR"/>
            </w:pPr>
            <w:r w:rsidRPr="00355D96">
              <w:t>2010</w:t>
            </w:r>
          </w:p>
        </w:tc>
        <w:tc>
          <w:tcPr>
            <w:cnfStyle w:val="000010000000" w:firstRow="0" w:lastRow="0" w:firstColumn="0" w:lastColumn="0" w:oddVBand="1" w:evenVBand="0" w:oddHBand="0" w:evenHBand="0" w:firstRowFirstColumn="0" w:firstRowLastColumn="0" w:lastRowFirstColumn="0" w:lastRowLastColumn="0"/>
            <w:tcW w:w="826" w:type="dxa"/>
          </w:tcPr>
          <w:p w14:paraId="66720DB2" w14:textId="77777777" w:rsidR="00355D96" w:rsidRPr="00355D96" w:rsidRDefault="00355D96" w:rsidP="00355D96">
            <w:pPr>
              <w:pStyle w:val="TabelaglavadesnoUMAR"/>
            </w:pPr>
            <w:r w:rsidRPr="00355D96">
              <w:t>2015</w:t>
            </w:r>
          </w:p>
        </w:tc>
        <w:tc>
          <w:tcPr>
            <w:cnfStyle w:val="000001000000" w:firstRow="0" w:lastRow="0" w:firstColumn="0" w:lastColumn="0" w:oddVBand="0" w:evenVBand="1" w:oddHBand="0" w:evenHBand="0" w:firstRowFirstColumn="0" w:firstRowLastColumn="0" w:lastRowFirstColumn="0" w:lastRowLastColumn="0"/>
            <w:tcW w:w="827" w:type="dxa"/>
          </w:tcPr>
          <w:p w14:paraId="40844D71" w14:textId="77777777" w:rsidR="00355D96" w:rsidRPr="00355D96" w:rsidRDefault="00355D96" w:rsidP="00355D96">
            <w:pPr>
              <w:pStyle w:val="TabelaglavadesnoUMAR"/>
            </w:pPr>
            <w:r w:rsidRPr="00355D96">
              <w:t>2019</w:t>
            </w:r>
          </w:p>
        </w:tc>
        <w:tc>
          <w:tcPr>
            <w:cnfStyle w:val="000010000000" w:firstRow="0" w:lastRow="0" w:firstColumn="0" w:lastColumn="0" w:oddVBand="1" w:evenVBand="0" w:oddHBand="0" w:evenHBand="0" w:firstRowFirstColumn="0" w:firstRowLastColumn="0" w:lastRowFirstColumn="0" w:lastRowLastColumn="0"/>
            <w:tcW w:w="829" w:type="dxa"/>
          </w:tcPr>
          <w:p w14:paraId="2E9BB17B" w14:textId="77777777" w:rsidR="00355D96" w:rsidRPr="00355D96" w:rsidRDefault="00355D96" w:rsidP="00355D96">
            <w:pPr>
              <w:pStyle w:val="TabelaglavadesnoUMAR"/>
            </w:pPr>
            <w:r w:rsidRPr="00355D96">
              <w:t>2020</w:t>
            </w:r>
          </w:p>
        </w:tc>
        <w:tc>
          <w:tcPr>
            <w:cnfStyle w:val="000100000000" w:firstRow="0" w:lastRow="0" w:firstColumn="0" w:lastColumn="1" w:oddVBand="0" w:evenVBand="0" w:oddHBand="0" w:evenHBand="0" w:firstRowFirstColumn="0" w:firstRowLastColumn="0" w:lastRowFirstColumn="0" w:lastRowLastColumn="0"/>
            <w:tcW w:w="829" w:type="dxa"/>
          </w:tcPr>
          <w:p w14:paraId="25F495D3" w14:textId="77777777" w:rsidR="00355D96" w:rsidRPr="00355D96" w:rsidRDefault="00355D96" w:rsidP="00355D96">
            <w:pPr>
              <w:pStyle w:val="TabelaglavadesnoUMAR"/>
            </w:pPr>
            <w:r w:rsidRPr="00355D96">
              <w:t>2021</w:t>
            </w:r>
          </w:p>
        </w:tc>
      </w:tr>
      <w:tr w:rsidR="00355D96" w:rsidRPr="00355D96" w14:paraId="66041901"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4443" w:type="dxa"/>
          </w:tcPr>
          <w:p w14:paraId="1B5588A6" w14:textId="77777777" w:rsidR="00355D96" w:rsidRPr="00355D96" w:rsidRDefault="00355D96" w:rsidP="00355D96">
            <w:pPr>
              <w:pStyle w:val="TabelalevoUMAR"/>
            </w:pPr>
            <w:r w:rsidRPr="00355D96">
              <w:t>Število gospodarskih družb</w:t>
            </w:r>
          </w:p>
        </w:tc>
        <w:tc>
          <w:tcPr>
            <w:cnfStyle w:val="000010000000" w:firstRow="0" w:lastRow="0" w:firstColumn="0" w:lastColumn="0" w:oddVBand="1" w:evenVBand="0" w:oddHBand="0" w:evenHBand="0" w:firstRowFirstColumn="0" w:firstRowLastColumn="0" w:lastRowFirstColumn="0" w:lastRowLastColumn="0"/>
            <w:tcW w:w="825" w:type="dxa"/>
          </w:tcPr>
          <w:p w14:paraId="3B681807" w14:textId="77777777" w:rsidR="00355D96" w:rsidRPr="00355D96" w:rsidRDefault="00355D96" w:rsidP="00355D96">
            <w:pPr>
              <w:pStyle w:val="TabeladesnoUMAR"/>
            </w:pPr>
            <w:r w:rsidRPr="00355D96">
              <w:t>13.456</w:t>
            </w:r>
          </w:p>
        </w:tc>
        <w:tc>
          <w:tcPr>
            <w:cnfStyle w:val="000001000000" w:firstRow="0" w:lastRow="0" w:firstColumn="0" w:lastColumn="0" w:oddVBand="0" w:evenVBand="1" w:oddHBand="0" w:evenHBand="0" w:firstRowFirstColumn="0" w:firstRowLastColumn="0" w:lastRowFirstColumn="0" w:lastRowLastColumn="0"/>
            <w:tcW w:w="827" w:type="dxa"/>
          </w:tcPr>
          <w:p w14:paraId="236EA893" w14:textId="77777777" w:rsidR="00355D96" w:rsidRPr="00355D96" w:rsidRDefault="00355D96" w:rsidP="00355D96">
            <w:pPr>
              <w:pStyle w:val="TabeladesnoUMAR"/>
            </w:pPr>
            <w:r w:rsidRPr="00355D96">
              <w:t>13.947</w:t>
            </w:r>
          </w:p>
        </w:tc>
        <w:tc>
          <w:tcPr>
            <w:cnfStyle w:val="000010000000" w:firstRow="0" w:lastRow="0" w:firstColumn="0" w:lastColumn="0" w:oddVBand="1" w:evenVBand="0" w:oddHBand="0" w:evenHBand="0" w:firstRowFirstColumn="0" w:firstRowLastColumn="0" w:lastRowFirstColumn="0" w:lastRowLastColumn="0"/>
            <w:tcW w:w="826" w:type="dxa"/>
          </w:tcPr>
          <w:p w14:paraId="6745D5AF" w14:textId="77777777" w:rsidR="00355D96" w:rsidRPr="00355D96" w:rsidRDefault="00355D96" w:rsidP="00355D96">
            <w:pPr>
              <w:pStyle w:val="TabeladesnoUMAR"/>
            </w:pPr>
            <w:r w:rsidRPr="00355D96">
              <w:t>15.354</w:t>
            </w:r>
          </w:p>
        </w:tc>
        <w:tc>
          <w:tcPr>
            <w:cnfStyle w:val="000001000000" w:firstRow="0" w:lastRow="0" w:firstColumn="0" w:lastColumn="0" w:oddVBand="0" w:evenVBand="1" w:oddHBand="0" w:evenHBand="0" w:firstRowFirstColumn="0" w:firstRowLastColumn="0" w:lastRowFirstColumn="0" w:lastRowLastColumn="0"/>
            <w:tcW w:w="827" w:type="dxa"/>
          </w:tcPr>
          <w:p w14:paraId="7D2382F2" w14:textId="77777777" w:rsidR="00355D96" w:rsidRPr="00355D96" w:rsidRDefault="00355D96" w:rsidP="00355D96">
            <w:pPr>
              <w:pStyle w:val="TabeladesnoUMAR"/>
            </w:pPr>
            <w:r w:rsidRPr="00355D96">
              <w:t>15.084</w:t>
            </w:r>
          </w:p>
        </w:tc>
        <w:tc>
          <w:tcPr>
            <w:cnfStyle w:val="000010000000" w:firstRow="0" w:lastRow="0" w:firstColumn="0" w:lastColumn="0" w:oddVBand="1" w:evenVBand="0" w:oddHBand="0" w:evenHBand="0" w:firstRowFirstColumn="0" w:firstRowLastColumn="0" w:lastRowFirstColumn="0" w:lastRowLastColumn="0"/>
            <w:tcW w:w="829" w:type="dxa"/>
          </w:tcPr>
          <w:p w14:paraId="56637F17" w14:textId="77777777" w:rsidR="00355D96" w:rsidRPr="00355D96" w:rsidRDefault="00355D96" w:rsidP="00355D96">
            <w:pPr>
              <w:pStyle w:val="TabeladesnoUMAR"/>
            </w:pPr>
            <w:r w:rsidRPr="00355D96">
              <w:t>15.167</w:t>
            </w:r>
          </w:p>
        </w:tc>
        <w:tc>
          <w:tcPr>
            <w:cnfStyle w:val="000100000000" w:firstRow="0" w:lastRow="0" w:firstColumn="0" w:lastColumn="1" w:oddVBand="0" w:evenVBand="0" w:oddHBand="0" w:evenHBand="0" w:firstRowFirstColumn="0" w:firstRowLastColumn="0" w:lastRowFirstColumn="0" w:lastRowLastColumn="0"/>
            <w:tcW w:w="829" w:type="dxa"/>
          </w:tcPr>
          <w:p w14:paraId="420F74E4" w14:textId="77777777" w:rsidR="00355D96" w:rsidRPr="00355D96" w:rsidRDefault="00355D96" w:rsidP="00355D96">
            <w:pPr>
              <w:pStyle w:val="TabeladesnoUMAR"/>
            </w:pPr>
            <w:r w:rsidRPr="00355D96">
              <w:t>15.002</w:t>
            </w:r>
          </w:p>
        </w:tc>
      </w:tr>
      <w:tr w:rsidR="00355D96" w:rsidRPr="00355D96" w14:paraId="142CA4B4"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4443" w:type="dxa"/>
          </w:tcPr>
          <w:p w14:paraId="464034D2" w14:textId="77777777" w:rsidR="00355D96" w:rsidRPr="00355D96" w:rsidRDefault="00355D96" w:rsidP="00355D96">
            <w:pPr>
              <w:pStyle w:val="TabelalevoUMAR"/>
              <w:rPr>
                <w:vertAlign w:val="superscript"/>
              </w:rPr>
            </w:pPr>
            <w:r w:rsidRPr="00355D96">
              <w:t>Število zaposlenih</w:t>
            </w:r>
            <w:r w:rsidRPr="00355D96">
              <w:rPr>
                <w:vertAlign w:val="superscript"/>
              </w:rPr>
              <w:t>1</w:t>
            </w:r>
          </w:p>
        </w:tc>
        <w:tc>
          <w:tcPr>
            <w:cnfStyle w:val="000010000000" w:firstRow="0" w:lastRow="0" w:firstColumn="0" w:lastColumn="0" w:oddVBand="1" w:evenVBand="0" w:oddHBand="0" w:evenHBand="0" w:firstRowFirstColumn="0" w:firstRowLastColumn="0" w:lastRowFirstColumn="0" w:lastRowLastColumn="0"/>
            <w:tcW w:w="825" w:type="dxa"/>
          </w:tcPr>
          <w:p w14:paraId="283746FD" w14:textId="77777777" w:rsidR="00355D96" w:rsidRPr="00355D96" w:rsidRDefault="00355D96" w:rsidP="00355D96">
            <w:pPr>
              <w:pStyle w:val="TabeladesnoUMAR"/>
            </w:pPr>
            <w:r w:rsidRPr="00355D96">
              <w:t>90.311</w:t>
            </w:r>
          </w:p>
        </w:tc>
        <w:tc>
          <w:tcPr>
            <w:cnfStyle w:val="000001000000" w:firstRow="0" w:lastRow="0" w:firstColumn="0" w:lastColumn="0" w:oddVBand="0" w:evenVBand="1" w:oddHBand="0" w:evenHBand="0" w:firstRowFirstColumn="0" w:firstRowLastColumn="0" w:lastRowFirstColumn="0" w:lastRowLastColumn="0"/>
            <w:tcW w:w="827" w:type="dxa"/>
          </w:tcPr>
          <w:p w14:paraId="6BAB248F" w14:textId="77777777" w:rsidR="00355D96" w:rsidRPr="00355D96" w:rsidRDefault="00355D96" w:rsidP="00355D96">
            <w:pPr>
              <w:pStyle w:val="TabeladesnoUMAR"/>
            </w:pPr>
            <w:r w:rsidRPr="00355D96">
              <w:t>86.871</w:t>
            </w:r>
          </w:p>
        </w:tc>
        <w:tc>
          <w:tcPr>
            <w:cnfStyle w:val="000010000000" w:firstRow="0" w:lastRow="0" w:firstColumn="0" w:lastColumn="0" w:oddVBand="1" w:evenVBand="0" w:oddHBand="0" w:evenHBand="0" w:firstRowFirstColumn="0" w:firstRowLastColumn="0" w:lastRowFirstColumn="0" w:lastRowLastColumn="0"/>
            <w:tcW w:w="826" w:type="dxa"/>
          </w:tcPr>
          <w:p w14:paraId="1FA67B2F" w14:textId="77777777" w:rsidR="00355D96" w:rsidRPr="00355D96" w:rsidRDefault="00355D96" w:rsidP="00355D96">
            <w:pPr>
              <w:pStyle w:val="TabeladesnoUMAR"/>
            </w:pPr>
            <w:r w:rsidRPr="00355D96">
              <w:t>79.770</w:t>
            </w:r>
          </w:p>
        </w:tc>
        <w:tc>
          <w:tcPr>
            <w:cnfStyle w:val="000001000000" w:firstRow="0" w:lastRow="0" w:firstColumn="0" w:lastColumn="0" w:oddVBand="0" w:evenVBand="1" w:oddHBand="0" w:evenHBand="0" w:firstRowFirstColumn="0" w:firstRowLastColumn="0" w:lastRowFirstColumn="0" w:lastRowLastColumn="0"/>
            <w:tcW w:w="827" w:type="dxa"/>
          </w:tcPr>
          <w:p w14:paraId="50D09004" w14:textId="77777777" w:rsidR="00355D96" w:rsidRPr="00355D96" w:rsidRDefault="00355D96" w:rsidP="00355D96">
            <w:pPr>
              <w:pStyle w:val="TabeladesnoUMAR"/>
            </w:pPr>
            <w:r w:rsidRPr="00355D96">
              <w:t>88.872</w:t>
            </w:r>
          </w:p>
        </w:tc>
        <w:tc>
          <w:tcPr>
            <w:cnfStyle w:val="000010000000" w:firstRow="0" w:lastRow="0" w:firstColumn="0" w:lastColumn="0" w:oddVBand="1" w:evenVBand="0" w:oddHBand="0" w:evenHBand="0" w:firstRowFirstColumn="0" w:firstRowLastColumn="0" w:lastRowFirstColumn="0" w:lastRowLastColumn="0"/>
            <w:tcW w:w="829" w:type="dxa"/>
          </w:tcPr>
          <w:p w14:paraId="6C31D067" w14:textId="77777777" w:rsidR="00355D96" w:rsidRPr="00355D96" w:rsidRDefault="00355D96" w:rsidP="00355D96">
            <w:pPr>
              <w:pStyle w:val="TabeladesnoUMAR"/>
            </w:pPr>
            <w:r w:rsidRPr="00355D96">
              <w:t>88.828</w:t>
            </w:r>
          </w:p>
        </w:tc>
        <w:tc>
          <w:tcPr>
            <w:cnfStyle w:val="000100000000" w:firstRow="0" w:lastRow="0" w:firstColumn="0" w:lastColumn="1" w:oddVBand="0" w:evenVBand="0" w:oddHBand="0" w:evenHBand="0" w:firstRowFirstColumn="0" w:firstRowLastColumn="0" w:lastRowFirstColumn="0" w:lastRowLastColumn="0"/>
            <w:tcW w:w="829" w:type="dxa"/>
          </w:tcPr>
          <w:p w14:paraId="4E14EF49" w14:textId="77777777" w:rsidR="00355D96" w:rsidRPr="00355D96" w:rsidRDefault="00355D96" w:rsidP="00355D96">
            <w:pPr>
              <w:pStyle w:val="TabeladesnoUMAR"/>
            </w:pPr>
            <w:r w:rsidRPr="00355D96">
              <w:t>90.357</w:t>
            </w:r>
          </w:p>
        </w:tc>
      </w:tr>
      <w:tr w:rsidR="00355D96" w:rsidRPr="00355D96" w14:paraId="6F6B5378"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4443" w:type="dxa"/>
          </w:tcPr>
          <w:p w14:paraId="0FB7576C" w14:textId="77777777" w:rsidR="00355D96" w:rsidRPr="00355D96" w:rsidRDefault="00355D96" w:rsidP="00355D96">
            <w:pPr>
              <w:pStyle w:val="TabelalevoUMAR"/>
            </w:pPr>
            <w:r w:rsidRPr="00355D96">
              <w:t>Delež zaposlenih v vseh družbah (v %)</w:t>
            </w:r>
          </w:p>
        </w:tc>
        <w:tc>
          <w:tcPr>
            <w:cnfStyle w:val="000010000000" w:firstRow="0" w:lastRow="0" w:firstColumn="0" w:lastColumn="0" w:oddVBand="1" w:evenVBand="0" w:oddHBand="0" w:evenHBand="0" w:firstRowFirstColumn="0" w:firstRowLastColumn="0" w:lastRowFirstColumn="0" w:lastRowLastColumn="0"/>
            <w:tcW w:w="825" w:type="dxa"/>
          </w:tcPr>
          <w:p w14:paraId="07A18F66" w14:textId="77777777" w:rsidR="00355D96" w:rsidRPr="00355D96" w:rsidRDefault="00355D96" w:rsidP="00355D96">
            <w:pPr>
              <w:pStyle w:val="TabeladesnoUMAR"/>
            </w:pPr>
            <w:r w:rsidRPr="00355D96">
              <w:t>17,7</w:t>
            </w:r>
          </w:p>
        </w:tc>
        <w:tc>
          <w:tcPr>
            <w:cnfStyle w:val="000001000000" w:firstRow="0" w:lastRow="0" w:firstColumn="0" w:lastColumn="0" w:oddVBand="0" w:evenVBand="1" w:oddHBand="0" w:evenHBand="0" w:firstRowFirstColumn="0" w:firstRowLastColumn="0" w:lastRowFirstColumn="0" w:lastRowLastColumn="0"/>
            <w:tcW w:w="827" w:type="dxa"/>
          </w:tcPr>
          <w:p w14:paraId="5C06E244" w14:textId="77777777" w:rsidR="00355D96" w:rsidRPr="00355D96" w:rsidRDefault="00355D96" w:rsidP="00355D96">
            <w:pPr>
              <w:pStyle w:val="TabeladesnoUMAR"/>
            </w:pPr>
            <w:r w:rsidRPr="00355D96">
              <w:t>18,8</w:t>
            </w:r>
          </w:p>
        </w:tc>
        <w:tc>
          <w:tcPr>
            <w:cnfStyle w:val="000010000000" w:firstRow="0" w:lastRow="0" w:firstColumn="0" w:lastColumn="0" w:oddVBand="1" w:evenVBand="0" w:oddHBand="0" w:evenHBand="0" w:firstRowFirstColumn="0" w:firstRowLastColumn="0" w:lastRowFirstColumn="0" w:lastRowLastColumn="0"/>
            <w:tcW w:w="826" w:type="dxa"/>
          </w:tcPr>
          <w:p w14:paraId="0F233CF9" w14:textId="77777777" w:rsidR="00355D96" w:rsidRPr="00355D96" w:rsidRDefault="00355D96" w:rsidP="00355D96">
            <w:pPr>
              <w:pStyle w:val="TabeladesnoUMAR"/>
            </w:pPr>
            <w:r w:rsidRPr="00355D96">
              <w:t xml:space="preserve"> 17,9</w:t>
            </w:r>
          </w:p>
        </w:tc>
        <w:tc>
          <w:tcPr>
            <w:cnfStyle w:val="000001000000" w:firstRow="0" w:lastRow="0" w:firstColumn="0" w:lastColumn="0" w:oddVBand="0" w:evenVBand="1" w:oddHBand="0" w:evenHBand="0" w:firstRowFirstColumn="0" w:firstRowLastColumn="0" w:lastRowFirstColumn="0" w:lastRowLastColumn="0"/>
            <w:tcW w:w="827" w:type="dxa"/>
          </w:tcPr>
          <w:p w14:paraId="55E6D002" w14:textId="77777777" w:rsidR="00355D96" w:rsidRPr="00355D96" w:rsidRDefault="00355D96" w:rsidP="00355D96">
            <w:pPr>
              <w:pStyle w:val="TabeladesnoUMAR"/>
            </w:pPr>
            <w:r w:rsidRPr="00355D96">
              <w:t>17,1</w:t>
            </w:r>
          </w:p>
        </w:tc>
        <w:tc>
          <w:tcPr>
            <w:cnfStyle w:val="000010000000" w:firstRow="0" w:lastRow="0" w:firstColumn="0" w:lastColumn="0" w:oddVBand="1" w:evenVBand="0" w:oddHBand="0" w:evenHBand="0" w:firstRowFirstColumn="0" w:firstRowLastColumn="0" w:lastRowFirstColumn="0" w:lastRowLastColumn="0"/>
            <w:tcW w:w="829" w:type="dxa"/>
          </w:tcPr>
          <w:p w14:paraId="12C6B55F" w14:textId="77777777" w:rsidR="00355D96" w:rsidRPr="00355D96" w:rsidRDefault="00355D96" w:rsidP="00355D96">
            <w:pPr>
              <w:pStyle w:val="TabeladesnoUMAR"/>
            </w:pPr>
            <w:r w:rsidRPr="00355D96">
              <w:t>17,4</w:t>
            </w:r>
          </w:p>
        </w:tc>
        <w:tc>
          <w:tcPr>
            <w:cnfStyle w:val="000100000000" w:firstRow="0" w:lastRow="0" w:firstColumn="0" w:lastColumn="1" w:oddVBand="0" w:evenVBand="0" w:oddHBand="0" w:evenHBand="0" w:firstRowFirstColumn="0" w:firstRowLastColumn="0" w:lastRowFirstColumn="0" w:lastRowLastColumn="0"/>
            <w:tcW w:w="829" w:type="dxa"/>
          </w:tcPr>
          <w:p w14:paraId="6C28AC6A" w14:textId="77777777" w:rsidR="00355D96" w:rsidRPr="00355D96" w:rsidRDefault="00355D96" w:rsidP="00355D96">
            <w:pPr>
              <w:pStyle w:val="TabeladesnoUMAR"/>
            </w:pPr>
            <w:r w:rsidRPr="00355D96">
              <w:t>17,3</w:t>
            </w:r>
          </w:p>
        </w:tc>
      </w:tr>
      <w:tr w:rsidR="00355D96" w:rsidRPr="00355D96" w14:paraId="12C2FC7F"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4443" w:type="dxa"/>
          </w:tcPr>
          <w:p w14:paraId="036E1144" w14:textId="77777777" w:rsidR="00355D96" w:rsidRPr="00355D96" w:rsidRDefault="00355D96" w:rsidP="00355D96">
            <w:pPr>
              <w:pStyle w:val="TabelalevoUMAR"/>
            </w:pPr>
            <w:r w:rsidRPr="00355D96">
              <w:t>Delež dodane vrednosti v vseh družbah (v %)</w:t>
            </w:r>
          </w:p>
        </w:tc>
        <w:tc>
          <w:tcPr>
            <w:cnfStyle w:val="000010000000" w:firstRow="0" w:lastRow="0" w:firstColumn="0" w:lastColumn="0" w:oddVBand="1" w:evenVBand="0" w:oddHBand="0" w:evenHBand="0" w:firstRowFirstColumn="0" w:firstRowLastColumn="0" w:lastRowFirstColumn="0" w:lastRowLastColumn="0"/>
            <w:tcW w:w="825" w:type="dxa"/>
          </w:tcPr>
          <w:p w14:paraId="30991C1F" w14:textId="77777777" w:rsidR="00355D96" w:rsidRPr="00355D96" w:rsidRDefault="00355D96" w:rsidP="00355D96">
            <w:pPr>
              <w:pStyle w:val="TabeladesnoUMAR"/>
            </w:pPr>
            <w:r w:rsidRPr="00355D96">
              <w:t>18,9</w:t>
            </w:r>
          </w:p>
        </w:tc>
        <w:tc>
          <w:tcPr>
            <w:cnfStyle w:val="000001000000" w:firstRow="0" w:lastRow="0" w:firstColumn="0" w:lastColumn="0" w:oddVBand="0" w:evenVBand="1" w:oddHBand="0" w:evenHBand="0" w:firstRowFirstColumn="0" w:firstRowLastColumn="0" w:lastRowFirstColumn="0" w:lastRowLastColumn="0"/>
            <w:tcW w:w="827" w:type="dxa"/>
          </w:tcPr>
          <w:p w14:paraId="7CD8907F" w14:textId="77777777" w:rsidR="00355D96" w:rsidRPr="00355D96" w:rsidRDefault="00355D96" w:rsidP="00355D96">
            <w:pPr>
              <w:pStyle w:val="TabeladesnoUMAR"/>
            </w:pPr>
            <w:r w:rsidRPr="00355D96">
              <w:t>18,7</w:t>
            </w:r>
          </w:p>
        </w:tc>
        <w:tc>
          <w:tcPr>
            <w:cnfStyle w:val="000010000000" w:firstRow="0" w:lastRow="0" w:firstColumn="0" w:lastColumn="0" w:oddVBand="1" w:evenVBand="0" w:oddHBand="0" w:evenHBand="0" w:firstRowFirstColumn="0" w:firstRowLastColumn="0" w:lastRowFirstColumn="0" w:lastRowLastColumn="0"/>
            <w:tcW w:w="826" w:type="dxa"/>
          </w:tcPr>
          <w:p w14:paraId="1B2C6408" w14:textId="77777777" w:rsidR="00355D96" w:rsidRPr="00355D96" w:rsidRDefault="00355D96" w:rsidP="00355D96">
            <w:pPr>
              <w:pStyle w:val="TabeladesnoUMAR"/>
            </w:pPr>
            <w:r w:rsidRPr="00355D96">
              <w:t xml:space="preserve"> 17,1</w:t>
            </w:r>
          </w:p>
        </w:tc>
        <w:tc>
          <w:tcPr>
            <w:cnfStyle w:val="000001000000" w:firstRow="0" w:lastRow="0" w:firstColumn="0" w:lastColumn="0" w:oddVBand="0" w:evenVBand="1" w:oddHBand="0" w:evenHBand="0" w:firstRowFirstColumn="0" w:firstRowLastColumn="0" w:lastRowFirstColumn="0" w:lastRowLastColumn="0"/>
            <w:tcW w:w="827" w:type="dxa"/>
          </w:tcPr>
          <w:p w14:paraId="11063F2E" w14:textId="77777777" w:rsidR="00355D96" w:rsidRPr="00355D96" w:rsidRDefault="00355D96" w:rsidP="00355D96">
            <w:pPr>
              <w:pStyle w:val="TabeladesnoUMAR"/>
            </w:pPr>
            <w:r w:rsidRPr="00355D96">
              <w:t>17,6</w:t>
            </w:r>
          </w:p>
        </w:tc>
        <w:tc>
          <w:tcPr>
            <w:cnfStyle w:val="000010000000" w:firstRow="0" w:lastRow="0" w:firstColumn="0" w:lastColumn="0" w:oddVBand="1" w:evenVBand="0" w:oddHBand="0" w:evenHBand="0" w:firstRowFirstColumn="0" w:firstRowLastColumn="0" w:lastRowFirstColumn="0" w:lastRowLastColumn="0"/>
            <w:tcW w:w="829" w:type="dxa"/>
          </w:tcPr>
          <w:p w14:paraId="37B28AFF" w14:textId="77777777" w:rsidR="00355D96" w:rsidRPr="00355D96" w:rsidRDefault="00355D96" w:rsidP="00355D96">
            <w:pPr>
              <w:pStyle w:val="TabeladesnoUMAR"/>
            </w:pPr>
            <w:r w:rsidRPr="00355D96">
              <w:t>17,9</w:t>
            </w:r>
          </w:p>
        </w:tc>
        <w:tc>
          <w:tcPr>
            <w:cnfStyle w:val="000100000000" w:firstRow="0" w:lastRow="0" w:firstColumn="0" w:lastColumn="1" w:oddVBand="0" w:evenVBand="0" w:oddHBand="0" w:evenHBand="0" w:firstRowFirstColumn="0" w:firstRowLastColumn="0" w:lastRowFirstColumn="0" w:lastRowLastColumn="0"/>
            <w:tcW w:w="829" w:type="dxa"/>
          </w:tcPr>
          <w:p w14:paraId="578B36D2" w14:textId="77777777" w:rsidR="00355D96" w:rsidRPr="00355D96" w:rsidRDefault="00355D96" w:rsidP="00355D96">
            <w:pPr>
              <w:pStyle w:val="TabeladesnoUMAR"/>
            </w:pPr>
            <w:r w:rsidRPr="00355D96">
              <w:t>18,7</w:t>
            </w:r>
          </w:p>
        </w:tc>
      </w:tr>
      <w:tr w:rsidR="00355D96" w:rsidRPr="00355D96" w14:paraId="6398BDD1"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4443" w:type="dxa"/>
          </w:tcPr>
          <w:p w14:paraId="5D5D3E52" w14:textId="77777777" w:rsidR="00355D96" w:rsidRPr="00355D96" w:rsidRDefault="00355D96" w:rsidP="00355D96">
            <w:pPr>
              <w:pStyle w:val="TabelalevoUMAR"/>
            </w:pPr>
            <w:r w:rsidRPr="00355D96">
              <w:t>Neto</w:t>
            </w:r>
            <w:r w:rsidRPr="00355D96">
              <w:rPr>
                <w:vertAlign w:val="superscript"/>
              </w:rPr>
              <w:t>2</w:t>
            </w:r>
            <w:r w:rsidRPr="00355D96">
              <w:t xml:space="preserve"> čisti dobiček/izguba (v mio EUR)</w:t>
            </w:r>
          </w:p>
        </w:tc>
        <w:tc>
          <w:tcPr>
            <w:cnfStyle w:val="000010000000" w:firstRow="0" w:lastRow="0" w:firstColumn="0" w:lastColumn="0" w:oddVBand="1" w:evenVBand="0" w:oddHBand="0" w:evenHBand="0" w:firstRowFirstColumn="0" w:firstRowLastColumn="0" w:lastRowFirstColumn="0" w:lastRowLastColumn="0"/>
            <w:tcW w:w="825" w:type="dxa"/>
          </w:tcPr>
          <w:p w14:paraId="5D2CB3BE" w14:textId="77777777" w:rsidR="00355D96" w:rsidRPr="00355D96" w:rsidRDefault="00355D96" w:rsidP="00355D96">
            <w:pPr>
              <w:pStyle w:val="TabeladesnoUMAR"/>
            </w:pPr>
            <w:r w:rsidRPr="00355D96">
              <w:t>443,5</w:t>
            </w:r>
          </w:p>
        </w:tc>
        <w:tc>
          <w:tcPr>
            <w:cnfStyle w:val="000001000000" w:firstRow="0" w:lastRow="0" w:firstColumn="0" w:lastColumn="0" w:oddVBand="0" w:evenVBand="1" w:oddHBand="0" w:evenHBand="0" w:firstRowFirstColumn="0" w:firstRowLastColumn="0" w:lastRowFirstColumn="0" w:lastRowLastColumn="0"/>
            <w:tcW w:w="827" w:type="dxa"/>
          </w:tcPr>
          <w:p w14:paraId="16F865B4" w14:textId="77777777" w:rsidR="00355D96" w:rsidRPr="00355D96" w:rsidRDefault="00355D96" w:rsidP="00355D96">
            <w:pPr>
              <w:pStyle w:val="TabeladesnoUMAR"/>
            </w:pPr>
            <w:r w:rsidRPr="00355D96">
              <w:t>155,0</w:t>
            </w:r>
          </w:p>
        </w:tc>
        <w:tc>
          <w:tcPr>
            <w:cnfStyle w:val="000010000000" w:firstRow="0" w:lastRow="0" w:firstColumn="0" w:lastColumn="0" w:oddVBand="1" w:evenVBand="0" w:oddHBand="0" w:evenHBand="0" w:firstRowFirstColumn="0" w:firstRowLastColumn="0" w:lastRowFirstColumn="0" w:lastRowLastColumn="0"/>
            <w:tcW w:w="826" w:type="dxa"/>
          </w:tcPr>
          <w:p w14:paraId="52627086" w14:textId="77777777" w:rsidR="00355D96" w:rsidRPr="00355D96" w:rsidRDefault="00355D96" w:rsidP="00355D96">
            <w:pPr>
              <w:pStyle w:val="TabeladesnoUMAR"/>
            </w:pPr>
            <w:r w:rsidRPr="00355D96">
              <w:t>521,3</w:t>
            </w:r>
          </w:p>
        </w:tc>
        <w:tc>
          <w:tcPr>
            <w:cnfStyle w:val="000001000000" w:firstRow="0" w:lastRow="0" w:firstColumn="0" w:lastColumn="0" w:oddVBand="0" w:evenVBand="1" w:oddHBand="0" w:evenHBand="0" w:firstRowFirstColumn="0" w:firstRowLastColumn="0" w:lastRowFirstColumn="0" w:lastRowLastColumn="0"/>
            <w:tcW w:w="827" w:type="dxa"/>
          </w:tcPr>
          <w:p w14:paraId="25839F1F" w14:textId="77777777" w:rsidR="00355D96" w:rsidRPr="00355D96" w:rsidRDefault="00355D96" w:rsidP="00355D96">
            <w:pPr>
              <w:pStyle w:val="TabeladesnoUMAR"/>
            </w:pPr>
            <w:r w:rsidRPr="00355D96">
              <w:t>793,7</w:t>
            </w:r>
          </w:p>
        </w:tc>
        <w:tc>
          <w:tcPr>
            <w:cnfStyle w:val="000010000000" w:firstRow="0" w:lastRow="0" w:firstColumn="0" w:lastColumn="0" w:oddVBand="1" w:evenVBand="0" w:oddHBand="0" w:evenHBand="0" w:firstRowFirstColumn="0" w:firstRowLastColumn="0" w:lastRowFirstColumn="0" w:lastRowLastColumn="0"/>
            <w:tcW w:w="829" w:type="dxa"/>
          </w:tcPr>
          <w:p w14:paraId="457C24F4" w14:textId="77777777" w:rsidR="00355D96" w:rsidRPr="00355D96" w:rsidRDefault="00355D96" w:rsidP="00355D96">
            <w:pPr>
              <w:pStyle w:val="TabeladesnoUMAR"/>
            </w:pPr>
            <w:r w:rsidRPr="00355D96">
              <w:t>641,9</w:t>
            </w:r>
          </w:p>
        </w:tc>
        <w:tc>
          <w:tcPr>
            <w:cnfStyle w:val="000100000000" w:firstRow="0" w:lastRow="0" w:firstColumn="0" w:lastColumn="1" w:oddVBand="0" w:evenVBand="0" w:oddHBand="0" w:evenHBand="0" w:firstRowFirstColumn="0" w:firstRowLastColumn="0" w:lastRowFirstColumn="0" w:lastRowLastColumn="0"/>
            <w:tcW w:w="829" w:type="dxa"/>
          </w:tcPr>
          <w:p w14:paraId="46A2836D" w14:textId="77777777" w:rsidR="00355D96" w:rsidRPr="00355D96" w:rsidRDefault="00355D96" w:rsidP="00355D96">
            <w:pPr>
              <w:pStyle w:val="TabeladesnoUMAR"/>
            </w:pPr>
            <w:r w:rsidRPr="00355D96">
              <w:t>1.326,4</w:t>
            </w:r>
          </w:p>
        </w:tc>
      </w:tr>
      <w:tr w:rsidR="00355D96" w:rsidRPr="00355D96" w14:paraId="07377964"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7"/>
          </w:tcPr>
          <w:p w14:paraId="75B6F73B" w14:textId="77777777" w:rsidR="00355D96" w:rsidRPr="00355D96" w:rsidRDefault="00355D96" w:rsidP="00355D96">
            <w:pPr>
              <w:pStyle w:val="TabelalevoUMAR"/>
            </w:pPr>
            <w:r w:rsidRPr="00355D96">
              <w:t>VELIKOST</w:t>
            </w:r>
          </w:p>
        </w:tc>
      </w:tr>
      <w:tr w:rsidR="00355D96" w:rsidRPr="00355D96" w14:paraId="2EA4BA19"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4443" w:type="dxa"/>
          </w:tcPr>
          <w:p w14:paraId="7638949E" w14:textId="77777777" w:rsidR="00355D96" w:rsidRPr="00355D96" w:rsidRDefault="00355D96" w:rsidP="00355D96">
            <w:pPr>
              <w:pStyle w:val="TabelalevoUMAR"/>
            </w:pPr>
            <w:r w:rsidRPr="00355D96">
              <w:t>Sredstva/podjetje (v tisoč EUR)</w:t>
            </w:r>
          </w:p>
        </w:tc>
        <w:tc>
          <w:tcPr>
            <w:cnfStyle w:val="000010000000" w:firstRow="0" w:lastRow="0" w:firstColumn="0" w:lastColumn="0" w:oddVBand="1" w:evenVBand="0" w:oddHBand="0" w:evenHBand="0" w:firstRowFirstColumn="0" w:firstRowLastColumn="0" w:lastRowFirstColumn="0" w:lastRowLastColumn="0"/>
            <w:tcW w:w="825" w:type="dxa"/>
          </w:tcPr>
          <w:p w14:paraId="73AA6070" w14:textId="77777777" w:rsidR="00355D96" w:rsidRPr="00355D96" w:rsidRDefault="00355D96" w:rsidP="00355D96">
            <w:pPr>
              <w:pStyle w:val="TabeladesnoUMAR"/>
            </w:pPr>
            <w:r w:rsidRPr="00355D96">
              <w:t>1.356</w:t>
            </w:r>
          </w:p>
        </w:tc>
        <w:tc>
          <w:tcPr>
            <w:cnfStyle w:val="000001000000" w:firstRow="0" w:lastRow="0" w:firstColumn="0" w:lastColumn="0" w:oddVBand="0" w:evenVBand="1" w:oddHBand="0" w:evenHBand="0" w:firstRowFirstColumn="0" w:firstRowLastColumn="0" w:lastRowFirstColumn="0" w:lastRowLastColumn="0"/>
            <w:tcW w:w="827" w:type="dxa"/>
          </w:tcPr>
          <w:p w14:paraId="6A42B061" w14:textId="77777777" w:rsidR="00355D96" w:rsidRPr="00355D96" w:rsidRDefault="00355D96" w:rsidP="00355D96">
            <w:pPr>
              <w:pStyle w:val="TabeladesnoUMAR"/>
            </w:pPr>
            <w:r w:rsidRPr="00355D96">
              <w:t>1.274</w:t>
            </w:r>
          </w:p>
        </w:tc>
        <w:tc>
          <w:tcPr>
            <w:cnfStyle w:val="000010000000" w:firstRow="0" w:lastRow="0" w:firstColumn="0" w:lastColumn="0" w:oddVBand="1" w:evenVBand="0" w:oddHBand="0" w:evenHBand="0" w:firstRowFirstColumn="0" w:firstRowLastColumn="0" w:lastRowFirstColumn="0" w:lastRowLastColumn="0"/>
            <w:tcW w:w="826" w:type="dxa"/>
          </w:tcPr>
          <w:p w14:paraId="1B7577A5" w14:textId="77777777" w:rsidR="00355D96" w:rsidRPr="00355D96" w:rsidRDefault="00355D96" w:rsidP="00355D96">
            <w:pPr>
              <w:pStyle w:val="TabeladesnoUMAR"/>
            </w:pPr>
            <w:r w:rsidRPr="00355D96">
              <w:t>1.038</w:t>
            </w:r>
          </w:p>
        </w:tc>
        <w:tc>
          <w:tcPr>
            <w:cnfStyle w:val="000001000000" w:firstRow="0" w:lastRow="0" w:firstColumn="0" w:lastColumn="0" w:oddVBand="0" w:evenVBand="1" w:oddHBand="0" w:evenHBand="0" w:firstRowFirstColumn="0" w:firstRowLastColumn="0" w:lastRowFirstColumn="0" w:lastRowLastColumn="0"/>
            <w:tcW w:w="827" w:type="dxa"/>
          </w:tcPr>
          <w:p w14:paraId="047BB8D5" w14:textId="77777777" w:rsidR="00355D96" w:rsidRPr="00355D96" w:rsidRDefault="00355D96" w:rsidP="00355D96">
            <w:pPr>
              <w:pStyle w:val="TabeladesnoUMAR"/>
            </w:pPr>
            <w:r w:rsidRPr="00355D96">
              <w:t>1.292</w:t>
            </w:r>
          </w:p>
        </w:tc>
        <w:tc>
          <w:tcPr>
            <w:cnfStyle w:val="000010000000" w:firstRow="0" w:lastRow="0" w:firstColumn="0" w:lastColumn="0" w:oddVBand="1" w:evenVBand="0" w:oddHBand="0" w:evenHBand="0" w:firstRowFirstColumn="0" w:firstRowLastColumn="0" w:lastRowFirstColumn="0" w:lastRowLastColumn="0"/>
            <w:tcW w:w="829" w:type="dxa"/>
          </w:tcPr>
          <w:p w14:paraId="196E6639" w14:textId="77777777" w:rsidR="00355D96" w:rsidRPr="00355D96" w:rsidRDefault="00355D96" w:rsidP="00355D96">
            <w:pPr>
              <w:pStyle w:val="TabeladesnoUMAR"/>
            </w:pPr>
            <w:r w:rsidRPr="00355D96">
              <w:t>1.313</w:t>
            </w:r>
          </w:p>
        </w:tc>
        <w:tc>
          <w:tcPr>
            <w:cnfStyle w:val="000100000000" w:firstRow="0" w:lastRow="0" w:firstColumn="0" w:lastColumn="1" w:oddVBand="0" w:evenVBand="0" w:oddHBand="0" w:evenHBand="0" w:firstRowFirstColumn="0" w:firstRowLastColumn="0" w:lastRowFirstColumn="0" w:lastRowLastColumn="0"/>
            <w:tcW w:w="829" w:type="dxa"/>
          </w:tcPr>
          <w:p w14:paraId="3B545DF1" w14:textId="77777777" w:rsidR="00355D96" w:rsidRPr="00355D96" w:rsidRDefault="00355D96" w:rsidP="00355D96">
            <w:pPr>
              <w:pStyle w:val="TabeladesnoUMAR"/>
            </w:pPr>
            <w:r w:rsidRPr="00355D96">
              <w:t>1.444</w:t>
            </w:r>
          </w:p>
        </w:tc>
      </w:tr>
      <w:tr w:rsidR="00355D96" w:rsidRPr="00355D96" w14:paraId="2AAEBD84"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4443" w:type="dxa"/>
          </w:tcPr>
          <w:p w14:paraId="008418DE" w14:textId="77777777" w:rsidR="00355D96" w:rsidRPr="00355D96" w:rsidRDefault="00355D96" w:rsidP="00355D96">
            <w:pPr>
              <w:pStyle w:val="TabelalevoUMAR"/>
            </w:pPr>
            <w:r w:rsidRPr="00355D96">
              <w:t>Število zaposlenih/podjetje</w:t>
            </w:r>
          </w:p>
        </w:tc>
        <w:tc>
          <w:tcPr>
            <w:cnfStyle w:val="000010000000" w:firstRow="0" w:lastRow="0" w:firstColumn="0" w:lastColumn="0" w:oddVBand="1" w:evenVBand="0" w:oddHBand="0" w:evenHBand="0" w:firstRowFirstColumn="0" w:firstRowLastColumn="0" w:lastRowFirstColumn="0" w:lastRowLastColumn="0"/>
            <w:tcW w:w="825" w:type="dxa"/>
          </w:tcPr>
          <w:p w14:paraId="66BAB092" w14:textId="77777777" w:rsidR="00355D96" w:rsidRPr="00355D96" w:rsidRDefault="00355D96" w:rsidP="00355D96">
            <w:pPr>
              <w:pStyle w:val="TabeladesnoUMAR"/>
            </w:pPr>
            <w:r w:rsidRPr="00355D96">
              <w:t>6,7</w:t>
            </w:r>
          </w:p>
        </w:tc>
        <w:tc>
          <w:tcPr>
            <w:cnfStyle w:val="000001000000" w:firstRow="0" w:lastRow="0" w:firstColumn="0" w:lastColumn="0" w:oddVBand="0" w:evenVBand="1" w:oddHBand="0" w:evenHBand="0" w:firstRowFirstColumn="0" w:firstRowLastColumn="0" w:lastRowFirstColumn="0" w:lastRowLastColumn="0"/>
            <w:tcW w:w="827" w:type="dxa"/>
          </w:tcPr>
          <w:p w14:paraId="2314CC86" w14:textId="77777777" w:rsidR="00355D96" w:rsidRPr="00355D96" w:rsidRDefault="00355D96" w:rsidP="00355D96">
            <w:pPr>
              <w:pStyle w:val="TabeladesnoUMAR"/>
            </w:pPr>
            <w:r w:rsidRPr="00355D96">
              <w:t>6,2</w:t>
            </w:r>
          </w:p>
        </w:tc>
        <w:tc>
          <w:tcPr>
            <w:cnfStyle w:val="000010000000" w:firstRow="0" w:lastRow="0" w:firstColumn="0" w:lastColumn="0" w:oddVBand="1" w:evenVBand="0" w:oddHBand="0" w:evenHBand="0" w:firstRowFirstColumn="0" w:firstRowLastColumn="0" w:lastRowFirstColumn="0" w:lastRowLastColumn="0"/>
            <w:tcW w:w="826" w:type="dxa"/>
          </w:tcPr>
          <w:p w14:paraId="6FF6FCCE" w14:textId="77777777" w:rsidR="00355D96" w:rsidRPr="00355D96" w:rsidRDefault="00355D96" w:rsidP="00355D96">
            <w:pPr>
              <w:pStyle w:val="TabeladesnoUMAR"/>
            </w:pPr>
            <w:r w:rsidRPr="00355D96">
              <w:t>5,2</w:t>
            </w:r>
          </w:p>
        </w:tc>
        <w:tc>
          <w:tcPr>
            <w:cnfStyle w:val="000001000000" w:firstRow="0" w:lastRow="0" w:firstColumn="0" w:lastColumn="0" w:oddVBand="0" w:evenVBand="1" w:oddHBand="0" w:evenHBand="0" w:firstRowFirstColumn="0" w:firstRowLastColumn="0" w:lastRowFirstColumn="0" w:lastRowLastColumn="0"/>
            <w:tcW w:w="827" w:type="dxa"/>
          </w:tcPr>
          <w:p w14:paraId="714D59A7" w14:textId="77777777" w:rsidR="00355D96" w:rsidRPr="00355D96" w:rsidRDefault="00355D96" w:rsidP="00355D96">
            <w:pPr>
              <w:pStyle w:val="TabeladesnoUMAR"/>
            </w:pPr>
            <w:r w:rsidRPr="00355D96">
              <w:t>5,9</w:t>
            </w:r>
          </w:p>
        </w:tc>
        <w:tc>
          <w:tcPr>
            <w:cnfStyle w:val="000010000000" w:firstRow="0" w:lastRow="0" w:firstColumn="0" w:lastColumn="0" w:oddVBand="1" w:evenVBand="0" w:oddHBand="0" w:evenHBand="0" w:firstRowFirstColumn="0" w:firstRowLastColumn="0" w:lastRowFirstColumn="0" w:lastRowLastColumn="0"/>
            <w:tcW w:w="829" w:type="dxa"/>
          </w:tcPr>
          <w:p w14:paraId="3F754E62" w14:textId="77777777" w:rsidR="00355D96" w:rsidRPr="00355D96" w:rsidRDefault="00355D96" w:rsidP="00355D96">
            <w:pPr>
              <w:pStyle w:val="TabeladesnoUMAR"/>
            </w:pPr>
            <w:r w:rsidRPr="00355D96">
              <w:t>5,9</w:t>
            </w:r>
          </w:p>
        </w:tc>
        <w:tc>
          <w:tcPr>
            <w:cnfStyle w:val="000100000000" w:firstRow="0" w:lastRow="0" w:firstColumn="0" w:lastColumn="1" w:oddVBand="0" w:evenVBand="0" w:oddHBand="0" w:evenHBand="0" w:firstRowFirstColumn="0" w:firstRowLastColumn="0" w:lastRowFirstColumn="0" w:lastRowLastColumn="0"/>
            <w:tcW w:w="829" w:type="dxa"/>
          </w:tcPr>
          <w:p w14:paraId="124CE30A" w14:textId="77777777" w:rsidR="00355D96" w:rsidRPr="00355D96" w:rsidRDefault="00355D96" w:rsidP="00355D96">
            <w:pPr>
              <w:pStyle w:val="TabeladesnoUMAR"/>
            </w:pPr>
            <w:r w:rsidRPr="00355D96">
              <w:t>6,0</w:t>
            </w:r>
          </w:p>
        </w:tc>
      </w:tr>
      <w:tr w:rsidR="00355D96" w:rsidRPr="00355D96" w14:paraId="54AFEA8A"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7"/>
          </w:tcPr>
          <w:p w14:paraId="0CA9445A" w14:textId="77777777" w:rsidR="00355D96" w:rsidRPr="00355D96" w:rsidRDefault="00355D96" w:rsidP="00355D96">
            <w:pPr>
              <w:pStyle w:val="TabelalevoUMAR"/>
            </w:pPr>
            <w:r w:rsidRPr="00355D96">
              <w:t>OPREMLJENOST DELA S SREDSTVI</w:t>
            </w:r>
          </w:p>
        </w:tc>
      </w:tr>
      <w:tr w:rsidR="00355D96" w:rsidRPr="00355D96" w14:paraId="5665A09D"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4443" w:type="dxa"/>
          </w:tcPr>
          <w:p w14:paraId="7BC592A9" w14:textId="77777777" w:rsidR="00355D96" w:rsidRPr="00355D96" w:rsidRDefault="00355D96" w:rsidP="00355D96">
            <w:pPr>
              <w:pStyle w:val="TabelalevoUMAR"/>
            </w:pPr>
            <w:r w:rsidRPr="00355D96">
              <w:t>Povprečna sredstva/zaposlenega (v tisoč EUR)</w:t>
            </w:r>
          </w:p>
        </w:tc>
        <w:tc>
          <w:tcPr>
            <w:cnfStyle w:val="000010000000" w:firstRow="0" w:lastRow="0" w:firstColumn="0" w:lastColumn="0" w:oddVBand="1" w:evenVBand="0" w:oddHBand="0" w:evenHBand="0" w:firstRowFirstColumn="0" w:firstRowLastColumn="0" w:lastRowFirstColumn="0" w:lastRowLastColumn="0"/>
            <w:tcW w:w="825" w:type="dxa"/>
          </w:tcPr>
          <w:p w14:paraId="65985820" w14:textId="77777777" w:rsidR="00355D96" w:rsidRPr="00355D96" w:rsidRDefault="00355D96" w:rsidP="00355D96">
            <w:pPr>
              <w:pStyle w:val="TabeladesnoUMAR"/>
            </w:pPr>
            <w:r w:rsidRPr="00355D96">
              <w:t>190</w:t>
            </w:r>
          </w:p>
        </w:tc>
        <w:tc>
          <w:tcPr>
            <w:cnfStyle w:val="000001000000" w:firstRow="0" w:lastRow="0" w:firstColumn="0" w:lastColumn="0" w:oddVBand="0" w:evenVBand="1" w:oddHBand="0" w:evenHBand="0" w:firstRowFirstColumn="0" w:firstRowLastColumn="0" w:lastRowFirstColumn="0" w:lastRowLastColumn="0"/>
            <w:tcW w:w="827" w:type="dxa"/>
          </w:tcPr>
          <w:p w14:paraId="2079B1D9" w14:textId="77777777" w:rsidR="00355D96" w:rsidRPr="00355D96" w:rsidRDefault="00355D96" w:rsidP="00355D96">
            <w:pPr>
              <w:pStyle w:val="TabeladesnoUMAR"/>
            </w:pPr>
            <w:r w:rsidRPr="00355D96">
              <w:t>202</w:t>
            </w:r>
          </w:p>
        </w:tc>
        <w:tc>
          <w:tcPr>
            <w:cnfStyle w:val="000010000000" w:firstRow="0" w:lastRow="0" w:firstColumn="0" w:lastColumn="0" w:oddVBand="1" w:evenVBand="0" w:oddHBand="0" w:evenHBand="0" w:firstRowFirstColumn="0" w:firstRowLastColumn="0" w:lastRowFirstColumn="0" w:lastRowLastColumn="0"/>
            <w:tcW w:w="826" w:type="dxa"/>
          </w:tcPr>
          <w:p w14:paraId="77A88CB9" w14:textId="77777777" w:rsidR="00355D96" w:rsidRPr="00355D96" w:rsidRDefault="00355D96" w:rsidP="00355D96">
            <w:pPr>
              <w:pStyle w:val="TabeladesnoUMAR"/>
            </w:pPr>
            <w:r w:rsidRPr="00355D96">
              <w:t>198</w:t>
            </w:r>
          </w:p>
        </w:tc>
        <w:tc>
          <w:tcPr>
            <w:cnfStyle w:val="000001000000" w:firstRow="0" w:lastRow="0" w:firstColumn="0" w:lastColumn="0" w:oddVBand="0" w:evenVBand="1" w:oddHBand="0" w:evenHBand="0" w:firstRowFirstColumn="0" w:firstRowLastColumn="0" w:lastRowFirstColumn="0" w:lastRowLastColumn="0"/>
            <w:tcW w:w="827" w:type="dxa"/>
          </w:tcPr>
          <w:p w14:paraId="182B8C92" w14:textId="77777777" w:rsidR="00355D96" w:rsidRPr="00355D96" w:rsidRDefault="00355D96" w:rsidP="00355D96">
            <w:pPr>
              <w:pStyle w:val="TabeladesnoUMAR"/>
            </w:pPr>
            <w:r w:rsidRPr="00355D96">
              <w:t>208</w:t>
            </w:r>
          </w:p>
        </w:tc>
        <w:tc>
          <w:tcPr>
            <w:cnfStyle w:val="000010000000" w:firstRow="0" w:lastRow="0" w:firstColumn="0" w:lastColumn="0" w:oddVBand="1" w:evenVBand="0" w:oddHBand="0" w:evenHBand="0" w:firstRowFirstColumn="0" w:firstRowLastColumn="0" w:lastRowFirstColumn="0" w:lastRowLastColumn="0"/>
            <w:tcW w:w="829" w:type="dxa"/>
          </w:tcPr>
          <w:p w14:paraId="59BC7E27" w14:textId="77777777" w:rsidR="00355D96" w:rsidRPr="00355D96" w:rsidRDefault="00355D96" w:rsidP="00355D96">
            <w:pPr>
              <w:pStyle w:val="TabeladesnoUMAR"/>
            </w:pPr>
            <w:r w:rsidRPr="00355D96">
              <w:t>222</w:t>
            </w:r>
          </w:p>
        </w:tc>
        <w:tc>
          <w:tcPr>
            <w:cnfStyle w:val="000100000000" w:firstRow="0" w:lastRow="0" w:firstColumn="0" w:lastColumn="1" w:oddVBand="0" w:evenVBand="0" w:oddHBand="0" w:evenHBand="0" w:firstRowFirstColumn="0" w:firstRowLastColumn="0" w:lastRowFirstColumn="0" w:lastRowLastColumn="0"/>
            <w:tcW w:w="829" w:type="dxa"/>
          </w:tcPr>
          <w:p w14:paraId="2F407217" w14:textId="77777777" w:rsidR="00355D96" w:rsidRPr="00355D96" w:rsidRDefault="00355D96" w:rsidP="00355D96">
            <w:pPr>
              <w:pStyle w:val="TabeladesnoUMAR"/>
            </w:pPr>
            <w:r w:rsidRPr="00355D96">
              <w:t>229</w:t>
            </w:r>
          </w:p>
        </w:tc>
      </w:tr>
      <w:tr w:rsidR="00355D96" w:rsidRPr="00355D96" w14:paraId="1D4A63A0"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7"/>
          </w:tcPr>
          <w:p w14:paraId="13CF9316" w14:textId="77777777" w:rsidR="00355D96" w:rsidRPr="00355D96" w:rsidRDefault="00355D96" w:rsidP="00355D96">
            <w:pPr>
              <w:pStyle w:val="TabelalevoUMAR"/>
            </w:pPr>
            <w:r w:rsidRPr="00355D96">
              <w:t>GOSPODARNOST</w:t>
            </w:r>
          </w:p>
        </w:tc>
      </w:tr>
      <w:tr w:rsidR="00355D96" w:rsidRPr="00355D96" w14:paraId="2A3B3973"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4443" w:type="dxa"/>
          </w:tcPr>
          <w:p w14:paraId="49DCA02E" w14:textId="77777777" w:rsidR="00355D96" w:rsidRPr="00355D96" w:rsidRDefault="00355D96" w:rsidP="00355D96">
            <w:pPr>
              <w:pStyle w:val="TabelalevoUMAR"/>
            </w:pPr>
            <w:r w:rsidRPr="00355D96">
              <w:t>Gospodarnost poslovanja</w:t>
            </w:r>
          </w:p>
        </w:tc>
        <w:tc>
          <w:tcPr>
            <w:cnfStyle w:val="000010000000" w:firstRow="0" w:lastRow="0" w:firstColumn="0" w:lastColumn="0" w:oddVBand="1" w:evenVBand="0" w:oddHBand="0" w:evenHBand="0" w:firstRowFirstColumn="0" w:firstRowLastColumn="0" w:lastRowFirstColumn="0" w:lastRowLastColumn="0"/>
            <w:tcW w:w="825" w:type="dxa"/>
          </w:tcPr>
          <w:p w14:paraId="2FF9E140" w14:textId="77777777" w:rsidR="00355D96" w:rsidRPr="00355D96" w:rsidRDefault="00355D96" w:rsidP="00355D96">
            <w:pPr>
              <w:pStyle w:val="TabeladesnoUMAR"/>
            </w:pPr>
            <w:r w:rsidRPr="00355D96">
              <w:t>1,032</w:t>
            </w:r>
          </w:p>
        </w:tc>
        <w:tc>
          <w:tcPr>
            <w:cnfStyle w:val="000001000000" w:firstRow="0" w:lastRow="0" w:firstColumn="0" w:lastColumn="0" w:oddVBand="0" w:evenVBand="1" w:oddHBand="0" w:evenHBand="0" w:firstRowFirstColumn="0" w:firstRowLastColumn="0" w:lastRowFirstColumn="0" w:lastRowLastColumn="0"/>
            <w:tcW w:w="827" w:type="dxa"/>
          </w:tcPr>
          <w:p w14:paraId="2043143E" w14:textId="77777777" w:rsidR="00355D96" w:rsidRPr="00355D96" w:rsidRDefault="00355D96" w:rsidP="00355D96">
            <w:pPr>
              <w:pStyle w:val="TabeladesnoUMAR"/>
            </w:pPr>
            <w:r w:rsidRPr="00355D96">
              <w:t>1,025</w:t>
            </w:r>
          </w:p>
        </w:tc>
        <w:tc>
          <w:tcPr>
            <w:cnfStyle w:val="000010000000" w:firstRow="0" w:lastRow="0" w:firstColumn="0" w:lastColumn="0" w:oddVBand="1" w:evenVBand="0" w:oddHBand="0" w:evenHBand="0" w:firstRowFirstColumn="0" w:firstRowLastColumn="0" w:lastRowFirstColumn="0" w:lastRowLastColumn="0"/>
            <w:tcW w:w="826" w:type="dxa"/>
          </w:tcPr>
          <w:p w14:paraId="486C46A5" w14:textId="77777777" w:rsidR="00355D96" w:rsidRPr="00355D96" w:rsidRDefault="00355D96" w:rsidP="00355D96">
            <w:pPr>
              <w:pStyle w:val="TabeladesnoUMAR"/>
            </w:pPr>
            <w:r w:rsidRPr="00355D96">
              <w:t>1,026</w:t>
            </w:r>
          </w:p>
        </w:tc>
        <w:tc>
          <w:tcPr>
            <w:cnfStyle w:val="000001000000" w:firstRow="0" w:lastRow="0" w:firstColumn="0" w:lastColumn="0" w:oddVBand="0" w:evenVBand="1" w:oddHBand="0" w:evenHBand="0" w:firstRowFirstColumn="0" w:firstRowLastColumn="0" w:lastRowFirstColumn="0" w:lastRowLastColumn="0"/>
            <w:tcW w:w="827" w:type="dxa"/>
          </w:tcPr>
          <w:p w14:paraId="7CDF03A6" w14:textId="77777777" w:rsidR="00355D96" w:rsidRPr="00355D96" w:rsidRDefault="00355D96" w:rsidP="00355D96">
            <w:pPr>
              <w:pStyle w:val="TabeladesnoUMAR"/>
            </w:pPr>
            <w:r w:rsidRPr="00355D96">
              <w:t>1,032</w:t>
            </w:r>
          </w:p>
        </w:tc>
        <w:tc>
          <w:tcPr>
            <w:cnfStyle w:val="000010000000" w:firstRow="0" w:lastRow="0" w:firstColumn="0" w:lastColumn="0" w:oddVBand="1" w:evenVBand="0" w:oddHBand="0" w:evenHBand="0" w:firstRowFirstColumn="0" w:firstRowLastColumn="0" w:lastRowFirstColumn="0" w:lastRowLastColumn="0"/>
            <w:tcW w:w="829" w:type="dxa"/>
          </w:tcPr>
          <w:p w14:paraId="129C0419" w14:textId="77777777" w:rsidR="00355D96" w:rsidRPr="00355D96" w:rsidRDefault="00355D96" w:rsidP="00355D96">
            <w:pPr>
              <w:pStyle w:val="TabeladesnoUMAR"/>
            </w:pPr>
            <w:r w:rsidRPr="00355D96">
              <w:t>1,031</w:t>
            </w:r>
          </w:p>
        </w:tc>
        <w:tc>
          <w:tcPr>
            <w:cnfStyle w:val="000100000000" w:firstRow="0" w:lastRow="0" w:firstColumn="0" w:lastColumn="1" w:oddVBand="0" w:evenVBand="0" w:oddHBand="0" w:evenHBand="0" w:firstRowFirstColumn="0" w:firstRowLastColumn="0" w:lastRowFirstColumn="0" w:lastRowLastColumn="0"/>
            <w:tcW w:w="829" w:type="dxa"/>
          </w:tcPr>
          <w:p w14:paraId="0655F240" w14:textId="77777777" w:rsidR="00355D96" w:rsidRPr="00355D96" w:rsidRDefault="00355D96" w:rsidP="00355D96">
            <w:pPr>
              <w:pStyle w:val="TabeladesnoUMAR"/>
            </w:pPr>
            <w:r w:rsidRPr="00355D96">
              <w:t>1,045</w:t>
            </w:r>
          </w:p>
        </w:tc>
      </w:tr>
      <w:tr w:rsidR="00355D96" w:rsidRPr="00355D96" w14:paraId="50585406"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7"/>
          </w:tcPr>
          <w:p w14:paraId="3D17AD18" w14:textId="77777777" w:rsidR="00355D96" w:rsidRPr="00355D96" w:rsidRDefault="00355D96" w:rsidP="00355D96">
            <w:pPr>
              <w:pStyle w:val="TabelalevoUMAR"/>
            </w:pPr>
            <w:r w:rsidRPr="00355D96">
              <w:t>DONOSNOST</w:t>
            </w:r>
          </w:p>
        </w:tc>
      </w:tr>
      <w:tr w:rsidR="00355D96" w:rsidRPr="00355D96" w14:paraId="52AC37E1"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4443" w:type="dxa"/>
          </w:tcPr>
          <w:p w14:paraId="679C5001" w14:textId="77777777" w:rsidR="00355D96" w:rsidRPr="00355D96" w:rsidRDefault="00355D96" w:rsidP="00355D96">
            <w:pPr>
              <w:pStyle w:val="TabelalevoUMAR"/>
            </w:pPr>
            <w:r w:rsidRPr="00355D96">
              <w:t>Donosnost sredstev (v %)</w:t>
            </w:r>
          </w:p>
        </w:tc>
        <w:tc>
          <w:tcPr>
            <w:cnfStyle w:val="000010000000" w:firstRow="0" w:lastRow="0" w:firstColumn="0" w:lastColumn="0" w:oddVBand="1" w:evenVBand="0" w:oddHBand="0" w:evenHBand="0" w:firstRowFirstColumn="0" w:firstRowLastColumn="0" w:lastRowFirstColumn="0" w:lastRowLastColumn="0"/>
            <w:tcW w:w="825" w:type="dxa"/>
          </w:tcPr>
          <w:p w14:paraId="72B630CB" w14:textId="77777777" w:rsidR="00355D96" w:rsidRPr="00355D96" w:rsidRDefault="00355D96" w:rsidP="00355D96">
            <w:pPr>
              <w:pStyle w:val="TabeladesnoUMAR"/>
            </w:pPr>
            <w:r w:rsidRPr="00355D96">
              <w:t>2,6</w:t>
            </w:r>
          </w:p>
        </w:tc>
        <w:tc>
          <w:tcPr>
            <w:cnfStyle w:val="000001000000" w:firstRow="0" w:lastRow="0" w:firstColumn="0" w:lastColumn="0" w:oddVBand="0" w:evenVBand="1" w:oddHBand="0" w:evenHBand="0" w:firstRowFirstColumn="0" w:firstRowLastColumn="0" w:lastRowFirstColumn="0" w:lastRowLastColumn="0"/>
            <w:tcW w:w="827" w:type="dxa"/>
          </w:tcPr>
          <w:p w14:paraId="527AD44E" w14:textId="77777777" w:rsidR="00355D96" w:rsidRPr="00355D96" w:rsidRDefault="00355D96" w:rsidP="00355D96">
            <w:pPr>
              <w:pStyle w:val="TabeladesnoUMAR"/>
            </w:pPr>
            <w:r w:rsidRPr="00355D96">
              <w:t>0,9</w:t>
            </w:r>
          </w:p>
        </w:tc>
        <w:tc>
          <w:tcPr>
            <w:cnfStyle w:val="000010000000" w:firstRow="0" w:lastRow="0" w:firstColumn="0" w:lastColumn="0" w:oddVBand="1" w:evenVBand="0" w:oddHBand="0" w:evenHBand="0" w:firstRowFirstColumn="0" w:firstRowLastColumn="0" w:lastRowFirstColumn="0" w:lastRowLastColumn="0"/>
            <w:tcW w:w="826" w:type="dxa"/>
          </w:tcPr>
          <w:p w14:paraId="4D2F9837" w14:textId="77777777" w:rsidR="00355D96" w:rsidRPr="00355D96" w:rsidRDefault="00355D96" w:rsidP="00355D96">
            <w:pPr>
              <w:pStyle w:val="TabeladesnoUMAR"/>
            </w:pPr>
            <w:r w:rsidRPr="00355D96">
              <w:t>3,3</w:t>
            </w:r>
          </w:p>
        </w:tc>
        <w:tc>
          <w:tcPr>
            <w:cnfStyle w:val="000001000000" w:firstRow="0" w:lastRow="0" w:firstColumn="0" w:lastColumn="0" w:oddVBand="0" w:evenVBand="1" w:oddHBand="0" w:evenHBand="0" w:firstRowFirstColumn="0" w:firstRowLastColumn="0" w:lastRowFirstColumn="0" w:lastRowLastColumn="0"/>
            <w:tcW w:w="827" w:type="dxa"/>
          </w:tcPr>
          <w:p w14:paraId="35EF54B1" w14:textId="77777777" w:rsidR="00355D96" w:rsidRPr="00355D96" w:rsidRDefault="00355D96" w:rsidP="00355D96">
            <w:pPr>
              <w:pStyle w:val="TabeladesnoUMAR"/>
            </w:pPr>
            <w:r w:rsidRPr="00355D96">
              <w:t>4,3</w:t>
            </w:r>
          </w:p>
        </w:tc>
        <w:tc>
          <w:tcPr>
            <w:cnfStyle w:val="000010000000" w:firstRow="0" w:lastRow="0" w:firstColumn="0" w:lastColumn="0" w:oddVBand="1" w:evenVBand="0" w:oddHBand="0" w:evenHBand="0" w:firstRowFirstColumn="0" w:firstRowLastColumn="0" w:lastRowFirstColumn="0" w:lastRowLastColumn="0"/>
            <w:tcW w:w="829" w:type="dxa"/>
          </w:tcPr>
          <w:p w14:paraId="3990D48E" w14:textId="77777777" w:rsidR="00355D96" w:rsidRPr="00355D96" w:rsidRDefault="00355D96" w:rsidP="00355D96">
            <w:pPr>
              <w:pStyle w:val="TabeladesnoUMAR"/>
            </w:pPr>
            <w:r w:rsidRPr="00355D96">
              <w:t>3,3</w:t>
            </w:r>
          </w:p>
        </w:tc>
        <w:tc>
          <w:tcPr>
            <w:cnfStyle w:val="000100000000" w:firstRow="0" w:lastRow="0" w:firstColumn="0" w:lastColumn="1" w:oddVBand="0" w:evenVBand="0" w:oddHBand="0" w:evenHBand="0" w:firstRowFirstColumn="0" w:firstRowLastColumn="0" w:lastRowFirstColumn="0" w:lastRowLastColumn="0"/>
            <w:tcW w:w="829" w:type="dxa"/>
          </w:tcPr>
          <w:p w14:paraId="043725A7" w14:textId="77777777" w:rsidR="00355D96" w:rsidRPr="00355D96" w:rsidRDefault="00355D96" w:rsidP="00355D96">
            <w:pPr>
              <w:pStyle w:val="TabeladesnoUMAR"/>
            </w:pPr>
            <w:r w:rsidRPr="00355D96">
              <w:t>6,4</w:t>
            </w:r>
          </w:p>
        </w:tc>
      </w:tr>
      <w:tr w:rsidR="00355D96" w:rsidRPr="00355D96" w14:paraId="69D4B743"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4443" w:type="dxa"/>
          </w:tcPr>
          <w:p w14:paraId="33E8A621" w14:textId="77777777" w:rsidR="00355D96" w:rsidRPr="00355D96" w:rsidRDefault="00355D96" w:rsidP="00355D96">
            <w:pPr>
              <w:pStyle w:val="TabelalevoUMAR"/>
            </w:pPr>
            <w:r w:rsidRPr="00355D96">
              <w:t>Donosnost prihodkov (v %)</w:t>
            </w:r>
          </w:p>
        </w:tc>
        <w:tc>
          <w:tcPr>
            <w:cnfStyle w:val="000010000000" w:firstRow="0" w:lastRow="0" w:firstColumn="0" w:lastColumn="0" w:oddVBand="1" w:evenVBand="0" w:oddHBand="0" w:evenHBand="0" w:firstRowFirstColumn="0" w:firstRowLastColumn="0" w:lastRowFirstColumn="0" w:lastRowLastColumn="0"/>
            <w:tcW w:w="825" w:type="dxa"/>
          </w:tcPr>
          <w:p w14:paraId="7F3A0F55" w14:textId="77777777" w:rsidR="00355D96" w:rsidRPr="00355D96" w:rsidRDefault="00355D96" w:rsidP="00355D96">
            <w:pPr>
              <w:pStyle w:val="TabeladesnoUMAR"/>
            </w:pPr>
            <w:r w:rsidRPr="00355D96">
              <w:t>1,5</w:t>
            </w:r>
          </w:p>
        </w:tc>
        <w:tc>
          <w:tcPr>
            <w:cnfStyle w:val="000001000000" w:firstRow="0" w:lastRow="0" w:firstColumn="0" w:lastColumn="0" w:oddVBand="0" w:evenVBand="1" w:oddHBand="0" w:evenHBand="0" w:firstRowFirstColumn="0" w:firstRowLastColumn="0" w:lastRowFirstColumn="0" w:lastRowLastColumn="0"/>
            <w:tcW w:w="827" w:type="dxa"/>
          </w:tcPr>
          <w:p w14:paraId="716B3DCA" w14:textId="77777777" w:rsidR="00355D96" w:rsidRPr="00355D96" w:rsidRDefault="00355D96" w:rsidP="00355D96">
            <w:pPr>
              <w:pStyle w:val="TabeladesnoUMAR"/>
            </w:pPr>
            <w:r w:rsidRPr="00355D96">
              <w:t>0,6</w:t>
            </w:r>
          </w:p>
        </w:tc>
        <w:tc>
          <w:tcPr>
            <w:cnfStyle w:val="000010000000" w:firstRow="0" w:lastRow="0" w:firstColumn="0" w:lastColumn="0" w:oddVBand="1" w:evenVBand="0" w:oddHBand="0" w:evenHBand="0" w:firstRowFirstColumn="0" w:firstRowLastColumn="0" w:lastRowFirstColumn="0" w:lastRowLastColumn="0"/>
            <w:tcW w:w="826" w:type="dxa"/>
          </w:tcPr>
          <w:p w14:paraId="3A2E6FC9" w14:textId="77777777" w:rsidR="00355D96" w:rsidRPr="00355D96" w:rsidRDefault="00355D96" w:rsidP="00355D96">
            <w:pPr>
              <w:pStyle w:val="TabeladesnoUMAR"/>
            </w:pPr>
            <w:r w:rsidRPr="00355D96">
              <w:t>1,9</w:t>
            </w:r>
          </w:p>
        </w:tc>
        <w:tc>
          <w:tcPr>
            <w:cnfStyle w:val="000001000000" w:firstRow="0" w:lastRow="0" w:firstColumn="0" w:lastColumn="0" w:oddVBand="0" w:evenVBand="1" w:oddHBand="0" w:evenHBand="0" w:firstRowFirstColumn="0" w:firstRowLastColumn="0" w:lastRowFirstColumn="0" w:lastRowLastColumn="0"/>
            <w:tcW w:w="827" w:type="dxa"/>
          </w:tcPr>
          <w:p w14:paraId="2283402C" w14:textId="77777777" w:rsidR="00355D96" w:rsidRPr="00355D96" w:rsidRDefault="00355D96" w:rsidP="00355D96">
            <w:pPr>
              <w:pStyle w:val="TabeladesnoUMAR"/>
            </w:pPr>
            <w:r w:rsidRPr="00355D96">
              <w:t>2,3</w:t>
            </w:r>
          </w:p>
        </w:tc>
        <w:tc>
          <w:tcPr>
            <w:cnfStyle w:val="000010000000" w:firstRow="0" w:lastRow="0" w:firstColumn="0" w:lastColumn="0" w:oddVBand="1" w:evenVBand="0" w:oddHBand="0" w:evenHBand="0" w:firstRowFirstColumn="0" w:firstRowLastColumn="0" w:lastRowFirstColumn="0" w:lastRowLastColumn="0"/>
            <w:tcW w:w="829" w:type="dxa"/>
          </w:tcPr>
          <w:p w14:paraId="20419CC5" w14:textId="77777777" w:rsidR="00355D96" w:rsidRPr="00355D96" w:rsidRDefault="00355D96" w:rsidP="00355D96">
            <w:pPr>
              <w:pStyle w:val="TabeladesnoUMAR"/>
            </w:pPr>
            <w:r w:rsidRPr="00355D96">
              <w:t>2,0</w:t>
            </w:r>
          </w:p>
        </w:tc>
        <w:tc>
          <w:tcPr>
            <w:cnfStyle w:val="000100000000" w:firstRow="0" w:lastRow="0" w:firstColumn="0" w:lastColumn="1" w:oddVBand="0" w:evenVBand="0" w:oddHBand="0" w:evenHBand="0" w:firstRowFirstColumn="0" w:firstRowLastColumn="0" w:lastRowFirstColumn="0" w:lastRowLastColumn="0"/>
            <w:tcW w:w="829" w:type="dxa"/>
          </w:tcPr>
          <w:p w14:paraId="102801AB" w14:textId="77777777" w:rsidR="00355D96" w:rsidRPr="00355D96" w:rsidRDefault="00355D96" w:rsidP="00355D96">
            <w:pPr>
              <w:pStyle w:val="TabeladesnoUMAR"/>
            </w:pPr>
            <w:r w:rsidRPr="00355D96">
              <w:t>3,5</w:t>
            </w:r>
          </w:p>
        </w:tc>
      </w:tr>
      <w:tr w:rsidR="00355D96" w:rsidRPr="00355D96" w14:paraId="09D5FA46"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7"/>
          </w:tcPr>
          <w:p w14:paraId="208783BF" w14:textId="77777777" w:rsidR="00355D96" w:rsidRPr="00355D96" w:rsidRDefault="00355D96" w:rsidP="00355D96">
            <w:pPr>
              <w:pStyle w:val="TabelalevoUMAR"/>
            </w:pPr>
            <w:r w:rsidRPr="00355D96">
              <w:t>PRODUKTIVNOST</w:t>
            </w:r>
          </w:p>
        </w:tc>
      </w:tr>
      <w:tr w:rsidR="00355D96" w:rsidRPr="00355D96" w14:paraId="0332E624"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4443" w:type="dxa"/>
          </w:tcPr>
          <w:p w14:paraId="70EF18A2" w14:textId="77777777" w:rsidR="00355D96" w:rsidRPr="00355D96" w:rsidRDefault="00355D96" w:rsidP="00355D96">
            <w:pPr>
              <w:pStyle w:val="TabelalevoUMAR"/>
            </w:pPr>
            <w:r w:rsidRPr="00355D96">
              <w:t>Dodana vrednost/zaposlenega (v EUR)</w:t>
            </w:r>
          </w:p>
        </w:tc>
        <w:tc>
          <w:tcPr>
            <w:cnfStyle w:val="000010000000" w:firstRow="0" w:lastRow="0" w:firstColumn="0" w:lastColumn="0" w:oddVBand="1" w:evenVBand="0" w:oddHBand="0" w:evenHBand="0" w:firstRowFirstColumn="0" w:firstRowLastColumn="0" w:lastRowFirstColumn="0" w:lastRowLastColumn="0"/>
            <w:tcW w:w="825" w:type="dxa"/>
          </w:tcPr>
          <w:p w14:paraId="1F90EA73" w14:textId="77777777" w:rsidR="00355D96" w:rsidRPr="00355D96" w:rsidRDefault="00355D96" w:rsidP="00355D96">
            <w:pPr>
              <w:pStyle w:val="TabeladesnoUMAR"/>
            </w:pPr>
            <w:r w:rsidRPr="00355D96">
              <w:t>37.698</w:t>
            </w:r>
          </w:p>
        </w:tc>
        <w:tc>
          <w:tcPr>
            <w:cnfStyle w:val="000001000000" w:firstRow="0" w:lastRow="0" w:firstColumn="0" w:lastColumn="0" w:oddVBand="0" w:evenVBand="1" w:oddHBand="0" w:evenHBand="0" w:firstRowFirstColumn="0" w:firstRowLastColumn="0" w:lastRowFirstColumn="0" w:lastRowLastColumn="0"/>
            <w:tcW w:w="827" w:type="dxa"/>
          </w:tcPr>
          <w:p w14:paraId="157F1153" w14:textId="77777777" w:rsidR="00355D96" w:rsidRPr="00355D96" w:rsidRDefault="00355D96" w:rsidP="00355D96">
            <w:pPr>
              <w:pStyle w:val="TabeladesnoUMAR"/>
            </w:pPr>
            <w:r w:rsidRPr="00355D96">
              <w:t>35.908</w:t>
            </w:r>
          </w:p>
        </w:tc>
        <w:tc>
          <w:tcPr>
            <w:cnfStyle w:val="000010000000" w:firstRow="0" w:lastRow="0" w:firstColumn="0" w:lastColumn="0" w:oddVBand="1" w:evenVBand="0" w:oddHBand="0" w:evenHBand="0" w:firstRowFirstColumn="0" w:firstRowLastColumn="0" w:lastRowFirstColumn="0" w:lastRowLastColumn="0"/>
            <w:tcW w:w="826" w:type="dxa"/>
          </w:tcPr>
          <w:p w14:paraId="46C864EF" w14:textId="77777777" w:rsidR="00355D96" w:rsidRPr="00355D96" w:rsidRDefault="00355D96" w:rsidP="00355D96">
            <w:pPr>
              <w:pStyle w:val="TabeladesnoUMAR"/>
            </w:pPr>
            <w:r w:rsidRPr="00355D96">
              <w:t>39.126</w:t>
            </w:r>
          </w:p>
        </w:tc>
        <w:tc>
          <w:tcPr>
            <w:cnfStyle w:val="000001000000" w:firstRow="0" w:lastRow="0" w:firstColumn="0" w:lastColumn="0" w:oddVBand="0" w:evenVBand="1" w:oddHBand="0" w:evenHBand="0" w:firstRowFirstColumn="0" w:firstRowLastColumn="0" w:lastRowFirstColumn="0" w:lastRowLastColumn="0"/>
            <w:tcW w:w="827" w:type="dxa"/>
          </w:tcPr>
          <w:p w14:paraId="10D4FF1E" w14:textId="77777777" w:rsidR="00355D96" w:rsidRPr="00355D96" w:rsidRDefault="00355D96" w:rsidP="00355D96">
            <w:pPr>
              <w:pStyle w:val="TabeladesnoUMAR"/>
            </w:pPr>
            <w:r w:rsidRPr="00355D96">
              <w:t>48.125</w:t>
            </w:r>
          </w:p>
        </w:tc>
        <w:tc>
          <w:tcPr>
            <w:cnfStyle w:val="000010000000" w:firstRow="0" w:lastRow="0" w:firstColumn="0" w:lastColumn="0" w:oddVBand="1" w:evenVBand="0" w:oddHBand="0" w:evenHBand="0" w:firstRowFirstColumn="0" w:firstRowLastColumn="0" w:lastRowFirstColumn="0" w:lastRowLastColumn="0"/>
            <w:tcW w:w="829" w:type="dxa"/>
          </w:tcPr>
          <w:p w14:paraId="564BD0A7" w14:textId="77777777" w:rsidR="00355D96" w:rsidRPr="00355D96" w:rsidRDefault="00355D96" w:rsidP="00355D96">
            <w:pPr>
              <w:pStyle w:val="TabeladesnoUMAR"/>
            </w:pPr>
            <w:r w:rsidRPr="00355D96">
              <w:t>48.563</w:t>
            </w:r>
          </w:p>
        </w:tc>
        <w:tc>
          <w:tcPr>
            <w:cnfStyle w:val="000100000000" w:firstRow="0" w:lastRow="0" w:firstColumn="0" w:lastColumn="1" w:oddVBand="0" w:evenVBand="0" w:oddHBand="0" w:evenHBand="0" w:firstRowFirstColumn="0" w:firstRowLastColumn="0" w:lastRowFirstColumn="0" w:lastRowLastColumn="0"/>
            <w:tcW w:w="829" w:type="dxa"/>
          </w:tcPr>
          <w:p w14:paraId="35907DB2" w14:textId="77777777" w:rsidR="00355D96" w:rsidRPr="00355D96" w:rsidRDefault="00355D96" w:rsidP="00355D96">
            <w:pPr>
              <w:pStyle w:val="TabeladesnoUMAR"/>
            </w:pPr>
            <w:r w:rsidRPr="00355D96">
              <w:t>57.505</w:t>
            </w:r>
          </w:p>
        </w:tc>
      </w:tr>
      <w:tr w:rsidR="00355D96" w:rsidRPr="00355D96" w14:paraId="518221D4"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7"/>
          </w:tcPr>
          <w:p w14:paraId="52B3A9B3" w14:textId="77777777" w:rsidR="00355D96" w:rsidRPr="00355D96" w:rsidRDefault="00355D96" w:rsidP="00355D96">
            <w:pPr>
              <w:pStyle w:val="TabelalevoUMAR"/>
            </w:pPr>
            <w:r w:rsidRPr="00355D96">
              <w:t>STROŠKI DELA</w:t>
            </w:r>
          </w:p>
        </w:tc>
      </w:tr>
      <w:tr w:rsidR="00355D96" w:rsidRPr="00355D96" w14:paraId="2DBDB728"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4443" w:type="dxa"/>
          </w:tcPr>
          <w:p w14:paraId="08589EC8" w14:textId="77777777" w:rsidR="00355D96" w:rsidRPr="00355D96" w:rsidRDefault="00355D96" w:rsidP="00355D96">
            <w:pPr>
              <w:pStyle w:val="TabelalevoUMAR"/>
            </w:pPr>
            <w:r w:rsidRPr="00355D96">
              <w:t>Stroški dela/zaposlenega (v EUR)</w:t>
            </w:r>
          </w:p>
        </w:tc>
        <w:tc>
          <w:tcPr>
            <w:cnfStyle w:val="000010000000" w:firstRow="0" w:lastRow="0" w:firstColumn="0" w:lastColumn="0" w:oddVBand="1" w:evenVBand="0" w:oddHBand="0" w:evenHBand="0" w:firstRowFirstColumn="0" w:firstRowLastColumn="0" w:lastRowFirstColumn="0" w:lastRowLastColumn="0"/>
            <w:tcW w:w="825" w:type="dxa"/>
          </w:tcPr>
          <w:p w14:paraId="4AD00D30" w14:textId="77777777" w:rsidR="00355D96" w:rsidRPr="00355D96" w:rsidRDefault="00355D96" w:rsidP="00355D96">
            <w:pPr>
              <w:pStyle w:val="TabeladesnoUMAR"/>
            </w:pPr>
            <w:r w:rsidRPr="00355D96">
              <w:t>21.170</w:t>
            </w:r>
          </w:p>
        </w:tc>
        <w:tc>
          <w:tcPr>
            <w:cnfStyle w:val="000001000000" w:firstRow="0" w:lastRow="0" w:firstColumn="0" w:lastColumn="0" w:oddVBand="0" w:evenVBand="1" w:oddHBand="0" w:evenHBand="0" w:firstRowFirstColumn="0" w:firstRowLastColumn="0" w:lastRowFirstColumn="0" w:lastRowLastColumn="0"/>
            <w:tcW w:w="827" w:type="dxa"/>
          </w:tcPr>
          <w:p w14:paraId="2A96BC8F" w14:textId="77777777" w:rsidR="00355D96" w:rsidRPr="00355D96" w:rsidRDefault="00355D96" w:rsidP="00355D96">
            <w:pPr>
              <w:pStyle w:val="TabeladesnoUMAR"/>
            </w:pPr>
            <w:r w:rsidRPr="00355D96">
              <w:t>22.142</w:t>
            </w:r>
          </w:p>
        </w:tc>
        <w:tc>
          <w:tcPr>
            <w:cnfStyle w:val="000010000000" w:firstRow="0" w:lastRow="0" w:firstColumn="0" w:lastColumn="0" w:oddVBand="1" w:evenVBand="0" w:oddHBand="0" w:evenHBand="0" w:firstRowFirstColumn="0" w:firstRowLastColumn="0" w:lastRowFirstColumn="0" w:lastRowLastColumn="0"/>
            <w:tcW w:w="826" w:type="dxa"/>
          </w:tcPr>
          <w:p w14:paraId="73CC96C8" w14:textId="77777777" w:rsidR="00355D96" w:rsidRPr="00355D96" w:rsidRDefault="00355D96" w:rsidP="00355D96">
            <w:pPr>
              <w:pStyle w:val="TabeladesnoUMAR"/>
            </w:pPr>
            <w:r w:rsidRPr="00355D96">
              <w:t>24.053</w:t>
            </w:r>
          </w:p>
        </w:tc>
        <w:tc>
          <w:tcPr>
            <w:cnfStyle w:val="000001000000" w:firstRow="0" w:lastRow="0" w:firstColumn="0" w:lastColumn="0" w:oddVBand="0" w:evenVBand="1" w:oddHBand="0" w:evenHBand="0" w:firstRowFirstColumn="0" w:firstRowLastColumn="0" w:lastRowFirstColumn="0" w:lastRowLastColumn="0"/>
            <w:tcW w:w="827" w:type="dxa"/>
          </w:tcPr>
          <w:p w14:paraId="0AC178E3" w14:textId="77777777" w:rsidR="00355D96" w:rsidRPr="00355D96" w:rsidRDefault="00355D96" w:rsidP="00355D96">
            <w:pPr>
              <w:pStyle w:val="TabeladesnoUMAR"/>
            </w:pPr>
            <w:r w:rsidRPr="00355D96">
              <w:t>27.547</w:t>
            </w:r>
          </w:p>
        </w:tc>
        <w:tc>
          <w:tcPr>
            <w:cnfStyle w:val="000010000000" w:firstRow="0" w:lastRow="0" w:firstColumn="0" w:lastColumn="0" w:oddVBand="1" w:evenVBand="0" w:oddHBand="0" w:evenHBand="0" w:firstRowFirstColumn="0" w:firstRowLastColumn="0" w:lastRowFirstColumn="0" w:lastRowLastColumn="0"/>
            <w:tcW w:w="829" w:type="dxa"/>
          </w:tcPr>
          <w:p w14:paraId="3B474441" w14:textId="77777777" w:rsidR="00355D96" w:rsidRPr="00355D96" w:rsidRDefault="00355D96" w:rsidP="00355D96">
            <w:pPr>
              <w:pStyle w:val="TabeladesnoUMAR"/>
            </w:pPr>
            <w:r w:rsidRPr="00355D96">
              <w:t>28.431</w:t>
            </w:r>
          </w:p>
        </w:tc>
        <w:tc>
          <w:tcPr>
            <w:cnfStyle w:val="000100000000" w:firstRow="0" w:lastRow="0" w:firstColumn="0" w:lastColumn="1" w:oddVBand="0" w:evenVBand="0" w:oddHBand="0" w:evenHBand="0" w:firstRowFirstColumn="0" w:firstRowLastColumn="0" w:lastRowFirstColumn="0" w:lastRowLastColumn="0"/>
            <w:tcW w:w="829" w:type="dxa"/>
          </w:tcPr>
          <w:p w14:paraId="38123666" w14:textId="77777777" w:rsidR="00355D96" w:rsidRPr="00355D96" w:rsidRDefault="00355D96" w:rsidP="00355D96">
            <w:pPr>
              <w:pStyle w:val="TabeladesnoUMAR"/>
            </w:pPr>
            <w:r w:rsidRPr="00355D96">
              <w:t>30.284</w:t>
            </w:r>
          </w:p>
        </w:tc>
      </w:tr>
      <w:tr w:rsidR="00355D96" w:rsidRPr="00355D96" w14:paraId="38929ABB"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4443" w:type="dxa"/>
          </w:tcPr>
          <w:p w14:paraId="622833AD" w14:textId="77777777" w:rsidR="00355D96" w:rsidRPr="00355D96" w:rsidRDefault="00355D96" w:rsidP="00355D96">
            <w:pPr>
              <w:pStyle w:val="TabelalevoUMAR"/>
            </w:pPr>
            <w:r w:rsidRPr="00355D96">
              <w:t>Delež stroškov dela v dodani vrednosti (v %)</w:t>
            </w:r>
          </w:p>
        </w:tc>
        <w:tc>
          <w:tcPr>
            <w:cnfStyle w:val="000010000000" w:firstRow="0" w:lastRow="0" w:firstColumn="0" w:lastColumn="0" w:oddVBand="1" w:evenVBand="0" w:oddHBand="0" w:evenHBand="0" w:firstRowFirstColumn="0" w:firstRowLastColumn="0" w:lastRowFirstColumn="0" w:lastRowLastColumn="0"/>
            <w:tcW w:w="825" w:type="dxa"/>
          </w:tcPr>
          <w:p w14:paraId="3B534BE4" w14:textId="77777777" w:rsidR="00355D96" w:rsidRPr="00355D96" w:rsidRDefault="00355D96" w:rsidP="00355D96">
            <w:pPr>
              <w:pStyle w:val="TabeladesnoUMAR"/>
            </w:pPr>
            <w:r w:rsidRPr="00355D96">
              <w:t>56,2</w:t>
            </w:r>
          </w:p>
        </w:tc>
        <w:tc>
          <w:tcPr>
            <w:cnfStyle w:val="000001000000" w:firstRow="0" w:lastRow="0" w:firstColumn="0" w:lastColumn="0" w:oddVBand="0" w:evenVBand="1" w:oddHBand="0" w:evenHBand="0" w:firstRowFirstColumn="0" w:firstRowLastColumn="0" w:lastRowFirstColumn="0" w:lastRowLastColumn="0"/>
            <w:tcW w:w="827" w:type="dxa"/>
          </w:tcPr>
          <w:p w14:paraId="05932DB8" w14:textId="77777777" w:rsidR="00355D96" w:rsidRPr="00355D96" w:rsidRDefault="00355D96" w:rsidP="00355D96">
            <w:pPr>
              <w:pStyle w:val="TabeladesnoUMAR"/>
            </w:pPr>
            <w:r w:rsidRPr="00355D96">
              <w:t>61,7</w:t>
            </w:r>
          </w:p>
        </w:tc>
        <w:tc>
          <w:tcPr>
            <w:cnfStyle w:val="000010000000" w:firstRow="0" w:lastRow="0" w:firstColumn="0" w:lastColumn="0" w:oddVBand="1" w:evenVBand="0" w:oddHBand="0" w:evenHBand="0" w:firstRowFirstColumn="0" w:firstRowLastColumn="0" w:lastRowFirstColumn="0" w:lastRowLastColumn="0"/>
            <w:tcW w:w="826" w:type="dxa"/>
          </w:tcPr>
          <w:p w14:paraId="7A4D8EAF" w14:textId="77777777" w:rsidR="00355D96" w:rsidRPr="00355D96" w:rsidRDefault="00355D96" w:rsidP="00355D96">
            <w:pPr>
              <w:pStyle w:val="TabeladesnoUMAR"/>
            </w:pPr>
            <w:r w:rsidRPr="00355D96">
              <w:t xml:space="preserve"> 61,5</w:t>
            </w:r>
          </w:p>
        </w:tc>
        <w:tc>
          <w:tcPr>
            <w:cnfStyle w:val="000001000000" w:firstRow="0" w:lastRow="0" w:firstColumn="0" w:lastColumn="0" w:oddVBand="0" w:evenVBand="1" w:oddHBand="0" w:evenHBand="0" w:firstRowFirstColumn="0" w:firstRowLastColumn="0" w:lastRowFirstColumn="0" w:lastRowLastColumn="0"/>
            <w:tcW w:w="827" w:type="dxa"/>
          </w:tcPr>
          <w:p w14:paraId="0C67BB2D" w14:textId="77777777" w:rsidR="00355D96" w:rsidRPr="00355D96" w:rsidRDefault="00355D96" w:rsidP="00355D96">
            <w:pPr>
              <w:pStyle w:val="TabeladesnoUMAR"/>
            </w:pPr>
            <w:r w:rsidRPr="00355D96">
              <w:t>57,2</w:t>
            </w:r>
          </w:p>
        </w:tc>
        <w:tc>
          <w:tcPr>
            <w:cnfStyle w:val="000010000000" w:firstRow="0" w:lastRow="0" w:firstColumn="0" w:lastColumn="0" w:oddVBand="1" w:evenVBand="0" w:oddHBand="0" w:evenHBand="0" w:firstRowFirstColumn="0" w:firstRowLastColumn="0" w:lastRowFirstColumn="0" w:lastRowLastColumn="0"/>
            <w:tcW w:w="829" w:type="dxa"/>
          </w:tcPr>
          <w:p w14:paraId="02845A89" w14:textId="77777777" w:rsidR="00355D96" w:rsidRPr="00355D96" w:rsidRDefault="00355D96" w:rsidP="00355D96">
            <w:pPr>
              <w:pStyle w:val="TabeladesnoUMAR"/>
            </w:pPr>
            <w:r w:rsidRPr="00355D96">
              <w:t>58,5</w:t>
            </w:r>
          </w:p>
        </w:tc>
        <w:tc>
          <w:tcPr>
            <w:cnfStyle w:val="000100000000" w:firstRow="0" w:lastRow="0" w:firstColumn="0" w:lastColumn="1" w:oddVBand="0" w:evenVBand="0" w:oddHBand="0" w:evenHBand="0" w:firstRowFirstColumn="0" w:firstRowLastColumn="0" w:lastRowFirstColumn="0" w:lastRowLastColumn="0"/>
            <w:tcW w:w="829" w:type="dxa"/>
          </w:tcPr>
          <w:p w14:paraId="2A91DB30" w14:textId="77777777" w:rsidR="00355D96" w:rsidRPr="00355D96" w:rsidRDefault="00355D96" w:rsidP="00355D96">
            <w:pPr>
              <w:pStyle w:val="TabeladesnoUMAR"/>
            </w:pPr>
            <w:r w:rsidRPr="00355D96">
              <w:t>52,7</w:t>
            </w:r>
          </w:p>
        </w:tc>
      </w:tr>
      <w:tr w:rsidR="00355D96" w:rsidRPr="00355D96" w14:paraId="13E80D44"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7"/>
          </w:tcPr>
          <w:p w14:paraId="6B46BDB1" w14:textId="77777777" w:rsidR="00355D96" w:rsidRPr="00355D96" w:rsidRDefault="00355D96" w:rsidP="00355D96">
            <w:pPr>
              <w:pStyle w:val="TabelalevoUMAR"/>
            </w:pPr>
            <w:r w:rsidRPr="00355D96">
              <w:t>FINANCIRANJE IN PLAČILNA SPOSOBNOST</w:t>
            </w:r>
          </w:p>
        </w:tc>
      </w:tr>
      <w:tr w:rsidR="00355D96" w:rsidRPr="00355D96" w14:paraId="1CE8742A"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4443" w:type="dxa"/>
          </w:tcPr>
          <w:p w14:paraId="485194C9" w14:textId="77777777" w:rsidR="00355D96" w:rsidRPr="00355D96" w:rsidRDefault="00355D96" w:rsidP="00355D96">
            <w:pPr>
              <w:pStyle w:val="TabelalevoUMAR"/>
            </w:pPr>
            <w:r w:rsidRPr="00355D96">
              <w:t>Delež dolga v virih sredstev (v %)</w:t>
            </w:r>
          </w:p>
        </w:tc>
        <w:tc>
          <w:tcPr>
            <w:cnfStyle w:val="000010000000" w:firstRow="0" w:lastRow="0" w:firstColumn="0" w:lastColumn="0" w:oddVBand="1" w:evenVBand="0" w:oddHBand="0" w:evenHBand="0" w:firstRowFirstColumn="0" w:firstRowLastColumn="0" w:lastRowFirstColumn="0" w:lastRowLastColumn="0"/>
            <w:tcW w:w="825" w:type="dxa"/>
          </w:tcPr>
          <w:p w14:paraId="7CC5CDDD" w14:textId="77777777" w:rsidR="00355D96" w:rsidRPr="00355D96" w:rsidRDefault="00355D96" w:rsidP="00355D96">
            <w:pPr>
              <w:pStyle w:val="TabeladesnoUMAR"/>
            </w:pPr>
            <w:r w:rsidRPr="00355D96">
              <w:t>66,0</w:t>
            </w:r>
          </w:p>
        </w:tc>
        <w:tc>
          <w:tcPr>
            <w:cnfStyle w:val="000001000000" w:firstRow="0" w:lastRow="0" w:firstColumn="0" w:lastColumn="0" w:oddVBand="0" w:evenVBand="1" w:oddHBand="0" w:evenHBand="0" w:firstRowFirstColumn="0" w:firstRowLastColumn="0" w:lastRowFirstColumn="0" w:lastRowLastColumn="0"/>
            <w:tcW w:w="827" w:type="dxa"/>
          </w:tcPr>
          <w:p w14:paraId="4B77983D" w14:textId="77777777" w:rsidR="00355D96" w:rsidRPr="00355D96" w:rsidRDefault="00355D96" w:rsidP="00355D96">
            <w:pPr>
              <w:pStyle w:val="TabeladesnoUMAR"/>
            </w:pPr>
            <w:r w:rsidRPr="00355D96">
              <w:t>65,7</w:t>
            </w:r>
          </w:p>
        </w:tc>
        <w:tc>
          <w:tcPr>
            <w:cnfStyle w:val="000010000000" w:firstRow="0" w:lastRow="0" w:firstColumn="0" w:lastColumn="0" w:oddVBand="1" w:evenVBand="0" w:oddHBand="0" w:evenHBand="0" w:firstRowFirstColumn="0" w:firstRowLastColumn="0" w:lastRowFirstColumn="0" w:lastRowLastColumn="0"/>
            <w:tcW w:w="826" w:type="dxa"/>
          </w:tcPr>
          <w:p w14:paraId="461826DD" w14:textId="77777777" w:rsidR="00355D96" w:rsidRPr="00355D96" w:rsidRDefault="00355D96" w:rsidP="00355D96">
            <w:pPr>
              <w:pStyle w:val="TabeladesnoUMAR"/>
            </w:pPr>
            <w:r w:rsidRPr="00355D96">
              <w:t>59,6</w:t>
            </w:r>
          </w:p>
        </w:tc>
        <w:tc>
          <w:tcPr>
            <w:cnfStyle w:val="000001000000" w:firstRow="0" w:lastRow="0" w:firstColumn="0" w:lastColumn="0" w:oddVBand="0" w:evenVBand="1" w:oddHBand="0" w:evenHBand="0" w:firstRowFirstColumn="0" w:firstRowLastColumn="0" w:lastRowFirstColumn="0" w:lastRowLastColumn="0"/>
            <w:tcW w:w="827" w:type="dxa"/>
          </w:tcPr>
          <w:p w14:paraId="2797C9CC" w14:textId="77777777" w:rsidR="00355D96" w:rsidRPr="00355D96" w:rsidRDefault="00355D96" w:rsidP="00355D96">
            <w:pPr>
              <w:pStyle w:val="TabeladesnoUMAR"/>
            </w:pPr>
            <w:r w:rsidRPr="00355D96">
              <w:t>59,0</w:t>
            </w:r>
          </w:p>
        </w:tc>
        <w:tc>
          <w:tcPr>
            <w:cnfStyle w:val="000010000000" w:firstRow="0" w:lastRow="0" w:firstColumn="0" w:lastColumn="0" w:oddVBand="1" w:evenVBand="0" w:oddHBand="0" w:evenHBand="0" w:firstRowFirstColumn="0" w:firstRowLastColumn="0" w:lastRowFirstColumn="0" w:lastRowLastColumn="0"/>
            <w:tcW w:w="829" w:type="dxa"/>
          </w:tcPr>
          <w:p w14:paraId="052564F7" w14:textId="77777777" w:rsidR="00355D96" w:rsidRPr="00355D96" w:rsidRDefault="00355D96" w:rsidP="00355D96">
            <w:pPr>
              <w:pStyle w:val="TabeladesnoUMAR"/>
            </w:pPr>
            <w:r w:rsidRPr="00355D96">
              <w:t>57,1</w:t>
            </w:r>
          </w:p>
        </w:tc>
        <w:tc>
          <w:tcPr>
            <w:cnfStyle w:val="000100000000" w:firstRow="0" w:lastRow="0" w:firstColumn="0" w:lastColumn="1" w:oddVBand="0" w:evenVBand="0" w:oddHBand="0" w:evenHBand="0" w:firstRowFirstColumn="0" w:firstRowLastColumn="0" w:lastRowFirstColumn="0" w:lastRowLastColumn="0"/>
            <w:tcW w:w="829" w:type="dxa"/>
          </w:tcPr>
          <w:p w14:paraId="069F00A5" w14:textId="77777777" w:rsidR="00355D96" w:rsidRPr="00355D96" w:rsidRDefault="00355D96" w:rsidP="00355D96">
            <w:pPr>
              <w:pStyle w:val="TabeladesnoUMAR"/>
            </w:pPr>
            <w:r w:rsidRPr="00355D96">
              <w:t>57,1</w:t>
            </w:r>
          </w:p>
        </w:tc>
      </w:tr>
      <w:tr w:rsidR="00355D96" w:rsidRPr="00355D96" w14:paraId="4865A686"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4443" w:type="dxa"/>
          </w:tcPr>
          <w:p w14:paraId="1CBD27E8" w14:textId="77777777" w:rsidR="00355D96" w:rsidRPr="00355D96" w:rsidRDefault="00355D96" w:rsidP="00355D96">
            <w:pPr>
              <w:pStyle w:val="TabelalevoUMAR"/>
            </w:pPr>
            <w:r w:rsidRPr="00355D96">
              <w:t>Delež kratk. obveznosti v virih sredstev (v %)</w:t>
            </w:r>
          </w:p>
        </w:tc>
        <w:tc>
          <w:tcPr>
            <w:cnfStyle w:val="000010000000" w:firstRow="0" w:lastRow="0" w:firstColumn="0" w:lastColumn="0" w:oddVBand="1" w:evenVBand="0" w:oddHBand="0" w:evenHBand="0" w:firstRowFirstColumn="0" w:firstRowLastColumn="0" w:lastRowFirstColumn="0" w:lastRowLastColumn="0"/>
            <w:tcW w:w="825" w:type="dxa"/>
          </w:tcPr>
          <w:p w14:paraId="1FB0AF0C" w14:textId="77777777" w:rsidR="00355D96" w:rsidRPr="00355D96" w:rsidRDefault="00355D96" w:rsidP="00355D96">
            <w:pPr>
              <w:pStyle w:val="TabeladesnoUMAR"/>
            </w:pPr>
            <w:r w:rsidRPr="00355D96">
              <w:t>48,7</w:t>
            </w:r>
          </w:p>
        </w:tc>
        <w:tc>
          <w:tcPr>
            <w:cnfStyle w:val="000001000000" w:firstRow="0" w:lastRow="0" w:firstColumn="0" w:lastColumn="0" w:oddVBand="0" w:evenVBand="1" w:oddHBand="0" w:evenHBand="0" w:firstRowFirstColumn="0" w:firstRowLastColumn="0" w:lastRowFirstColumn="0" w:lastRowLastColumn="0"/>
            <w:tcW w:w="827" w:type="dxa"/>
          </w:tcPr>
          <w:p w14:paraId="583828F0" w14:textId="77777777" w:rsidR="00355D96" w:rsidRPr="00355D96" w:rsidRDefault="00355D96" w:rsidP="00355D96">
            <w:pPr>
              <w:pStyle w:val="TabeladesnoUMAR"/>
            </w:pPr>
            <w:r w:rsidRPr="00355D96">
              <w:t>47,1</w:t>
            </w:r>
          </w:p>
        </w:tc>
        <w:tc>
          <w:tcPr>
            <w:cnfStyle w:val="000010000000" w:firstRow="0" w:lastRow="0" w:firstColumn="0" w:lastColumn="0" w:oddVBand="1" w:evenVBand="0" w:oddHBand="0" w:evenHBand="0" w:firstRowFirstColumn="0" w:firstRowLastColumn="0" w:lastRowFirstColumn="0" w:lastRowLastColumn="0"/>
            <w:tcW w:w="826" w:type="dxa"/>
          </w:tcPr>
          <w:p w14:paraId="7D876742" w14:textId="77777777" w:rsidR="00355D96" w:rsidRPr="00355D96" w:rsidRDefault="00355D96" w:rsidP="00355D96">
            <w:pPr>
              <w:pStyle w:val="TabeladesnoUMAR"/>
            </w:pPr>
            <w:r w:rsidRPr="00355D96">
              <w:t>41,3</w:t>
            </w:r>
          </w:p>
        </w:tc>
        <w:tc>
          <w:tcPr>
            <w:cnfStyle w:val="000001000000" w:firstRow="0" w:lastRow="0" w:firstColumn="0" w:lastColumn="0" w:oddVBand="0" w:evenVBand="1" w:oddHBand="0" w:evenHBand="0" w:firstRowFirstColumn="0" w:firstRowLastColumn="0" w:lastRowFirstColumn="0" w:lastRowLastColumn="0"/>
            <w:tcW w:w="827" w:type="dxa"/>
          </w:tcPr>
          <w:p w14:paraId="4E915AA4" w14:textId="77777777" w:rsidR="00355D96" w:rsidRPr="00355D96" w:rsidRDefault="00355D96" w:rsidP="00355D96">
            <w:pPr>
              <w:pStyle w:val="TabeladesnoUMAR"/>
            </w:pPr>
            <w:r w:rsidRPr="00355D96">
              <w:t>39,3</w:t>
            </w:r>
          </w:p>
        </w:tc>
        <w:tc>
          <w:tcPr>
            <w:cnfStyle w:val="000010000000" w:firstRow="0" w:lastRow="0" w:firstColumn="0" w:lastColumn="0" w:oddVBand="1" w:evenVBand="0" w:oddHBand="0" w:evenHBand="0" w:firstRowFirstColumn="0" w:firstRowLastColumn="0" w:lastRowFirstColumn="0" w:lastRowLastColumn="0"/>
            <w:tcW w:w="829" w:type="dxa"/>
          </w:tcPr>
          <w:p w14:paraId="394F3599" w14:textId="77777777" w:rsidR="00355D96" w:rsidRPr="00355D96" w:rsidRDefault="00355D96" w:rsidP="00355D96">
            <w:pPr>
              <w:pStyle w:val="TabeladesnoUMAR"/>
            </w:pPr>
            <w:r w:rsidRPr="00355D96">
              <w:t>38,2</w:t>
            </w:r>
          </w:p>
        </w:tc>
        <w:tc>
          <w:tcPr>
            <w:cnfStyle w:val="000100000000" w:firstRow="0" w:lastRow="0" w:firstColumn="0" w:lastColumn="1" w:oddVBand="0" w:evenVBand="0" w:oddHBand="0" w:evenHBand="0" w:firstRowFirstColumn="0" w:firstRowLastColumn="0" w:lastRowFirstColumn="0" w:lastRowLastColumn="0"/>
            <w:tcW w:w="829" w:type="dxa"/>
          </w:tcPr>
          <w:p w14:paraId="2EC7F744" w14:textId="77777777" w:rsidR="00355D96" w:rsidRPr="00355D96" w:rsidRDefault="00355D96" w:rsidP="00355D96">
            <w:pPr>
              <w:pStyle w:val="TabeladesnoUMAR"/>
            </w:pPr>
            <w:r w:rsidRPr="00355D96">
              <w:t>37,7</w:t>
            </w:r>
          </w:p>
        </w:tc>
      </w:tr>
      <w:tr w:rsidR="00355D96" w:rsidRPr="00355D96" w14:paraId="277D5557"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4443" w:type="dxa"/>
          </w:tcPr>
          <w:p w14:paraId="7EB22CB5" w14:textId="77777777" w:rsidR="00355D96" w:rsidRPr="00355D96" w:rsidRDefault="00355D96" w:rsidP="00355D96">
            <w:pPr>
              <w:pStyle w:val="TabelalevoUMAR"/>
            </w:pPr>
            <w:r w:rsidRPr="00355D96">
              <w:t>Kapitalska pokritost dolg. sredstev (v %)</w:t>
            </w:r>
          </w:p>
        </w:tc>
        <w:tc>
          <w:tcPr>
            <w:cnfStyle w:val="000010000000" w:firstRow="0" w:lastRow="0" w:firstColumn="0" w:lastColumn="0" w:oddVBand="1" w:evenVBand="0" w:oddHBand="0" w:evenHBand="0" w:firstRowFirstColumn="0" w:firstRowLastColumn="0" w:lastRowFirstColumn="0" w:lastRowLastColumn="0"/>
            <w:tcW w:w="825" w:type="dxa"/>
          </w:tcPr>
          <w:p w14:paraId="146A0747" w14:textId="77777777" w:rsidR="00355D96" w:rsidRPr="00355D96" w:rsidRDefault="00355D96" w:rsidP="00355D96">
            <w:pPr>
              <w:pStyle w:val="TabeladesnoUMAR"/>
            </w:pPr>
            <w:r w:rsidRPr="00355D96">
              <w:t>73,1</w:t>
            </w:r>
          </w:p>
        </w:tc>
        <w:tc>
          <w:tcPr>
            <w:cnfStyle w:val="000001000000" w:firstRow="0" w:lastRow="0" w:firstColumn="0" w:lastColumn="0" w:oddVBand="0" w:evenVBand="1" w:oddHBand="0" w:evenHBand="0" w:firstRowFirstColumn="0" w:firstRowLastColumn="0" w:lastRowFirstColumn="0" w:lastRowLastColumn="0"/>
            <w:tcW w:w="827" w:type="dxa"/>
          </w:tcPr>
          <w:p w14:paraId="42A5FB72" w14:textId="77777777" w:rsidR="00355D96" w:rsidRPr="00355D96" w:rsidRDefault="00355D96" w:rsidP="00355D96">
            <w:pPr>
              <w:pStyle w:val="TabeladesnoUMAR"/>
            </w:pPr>
            <w:r w:rsidRPr="00355D96">
              <w:t>68,0</w:t>
            </w:r>
          </w:p>
        </w:tc>
        <w:tc>
          <w:tcPr>
            <w:cnfStyle w:val="000010000000" w:firstRow="0" w:lastRow="0" w:firstColumn="0" w:lastColumn="0" w:oddVBand="1" w:evenVBand="0" w:oddHBand="0" w:evenHBand="0" w:firstRowFirstColumn="0" w:firstRowLastColumn="0" w:lastRowFirstColumn="0" w:lastRowLastColumn="0"/>
            <w:tcW w:w="826" w:type="dxa"/>
          </w:tcPr>
          <w:p w14:paraId="74AC1748" w14:textId="77777777" w:rsidR="00355D96" w:rsidRPr="00355D96" w:rsidRDefault="00355D96" w:rsidP="00355D96">
            <w:pPr>
              <w:pStyle w:val="TabeladesnoUMAR"/>
            </w:pPr>
            <w:r w:rsidRPr="00355D96">
              <w:t>92,2</w:t>
            </w:r>
          </w:p>
        </w:tc>
        <w:tc>
          <w:tcPr>
            <w:cnfStyle w:val="000001000000" w:firstRow="0" w:lastRow="0" w:firstColumn="0" w:lastColumn="0" w:oddVBand="0" w:evenVBand="1" w:oddHBand="0" w:evenHBand="0" w:firstRowFirstColumn="0" w:firstRowLastColumn="0" w:lastRowFirstColumn="0" w:lastRowLastColumn="0"/>
            <w:tcW w:w="827" w:type="dxa"/>
          </w:tcPr>
          <w:p w14:paraId="09062151" w14:textId="77777777" w:rsidR="00355D96" w:rsidRPr="00355D96" w:rsidRDefault="00355D96" w:rsidP="00355D96">
            <w:pPr>
              <w:pStyle w:val="TabeladesnoUMAR"/>
            </w:pPr>
            <w:r w:rsidRPr="00355D96">
              <w:t>90,5</w:t>
            </w:r>
          </w:p>
        </w:tc>
        <w:tc>
          <w:tcPr>
            <w:cnfStyle w:val="000010000000" w:firstRow="0" w:lastRow="0" w:firstColumn="0" w:lastColumn="0" w:oddVBand="1" w:evenVBand="0" w:oddHBand="0" w:evenHBand="0" w:firstRowFirstColumn="0" w:firstRowLastColumn="0" w:lastRowFirstColumn="0" w:lastRowLastColumn="0"/>
            <w:tcW w:w="829" w:type="dxa"/>
          </w:tcPr>
          <w:p w14:paraId="4B38D327" w14:textId="77777777" w:rsidR="00355D96" w:rsidRPr="00355D96" w:rsidRDefault="00355D96" w:rsidP="00355D96">
            <w:pPr>
              <w:pStyle w:val="TabeladesnoUMAR"/>
            </w:pPr>
            <w:r w:rsidRPr="00355D96">
              <w:t>95,2</w:t>
            </w:r>
          </w:p>
        </w:tc>
        <w:tc>
          <w:tcPr>
            <w:cnfStyle w:val="000100000000" w:firstRow="0" w:lastRow="0" w:firstColumn="0" w:lastColumn="1" w:oddVBand="0" w:evenVBand="0" w:oddHBand="0" w:evenHBand="0" w:firstRowFirstColumn="0" w:firstRowLastColumn="0" w:lastRowFirstColumn="0" w:lastRowLastColumn="0"/>
            <w:tcW w:w="829" w:type="dxa"/>
          </w:tcPr>
          <w:p w14:paraId="5E0957E2" w14:textId="77777777" w:rsidR="00355D96" w:rsidRPr="00355D96" w:rsidRDefault="00355D96" w:rsidP="00355D96">
            <w:pPr>
              <w:pStyle w:val="TabeladesnoUMAR"/>
            </w:pPr>
            <w:r w:rsidRPr="00355D96">
              <w:t>98,4</w:t>
            </w:r>
          </w:p>
        </w:tc>
      </w:tr>
      <w:tr w:rsidR="00355D96" w:rsidRPr="00355D96" w14:paraId="123CFF86"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4443" w:type="dxa"/>
          </w:tcPr>
          <w:p w14:paraId="0E3FB516" w14:textId="77777777" w:rsidR="00355D96" w:rsidRPr="00355D96" w:rsidRDefault="00355D96" w:rsidP="00355D96">
            <w:pPr>
              <w:pStyle w:val="TabelalevoUMAR"/>
            </w:pPr>
            <w:r w:rsidRPr="00355D96">
              <w:t>Dolg. pokritost dolg. sredstev in zalog (v %)</w:t>
            </w:r>
          </w:p>
        </w:tc>
        <w:tc>
          <w:tcPr>
            <w:cnfStyle w:val="000010000000" w:firstRow="0" w:lastRow="0" w:firstColumn="0" w:lastColumn="0" w:oddVBand="1" w:evenVBand="0" w:oddHBand="0" w:evenHBand="0" w:firstRowFirstColumn="0" w:firstRowLastColumn="0" w:lastRowFirstColumn="0" w:lastRowLastColumn="0"/>
            <w:tcW w:w="825" w:type="dxa"/>
          </w:tcPr>
          <w:p w14:paraId="3D12D599" w14:textId="77777777" w:rsidR="00355D96" w:rsidRPr="00355D96" w:rsidRDefault="00355D96" w:rsidP="00355D96">
            <w:pPr>
              <w:pStyle w:val="TabeladesnoUMAR"/>
            </w:pPr>
            <w:r w:rsidRPr="00355D96">
              <w:t>79,4</w:t>
            </w:r>
          </w:p>
        </w:tc>
        <w:tc>
          <w:tcPr>
            <w:cnfStyle w:val="000001000000" w:firstRow="0" w:lastRow="0" w:firstColumn="0" w:lastColumn="0" w:oddVBand="0" w:evenVBand="1" w:oddHBand="0" w:evenHBand="0" w:firstRowFirstColumn="0" w:firstRowLastColumn="0" w:lastRowFirstColumn="0" w:lastRowLastColumn="0"/>
            <w:tcW w:w="827" w:type="dxa"/>
          </w:tcPr>
          <w:p w14:paraId="169928CC" w14:textId="77777777" w:rsidR="00355D96" w:rsidRPr="00355D96" w:rsidRDefault="00355D96" w:rsidP="00355D96">
            <w:pPr>
              <w:pStyle w:val="TabeladesnoUMAR"/>
            </w:pPr>
            <w:r w:rsidRPr="00355D96">
              <w:t>80,3</w:t>
            </w:r>
          </w:p>
        </w:tc>
        <w:tc>
          <w:tcPr>
            <w:cnfStyle w:val="000010000000" w:firstRow="0" w:lastRow="0" w:firstColumn="0" w:lastColumn="0" w:oddVBand="1" w:evenVBand="0" w:oddHBand="0" w:evenHBand="0" w:firstRowFirstColumn="0" w:firstRowLastColumn="0" w:lastRowFirstColumn="0" w:lastRowLastColumn="0"/>
            <w:tcW w:w="826" w:type="dxa"/>
          </w:tcPr>
          <w:p w14:paraId="0CBEE843" w14:textId="77777777" w:rsidR="00355D96" w:rsidRPr="00355D96" w:rsidRDefault="00355D96" w:rsidP="00355D96">
            <w:pPr>
              <w:pStyle w:val="TabeladesnoUMAR"/>
            </w:pPr>
            <w:r w:rsidRPr="00355D96">
              <w:t>96,2</w:t>
            </w:r>
          </w:p>
        </w:tc>
        <w:tc>
          <w:tcPr>
            <w:cnfStyle w:val="000001000000" w:firstRow="0" w:lastRow="0" w:firstColumn="0" w:lastColumn="0" w:oddVBand="0" w:evenVBand="1" w:oddHBand="0" w:evenHBand="0" w:firstRowFirstColumn="0" w:firstRowLastColumn="0" w:lastRowFirstColumn="0" w:lastRowLastColumn="0"/>
            <w:tcW w:w="827" w:type="dxa"/>
          </w:tcPr>
          <w:p w14:paraId="12E11721" w14:textId="77777777" w:rsidR="00355D96" w:rsidRPr="00355D96" w:rsidRDefault="00355D96" w:rsidP="00355D96">
            <w:pPr>
              <w:pStyle w:val="TabeladesnoUMAR"/>
            </w:pPr>
            <w:r w:rsidRPr="00355D96">
              <w:t>94,6</w:t>
            </w:r>
          </w:p>
        </w:tc>
        <w:tc>
          <w:tcPr>
            <w:cnfStyle w:val="000010000000" w:firstRow="0" w:lastRow="0" w:firstColumn="0" w:lastColumn="0" w:oddVBand="1" w:evenVBand="0" w:oddHBand="0" w:evenHBand="0" w:firstRowFirstColumn="0" w:firstRowLastColumn="0" w:lastRowFirstColumn="0" w:lastRowLastColumn="0"/>
            <w:tcW w:w="829" w:type="dxa"/>
          </w:tcPr>
          <w:p w14:paraId="6040F6B9" w14:textId="77777777" w:rsidR="00355D96" w:rsidRPr="00355D96" w:rsidRDefault="00355D96" w:rsidP="00355D96">
            <w:pPr>
              <w:pStyle w:val="TabeladesnoUMAR"/>
            </w:pPr>
            <w:r w:rsidRPr="00355D96">
              <w:t>97,0</w:t>
            </w:r>
          </w:p>
        </w:tc>
        <w:tc>
          <w:tcPr>
            <w:cnfStyle w:val="000100000000" w:firstRow="0" w:lastRow="0" w:firstColumn="0" w:lastColumn="1" w:oddVBand="0" w:evenVBand="0" w:oddHBand="0" w:evenHBand="0" w:firstRowFirstColumn="0" w:firstRowLastColumn="0" w:lastRowFirstColumn="0" w:lastRowLastColumn="0"/>
            <w:tcW w:w="829" w:type="dxa"/>
          </w:tcPr>
          <w:p w14:paraId="3745F7B7" w14:textId="77777777" w:rsidR="00355D96" w:rsidRPr="00355D96" w:rsidRDefault="00355D96" w:rsidP="00355D96">
            <w:pPr>
              <w:pStyle w:val="TabeladesnoUMAR"/>
            </w:pPr>
            <w:r w:rsidRPr="00355D96">
              <w:t>100,6</w:t>
            </w:r>
          </w:p>
        </w:tc>
      </w:tr>
      <w:tr w:rsidR="00355D96" w:rsidRPr="00355D96" w14:paraId="714832E1"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7"/>
          </w:tcPr>
          <w:p w14:paraId="49237B91" w14:textId="77777777" w:rsidR="00355D96" w:rsidRPr="00355D96" w:rsidRDefault="00355D96" w:rsidP="00355D96">
            <w:pPr>
              <w:pStyle w:val="TabelalevoUMAR"/>
            </w:pPr>
            <w:r w:rsidRPr="00355D96">
              <w:t>IZVOZNA USMERJENOST</w:t>
            </w:r>
          </w:p>
        </w:tc>
      </w:tr>
      <w:tr w:rsidR="00355D96" w:rsidRPr="00355D96" w14:paraId="4F8F3619"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4443" w:type="dxa"/>
          </w:tcPr>
          <w:p w14:paraId="79D4CD55" w14:textId="77777777" w:rsidR="00355D96" w:rsidRPr="00355D96" w:rsidRDefault="00355D96" w:rsidP="00355D96">
            <w:pPr>
              <w:pStyle w:val="TabelalevoUMAR"/>
            </w:pPr>
            <w:r w:rsidRPr="00355D96">
              <w:t>Delež čistih prihodkov od prodaje na tujem trgu (v %)</w:t>
            </w:r>
          </w:p>
        </w:tc>
        <w:tc>
          <w:tcPr>
            <w:cnfStyle w:val="000010000000" w:firstRow="0" w:lastRow="0" w:firstColumn="0" w:lastColumn="0" w:oddVBand="1" w:evenVBand="0" w:oddHBand="0" w:evenHBand="0" w:firstRowFirstColumn="0" w:firstRowLastColumn="0" w:lastRowFirstColumn="0" w:lastRowLastColumn="0"/>
            <w:tcW w:w="825" w:type="dxa"/>
          </w:tcPr>
          <w:p w14:paraId="73D62FC9" w14:textId="77777777" w:rsidR="00355D96" w:rsidRPr="00355D96" w:rsidRDefault="00355D96" w:rsidP="00355D96">
            <w:pPr>
              <w:pStyle w:val="TabeladesnoUMAR"/>
            </w:pPr>
            <w:r w:rsidRPr="00355D96">
              <w:t>17,2</w:t>
            </w:r>
          </w:p>
        </w:tc>
        <w:tc>
          <w:tcPr>
            <w:cnfStyle w:val="000001000000" w:firstRow="0" w:lastRow="0" w:firstColumn="0" w:lastColumn="0" w:oddVBand="0" w:evenVBand="1" w:oddHBand="0" w:evenHBand="0" w:firstRowFirstColumn="0" w:firstRowLastColumn="0" w:lastRowFirstColumn="0" w:lastRowLastColumn="0"/>
            <w:tcW w:w="827" w:type="dxa"/>
          </w:tcPr>
          <w:p w14:paraId="7AF4203C" w14:textId="77777777" w:rsidR="00355D96" w:rsidRPr="00355D96" w:rsidRDefault="00355D96" w:rsidP="00355D96">
            <w:pPr>
              <w:pStyle w:val="TabeladesnoUMAR"/>
            </w:pPr>
            <w:r w:rsidRPr="00355D96">
              <w:t>15,2</w:t>
            </w:r>
          </w:p>
        </w:tc>
        <w:tc>
          <w:tcPr>
            <w:cnfStyle w:val="000010000000" w:firstRow="0" w:lastRow="0" w:firstColumn="0" w:lastColumn="0" w:oddVBand="1" w:evenVBand="0" w:oddHBand="0" w:evenHBand="0" w:firstRowFirstColumn="0" w:firstRowLastColumn="0" w:lastRowFirstColumn="0" w:lastRowLastColumn="0"/>
            <w:tcW w:w="826" w:type="dxa"/>
          </w:tcPr>
          <w:p w14:paraId="0285A57F" w14:textId="77777777" w:rsidR="00355D96" w:rsidRPr="00355D96" w:rsidRDefault="00355D96" w:rsidP="00355D96">
            <w:pPr>
              <w:pStyle w:val="TabeladesnoUMAR"/>
            </w:pPr>
            <w:r w:rsidRPr="00355D96">
              <w:t>21,4</w:t>
            </w:r>
          </w:p>
        </w:tc>
        <w:tc>
          <w:tcPr>
            <w:cnfStyle w:val="000001000000" w:firstRow="0" w:lastRow="0" w:firstColumn="0" w:lastColumn="0" w:oddVBand="0" w:evenVBand="1" w:oddHBand="0" w:evenHBand="0" w:firstRowFirstColumn="0" w:firstRowLastColumn="0" w:lastRowFirstColumn="0" w:lastRowLastColumn="0"/>
            <w:tcW w:w="827" w:type="dxa"/>
          </w:tcPr>
          <w:p w14:paraId="5C2AAAD0" w14:textId="77777777" w:rsidR="00355D96" w:rsidRPr="00355D96" w:rsidRDefault="00355D96" w:rsidP="00355D96">
            <w:pPr>
              <w:pStyle w:val="TabeladesnoUMAR"/>
            </w:pPr>
            <w:r w:rsidRPr="00355D96">
              <w:t>26,9</w:t>
            </w:r>
          </w:p>
        </w:tc>
        <w:tc>
          <w:tcPr>
            <w:cnfStyle w:val="000010000000" w:firstRow="0" w:lastRow="0" w:firstColumn="0" w:lastColumn="0" w:oddVBand="1" w:evenVBand="0" w:oddHBand="0" w:evenHBand="0" w:firstRowFirstColumn="0" w:firstRowLastColumn="0" w:lastRowFirstColumn="0" w:lastRowLastColumn="0"/>
            <w:tcW w:w="829" w:type="dxa"/>
          </w:tcPr>
          <w:p w14:paraId="6BE7D7D0" w14:textId="77777777" w:rsidR="00355D96" w:rsidRPr="00355D96" w:rsidRDefault="00355D96" w:rsidP="00355D96">
            <w:pPr>
              <w:pStyle w:val="TabeladesnoUMAR"/>
            </w:pPr>
            <w:r w:rsidRPr="00355D96">
              <w:t>25,8</w:t>
            </w:r>
          </w:p>
        </w:tc>
        <w:tc>
          <w:tcPr>
            <w:cnfStyle w:val="000100000000" w:firstRow="0" w:lastRow="0" w:firstColumn="0" w:lastColumn="1" w:oddVBand="0" w:evenVBand="0" w:oddHBand="0" w:evenHBand="0" w:firstRowFirstColumn="0" w:firstRowLastColumn="0" w:lastRowFirstColumn="0" w:lastRowLastColumn="0"/>
            <w:tcW w:w="829" w:type="dxa"/>
          </w:tcPr>
          <w:p w14:paraId="384F26C5" w14:textId="77777777" w:rsidR="00355D96" w:rsidRPr="00355D96" w:rsidRDefault="00355D96" w:rsidP="00355D96">
            <w:pPr>
              <w:pStyle w:val="TabeladesnoUMAR"/>
            </w:pPr>
            <w:r w:rsidRPr="00355D96">
              <w:t>25,5</w:t>
            </w:r>
          </w:p>
        </w:tc>
      </w:tr>
      <w:tr w:rsidR="00355D96" w:rsidRPr="00355D96" w14:paraId="6244F6D8"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7"/>
          </w:tcPr>
          <w:p w14:paraId="441B3174" w14:textId="77777777" w:rsidR="00355D96" w:rsidRPr="00355D96" w:rsidRDefault="00355D96" w:rsidP="00355D96">
            <w:pPr>
              <w:pStyle w:val="TabelalevoUMAR"/>
            </w:pPr>
            <w:r w:rsidRPr="00355D96">
              <w:t>STRUKTURA SREDSTEV</w:t>
            </w:r>
          </w:p>
        </w:tc>
      </w:tr>
      <w:tr w:rsidR="00355D96" w:rsidRPr="00355D96" w14:paraId="7AED6F80"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4443" w:type="dxa"/>
          </w:tcPr>
          <w:p w14:paraId="0ABEB628" w14:textId="77777777" w:rsidR="00355D96" w:rsidRPr="00355D96" w:rsidRDefault="00355D96" w:rsidP="00355D96">
            <w:pPr>
              <w:pStyle w:val="TabelalevoUMAR"/>
            </w:pPr>
            <w:r w:rsidRPr="00355D96">
              <w:t>Delež dolg. sredstev v sredstvih (v %)</w:t>
            </w:r>
          </w:p>
        </w:tc>
        <w:tc>
          <w:tcPr>
            <w:cnfStyle w:val="000010000000" w:firstRow="0" w:lastRow="0" w:firstColumn="0" w:lastColumn="0" w:oddVBand="1" w:evenVBand="0" w:oddHBand="0" w:evenHBand="0" w:firstRowFirstColumn="0" w:firstRowLastColumn="0" w:lastRowFirstColumn="0" w:lastRowLastColumn="0"/>
            <w:tcW w:w="825" w:type="dxa"/>
          </w:tcPr>
          <w:p w14:paraId="515ECF68" w14:textId="77777777" w:rsidR="00355D96" w:rsidRPr="00355D96" w:rsidRDefault="00355D96" w:rsidP="00355D96">
            <w:pPr>
              <w:pStyle w:val="TabeladesnoUMAR"/>
            </w:pPr>
            <w:r w:rsidRPr="00355D96">
              <w:t>46,6</w:t>
            </w:r>
          </w:p>
        </w:tc>
        <w:tc>
          <w:tcPr>
            <w:cnfStyle w:val="000001000000" w:firstRow="0" w:lastRow="0" w:firstColumn="0" w:lastColumn="0" w:oddVBand="0" w:evenVBand="1" w:oddHBand="0" w:evenHBand="0" w:firstRowFirstColumn="0" w:firstRowLastColumn="0" w:lastRowFirstColumn="0" w:lastRowLastColumn="0"/>
            <w:tcW w:w="827" w:type="dxa"/>
          </w:tcPr>
          <w:p w14:paraId="3D47AF6F" w14:textId="77777777" w:rsidR="00355D96" w:rsidRPr="00355D96" w:rsidRDefault="00355D96" w:rsidP="00355D96">
            <w:pPr>
              <w:pStyle w:val="TabeladesnoUMAR"/>
            </w:pPr>
            <w:r w:rsidRPr="00355D96">
              <w:t>50,4</w:t>
            </w:r>
          </w:p>
        </w:tc>
        <w:tc>
          <w:tcPr>
            <w:cnfStyle w:val="000010000000" w:firstRow="0" w:lastRow="0" w:firstColumn="0" w:lastColumn="0" w:oddVBand="1" w:evenVBand="0" w:oddHBand="0" w:evenHBand="0" w:firstRowFirstColumn="0" w:firstRowLastColumn="0" w:lastRowFirstColumn="0" w:lastRowLastColumn="0"/>
            <w:tcW w:w="826" w:type="dxa"/>
          </w:tcPr>
          <w:p w14:paraId="02220953" w14:textId="77777777" w:rsidR="00355D96" w:rsidRPr="00355D96" w:rsidRDefault="00355D96" w:rsidP="00355D96">
            <w:pPr>
              <w:pStyle w:val="TabeladesnoUMAR"/>
            </w:pPr>
            <w:r w:rsidRPr="00355D96">
              <w:t>43,8</w:t>
            </w:r>
          </w:p>
        </w:tc>
        <w:tc>
          <w:tcPr>
            <w:cnfStyle w:val="000001000000" w:firstRow="0" w:lastRow="0" w:firstColumn="0" w:lastColumn="0" w:oddVBand="0" w:evenVBand="1" w:oddHBand="0" w:evenHBand="0" w:firstRowFirstColumn="0" w:firstRowLastColumn="0" w:lastRowFirstColumn="0" w:lastRowLastColumn="0"/>
            <w:tcW w:w="827" w:type="dxa"/>
          </w:tcPr>
          <w:p w14:paraId="6ECC5A04" w14:textId="77777777" w:rsidR="00355D96" w:rsidRPr="00355D96" w:rsidRDefault="00355D96" w:rsidP="00355D96">
            <w:pPr>
              <w:pStyle w:val="TabeladesnoUMAR"/>
            </w:pPr>
            <w:r w:rsidRPr="00355D96">
              <w:t>45,3</w:t>
            </w:r>
          </w:p>
        </w:tc>
        <w:tc>
          <w:tcPr>
            <w:cnfStyle w:val="000010000000" w:firstRow="0" w:lastRow="0" w:firstColumn="0" w:lastColumn="0" w:oddVBand="1" w:evenVBand="0" w:oddHBand="0" w:evenHBand="0" w:firstRowFirstColumn="0" w:firstRowLastColumn="0" w:lastRowFirstColumn="0" w:lastRowLastColumn="0"/>
            <w:tcW w:w="829" w:type="dxa"/>
          </w:tcPr>
          <w:p w14:paraId="30A63362" w14:textId="77777777" w:rsidR="00355D96" w:rsidRPr="00355D96" w:rsidRDefault="00355D96" w:rsidP="00355D96">
            <w:pPr>
              <w:pStyle w:val="TabeladesnoUMAR"/>
            </w:pPr>
            <w:r w:rsidRPr="00355D96">
              <w:t>45,1</w:t>
            </w:r>
          </w:p>
        </w:tc>
        <w:tc>
          <w:tcPr>
            <w:cnfStyle w:val="000100000000" w:firstRow="0" w:lastRow="0" w:firstColumn="0" w:lastColumn="1" w:oddVBand="0" w:evenVBand="0" w:oddHBand="0" w:evenHBand="0" w:firstRowFirstColumn="0" w:firstRowLastColumn="0" w:lastRowFirstColumn="0" w:lastRowLastColumn="0"/>
            <w:tcW w:w="829" w:type="dxa"/>
          </w:tcPr>
          <w:p w14:paraId="730DFE9B" w14:textId="77777777" w:rsidR="00355D96" w:rsidRPr="00355D96" w:rsidRDefault="00355D96" w:rsidP="00355D96">
            <w:pPr>
              <w:pStyle w:val="TabeladesnoUMAR"/>
            </w:pPr>
            <w:r w:rsidRPr="00355D96">
              <w:t>43,6</w:t>
            </w:r>
          </w:p>
        </w:tc>
      </w:tr>
      <w:tr w:rsidR="00355D96" w:rsidRPr="00355D96" w14:paraId="7FF96136" w14:textId="77777777" w:rsidTr="00355D96">
        <w:trPr>
          <w:trHeight w:val="301"/>
        </w:trPr>
        <w:tc>
          <w:tcPr>
            <w:cnfStyle w:val="001000000000" w:firstRow="0" w:lastRow="0" w:firstColumn="1" w:lastColumn="0" w:oddVBand="0" w:evenVBand="0" w:oddHBand="0" w:evenHBand="0" w:firstRowFirstColumn="0" w:firstRowLastColumn="0" w:lastRowFirstColumn="0" w:lastRowLastColumn="0"/>
            <w:tcW w:w="4443" w:type="dxa"/>
          </w:tcPr>
          <w:p w14:paraId="01DB709F" w14:textId="77777777" w:rsidR="00355D96" w:rsidRPr="00355D96" w:rsidRDefault="00355D96" w:rsidP="00355D96">
            <w:pPr>
              <w:pStyle w:val="TabelalevoUMAR"/>
            </w:pPr>
            <w:r w:rsidRPr="00355D96">
              <w:lastRenderedPageBreak/>
              <w:t>Delež strojev in naprav ter druge opreme in naprav v dolgoročnih sredstvih (v %)</w:t>
            </w:r>
          </w:p>
        </w:tc>
        <w:tc>
          <w:tcPr>
            <w:cnfStyle w:val="000010000000" w:firstRow="0" w:lastRow="0" w:firstColumn="0" w:lastColumn="0" w:oddVBand="1" w:evenVBand="0" w:oddHBand="0" w:evenHBand="0" w:firstRowFirstColumn="0" w:firstRowLastColumn="0" w:lastRowFirstColumn="0" w:lastRowLastColumn="0"/>
            <w:tcW w:w="825" w:type="dxa"/>
          </w:tcPr>
          <w:p w14:paraId="5A7C459F" w14:textId="77777777" w:rsidR="00355D96" w:rsidRPr="00355D96" w:rsidRDefault="00355D96" w:rsidP="00355D96">
            <w:pPr>
              <w:pStyle w:val="TabeladesnoUMAR"/>
            </w:pPr>
            <w:r w:rsidRPr="00355D96">
              <w:t>10,2</w:t>
            </w:r>
          </w:p>
        </w:tc>
        <w:tc>
          <w:tcPr>
            <w:cnfStyle w:val="000001000000" w:firstRow="0" w:lastRow="0" w:firstColumn="0" w:lastColumn="0" w:oddVBand="0" w:evenVBand="1" w:oddHBand="0" w:evenHBand="0" w:firstRowFirstColumn="0" w:firstRowLastColumn="0" w:lastRowFirstColumn="0" w:lastRowLastColumn="0"/>
            <w:tcW w:w="827" w:type="dxa"/>
          </w:tcPr>
          <w:p w14:paraId="6C87D800" w14:textId="77777777" w:rsidR="00355D96" w:rsidRPr="00355D96" w:rsidRDefault="00355D96" w:rsidP="00355D96">
            <w:pPr>
              <w:pStyle w:val="TabeladesnoUMAR"/>
            </w:pPr>
            <w:r w:rsidRPr="00355D96">
              <w:t>9,3</w:t>
            </w:r>
          </w:p>
        </w:tc>
        <w:tc>
          <w:tcPr>
            <w:cnfStyle w:val="000010000000" w:firstRow="0" w:lastRow="0" w:firstColumn="0" w:lastColumn="0" w:oddVBand="1" w:evenVBand="0" w:oddHBand="0" w:evenHBand="0" w:firstRowFirstColumn="0" w:firstRowLastColumn="0" w:lastRowFirstColumn="0" w:lastRowLastColumn="0"/>
            <w:tcW w:w="826" w:type="dxa"/>
          </w:tcPr>
          <w:p w14:paraId="327676C8" w14:textId="77777777" w:rsidR="00355D96" w:rsidRPr="00355D96" w:rsidRDefault="00355D96" w:rsidP="00355D96">
            <w:pPr>
              <w:pStyle w:val="TabeladesnoUMAR"/>
            </w:pPr>
            <w:r w:rsidRPr="00355D96">
              <w:t>10,8</w:t>
            </w:r>
          </w:p>
        </w:tc>
        <w:tc>
          <w:tcPr>
            <w:cnfStyle w:val="000001000000" w:firstRow="0" w:lastRow="0" w:firstColumn="0" w:lastColumn="0" w:oddVBand="0" w:evenVBand="1" w:oddHBand="0" w:evenHBand="0" w:firstRowFirstColumn="0" w:firstRowLastColumn="0" w:lastRowFirstColumn="0" w:lastRowLastColumn="0"/>
            <w:tcW w:w="827" w:type="dxa"/>
          </w:tcPr>
          <w:p w14:paraId="05B79706" w14:textId="77777777" w:rsidR="00355D96" w:rsidRPr="00355D96" w:rsidRDefault="00355D96" w:rsidP="00355D96">
            <w:pPr>
              <w:pStyle w:val="TabeladesnoUMAR"/>
            </w:pPr>
            <w:r w:rsidRPr="00355D96">
              <w:t>12,0</w:t>
            </w:r>
          </w:p>
        </w:tc>
        <w:tc>
          <w:tcPr>
            <w:cnfStyle w:val="000010000000" w:firstRow="0" w:lastRow="0" w:firstColumn="0" w:lastColumn="0" w:oddVBand="1" w:evenVBand="0" w:oddHBand="0" w:evenHBand="0" w:firstRowFirstColumn="0" w:firstRowLastColumn="0" w:lastRowFirstColumn="0" w:lastRowLastColumn="0"/>
            <w:tcW w:w="829" w:type="dxa"/>
          </w:tcPr>
          <w:p w14:paraId="6F2975C7" w14:textId="77777777" w:rsidR="00355D96" w:rsidRPr="00355D96" w:rsidRDefault="00355D96" w:rsidP="00355D96">
            <w:pPr>
              <w:pStyle w:val="TabeladesnoUMAR"/>
            </w:pPr>
            <w:r w:rsidRPr="00355D96">
              <w:t>12,0</w:t>
            </w:r>
          </w:p>
        </w:tc>
        <w:tc>
          <w:tcPr>
            <w:cnfStyle w:val="000100000000" w:firstRow="0" w:lastRow="0" w:firstColumn="0" w:lastColumn="1" w:oddVBand="0" w:evenVBand="0" w:oddHBand="0" w:evenHBand="0" w:firstRowFirstColumn="0" w:firstRowLastColumn="0" w:lastRowFirstColumn="0" w:lastRowLastColumn="0"/>
            <w:tcW w:w="829" w:type="dxa"/>
          </w:tcPr>
          <w:p w14:paraId="249840C4" w14:textId="77777777" w:rsidR="00355D96" w:rsidRPr="00355D96" w:rsidRDefault="00355D96" w:rsidP="00355D96">
            <w:pPr>
              <w:pStyle w:val="TabeladesnoUMAR"/>
            </w:pPr>
            <w:r w:rsidRPr="00355D96">
              <w:t>11,7</w:t>
            </w:r>
          </w:p>
        </w:tc>
      </w:tr>
    </w:tbl>
    <w:p w14:paraId="1D1355CC" w14:textId="77777777" w:rsidR="002F0A04" w:rsidRDefault="002F0A04" w:rsidP="002F0A04">
      <w:pPr>
        <w:pStyle w:val="VirUMAR"/>
      </w:pPr>
      <w:r w:rsidRPr="008F6BED">
        <w:t xml:space="preserve">Vir podatkov: </w:t>
      </w:r>
      <w:r>
        <w:fldChar w:fldCharType="begin"/>
      </w:r>
      <w:r w:rsidR="007309C9">
        <w:instrText xml:space="preserve"> ADDIN ZOTERO_ITEM CSL_CITATION {"citationID":"JW2lcBQk","properties":{"formattedCitation":"(AJPES,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2022)</w:t>
      </w:r>
      <w:r>
        <w:fldChar w:fldCharType="end"/>
      </w:r>
      <w:r w:rsidRPr="008F6BED">
        <w:t>, lastni izračuni.</w:t>
      </w:r>
    </w:p>
    <w:p w14:paraId="09CF2C49" w14:textId="38B02BBD" w:rsidR="00355D96" w:rsidRPr="00355D96" w:rsidRDefault="00355D96" w:rsidP="00355D96">
      <w:pPr>
        <w:pStyle w:val="VirUMAR"/>
      </w:pPr>
      <w:r w:rsidRPr="008137B9">
        <w:rPr>
          <w:rStyle w:val="DZBesediloChar"/>
          <w:noProof/>
        </w:rPr>
        <w:t xml:space="preserve">Opombe: </w:t>
      </w:r>
      <w:r w:rsidRPr="008137B9">
        <w:rPr>
          <w:rStyle w:val="DZBesediloChar"/>
          <w:noProof/>
          <w:vertAlign w:val="superscript"/>
        </w:rPr>
        <w:t>1</w:t>
      </w:r>
      <w:r w:rsidRPr="008137B9">
        <w:rPr>
          <w:rStyle w:val="DZBesediloChar"/>
          <w:noProof/>
        </w:rPr>
        <w:t xml:space="preserve"> Podatki o številu zaposlenih pomenijo povprečno število zaposlen</w:t>
      </w:r>
      <w:r w:rsidR="00BF1A34">
        <w:rPr>
          <w:rStyle w:val="DZBesediloChar"/>
          <w:noProof/>
        </w:rPr>
        <w:t>ih</w:t>
      </w:r>
      <w:r w:rsidRPr="008137B9">
        <w:rPr>
          <w:rStyle w:val="DZBesediloChar"/>
          <w:noProof/>
        </w:rPr>
        <w:t xml:space="preserve"> na podlagi delovnih ur v obračunskem obdobju in se zato razlikujejo od podatkov o številu zaposlenih, ki jih objavlja SURS. </w:t>
      </w:r>
      <w:r w:rsidRPr="008137B9">
        <w:rPr>
          <w:rStyle w:val="DZBesediloChar"/>
          <w:noProof/>
          <w:vertAlign w:val="superscript"/>
        </w:rPr>
        <w:t>2</w:t>
      </w:r>
      <w:r w:rsidRPr="008137B9">
        <w:rPr>
          <w:rStyle w:val="DZBesediloChar"/>
          <w:noProof/>
        </w:rPr>
        <w:t xml:space="preserve"> Razlika med čistim dobičkom in izgubo obračunskega obdobja.</w:t>
      </w:r>
    </w:p>
    <w:p w14:paraId="6BE29055" w14:textId="77777777" w:rsidR="00355D96" w:rsidRDefault="00355D96" w:rsidP="00C03361">
      <w:pPr>
        <w:pStyle w:val="BesediloUMAR"/>
        <w:rPr>
          <w:sz w:val="16"/>
        </w:rPr>
      </w:pPr>
    </w:p>
    <w:p w14:paraId="6DC80656" w14:textId="77777777" w:rsidR="00355D96" w:rsidRDefault="00355D96" w:rsidP="00C03361">
      <w:pPr>
        <w:pStyle w:val="BesediloUMAR"/>
        <w:rPr>
          <w:sz w:val="16"/>
        </w:rPr>
      </w:pPr>
    </w:p>
    <w:p w14:paraId="2DA7FC04" w14:textId="77777777" w:rsidR="001E55C4" w:rsidRDefault="001E55C4" w:rsidP="00C03361">
      <w:pPr>
        <w:pStyle w:val="BesediloUMAR"/>
      </w:pPr>
    </w:p>
    <w:p w14:paraId="207BF926" w14:textId="77777777" w:rsidR="001E55C4" w:rsidRDefault="001E55C4" w:rsidP="00C03361">
      <w:pPr>
        <w:pStyle w:val="BesediloUMAR"/>
      </w:pPr>
    </w:p>
    <w:p w14:paraId="4F11FC86" w14:textId="77777777" w:rsidR="001E55C4" w:rsidRDefault="001E55C4" w:rsidP="00C03361">
      <w:pPr>
        <w:pStyle w:val="BesediloUMAR"/>
      </w:pPr>
    </w:p>
    <w:p w14:paraId="001172BB" w14:textId="77777777" w:rsidR="001E55C4" w:rsidRDefault="001E55C4" w:rsidP="001E55C4">
      <w:pPr>
        <w:pStyle w:val="Caption"/>
      </w:pPr>
      <w:r w:rsidRPr="00355D96">
        <w:t xml:space="preserve">Slika </w:t>
      </w:r>
      <w:r w:rsidRPr="00355D96">
        <w:fldChar w:fldCharType="begin"/>
      </w:r>
      <w:r w:rsidRPr="00355D96">
        <w:instrText xml:space="preserve"> SEQ Slika \* ARABIC </w:instrText>
      </w:r>
      <w:r w:rsidRPr="00355D96">
        <w:fldChar w:fldCharType="separate"/>
      </w:r>
      <w:r w:rsidRPr="00355D96">
        <w:t>2</w:t>
      </w:r>
      <w:r w:rsidRPr="00355D96">
        <w:fldChar w:fldCharType="end"/>
      </w:r>
      <w:r w:rsidRPr="00355D96">
        <w:rPr>
          <w:rStyle w:val="DZBesediloChar"/>
          <w:szCs w:val="20"/>
        </w:rPr>
        <w:t xml:space="preserve">: Rast dodane vrednosti na zaposlenega je v letu 2021 močno presegla rast stroškov dela na zaposlenega v vseh treh oddelkih trgovine </w:t>
      </w:r>
    </w:p>
    <w:p w14:paraId="386B1F70" w14:textId="60832C02" w:rsidR="00C03361" w:rsidRPr="00C03361" w:rsidRDefault="00D97ECA" w:rsidP="00C03361">
      <w:pPr>
        <w:pStyle w:val="BesediloUMAR"/>
      </w:pPr>
      <w:r w:rsidRPr="00D97ECA">
        <w:rPr>
          <w:noProof/>
        </w:rPr>
        <w:drawing>
          <wp:inline distT="0" distB="0" distL="0" distR="0" wp14:anchorId="6B3E14FB" wp14:editId="4F344652">
            <wp:extent cx="5905500" cy="22397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0057" cy="2249086"/>
                    </a:xfrm>
                    <a:prstGeom prst="rect">
                      <a:avLst/>
                    </a:prstGeom>
                    <a:noFill/>
                    <a:ln>
                      <a:noFill/>
                    </a:ln>
                  </pic:spPr>
                </pic:pic>
              </a:graphicData>
            </a:graphic>
          </wp:inline>
        </w:drawing>
      </w:r>
    </w:p>
    <w:p w14:paraId="00A1EBAD" w14:textId="77777777" w:rsidR="002F0A04" w:rsidRDefault="002F0A04" w:rsidP="002F0A04">
      <w:pPr>
        <w:pStyle w:val="VirUMAR"/>
      </w:pPr>
      <w:r w:rsidRPr="008F6BED">
        <w:t xml:space="preserve">Vir podatkov: </w:t>
      </w:r>
      <w:r>
        <w:fldChar w:fldCharType="begin"/>
      </w:r>
      <w:r w:rsidR="007309C9">
        <w:instrText xml:space="preserve"> ADDIN ZOTERO_ITEM CSL_CITATION {"citationID":"37NqbOnr","properties":{"formattedCitation":"(AJPES,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2022)</w:t>
      </w:r>
      <w:r>
        <w:fldChar w:fldCharType="end"/>
      </w:r>
      <w:r w:rsidRPr="008F6BED">
        <w:t>, lastni izračuni.</w:t>
      </w:r>
    </w:p>
    <w:p w14:paraId="5EDB00BF" w14:textId="77777777" w:rsidR="00355D96" w:rsidRDefault="00355D96" w:rsidP="00355D96">
      <w:pPr>
        <w:pStyle w:val="Caption"/>
        <w:rPr>
          <w:rStyle w:val="DZBesediloChar"/>
          <w:szCs w:val="20"/>
        </w:rPr>
      </w:pPr>
      <w:r w:rsidRPr="00355D96">
        <w:t xml:space="preserve">Slika </w:t>
      </w:r>
      <w:r w:rsidRPr="00355D96">
        <w:fldChar w:fldCharType="begin"/>
      </w:r>
      <w:r w:rsidRPr="00355D96">
        <w:instrText xml:space="preserve"> SEQ Slika \* ARABIC </w:instrText>
      </w:r>
      <w:r w:rsidRPr="00355D96">
        <w:fldChar w:fldCharType="separate"/>
      </w:r>
      <w:r w:rsidRPr="00355D96">
        <w:t>3</w:t>
      </w:r>
      <w:r w:rsidRPr="00355D96">
        <w:fldChar w:fldCharType="end"/>
      </w:r>
      <w:r w:rsidRPr="00355D96">
        <w:rPr>
          <w:rStyle w:val="DZBesediloChar"/>
          <w:szCs w:val="20"/>
        </w:rPr>
        <w:t>:</w:t>
      </w:r>
      <w:r w:rsidRPr="00355D96">
        <w:t xml:space="preserve"> Leta 2021 so svoje poslovanje močno izboljšale družbe vseh treh oddelkov</w:t>
      </w:r>
      <w:r w:rsidRPr="00355D96">
        <w:rPr>
          <w:rStyle w:val="DZBesediloChar"/>
          <w:szCs w:val="20"/>
        </w:rPr>
        <w:t xml:space="preserve"> </w:t>
      </w:r>
    </w:p>
    <w:p w14:paraId="12B8825F" w14:textId="77777777" w:rsidR="00355D96" w:rsidRPr="00355D96" w:rsidRDefault="005B3835" w:rsidP="00355D96">
      <w:pPr>
        <w:pStyle w:val="BesediloUMAR"/>
      </w:pPr>
      <w:r w:rsidRPr="005B3835">
        <w:rPr>
          <w:noProof/>
        </w:rPr>
        <w:drawing>
          <wp:inline distT="0" distB="0" distL="0" distR="0" wp14:anchorId="642A3BEF" wp14:editId="216949BE">
            <wp:extent cx="5942524" cy="216217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3992" cy="2166348"/>
                    </a:xfrm>
                    <a:prstGeom prst="rect">
                      <a:avLst/>
                    </a:prstGeom>
                    <a:noFill/>
                    <a:ln>
                      <a:noFill/>
                    </a:ln>
                  </pic:spPr>
                </pic:pic>
              </a:graphicData>
            </a:graphic>
          </wp:inline>
        </w:drawing>
      </w:r>
    </w:p>
    <w:p w14:paraId="4B6E336E" w14:textId="77777777" w:rsidR="00355D96" w:rsidRDefault="002F0A04" w:rsidP="00355D96">
      <w:pPr>
        <w:pStyle w:val="VirUMAR"/>
      </w:pPr>
      <w:r w:rsidRPr="008F6BED">
        <w:t xml:space="preserve">Vir podatkov: </w:t>
      </w:r>
      <w:r>
        <w:fldChar w:fldCharType="begin"/>
      </w:r>
      <w:r w:rsidR="007309C9">
        <w:instrText xml:space="preserve"> ADDIN ZOTERO_ITEM CSL_CITATION {"citationID":"hitdmYMC","properties":{"formattedCitation":"(AJPES, 2022)","plainCitation":"(AJPES, 2022)","noteIndex":0},"citationItems":[{"id":1801,"uris":["http://zotero.org/users/8372339/items/IC2SCV5C"],"uri":["http://zotero.org/users/8372339/items/IC2SCV5C"],"itemData":{"id":1801,"type":"report","event-place":"Ljubljana","publisher":"Agencija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007309C9" w:rsidRPr="007309C9">
        <w:t xml:space="preserve">AJPES </w:t>
      </w:r>
      <w:r w:rsidR="000F128C">
        <w:t>(</w:t>
      </w:r>
      <w:r w:rsidR="007309C9" w:rsidRPr="007309C9">
        <w:t>2022)</w:t>
      </w:r>
      <w:r>
        <w:fldChar w:fldCharType="end"/>
      </w:r>
      <w:r w:rsidRPr="008F6BED">
        <w:t>, lastni izračuni.</w:t>
      </w:r>
    </w:p>
    <w:p w14:paraId="5DB7D049" w14:textId="77777777" w:rsidR="00355D96" w:rsidRDefault="00355D96" w:rsidP="00355D96">
      <w:pPr>
        <w:pStyle w:val="BesediloUMAR"/>
      </w:pPr>
    </w:p>
    <w:p w14:paraId="6FBE6BBD" w14:textId="6F5139D5" w:rsidR="00355D96" w:rsidRPr="00355D96" w:rsidRDefault="00355D96" w:rsidP="00355D96">
      <w:pPr>
        <w:pStyle w:val="BesediloUMAR"/>
        <w:rPr>
          <w:lang w:val="it-IT"/>
        </w:rPr>
      </w:pPr>
      <w:r w:rsidRPr="00355D96">
        <w:rPr>
          <w:b/>
        </w:rPr>
        <w:t>Neto čisti dobiček trgovskih družb se je leta 2021 več kot podvojil in bil za dve tretjini večji od leta 2019.</w:t>
      </w:r>
      <w:r w:rsidRPr="00355D96">
        <w:t xml:space="preserve"> Družbe so </w:t>
      </w:r>
      <w:r w:rsidRPr="00355D96">
        <w:rPr>
          <w:lang w:val="it-IT"/>
        </w:rPr>
        <w:t>leta 2008 dosegle visok neto čisti dobiček (443,5 mio evrov), ki se je v naslednjih letih zmanjševal. Leta 2013 so poslovno leto prvič zaključile z neto čisto izgubo v višini 31,4 mio evrov, kar je bila posledica za več kot polovico večje neto izgube iz financiranja</w:t>
      </w:r>
      <w:r w:rsidRPr="00355D96">
        <w:rPr>
          <w:vertAlign w:val="superscript"/>
          <w:lang w:val="en-US"/>
        </w:rPr>
        <w:footnoteReference w:id="4"/>
      </w:r>
      <w:r w:rsidRPr="00355D96">
        <w:rPr>
          <w:lang w:val="it-IT"/>
        </w:rPr>
        <w:t>. Ta se je v letih do 2016 močno zmanjšala</w:t>
      </w:r>
      <w:r w:rsidRPr="00355D96">
        <w:rPr>
          <w:vertAlign w:val="superscript"/>
          <w:lang w:val="en-US"/>
        </w:rPr>
        <w:footnoteReference w:id="5"/>
      </w:r>
      <w:r w:rsidRPr="00355D96">
        <w:rPr>
          <w:lang w:val="it-IT"/>
        </w:rPr>
        <w:t xml:space="preserve">, tako da so družbe, ob večjem neto dobičku iz poslovanja vseh treh oddelkov, leto 2016 zaključile z neto čistim dobičkom v višini 628,7 mio evrov. </w:t>
      </w:r>
      <w:r w:rsidR="004D6AE4">
        <w:rPr>
          <w:lang w:val="it-IT"/>
        </w:rPr>
        <w:t>D</w:t>
      </w:r>
      <w:r w:rsidRPr="00355D96">
        <w:rPr>
          <w:lang w:val="it-IT"/>
        </w:rPr>
        <w:t xml:space="preserve">o </w:t>
      </w:r>
      <w:r w:rsidR="004D6AE4">
        <w:rPr>
          <w:lang w:val="it-IT"/>
        </w:rPr>
        <w:t xml:space="preserve">leta </w:t>
      </w:r>
      <w:r w:rsidRPr="00355D96">
        <w:rPr>
          <w:lang w:val="it-IT"/>
        </w:rPr>
        <w:t>2019 se je ta, ob precejšnjih nihanjih predvsem zaradi poslovanja družb trgovine na drobno</w:t>
      </w:r>
      <w:r w:rsidRPr="00355D96">
        <w:rPr>
          <w:vertAlign w:val="superscript"/>
          <w:lang w:val="en-US"/>
        </w:rPr>
        <w:footnoteReference w:id="6"/>
      </w:r>
      <w:r w:rsidRPr="00355D96">
        <w:rPr>
          <w:lang w:val="it-IT"/>
        </w:rPr>
        <w:t>, povečal na 793,7 mio evrov. Tudi v letih 2020 in 2021 je na skupno poslovanje trgovskih družb najbolj vplivalo poslovanje družb trgovine na drobno – njihov neto čisti dobiček se je po močnem zmanjšanju v letu 2020 (za 67,2 % oz. skoraj 160 mio evrov; skupaj vse trgov</w:t>
      </w:r>
      <w:r w:rsidR="00B8652B">
        <w:rPr>
          <w:lang w:val="it-IT"/>
        </w:rPr>
        <w:t>ske</w:t>
      </w:r>
      <w:r w:rsidRPr="00355D96">
        <w:rPr>
          <w:lang w:val="it-IT"/>
        </w:rPr>
        <w:t xml:space="preserve"> družbe pa za 152 mio evrov) v letu 2021 spet močno okrepil (za 460 % oz. 359 mio </w:t>
      </w:r>
      <w:r w:rsidR="00587409">
        <w:rPr>
          <w:lang w:val="it-IT"/>
        </w:rPr>
        <w:t>evrov</w:t>
      </w:r>
      <w:r w:rsidRPr="00355D96">
        <w:rPr>
          <w:lang w:val="it-IT"/>
        </w:rPr>
        <w:t xml:space="preserve">). Še izboljšalo se je tudi poslovanje družb trgovine na debelo, ki so sicer kot edine izmed družb največjih treh </w:t>
      </w:r>
      <w:r w:rsidR="00587409">
        <w:rPr>
          <w:lang w:val="it-IT"/>
        </w:rPr>
        <w:t>dejavnosti</w:t>
      </w:r>
      <w:r w:rsidRPr="00355D96">
        <w:rPr>
          <w:lang w:val="it-IT"/>
        </w:rPr>
        <w:t xml:space="preserve"> tudi v letu 2020 povečale svoj neto čisti dobiček.</w:t>
      </w:r>
    </w:p>
    <w:p w14:paraId="77382F16" w14:textId="1A2491AC" w:rsidR="005B3835" w:rsidRPr="005B3835" w:rsidRDefault="00355D96" w:rsidP="005B3835">
      <w:pPr>
        <w:pStyle w:val="Caption"/>
      </w:pPr>
      <w:r w:rsidRPr="005B3835">
        <w:t xml:space="preserve">Slika </w:t>
      </w:r>
      <w:r w:rsidRPr="005B3835">
        <w:fldChar w:fldCharType="begin"/>
      </w:r>
      <w:r w:rsidRPr="005B3835">
        <w:instrText xml:space="preserve"> SEQ Slika \* ARABIC </w:instrText>
      </w:r>
      <w:r w:rsidRPr="005B3835">
        <w:fldChar w:fldCharType="separate"/>
      </w:r>
      <w:r w:rsidRPr="005B3835">
        <w:t>4</w:t>
      </w:r>
      <w:r w:rsidRPr="005B3835">
        <w:fldChar w:fldCharType="end"/>
      </w:r>
      <w:r w:rsidRPr="005B3835">
        <w:rPr>
          <w:rStyle w:val="DZBesediloChar"/>
          <w:szCs w:val="20"/>
        </w:rPr>
        <w:t xml:space="preserve">: </w:t>
      </w:r>
      <w:r w:rsidR="005B3835" w:rsidRPr="005B3835">
        <w:t xml:space="preserve">Leta 2021 so se </w:t>
      </w:r>
      <w:r w:rsidR="004D6AE4" w:rsidRPr="005B3835">
        <w:t>povečali finančni prihodki</w:t>
      </w:r>
      <w:r w:rsidR="004D6AE4">
        <w:t xml:space="preserve"> in</w:t>
      </w:r>
      <w:r w:rsidR="004D6AE4" w:rsidRPr="005B3835">
        <w:t xml:space="preserve"> </w:t>
      </w:r>
      <w:r w:rsidR="005B3835" w:rsidRPr="005B3835">
        <w:t>zmanjšali finančni odhodki, ki so se v letu prej močno povečali</w:t>
      </w:r>
    </w:p>
    <w:p w14:paraId="417361E4" w14:textId="77777777" w:rsidR="00355D96" w:rsidRDefault="005B3835" w:rsidP="005B3835">
      <w:pPr>
        <w:pStyle w:val="BesediloUMAR"/>
        <w:rPr>
          <w:rStyle w:val="DZBesediloChar"/>
          <w:szCs w:val="20"/>
        </w:rPr>
      </w:pPr>
      <w:r w:rsidRPr="005B3835">
        <w:rPr>
          <w:rStyle w:val="DZBesediloChar"/>
          <w:noProof/>
        </w:rPr>
        <w:drawing>
          <wp:inline distT="0" distB="0" distL="0" distR="0" wp14:anchorId="1236A1D7" wp14:editId="54EB686E">
            <wp:extent cx="5759450" cy="2088222"/>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2088222"/>
                    </a:xfrm>
                    <a:prstGeom prst="rect">
                      <a:avLst/>
                    </a:prstGeom>
                    <a:noFill/>
                    <a:ln>
                      <a:noFill/>
                    </a:ln>
                  </pic:spPr>
                </pic:pic>
              </a:graphicData>
            </a:graphic>
          </wp:inline>
        </w:drawing>
      </w:r>
    </w:p>
    <w:p w14:paraId="027F4E42" w14:textId="5261A863" w:rsidR="002F0A04" w:rsidRDefault="002F0A04" w:rsidP="002F0A04">
      <w:pPr>
        <w:pStyle w:val="VirUMAR"/>
      </w:pPr>
      <w:r w:rsidRPr="008F6BED">
        <w:t xml:space="preserve">Vir podatkov: </w:t>
      </w:r>
      <w:r>
        <w:fldChar w:fldCharType="begin"/>
      </w:r>
      <w:r w:rsidR="007309C9">
        <w:instrText xml:space="preserve"> ADDIN ZOTERO_ITEM CSL_CITATION {"citationID":"3sjLhOCX","properties":{"formattedCitation":"(AJPES,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2022)</w:t>
      </w:r>
      <w:r>
        <w:fldChar w:fldCharType="end"/>
      </w:r>
      <w:r w:rsidRPr="008F6BED">
        <w:t>, lastni izračuni.</w:t>
      </w:r>
    </w:p>
    <w:p w14:paraId="7C1500CC" w14:textId="25AFF39E" w:rsidR="00043FF1" w:rsidRPr="005B3835" w:rsidRDefault="00043FF1" w:rsidP="00043FF1">
      <w:pPr>
        <w:pStyle w:val="Caption"/>
      </w:pPr>
      <w:r w:rsidRPr="005B3835">
        <w:t xml:space="preserve">Slika </w:t>
      </w:r>
      <w:r w:rsidRPr="005B3835">
        <w:fldChar w:fldCharType="begin"/>
      </w:r>
      <w:r w:rsidRPr="005B3835">
        <w:instrText xml:space="preserve"> SEQ Slika \* ARABIC </w:instrText>
      </w:r>
      <w:r w:rsidRPr="005B3835">
        <w:fldChar w:fldCharType="separate"/>
      </w:r>
      <w:r>
        <w:t>5</w:t>
      </w:r>
      <w:r w:rsidRPr="005B3835">
        <w:fldChar w:fldCharType="end"/>
      </w:r>
      <w:r w:rsidRPr="005B3835">
        <w:rPr>
          <w:rStyle w:val="DZBesediloChar"/>
          <w:szCs w:val="20"/>
        </w:rPr>
        <w:t xml:space="preserve">: </w:t>
      </w:r>
      <w:r w:rsidR="00DB0C00" w:rsidRPr="00CE2BF4">
        <w:t>Presežek prihodkov od prodaje nad stroški blaga, materiala, storitev in dela</w:t>
      </w:r>
      <w:r w:rsidR="00DB0C00">
        <w:rPr>
          <w:rStyle w:val="DZBesediloChar"/>
          <w:szCs w:val="20"/>
        </w:rPr>
        <w:t xml:space="preserve"> </w:t>
      </w:r>
      <w:r w:rsidR="000E33B4">
        <w:rPr>
          <w:rStyle w:val="DZBesediloChar"/>
          <w:szCs w:val="20"/>
        </w:rPr>
        <w:t xml:space="preserve">se je </w:t>
      </w:r>
      <w:r w:rsidR="000E33B4">
        <w:t>l</w:t>
      </w:r>
      <w:r w:rsidRPr="005B3835">
        <w:t xml:space="preserve">eta 2021 </w:t>
      </w:r>
      <w:r w:rsidR="000E33B4">
        <w:t xml:space="preserve">povečal </w:t>
      </w:r>
      <w:r w:rsidR="0030159B">
        <w:t>pri</w:t>
      </w:r>
      <w:r w:rsidR="000E33B4">
        <w:t xml:space="preserve"> </w:t>
      </w:r>
      <w:r w:rsidR="0030159B">
        <w:t xml:space="preserve">družbah </w:t>
      </w:r>
      <w:r w:rsidR="000E33B4">
        <w:t>vseh treh oddelk</w:t>
      </w:r>
      <w:r w:rsidR="0030159B">
        <w:t>ov</w:t>
      </w:r>
    </w:p>
    <w:p w14:paraId="68E9F910" w14:textId="5C0B5BD0" w:rsidR="002F0A04" w:rsidRDefault="00D97ECA" w:rsidP="005B3835">
      <w:pPr>
        <w:pStyle w:val="BesediloUMAR"/>
        <w:rPr>
          <w:rStyle w:val="BoldpoudarekUMAR"/>
        </w:rPr>
      </w:pPr>
      <w:r w:rsidRPr="00D97ECA">
        <w:rPr>
          <w:rStyle w:val="BoldpoudarekUMAR"/>
          <w:b w:val="0"/>
          <w:noProof/>
        </w:rPr>
        <w:drawing>
          <wp:inline distT="0" distB="0" distL="0" distR="0" wp14:anchorId="6EC6A90B" wp14:editId="01763302">
            <wp:extent cx="5838210" cy="2114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1260" cy="2115655"/>
                    </a:xfrm>
                    <a:prstGeom prst="rect">
                      <a:avLst/>
                    </a:prstGeom>
                    <a:noFill/>
                    <a:ln>
                      <a:noFill/>
                    </a:ln>
                  </pic:spPr>
                </pic:pic>
              </a:graphicData>
            </a:graphic>
          </wp:inline>
        </w:drawing>
      </w:r>
    </w:p>
    <w:p w14:paraId="69634312" w14:textId="77777777" w:rsidR="000E33B4" w:rsidRDefault="000E33B4" w:rsidP="000E33B4">
      <w:pPr>
        <w:pStyle w:val="VirUMAR"/>
      </w:pPr>
      <w:r w:rsidRPr="008F6BED">
        <w:t xml:space="preserve">Vir podatkov: </w:t>
      </w:r>
      <w:r>
        <w:fldChar w:fldCharType="begin"/>
      </w:r>
      <w:r>
        <w:instrText xml:space="preserve"> ADDIN ZOTERO_ITEM CSL_CITATION {"citationID":"3sjLhOCX","properties":{"formattedCitation":"(AJPES,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2022)</w:t>
      </w:r>
      <w:r>
        <w:fldChar w:fldCharType="end"/>
      </w:r>
      <w:r w:rsidRPr="008F6BED">
        <w:t>, lastni izračuni.</w:t>
      </w:r>
    </w:p>
    <w:p w14:paraId="6D445FAB" w14:textId="77777777" w:rsidR="000E33B4" w:rsidRDefault="000E33B4" w:rsidP="005B3835">
      <w:pPr>
        <w:pStyle w:val="BesediloUMAR"/>
        <w:rPr>
          <w:rStyle w:val="BoldpoudarekUMAR"/>
        </w:rPr>
      </w:pPr>
    </w:p>
    <w:p w14:paraId="7304D8C4" w14:textId="0FF26273" w:rsidR="005B3835" w:rsidRPr="005B3835" w:rsidRDefault="005B3835" w:rsidP="005B3835">
      <w:pPr>
        <w:pStyle w:val="BesediloUMAR"/>
        <w:rPr>
          <w:bCs/>
        </w:rPr>
      </w:pPr>
      <w:r w:rsidRPr="005B3835">
        <w:rPr>
          <w:rStyle w:val="BoldpoudarekUMAR"/>
        </w:rPr>
        <w:t>Gospodarnost poslovanja trgovinskih družb se je leta 2021 močno izboljšala</w:t>
      </w:r>
      <w:r w:rsidR="004D6AE4">
        <w:rPr>
          <w:rStyle w:val="BoldpoudarekUMAR"/>
        </w:rPr>
        <w:t xml:space="preserve">, pribitek nad stroški je </w:t>
      </w:r>
      <w:r w:rsidRPr="005B3835">
        <w:rPr>
          <w:rStyle w:val="BoldpoudarekUMAR"/>
        </w:rPr>
        <w:t>bil najvišj</w:t>
      </w:r>
      <w:r w:rsidR="004D6AE4">
        <w:rPr>
          <w:rStyle w:val="BoldpoudarekUMAR"/>
        </w:rPr>
        <w:t>i</w:t>
      </w:r>
      <w:r w:rsidRPr="005B3835">
        <w:rPr>
          <w:rStyle w:val="BoldpoudarekUMAR"/>
        </w:rPr>
        <w:t xml:space="preserve"> od leta 2008.</w:t>
      </w:r>
      <w:r w:rsidRPr="005B3835">
        <w:rPr>
          <w:b/>
        </w:rPr>
        <w:t xml:space="preserve"> </w:t>
      </w:r>
      <w:r w:rsidRPr="005B3835">
        <w:rPr>
          <w:bCs/>
        </w:rPr>
        <w:t xml:space="preserve">Po zmanjšanju poslovnih prihodkov v letu 2020 (ki bi bilo še večje, če ne bi država podjetjem priskočila na pomoč s subvencijami za ohranjevanje delovnih mest, ki se štejejo </w:t>
      </w:r>
      <w:r w:rsidR="00BD2836">
        <w:rPr>
          <w:bCs/>
        </w:rPr>
        <w:t>med</w:t>
      </w:r>
      <w:r w:rsidRPr="005B3835">
        <w:rPr>
          <w:bCs/>
        </w:rPr>
        <w:t xml:space="preserve">poslovne prihodke) so se ti v letu 2021 povečali za petino, na kar je vplival predvsem </w:t>
      </w:r>
      <w:r w:rsidR="004D6AE4">
        <w:rPr>
          <w:bCs/>
        </w:rPr>
        <w:t xml:space="preserve">odboj pri </w:t>
      </w:r>
      <w:r w:rsidRPr="005B3835">
        <w:rPr>
          <w:bCs/>
        </w:rPr>
        <w:t>trošenj</w:t>
      </w:r>
      <w:r w:rsidR="004D6AE4">
        <w:rPr>
          <w:bCs/>
        </w:rPr>
        <w:t>u</w:t>
      </w:r>
      <w:r w:rsidRPr="005B3835">
        <w:rPr>
          <w:bCs/>
        </w:rPr>
        <w:t xml:space="preserve"> gospodinjstev</w:t>
      </w:r>
      <w:r w:rsidR="004D6AE4">
        <w:rPr>
          <w:bCs/>
        </w:rPr>
        <w:t xml:space="preserve"> po epidemiji</w:t>
      </w:r>
      <w:r w:rsidR="00587409">
        <w:rPr>
          <w:bCs/>
        </w:rPr>
        <w:t xml:space="preserve"> in </w:t>
      </w:r>
      <w:r w:rsidR="00587409" w:rsidRPr="00587409">
        <w:t>rast aktivnosti v dejavnostih, s katerimi je povezana trgovin</w:t>
      </w:r>
      <w:r w:rsidR="004D6AE4">
        <w:t>a</w:t>
      </w:r>
      <w:r w:rsidR="00587409" w:rsidRPr="00587409">
        <w:t xml:space="preserve"> na debelo</w:t>
      </w:r>
      <w:r w:rsidRPr="005B3835">
        <w:rPr>
          <w:bCs/>
        </w:rPr>
        <w:t>. Nekoliko manj so se povečali poslovni odhodki; med njimi za največ stroški blaga, materiala in storitev, ki zavzemajo skoraj 90 % vseh poslovnih odhodkov. Za 8 % so bili višji tudi stroški dela, na kar sta vplivala tudi 2</w:t>
      </w:r>
      <w:r w:rsidR="00D3176B">
        <w:rPr>
          <w:bCs/>
        </w:rPr>
        <w:t>-odstotna</w:t>
      </w:r>
      <w:r w:rsidRPr="005B3835">
        <w:rPr>
          <w:bCs/>
        </w:rPr>
        <w:t xml:space="preserve"> rast števila zaposlenih in povišanje minimalne </w:t>
      </w:r>
      <w:r w:rsidR="004A7084">
        <w:rPr>
          <w:bCs/>
        </w:rPr>
        <w:t>ter</w:t>
      </w:r>
      <w:r w:rsidR="00C971BD">
        <w:rPr>
          <w:bCs/>
        </w:rPr>
        <w:t xml:space="preserve"> povprečne </w:t>
      </w:r>
      <w:r w:rsidRPr="005B3835">
        <w:rPr>
          <w:bCs/>
        </w:rPr>
        <w:t xml:space="preserve">plače. Ob takšnih gibanjih se je obremenjenost poslovnih prihodkov s stroški blaga, materiala in storitev leta 2021 še zmanjšala in bila s 85,3 % najnižja od leta 2008. </w:t>
      </w:r>
      <w:bookmarkStart w:id="7" w:name="_Hlk108790188"/>
      <w:r w:rsidRPr="005B3835">
        <w:rPr>
          <w:bCs/>
        </w:rPr>
        <w:t>Po zmanjšanju v letu 2020 se je lani močneje okrepil tudi pribitek</w:t>
      </w:r>
      <w:r w:rsidRPr="005B3835">
        <w:rPr>
          <w:bCs/>
          <w:vertAlign w:val="superscript"/>
        </w:rPr>
        <w:footnoteReference w:id="7"/>
      </w:r>
      <w:r w:rsidRPr="005B3835">
        <w:rPr>
          <w:bCs/>
        </w:rPr>
        <w:t xml:space="preserve"> povprečne trgovske družbe, ki je bil najvišji od leta 2008. Pribitek se je povečal pri družbah vseh treh oddelkov; najbolj pri družbah v trgovini na drobno, kjer je v letu 2021 tudi najbolj odstopal od povprečne vrednosti v obdobju 2008</w:t>
      </w:r>
      <w:r w:rsidRPr="005B3835">
        <w:t>–</w:t>
      </w:r>
      <w:r w:rsidRPr="005B3835">
        <w:rPr>
          <w:bCs/>
        </w:rPr>
        <w:t>2020.</w:t>
      </w:r>
    </w:p>
    <w:bookmarkEnd w:id="7"/>
    <w:p w14:paraId="1BFCD503" w14:textId="67106E7C" w:rsidR="005B3835" w:rsidRDefault="00355D96" w:rsidP="00355D96">
      <w:pPr>
        <w:pStyle w:val="Caption"/>
      </w:pPr>
      <w:r w:rsidRPr="00355D96">
        <w:t xml:space="preserve">Slika </w:t>
      </w:r>
      <w:r w:rsidRPr="00355D96">
        <w:fldChar w:fldCharType="begin"/>
      </w:r>
      <w:r w:rsidRPr="00355D96">
        <w:instrText xml:space="preserve"> SEQ Slika \* ARABIC </w:instrText>
      </w:r>
      <w:r w:rsidRPr="00355D96">
        <w:fldChar w:fldCharType="separate"/>
      </w:r>
      <w:r w:rsidR="00DB0C00">
        <w:t>6</w:t>
      </w:r>
      <w:r w:rsidRPr="00355D96">
        <w:fldChar w:fldCharType="end"/>
      </w:r>
      <w:r w:rsidRPr="00355D96">
        <w:rPr>
          <w:rStyle w:val="DZBesediloChar"/>
          <w:szCs w:val="20"/>
        </w:rPr>
        <w:t xml:space="preserve">: </w:t>
      </w:r>
      <w:r w:rsidR="005B3835" w:rsidRPr="005B3835">
        <w:t xml:space="preserve">Obremenjenost poslovnih prihodkov s stroški blaga, materiala in storitev se je leta 2021 zmanjšala v večini trgovskih panog </w:t>
      </w:r>
    </w:p>
    <w:p w14:paraId="4D8486AA" w14:textId="591FB46C" w:rsidR="00355D96" w:rsidRDefault="00D97ECA" w:rsidP="00355D96">
      <w:pPr>
        <w:pStyle w:val="Caption"/>
        <w:rPr>
          <w:rStyle w:val="DZBesediloChar"/>
          <w:szCs w:val="20"/>
        </w:rPr>
      </w:pPr>
      <w:r w:rsidRPr="00D97ECA">
        <w:rPr>
          <w:rStyle w:val="DZBesediloChar"/>
          <w:szCs w:val="20"/>
        </w:rPr>
        <w:drawing>
          <wp:inline distT="0" distB="0" distL="0" distR="0" wp14:anchorId="60692457" wp14:editId="35C4958F">
            <wp:extent cx="5942524" cy="216217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5272" cy="2163175"/>
                    </a:xfrm>
                    <a:prstGeom prst="rect">
                      <a:avLst/>
                    </a:prstGeom>
                    <a:noFill/>
                    <a:ln>
                      <a:noFill/>
                    </a:ln>
                  </pic:spPr>
                </pic:pic>
              </a:graphicData>
            </a:graphic>
          </wp:inline>
        </w:drawing>
      </w:r>
      <w:r w:rsidR="00355D96" w:rsidRPr="00355D96">
        <w:rPr>
          <w:rStyle w:val="DZBesediloChar"/>
          <w:szCs w:val="20"/>
        </w:rPr>
        <w:t xml:space="preserve"> </w:t>
      </w:r>
    </w:p>
    <w:p w14:paraId="702F18E6" w14:textId="77777777" w:rsidR="002F0A04" w:rsidRDefault="002F0A04" w:rsidP="002F0A04">
      <w:pPr>
        <w:pStyle w:val="VirUMAR"/>
      </w:pPr>
      <w:r w:rsidRPr="008F6BED">
        <w:t xml:space="preserve">Vir podatkov: </w:t>
      </w:r>
      <w:r>
        <w:fldChar w:fldCharType="begin"/>
      </w:r>
      <w:r w:rsidR="007309C9">
        <w:instrText xml:space="preserve"> ADDIN ZOTERO_ITEM CSL_CITATION {"citationID":"FhFPzOUW","properties":{"formattedCitation":"(AJPES, 2022)","plainCitation":"(AJPES, 2022)","noteIndex":0},"citationItems":[{"id":1801,"uris":["http://zotero.org/users/8372339/items/IC2SCV5C"],"uri":["http://zotero.org/users/8372339/items/IC2SCV5C"],"itemData":{"id":1801,"type":"report","event-place":"Ljubljana","publisher":"Agencija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007309C9" w:rsidRPr="007309C9">
        <w:t xml:space="preserve">AJPES </w:t>
      </w:r>
      <w:r w:rsidR="000F128C">
        <w:t>(</w:t>
      </w:r>
      <w:r w:rsidR="007309C9" w:rsidRPr="007309C9">
        <w:t>2022)</w:t>
      </w:r>
      <w:r>
        <w:fldChar w:fldCharType="end"/>
      </w:r>
      <w:r w:rsidRPr="008F6BED">
        <w:t>, lastni izračuni.</w:t>
      </w:r>
    </w:p>
    <w:p w14:paraId="59DB1408" w14:textId="767D327C" w:rsidR="005B3835" w:rsidRDefault="00355D96" w:rsidP="00355D96">
      <w:pPr>
        <w:pStyle w:val="Caption"/>
      </w:pPr>
      <w:r w:rsidRPr="00355D96">
        <w:t xml:space="preserve">Slika </w:t>
      </w:r>
      <w:r w:rsidRPr="00355D96">
        <w:fldChar w:fldCharType="begin"/>
      </w:r>
      <w:r w:rsidRPr="00355D96">
        <w:instrText xml:space="preserve"> SEQ Slika \* ARABIC </w:instrText>
      </w:r>
      <w:r w:rsidRPr="00355D96">
        <w:fldChar w:fldCharType="separate"/>
      </w:r>
      <w:r w:rsidR="00DB0C00">
        <w:t>7</w:t>
      </w:r>
      <w:r w:rsidRPr="00355D96">
        <w:fldChar w:fldCharType="end"/>
      </w:r>
      <w:r w:rsidRPr="00355D96">
        <w:rPr>
          <w:rStyle w:val="DZBesediloChar"/>
          <w:szCs w:val="20"/>
        </w:rPr>
        <w:t xml:space="preserve">: </w:t>
      </w:r>
      <w:r w:rsidR="005B3835" w:rsidRPr="005B3835">
        <w:t>Prodaja družb v trgovini z motornimi vozili se je leta 2021 okrepila na domačem trgu, kjer je v letu prej tudi močno upad</w:t>
      </w:r>
      <w:r w:rsidR="005B3835">
        <w:t>la</w:t>
      </w:r>
    </w:p>
    <w:p w14:paraId="449C6713" w14:textId="77777777" w:rsidR="00355D96" w:rsidRDefault="005B3835" w:rsidP="00355D96">
      <w:pPr>
        <w:pStyle w:val="Caption"/>
        <w:rPr>
          <w:rStyle w:val="DZBesediloChar"/>
          <w:szCs w:val="20"/>
        </w:rPr>
      </w:pPr>
      <w:r w:rsidRPr="005B3835">
        <w:rPr>
          <w:rStyle w:val="DZBesediloChar"/>
          <w:szCs w:val="20"/>
        </w:rPr>
        <w:drawing>
          <wp:inline distT="0" distB="0" distL="0" distR="0" wp14:anchorId="10B10E1C" wp14:editId="7B7891FF">
            <wp:extent cx="5894893" cy="21431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99978" cy="2144974"/>
                    </a:xfrm>
                    <a:prstGeom prst="rect">
                      <a:avLst/>
                    </a:prstGeom>
                    <a:noFill/>
                    <a:ln>
                      <a:noFill/>
                    </a:ln>
                  </pic:spPr>
                </pic:pic>
              </a:graphicData>
            </a:graphic>
          </wp:inline>
        </w:drawing>
      </w:r>
      <w:r w:rsidR="00355D96" w:rsidRPr="00355D96">
        <w:rPr>
          <w:rStyle w:val="DZBesediloChar"/>
          <w:szCs w:val="20"/>
        </w:rPr>
        <w:t xml:space="preserve"> </w:t>
      </w:r>
    </w:p>
    <w:p w14:paraId="3F2B1A85" w14:textId="77777777" w:rsidR="002F0A04" w:rsidRDefault="002F0A04" w:rsidP="002F0A04">
      <w:pPr>
        <w:pStyle w:val="VirUMAR"/>
      </w:pPr>
      <w:r w:rsidRPr="008F6BED">
        <w:t xml:space="preserve">Vir podatkov: </w:t>
      </w:r>
      <w:r>
        <w:fldChar w:fldCharType="begin"/>
      </w:r>
      <w:r w:rsidR="007309C9">
        <w:instrText xml:space="preserve"> ADDIN ZOTERO_ITEM CSL_CITATION {"citationID":"Y23l4Ysg","properties":{"formattedCitation":"(AJPES,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2022)</w:t>
      </w:r>
      <w:r>
        <w:fldChar w:fldCharType="end"/>
      </w:r>
      <w:r w:rsidRPr="008F6BED">
        <w:t>, lastni izračuni.</w:t>
      </w:r>
    </w:p>
    <w:p w14:paraId="73A53941" w14:textId="77777777" w:rsidR="005B3835" w:rsidRDefault="005B3835" w:rsidP="00355D96">
      <w:pPr>
        <w:pStyle w:val="VirUMAR"/>
      </w:pPr>
    </w:p>
    <w:p w14:paraId="249263C2" w14:textId="77777777" w:rsidR="00355D96" w:rsidRPr="00355D96" w:rsidRDefault="005B3835" w:rsidP="00355D96">
      <w:pPr>
        <w:pStyle w:val="BesediloUMAR"/>
      </w:pPr>
      <w:r w:rsidRPr="005B3835">
        <w:rPr>
          <w:rStyle w:val="BoldpoudarekUMAR"/>
        </w:rPr>
        <w:t>Neto čisti dobiček poslovnega leta v družbah trgovine z motornimi vozili se je po zmanjšanju leta 2020 v letu 2021 več kot podvojil.</w:t>
      </w:r>
      <w:r w:rsidRPr="005B3835">
        <w:t xml:space="preserve"> </w:t>
      </w:r>
      <w:r w:rsidRPr="005B3835">
        <w:rPr>
          <w:i/>
          <w:iCs/>
        </w:rPr>
        <w:t>Neto dobiček iz poslovanja</w:t>
      </w:r>
      <w:r w:rsidRPr="005B3835">
        <w:t xml:space="preserve"> se je leta 2021 močno povečal in bil za polovico višji kot leta 2019. Prodaja novih osebnih avtomobilov je sicer ob podaljšanih rokih dobave ostala podobna kot leta 2020, ko se je zmanjšala za skoraj petino, na kar je vplivalo tudi zaprtje prodajaln ob razglasitvi epidemije</w:t>
      </w:r>
      <w:r w:rsidRPr="005B3835">
        <w:rPr>
          <w:vertAlign w:val="superscript"/>
        </w:rPr>
        <w:footnoteReference w:id="8"/>
      </w:r>
      <w:r w:rsidRPr="005B3835">
        <w:t>, se je pa v letu 2021 močneje okrepila prodaja rabljenih avtov. Prodaja se je močno povečala na domačem trgu, kjer se je v letu 2020 tudi najbolj zmanjšala, kar je ob podobni prodaji na tujih trgih kot v prejšnjih letih precej zmanjšalo izvozno usmerjenost družb te panoge. Po poslabšanju v letu 2020, ko so družbe poslovale z izgubo iz financiranja</w:t>
      </w:r>
      <w:r w:rsidRPr="005B3835">
        <w:rPr>
          <w:iCs/>
        </w:rPr>
        <w:t xml:space="preserve"> v višini 5,2 </w:t>
      </w:r>
      <w:bookmarkStart w:id="8" w:name="_Hlk108776011"/>
      <w:r w:rsidRPr="005B3835">
        <w:t>mio evrov</w:t>
      </w:r>
      <w:bookmarkEnd w:id="8"/>
      <w:r w:rsidRPr="005B3835">
        <w:t xml:space="preserve">, se je izboljšalo tudi finančno poslovanje. Ob hkratnem zvišanju finančnih </w:t>
      </w:r>
      <w:r w:rsidRPr="00433F7B">
        <w:t>prihodkov za 14,7 mio evrov</w:t>
      </w:r>
      <w:r w:rsidRPr="00DA6EC6">
        <w:t xml:space="preserve"> in</w:t>
      </w:r>
      <w:r w:rsidRPr="005B3835">
        <w:t xml:space="preserve"> zmanjšanju finančnih odhodkov za 5,4 mio evrov (predvsem posledica nižjih oslabitev, ki so se v letu 2020 močneje povečali) so družbe leto 2021 zaključile z </w:t>
      </w:r>
      <w:r w:rsidRPr="005B3835">
        <w:rPr>
          <w:i/>
          <w:iCs/>
        </w:rPr>
        <w:t xml:space="preserve">neto finančnim dobičkom </w:t>
      </w:r>
      <w:r w:rsidRPr="005B3835">
        <w:rPr>
          <w:iCs/>
        </w:rPr>
        <w:t>v višini 14,9</w:t>
      </w:r>
      <w:r w:rsidRPr="005B3835">
        <w:rPr>
          <w:i/>
          <w:iCs/>
        </w:rPr>
        <w:t xml:space="preserve"> </w:t>
      </w:r>
      <w:r w:rsidRPr="005B3835">
        <w:t xml:space="preserve">mio evrov in </w:t>
      </w:r>
      <w:r w:rsidRPr="005B3835">
        <w:rPr>
          <w:i/>
        </w:rPr>
        <w:t>neto čistim dobičkom</w:t>
      </w:r>
      <w:r w:rsidRPr="005B3835">
        <w:t xml:space="preserve"> poslovnega leta v višini 175 mio evrov.</w:t>
      </w:r>
    </w:p>
    <w:p w14:paraId="1F09C7BF" w14:textId="69339BFD" w:rsidR="005B3835" w:rsidRDefault="00355D96" w:rsidP="00355D96">
      <w:pPr>
        <w:pStyle w:val="Caption"/>
      </w:pPr>
      <w:bookmarkStart w:id="9" w:name="_Hlk109044836"/>
      <w:r w:rsidRPr="00355D96">
        <w:t xml:space="preserve">Slika </w:t>
      </w:r>
      <w:r w:rsidRPr="00355D96">
        <w:fldChar w:fldCharType="begin"/>
      </w:r>
      <w:r w:rsidRPr="00355D96">
        <w:instrText xml:space="preserve"> SEQ Slika \* ARABIC </w:instrText>
      </w:r>
      <w:r w:rsidRPr="00355D96">
        <w:fldChar w:fldCharType="separate"/>
      </w:r>
      <w:r w:rsidR="00DB0C00">
        <w:t>8</w:t>
      </w:r>
      <w:r w:rsidRPr="00355D96">
        <w:fldChar w:fldCharType="end"/>
      </w:r>
      <w:r w:rsidRPr="00355D96">
        <w:rPr>
          <w:rStyle w:val="DZBesediloChar"/>
          <w:szCs w:val="20"/>
        </w:rPr>
        <w:t xml:space="preserve">: </w:t>
      </w:r>
      <w:r w:rsidR="005B3835" w:rsidRPr="005B3835">
        <w:t xml:space="preserve">Neto dobiček iz poslovanja se je leta 2020 najbolj povečal v trgovini na debelo s farmacevtskimi izdelki in medicinskim materialom, leta 2021 pa v trgovini na debelo s primarnimi proizvodi </w:t>
      </w:r>
    </w:p>
    <w:p w14:paraId="55409BB0" w14:textId="77777777" w:rsidR="00355D96" w:rsidRDefault="005B3835" w:rsidP="00355D96">
      <w:pPr>
        <w:pStyle w:val="Caption"/>
        <w:rPr>
          <w:rStyle w:val="DZBesediloChar"/>
          <w:szCs w:val="20"/>
        </w:rPr>
      </w:pPr>
      <w:r w:rsidRPr="005B3835">
        <w:rPr>
          <w:rStyle w:val="DZBesediloChar"/>
          <w:szCs w:val="20"/>
        </w:rPr>
        <w:drawing>
          <wp:inline distT="0" distB="0" distL="0" distR="0" wp14:anchorId="3592AD22" wp14:editId="1279EBFA">
            <wp:extent cx="5759450" cy="2132668"/>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2132668"/>
                    </a:xfrm>
                    <a:prstGeom prst="rect">
                      <a:avLst/>
                    </a:prstGeom>
                    <a:noFill/>
                    <a:ln>
                      <a:noFill/>
                    </a:ln>
                  </pic:spPr>
                </pic:pic>
              </a:graphicData>
            </a:graphic>
          </wp:inline>
        </w:drawing>
      </w:r>
      <w:r w:rsidR="00355D96" w:rsidRPr="00355D96">
        <w:rPr>
          <w:rStyle w:val="DZBesediloChar"/>
          <w:szCs w:val="20"/>
        </w:rPr>
        <w:t xml:space="preserve"> </w:t>
      </w:r>
    </w:p>
    <w:p w14:paraId="2AA19CB6" w14:textId="31077644" w:rsidR="002F0A04" w:rsidRDefault="002F0A04" w:rsidP="002F0A04">
      <w:pPr>
        <w:pStyle w:val="VirUMAR"/>
      </w:pPr>
      <w:r w:rsidRPr="008F6BED">
        <w:t xml:space="preserve">Vir podatkov: </w:t>
      </w:r>
      <w:r>
        <w:fldChar w:fldCharType="begin"/>
      </w:r>
      <w:r w:rsidR="007309C9">
        <w:instrText xml:space="preserve"> ADDIN ZOTERO_ITEM CSL_CITATION {"citationID":"6QdKJKF4","properties":{"formattedCitation":"(AJPES,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2022)</w:t>
      </w:r>
      <w:r>
        <w:fldChar w:fldCharType="end"/>
      </w:r>
      <w:r w:rsidRPr="008F6BED">
        <w:t>, lastni izračuni.</w:t>
      </w:r>
    </w:p>
    <w:p w14:paraId="0650D79D" w14:textId="77777777" w:rsidR="00463D53" w:rsidRDefault="00463D53" w:rsidP="002F0A04">
      <w:pPr>
        <w:pStyle w:val="VirUMAR"/>
      </w:pPr>
    </w:p>
    <w:bookmarkEnd w:id="9"/>
    <w:p w14:paraId="1505A991" w14:textId="374D7210" w:rsidR="005B3835" w:rsidRDefault="005B3835" w:rsidP="005B3835">
      <w:pPr>
        <w:pStyle w:val="BesediloUMAR"/>
      </w:pPr>
      <w:r w:rsidRPr="00CE2BF4">
        <w:rPr>
          <w:rStyle w:val="BoldpoudarekUMAR"/>
        </w:rPr>
        <w:t>V družbah trgovine na debelo se je neto čisti dobiček poslovnega leta v 2021 povečal še za polovico.</w:t>
      </w:r>
      <w:r w:rsidRPr="005B3835">
        <w:t xml:space="preserve"> </w:t>
      </w:r>
      <w:r w:rsidRPr="005B3835">
        <w:rPr>
          <w:i/>
        </w:rPr>
        <w:t>Neto dobiček iz poslovanja</w:t>
      </w:r>
      <w:r w:rsidRPr="005B3835">
        <w:t xml:space="preserve"> družb oddelka posredništvo in trgovina na debelo, ki se je v letih 2012 in 2013 zmanjšal, se je v naslednjih letih do 2021 povečal na 848,1 mio evrov. Na povečanje je močno vplivalo prenehanje poslovanja večje družbe leta 2014</w:t>
      </w:r>
      <w:r w:rsidRPr="005B3835">
        <w:rPr>
          <w:vertAlign w:val="superscript"/>
        </w:rPr>
        <w:footnoteReference w:id="9"/>
      </w:r>
      <w:r w:rsidRPr="005B3835">
        <w:t>, izboljševanje poslovnega rezultata zaradi povečanja prodaje v večini panog trgovine na debelo v letih 2015–2019 in izboljšanje poslovanja predvsem farmacevtskih in medicinskih panog v letu 2020, ki se jim je v letu 2021 pridružilo še izboljšanje poslovanja panog, ki se ukvarjajo s prodajo primarnih proizvodov</w:t>
      </w:r>
      <w:r w:rsidRPr="005B3835">
        <w:rPr>
          <w:vertAlign w:val="superscript"/>
          <w:lang w:val="en-US"/>
        </w:rPr>
        <w:footnoteReference w:id="10"/>
      </w:r>
      <w:r w:rsidRPr="005B3835">
        <w:t>. Povečana prodaja v letih 2015–2019 je bila posledica visoke proizvodne aktivnosti panog</w:t>
      </w:r>
      <w:r w:rsidR="000D0AF5">
        <w:t>,</w:t>
      </w:r>
      <w:r w:rsidRPr="005B3835">
        <w:t xml:space="preserve"> povezanih s trgovino (predelovalne dejavnosti, promet, gradbeništvo), v letih 2017 in 2018 tudi povečanja prodaje primarnih proizvodov (goriva, kovine, rude), v letih 2017–2019 pa tudi farmacevtskih proizvodov na tuje trge (predvsem v EU). Ob izbruhu epidemije v letu 2020 in nadaljevanju v letu 2021 se je nadaljevala visoka rast prodaje farmacevtskih izdelkov ter medicinskih potrebščin in materialov, kar je v letu 2020 povečalo neto dobiček iz poslovanja te panoge za tretjino oz. 29 mio evrov (povečanje v celotni trgovini na debelo je bilo za 29,4 mio evrov), v letu 2021 pa še za 12,3 mio evrov. Visoke rasti prodaje in neto čistega dobička iz poslovanja so leta 2020 dosegle tudi družbe, ki se ukvarjajo s prodajo računalniških naprav, lesom, gradbenim materialom in kemičnimi izdelki, leta 2021 pa poleg omenjenih tudi družbe, ki se ukvarjajo s prodajo električnih in telekomunikacijs</w:t>
      </w:r>
      <w:r w:rsidR="003E59E0">
        <w:t>k</w:t>
      </w:r>
      <w:r w:rsidRPr="005B3835">
        <w:t xml:space="preserve">ih naprav, kovinami, rudami in kovinskimi proizvodi ter gorivi. V letu 2021 se je na raven pred epidemijo vrnilo tudi poslovanje družb, ki prodajajo pijačo, sadje in zelenjavo ter oblačila in obutev, ki se je v letu 2020, zaradi večmesečnega zaprtja gostinskih in nastanitvenih obratov ter šol, pa tudi prodajaln z oblačili in obutvijo med razglasitvijo epidemije, močno poslabšalo. Leta 2021 so družbe v trgovini na debelo še močno izboljšale tudi svoje finančno poslovanje, saj so po dveh letih ponovno poslovale z </w:t>
      </w:r>
      <w:r w:rsidRPr="00C1746F">
        <w:rPr>
          <w:i/>
        </w:rPr>
        <w:t>neto dobičkom iz financiranja</w:t>
      </w:r>
      <w:r w:rsidRPr="005B3835">
        <w:t xml:space="preserve"> (v višini 32,1 mio evrov), kar je bila predvsem posledica nižjih finančnih odhodkov.</w:t>
      </w:r>
    </w:p>
    <w:p w14:paraId="0B1D033D" w14:textId="77777777" w:rsidR="00DB0C00" w:rsidRDefault="00DB0C00" w:rsidP="005B3835">
      <w:pPr>
        <w:pStyle w:val="BesediloUMAR"/>
      </w:pPr>
    </w:p>
    <w:p w14:paraId="438DDEDC" w14:textId="478D3078" w:rsidR="005732E6" w:rsidRPr="00DB0C00" w:rsidRDefault="00DB0C00" w:rsidP="00DB0C00">
      <w:pPr>
        <w:spacing w:after="0" w:line="240" w:lineRule="auto"/>
        <w:rPr>
          <w:rFonts w:ascii="Myriad Pro" w:hAnsi="Myriad Pro"/>
          <w:b/>
          <w:sz w:val="20"/>
        </w:rPr>
      </w:pPr>
      <w:r>
        <w:rPr>
          <w:rStyle w:val="BoldpoudarekUMAR"/>
        </w:rPr>
        <w:br w:type="page"/>
      </w:r>
    </w:p>
    <w:tbl>
      <w:tblPr>
        <w:tblStyle w:val="UMARokvir"/>
        <w:tblW w:w="0" w:type="auto"/>
        <w:tblLook w:val="04A0" w:firstRow="1" w:lastRow="0" w:firstColumn="1" w:lastColumn="0" w:noHBand="0" w:noVBand="1"/>
      </w:tblPr>
      <w:tblGrid>
        <w:gridCol w:w="9060"/>
      </w:tblGrid>
      <w:tr w:rsidR="00590676" w14:paraId="5617D42B" w14:textId="77777777" w:rsidTr="008F6BED">
        <w:tc>
          <w:tcPr>
            <w:tcW w:w="9060" w:type="dxa"/>
          </w:tcPr>
          <w:p w14:paraId="34AB6C4C" w14:textId="77777777" w:rsidR="00590676" w:rsidRDefault="00747002" w:rsidP="0004147D">
            <w:pPr>
              <w:pStyle w:val="Caption"/>
            </w:pPr>
            <w:bookmarkStart w:id="10" w:name="_Toc528327256"/>
            <w:r>
              <w:t xml:space="preserve">Okvir </w:t>
            </w:r>
            <w:r w:rsidR="00717AD3">
              <w:fldChar w:fldCharType="begin"/>
            </w:r>
            <w:r w:rsidR="00717AD3">
              <w:instrText xml:space="preserve"> SEQ Okvir \* ARABIC </w:instrText>
            </w:r>
            <w:r w:rsidR="00717AD3">
              <w:fldChar w:fldCharType="separate"/>
            </w:r>
            <w:r w:rsidR="00CD7599">
              <w:t>1</w:t>
            </w:r>
            <w:r w:rsidR="00717AD3">
              <w:fldChar w:fldCharType="end"/>
            </w:r>
            <w:r>
              <w:t xml:space="preserve"> </w:t>
            </w:r>
            <w:bookmarkEnd w:id="10"/>
            <w:r w:rsidR="00A43E6A">
              <w:t xml:space="preserve">: </w:t>
            </w:r>
            <w:r w:rsidR="00A43E6A" w:rsidRPr="00A43E6A">
              <w:t>Koncentracija v nespecializiranih pretežno živilskih prodajalnah na drobno</w:t>
            </w:r>
          </w:p>
          <w:p w14:paraId="2F66794D" w14:textId="77777777" w:rsidR="000F128C" w:rsidRPr="000F128C" w:rsidRDefault="000F128C" w:rsidP="000F128C">
            <w:pPr>
              <w:pStyle w:val="BesediloUMAR"/>
            </w:pPr>
          </w:p>
          <w:p w14:paraId="094842B6" w14:textId="303F07F4" w:rsidR="00C40E92" w:rsidRDefault="00A43E6A" w:rsidP="00A43E6A">
            <w:pPr>
              <w:pStyle w:val="BesediloUMAR"/>
            </w:pPr>
            <w:r w:rsidRPr="00A43E6A">
              <w:rPr>
                <w:b/>
              </w:rPr>
              <w:t>Zmanjševanje koncentracije pretežno živilskih prodajaln v Sloveniji, ki se je začel</w:t>
            </w:r>
            <w:r w:rsidR="00A007A6">
              <w:rPr>
                <w:b/>
              </w:rPr>
              <w:t>o</w:t>
            </w:r>
            <w:r w:rsidRPr="00A43E6A">
              <w:rPr>
                <w:b/>
              </w:rPr>
              <w:t xml:space="preserve"> leta 2007, se je v letu 2021 nadaljevalo, po tem ko se je leta 2020 tudi zaradi večjega števila prodajaln in boljšega dosega spletnih trgovin tradicionalnih družb</w:t>
            </w:r>
            <w:r w:rsidR="00A007A6">
              <w:rPr>
                <w:b/>
              </w:rPr>
              <w:t xml:space="preserve"> koncentracija</w:t>
            </w:r>
            <w:r w:rsidRPr="00A43E6A">
              <w:rPr>
                <w:b/>
              </w:rPr>
              <w:t xml:space="preserve"> prehodno nekoliko povečala. </w:t>
            </w:r>
            <w:r w:rsidRPr="00A43E6A">
              <w:t>Za nespecializirane prodajalne, ki pretežno prodajajo živila (hipermarketi, marketi, diskonti …)</w:t>
            </w:r>
            <w:r w:rsidRPr="00A43E6A">
              <w:rPr>
                <w:vertAlign w:val="superscript"/>
              </w:rPr>
              <w:footnoteReference w:id="11"/>
            </w:r>
            <w:r w:rsidRPr="00A43E6A">
              <w:t>, je bila po letu 2000 značilna krepitev koncentracije, ki je bila posledica propadanja manjših družb oz. njihovega povezovanja ali prevzemanja s strani večjih podjetij. Stopnja koncentracije, merjena s Hirschman-Herfindahlovim indeksom (HHI), je v tej panogi leta 2005 presegla mejo visoke koncentracije (1800). Potem ko je leta 2006 dosegla najvišjo vrednost (3387), se je v naslednjih letih zniževala in leta 2017 z vrednostjo 1798 prvič padla pod mejo visoke koncentracije (1800). Leta 2018 se je še nekoliko znižala, leta 2019 pa ostala skoraj nespremenjena. Zniževanje koncentracije je bilo predvsem posledica krepitve prodaje v diskontih, ki so na slovenski trg vstopili v letih 2005 in 2007. Ti so s širitvijo svojih poslovnih mrež in spreminjanjem nakupovalnih navad kupcev, do katerih je prišlo tudi zaradi gospodarske krize, v letu 2019 skupaj ustvarili 27,7 % celotnega prihodka od prodaje panoge na slovenskem trgu (leta 2007 6,5 %, v letu 2018 26,4 %). Delež največjih treh tradicionalnih družb v prihodku panoge se je tako v desetletju močno znižal (z 82,9 % leta 2007 na 61,1 % v letu 2019). Ob razmahu epidemije covid</w:t>
            </w:r>
            <w:r w:rsidR="00924590">
              <w:t>a</w:t>
            </w:r>
            <w:r w:rsidRPr="00A43E6A">
              <w:t xml:space="preserve">-19 v letu 2020 so se razmere močno spremenile. Delež prodaje v treh največjih tradicionalnih trgovinah v čistih prihodkih od prodaje panoge se je prvič po dolgih letih povečal (na 63,8 %), na kar so </w:t>
            </w:r>
            <w:r w:rsidR="00924590">
              <w:t>najverjetneje</w:t>
            </w:r>
            <w:r w:rsidR="00924590" w:rsidRPr="00A43E6A">
              <w:t xml:space="preserve"> </w:t>
            </w:r>
            <w:r w:rsidRPr="00A43E6A">
              <w:t>med drugim vplivale tudi večje možnosti dostopa do spletnih trgovin oz. dostave in večje razpredenosti trgovin, kar je bilo predvsem pomembno v časih, ko je bilo gibanje omejeno na občine in/ali pokrajine</w:t>
            </w:r>
            <w:r w:rsidR="00924590">
              <w:t>,</w:t>
            </w:r>
            <w:r w:rsidRPr="00A43E6A">
              <w:t xml:space="preserve"> ter ob primerih karantene in obolevnosti. Delež se je že v letu 2021, ob manj pogostih omejitvah gibanja, ponovno zmanjšal in padel pod 60 % (57,3 %). Ob tem se je delež diskontov </w:t>
            </w:r>
            <w:r w:rsidRPr="00E6402A">
              <w:t>povečal</w:t>
            </w:r>
            <w:r w:rsidRPr="00A43E6A">
              <w:t xml:space="preserve"> na 28,5 %.</w:t>
            </w:r>
            <w:r>
              <w:t xml:space="preserve"> </w:t>
            </w:r>
            <w:r w:rsidRPr="00A43E6A">
              <w:t>Ob zmanjšanju deleža največjih treh tradicionalnih družb se je stopnja koncentracije, merjena s Hirschman-Herfindahlovim indeksom (HHI)</w:t>
            </w:r>
            <w:r w:rsidR="000B52C9">
              <w:t>,</w:t>
            </w:r>
            <w:r w:rsidRPr="00A43E6A">
              <w:t xml:space="preserve"> leta 2021 zmanjšala in bila prvič po letu 2003 precej pod mejo visoke koncentracije.</w:t>
            </w:r>
            <w:r>
              <w:t xml:space="preserve"> </w:t>
            </w:r>
          </w:p>
          <w:p w14:paraId="3433FB63" w14:textId="77777777" w:rsidR="00A43E6A" w:rsidRDefault="00A43E6A" w:rsidP="00A43E6A">
            <w:pPr>
              <w:pStyle w:val="Caption"/>
            </w:pPr>
            <w:r>
              <w:t xml:space="preserve">Slika </w:t>
            </w:r>
            <w:r>
              <w:fldChar w:fldCharType="begin"/>
            </w:r>
            <w:r>
              <w:instrText xml:space="preserve"> SEQ Slika \* ARABIC </w:instrText>
            </w:r>
            <w:r>
              <w:fldChar w:fldCharType="separate"/>
            </w:r>
            <w:r w:rsidR="001C45CE">
              <w:t>9</w:t>
            </w:r>
            <w:r>
              <w:fldChar w:fldCharType="end"/>
            </w:r>
            <w:r>
              <w:t xml:space="preserve"> : </w:t>
            </w:r>
            <w:r w:rsidRPr="00A43E6A">
              <w:t>Koncentracija družb v nespecializiranih, pretežno živilskih prodajalnah na drobno se je v letu 2021močno zmanjšala</w:t>
            </w:r>
          </w:p>
          <w:p w14:paraId="493FD271" w14:textId="77777777" w:rsidR="00A43E6A" w:rsidRPr="00A43E6A" w:rsidRDefault="008F6BED" w:rsidP="00A43E6A">
            <w:pPr>
              <w:pStyle w:val="BesediloUMAR"/>
            </w:pPr>
            <w:r w:rsidRPr="008F6BED">
              <w:rPr>
                <w:noProof/>
              </w:rPr>
              <w:drawing>
                <wp:inline distT="0" distB="0" distL="0" distR="0" wp14:anchorId="3E98447B" wp14:editId="7287ECEF">
                  <wp:extent cx="5433158" cy="1977382"/>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47860" cy="1982733"/>
                          </a:xfrm>
                          <a:prstGeom prst="rect">
                            <a:avLst/>
                          </a:prstGeom>
                          <a:noFill/>
                          <a:ln>
                            <a:noFill/>
                          </a:ln>
                        </pic:spPr>
                      </pic:pic>
                    </a:graphicData>
                  </a:graphic>
                </wp:inline>
              </w:drawing>
            </w:r>
          </w:p>
          <w:p w14:paraId="30790BD9" w14:textId="77777777" w:rsidR="00A43E6A" w:rsidRPr="00A43E6A" w:rsidRDefault="00A43E6A" w:rsidP="00A43E6A">
            <w:pPr>
              <w:pStyle w:val="BesediloUMAR"/>
            </w:pPr>
          </w:p>
          <w:p w14:paraId="36ED8A08" w14:textId="77777777" w:rsidR="00C40E92" w:rsidRDefault="002F0A04" w:rsidP="008F6BED">
            <w:pPr>
              <w:pStyle w:val="VirUMAR"/>
            </w:pPr>
            <w:r w:rsidRPr="008F6BED">
              <w:t xml:space="preserve">Vir podatkov: </w:t>
            </w:r>
            <w:r>
              <w:fldChar w:fldCharType="begin"/>
            </w:r>
            <w:r w:rsidR="007309C9">
              <w:instrText xml:space="preserve"> ADDIN ZOTERO_ITEM CSL_CITATION {"citationID":"6YJgfSAI","properties":{"formattedCitation":"(AJPES, 2022)","plainCitation":"(AJPES, 2022)","noteIndex":0},"citationItems":[{"id":1801,"uris":["http://zotero.org/users/8372339/items/IC2SCV5C"],"uri":["http://zotero.org/users/8372339/items/IC2SCV5C"],"itemData":{"id":1801,"type":"report","event-place":"Ljubljana","publisher":"Agencija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007309C9" w:rsidRPr="007309C9">
              <w:t xml:space="preserve">AJPES </w:t>
            </w:r>
            <w:r w:rsidR="000F128C">
              <w:t>(</w:t>
            </w:r>
            <w:r w:rsidR="007309C9" w:rsidRPr="007309C9">
              <w:t>2022)</w:t>
            </w:r>
            <w:r>
              <w:fldChar w:fldCharType="end"/>
            </w:r>
            <w:r w:rsidRPr="008F6BED">
              <w:t>, lastni izračuni.</w:t>
            </w:r>
            <w:r>
              <w:t xml:space="preserve"> </w:t>
            </w:r>
            <w:r w:rsidR="008F6BED" w:rsidRPr="007309C9">
              <w:t>Opomba: HHI – Hirschman-Herfindahlov indeks koncentracije.</w:t>
            </w:r>
            <w:r w:rsidR="008F6BED" w:rsidRPr="00923B83">
              <w:t xml:space="preserve"> </w:t>
            </w:r>
          </w:p>
          <w:p w14:paraId="2EC852A8" w14:textId="5B85CBEF" w:rsidR="00342089" w:rsidRPr="00747002" w:rsidRDefault="00342089" w:rsidP="008F6BED">
            <w:pPr>
              <w:pStyle w:val="VirUMAR"/>
            </w:pPr>
          </w:p>
        </w:tc>
      </w:tr>
    </w:tbl>
    <w:p w14:paraId="6B3346FE" w14:textId="77777777" w:rsidR="0004147D" w:rsidRDefault="0004147D" w:rsidP="00390A78">
      <w:pPr>
        <w:pStyle w:val="BesediloUMAR"/>
      </w:pPr>
      <w:bookmarkStart w:id="11" w:name="_Toc528327260"/>
    </w:p>
    <w:p w14:paraId="4508502D" w14:textId="77777777" w:rsidR="00DB0C00" w:rsidRDefault="00DB0C00" w:rsidP="00DB0C00">
      <w:pPr>
        <w:pStyle w:val="BesediloUMAR"/>
        <w:rPr>
          <w:rStyle w:val="BoldpoudarekUMAR"/>
        </w:rPr>
      </w:pPr>
    </w:p>
    <w:p w14:paraId="26BF9055" w14:textId="7D20D867" w:rsidR="00DB0C00" w:rsidRDefault="00DB0C00" w:rsidP="00DB0C00">
      <w:pPr>
        <w:pStyle w:val="BesediloUMAR"/>
      </w:pPr>
      <w:r w:rsidRPr="00CE2BF4">
        <w:rPr>
          <w:rStyle w:val="BoldpoudarekUMAR"/>
        </w:rPr>
        <w:t>Neto čisti dobiček v trgovini na drobno se je po zmanjšanju leta 2020 v letu 2021 močno povečal, na kar je vplivalo predvsem skokovito povečanje neto dobička iz poslovanja.</w:t>
      </w:r>
      <w:r w:rsidRPr="00CE2BF4">
        <w:rPr>
          <w:b/>
        </w:rPr>
        <w:t xml:space="preserve"> </w:t>
      </w:r>
      <w:r w:rsidRPr="00CE2BF4">
        <w:t xml:space="preserve">Povečal se je za 459 % oz. 358,7 mio evrov na 436,8 mio evrov. Na poslovanje celotne panoge najbolj vplivajo družbe dveh skupin, ki so leta 2021 močno povečale neto dobiček iz poslovanja (skupaj za 255 mio evrov) </w:t>
      </w:r>
      <w:r w:rsidR="00E57B7F">
        <w:t>–</w:t>
      </w:r>
      <w:r w:rsidRPr="00CE2BF4">
        <w:t xml:space="preserve"> trgovine na drobno v specializiranih prodajalnah z motornimi gorivi (G 47.3) in trgovine na drobno v nespecializiranih prodajalnah (G 47.1). V zadnjih dveh letih so na poslovanje celotnega oddelka močno vplivale tudi družbe manjših panog, katerih poslovanje se je v letu 2020, zaradi omejitev pri poslovanju, močno poslabšalo, v letu 2021 pa ponovno oživelo. Gre predvsem za družbe trgovine na drobno v specializiranih prodajalnah z drugo gospodinjsko opremo (G 47.5), družbe trgovine na drobno v specializiranih prodajalnah z izdelki za kulturo, šport in zabavo (G 47.6) </w:t>
      </w:r>
      <w:r w:rsidR="00AD5EBB">
        <w:t>ter</w:t>
      </w:r>
      <w:r w:rsidRPr="00CE2BF4">
        <w:t xml:space="preserve"> družbe trgovine na drobno v specializiranih prodajalnah z drugimi izdelki (G 47.7). Skupaj so družbe teh panog zaradi manjše prodaje v letu 2020 glede na leto 2019 zmanjšale svoj neto dobiček iz poslovanja za 85,2 mio evrov; ob oživitvi poslovanja v letu 2021 pa se je spet povečal za 108,5 mio evrov.</w:t>
      </w:r>
    </w:p>
    <w:p w14:paraId="1E10C18E" w14:textId="2D29DB1D" w:rsidR="00DB0C00" w:rsidRDefault="00DB0C00" w:rsidP="00DB0C00">
      <w:pPr>
        <w:pStyle w:val="Caption"/>
      </w:pPr>
      <w:r w:rsidRPr="00355D96">
        <w:t xml:space="preserve">Slika </w:t>
      </w:r>
      <w:r w:rsidRPr="00355D96">
        <w:fldChar w:fldCharType="begin"/>
      </w:r>
      <w:r w:rsidRPr="00355D96">
        <w:instrText xml:space="preserve"> SEQ Slika \* ARABIC </w:instrText>
      </w:r>
      <w:r w:rsidRPr="00355D96">
        <w:fldChar w:fldCharType="separate"/>
      </w:r>
      <w:r w:rsidR="00D80FD5">
        <w:t>10</w:t>
      </w:r>
      <w:r w:rsidRPr="00355D96">
        <w:fldChar w:fldCharType="end"/>
      </w:r>
      <w:r w:rsidRPr="00355D96">
        <w:rPr>
          <w:rStyle w:val="DZBesediloChar"/>
          <w:szCs w:val="20"/>
        </w:rPr>
        <w:t xml:space="preserve">: </w:t>
      </w:r>
      <w:r w:rsidRPr="00CE2BF4">
        <w:t xml:space="preserve">Finančni odhodki iz oslabitev gospodarskih družb v trgovini na drobno v nespecializiranih prodajalnah so se v letu 2021 precej zmanjšali </w:t>
      </w:r>
    </w:p>
    <w:p w14:paraId="03DE32AA" w14:textId="77777777" w:rsidR="00DB0C00" w:rsidRDefault="00DB0C00" w:rsidP="00DB0C00">
      <w:pPr>
        <w:pStyle w:val="Caption"/>
        <w:rPr>
          <w:rStyle w:val="DZBesediloChar"/>
          <w:szCs w:val="20"/>
        </w:rPr>
      </w:pPr>
      <w:r w:rsidRPr="00CE2BF4">
        <w:rPr>
          <w:rStyle w:val="DZBesediloChar"/>
          <w:szCs w:val="20"/>
        </w:rPr>
        <w:drawing>
          <wp:inline distT="0" distB="0" distL="0" distR="0" wp14:anchorId="6E26D8A3" wp14:editId="78159C33">
            <wp:extent cx="5830923" cy="21240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33781" cy="2125116"/>
                    </a:xfrm>
                    <a:prstGeom prst="rect">
                      <a:avLst/>
                    </a:prstGeom>
                    <a:noFill/>
                    <a:ln>
                      <a:noFill/>
                    </a:ln>
                  </pic:spPr>
                </pic:pic>
              </a:graphicData>
            </a:graphic>
          </wp:inline>
        </w:drawing>
      </w:r>
      <w:r w:rsidRPr="00355D96">
        <w:rPr>
          <w:rStyle w:val="DZBesediloChar"/>
          <w:szCs w:val="20"/>
        </w:rPr>
        <w:t xml:space="preserve"> </w:t>
      </w:r>
    </w:p>
    <w:p w14:paraId="7E4A6192" w14:textId="77777777" w:rsidR="00DB0C00" w:rsidRDefault="00DB0C00" w:rsidP="00DB0C00">
      <w:pPr>
        <w:pStyle w:val="VirUMAR"/>
      </w:pPr>
      <w:r w:rsidRPr="008F6BED">
        <w:t xml:space="preserve">Vir podatkov: </w:t>
      </w:r>
      <w:r>
        <w:fldChar w:fldCharType="begin"/>
      </w:r>
      <w:r>
        <w:instrText xml:space="preserve"> ADDIN ZOTERO_ITEM CSL_CITATION {"citationID":"tI2h8bA7","properties":{"formattedCitation":"(AJPES,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2022)</w:t>
      </w:r>
      <w:r>
        <w:fldChar w:fldCharType="end"/>
      </w:r>
      <w:r w:rsidRPr="008F6BED">
        <w:t>, lastni izračuni.</w:t>
      </w:r>
    </w:p>
    <w:p w14:paraId="068E18A0" w14:textId="77777777" w:rsidR="00DB0C00" w:rsidRDefault="00DB0C00" w:rsidP="00DB0C00">
      <w:pPr>
        <w:pStyle w:val="VirUMAR"/>
      </w:pPr>
    </w:p>
    <w:p w14:paraId="14536BE6" w14:textId="4ACA191F" w:rsidR="00DB0C00" w:rsidRDefault="00DB0C00" w:rsidP="00DB0C00">
      <w:pPr>
        <w:pStyle w:val="BesediloUMAR"/>
        <w:rPr>
          <w:b/>
        </w:rPr>
      </w:pPr>
      <w:r w:rsidRPr="00CE2BF4">
        <w:rPr>
          <w:b/>
        </w:rPr>
        <w:t>Poslovni rezultat v družbah trgovine na drobno v nespecializiranih prodajalnah se je v letu 2021 močno izboljšal.</w:t>
      </w:r>
      <w:r w:rsidRPr="00CE2BF4">
        <w:t xml:space="preserve"> Po neto čisti izgubi leta 2017 je celotna skupina, v kateri prevladujejo hipermarketi, marketi in diskonti (G 47.110), leto 2018 zaključila z </w:t>
      </w:r>
      <w:r w:rsidRPr="00C1746F">
        <w:rPr>
          <w:i/>
        </w:rPr>
        <w:t>neto čistim dobičkom</w:t>
      </w:r>
      <w:r w:rsidRPr="00CE2BF4">
        <w:t>, ki se je leta 2019 nekoliko zmanjšal. Na nihanja v uspešnosti poslovanja skupine so zelo vplivala predvsem nihanja v vrednosti oslabitev nepremičnin in opreme, ki so vplivali na finančno poslovanje</w:t>
      </w:r>
      <w:r>
        <w:t>,</w:t>
      </w:r>
      <w:r w:rsidRPr="00CE2BF4">
        <w:t xml:space="preserve"> ter odpisov zaradi prevrednotenja finančnih naložb, ki so vplivali na višino poslovnih odhodkov in neto rezultat poslovanja</w:t>
      </w:r>
      <w:r w:rsidRPr="00CE2BF4">
        <w:rPr>
          <w:vertAlign w:val="superscript"/>
        </w:rPr>
        <w:footnoteReference w:id="12"/>
      </w:r>
      <w:r w:rsidRPr="00CE2BF4">
        <w:t xml:space="preserve">. Tako je neto dobiček iz poslovanja zaradi ponovnega </w:t>
      </w:r>
      <w:r w:rsidR="00693766" w:rsidRPr="00693766">
        <w:t>z</w:t>
      </w:r>
      <w:r w:rsidRPr="00693766">
        <w:t>višanja</w:t>
      </w:r>
      <w:r w:rsidRPr="00CE2BF4">
        <w:t xml:space="preserve"> odpisov v letu 2019 ostal podoben kot v letu 2018, </w:t>
      </w:r>
      <w:r w:rsidRPr="00C971BD">
        <w:rPr>
          <w:i/>
        </w:rPr>
        <w:t>izguba iz financiranja</w:t>
      </w:r>
      <w:r w:rsidRPr="00CE2BF4">
        <w:t xml:space="preserve"> pa se je zaradi nižjih prihodkov še povečala. Leta 2020 se je slednja ob precej višjih finančnih odhodkih zaradi povečanja oslabitev</w:t>
      </w:r>
      <w:r w:rsidRPr="00CE2BF4">
        <w:rPr>
          <w:i/>
        </w:rPr>
        <w:t xml:space="preserve"> </w:t>
      </w:r>
      <w:r w:rsidRPr="00CE2BF4">
        <w:t xml:space="preserve">skoraj podvojila (povečanje na 101,4 mio evrov), leta 2021 pa ponovno zmanjšala na 41,6 mio evrov. Že v letu 2020 se je povečal </w:t>
      </w:r>
      <w:r w:rsidRPr="00CE2BF4">
        <w:rPr>
          <w:i/>
        </w:rPr>
        <w:t>neto dobiček iz poslovanja</w:t>
      </w:r>
      <w:r w:rsidRPr="00CE2BF4">
        <w:t xml:space="preserve"> (za petino oz. 24,8 mio evrov); rast se je v letu 2021 še pospešila na 111 % (za 156,7 mio evrov). Na povišanje v letih 2020 in 2021 je vplivala povečana prodaj</w:t>
      </w:r>
      <w:r>
        <w:t>a</w:t>
      </w:r>
      <w:r w:rsidRPr="00CE2BF4">
        <w:t xml:space="preserve"> zaradi nabav zalog neživil in živil, ki so si jih ljudje naredili predvsem ob prvem valu epidemije in pred zaprtjem javnega življenja (npr. aprila lani) ter večjega prehranjevanja doma zaradi nedelovanja gostinskih obratov ter dela in šolanja na daljavo. Poleg večje prodaje v klasičnih trgovinah se je močno povečala tudi prodaja po spletu. Večja možnost dostopa do spletnih trgovin večjih tradicionalnih trgovskih družb in večja razpredenost teh trgovin, ki sta se predvsem pozitivno izkazali v časih omejitve gibanja na občine in pokrajine ter ob primerih karantene in obolevnosti</w:t>
      </w:r>
      <w:r>
        <w:t>,</w:t>
      </w:r>
      <w:r w:rsidRPr="00CE2BF4">
        <w:t xml:space="preserve"> </w:t>
      </w:r>
      <w:r>
        <w:t xml:space="preserve">pa </w:t>
      </w:r>
      <w:r w:rsidRPr="00CE2BF4">
        <w:t xml:space="preserve">sta </w:t>
      </w:r>
      <w:r>
        <w:t>najverjetneje prispevali</w:t>
      </w:r>
      <w:r w:rsidRPr="00CE2BF4">
        <w:t xml:space="preserve"> k temu, da se je delež prodaje v diskontih v čistih prihodkih od prodaje cele panoge v letu 2020 prvič po letu 2006 zmanjšal. Delež se je že v letu 2021, ob manj pogostih omejitvah gibanja, ponovno povečal in presegel deleže iz leta 2019. Ob tem se je delež treh največjih tradicionalnih trgovcev prvič zmanjšal pod 60 %, delež diskontov pa je narasel na skoraj 30 %. </w:t>
      </w:r>
      <w:r>
        <w:t>S tem</w:t>
      </w:r>
      <w:r w:rsidRPr="00CE2BF4">
        <w:t xml:space="preserve"> se je stopnja koncentracije, merjena s Hirschman-Herfindahlovim indeksom (HHI)</w:t>
      </w:r>
      <w:r>
        <w:t>,</w:t>
      </w:r>
      <w:r w:rsidRPr="00CE2BF4">
        <w:t xml:space="preserve"> leta 2021 zmanjšala in bila prvič po letu 2003 precej pod mejo visoke koncentracije.</w:t>
      </w:r>
      <w:r w:rsidRPr="00CE2BF4">
        <w:rPr>
          <w:b/>
        </w:rPr>
        <w:t xml:space="preserve"> </w:t>
      </w:r>
    </w:p>
    <w:p w14:paraId="5F5F0BC1" w14:textId="77777777" w:rsidR="00DB0C00" w:rsidRDefault="00DB0C00" w:rsidP="00DB0C00">
      <w:pPr>
        <w:pStyle w:val="BesediloUMAR"/>
        <w:rPr>
          <w:b/>
        </w:rPr>
      </w:pPr>
    </w:p>
    <w:p w14:paraId="5C52C39A" w14:textId="4632A496" w:rsidR="00DB0C00" w:rsidRPr="00CE2BF4" w:rsidRDefault="00DB0C00" w:rsidP="00DB0C00">
      <w:pPr>
        <w:pStyle w:val="BesediloUMAR"/>
      </w:pPr>
      <w:r w:rsidRPr="00CE2BF4">
        <w:rPr>
          <w:b/>
        </w:rPr>
        <w:t>Družbe trgovine na drobno v specializiranih prodajalnah z motornimi gorivi so po prepolovitvi med epidemijo, leta 2021 močno povečale neto čisti dobiček.</w:t>
      </w:r>
      <w:r w:rsidRPr="00CE2BF4">
        <w:t xml:space="preserve"> Po rekordni višini v letu 2018 se je </w:t>
      </w:r>
      <w:r w:rsidRPr="00C1746F">
        <w:t>neto čisti dobiček</w:t>
      </w:r>
      <w:r w:rsidRPr="00CE2BF4">
        <w:t xml:space="preserve"> v letu 2019 zmanjšal za skoraj tretjino</w:t>
      </w:r>
      <w:r w:rsidRPr="00CE2BF4">
        <w:rPr>
          <w:vertAlign w:val="superscript"/>
          <w:lang w:val="en-US"/>
        </w:rPr>
        <w:footnoteReference w:id="13"/>
      </w:r>
      <w:r w:rsidRPr="00CE2BF4">
        <w:t>, v letu 2020 pa se je predvsem zaradi manjše prodaje ob omejitvah gibanja in delovanja med epidemijo še več kot prepolovil in bil s 41,6 mio evri najnižji po letu 2012. Ob povečanem povpraševanju in s tem višj</w:t>
      </w:r>
      <w:r w:rsidR="00242897">
        <w:t>i</w:t>
      </w:r>
      <w:r w:rsidRPr="00CE2BF4">
        <w:t xml:space="preserve"> prodaj</w:t>
      </w:r>
      <w:r w:rsidR="00B21EFB">
        <w:t>i</w:t>
      </w:r>
      <w:r w:rsidRPr="00CE2BF4">
        <w:t xml:space="preserve"> proizvodov iz nafte ter tudi višjih cenah se je </w:t>
      </w:r>
      <w:r w:rsidRPr="00CE2BF4">
        <w:rPr>
          <w:i/>
        </w:rPr>
        <w:t xml:space="preserve">neto dobiček iz poslovanja </w:t>
      </w:r>
      <w:r w:rsidRPr="00CE2BF4">
        <w:t xml:space="preserve">leta 2021 močno povečal in bil s 149,9 mio evrov najvišji od leta 2008. Ob nekoliko višji </w:t>
      </w:r>
      <w:r w:rsidRPr="00CE2BF4">
        <w:rPr>
          <w:i/>
        </w:rPr>
        <w:t xml:space="preserve">neto finančni izgubi, </w:t>
      </w:r>
      <w:r w:rsidRPr="00CE2BF4">
        <w:t>ki je bila posledica višjih finančnih odhodkov</w:t>
      </w:r>
      <w:r w:rsidR="00B21EFB">
        <w:t>,</w:t>
      </w:r>
      <w:r w:rsidRPr="00CE2BF4">
        <w:t xml:space="preserve"> je </w:t>
      </w:r>
      <w:r w:rsidRPr="00CE2BF4">
        <w:rPr>
          <w:i/>
        </w:rPr>
        <w:t>neto čisti dobiček</w:t>
      </w:r>
      <w:r w:rsidRPr="00CE2BF4">
        <w:t xml:space="preserve"> v letu 2021 znašal 106,3 mio evrov, kar je bilo sicer nekaj manj kot rekordnega leta 2018.</w:t>
      </w:r>
    </w:p>
    <w:p w14:paraId="29376228" w14:textId="0CD4E8D6" w:rsidR="00CE2BF4" w:rsidRDefault="00CE2BF4" w:rsidP="00CE2BF4">
      <w:pPr>
        <w:pStyle w:val="Caption"/>
        <w:rPr>
          <w:rStyle w:val="DZBesediloChar"/>
          <w:szCs w:val="20"/>
        </w:rPr>
      </w:pPr>
      <w:r w:rsidRPr="00355D96">
        <w:t xml:space="preserve">Slika </w:t>
      </w:r>
      <w:r w:rsidRPr="00355D96">
        <w:fldChar w:fldCharType="begin"/>
      </w:r>
      <w:r w:rsidRPr="00355D96">
        <w:instrText xml:space="preserve"> SEQ Slika \* ARABIC </w:instrText>
      </w:r>
      <w:r w:rsidRPr="00355D96">
        <w:fldChar w:fldCharType="separate"/>
      </w:r>
      <w:r w:rsidR="00D80FD5">
        <w:t>11</w:t>
      </w:r>
      <w:r w:rsidRPr="00355D96">
        <w:fldChar w:fldCharType="end"/>
      </w:r>
      <w:r w:rsidRPr="00355D96">
        <w:rPr>
          <w:rStyle w:val="DZBesediloChar"/>
          <w:szCs w:val="20"/>
        </w:rPr>
        <w:t xml:space="preserve">: </w:t>
      </w:r>
      <w:r w:rsidRPr="00CE2BF4">
        <w:t xml:space="preserve">Presežek prihodkov od prodaje nad stroški blaga, materiala, storitev in dela </w:t>
      </w:r>
      <w:r w:rsidR="006C15DE">
        <w:t xml:space="preserve">v družbah trgovine na drobno v nespecializiranih prodajalnah </w:t>
      </w:r>
      <w:r w:rsidR="0030159B">
        <w:t xml:space="preserve">in trgovine na drobno z motornimi gorivi </w:t>
      </w:r>
      <w:r w:rsidRPr="00CE2BF4">
        <w:t xml:space="preserve">se je v letu 2021 povečal </w:t>
      </w:r>
      <w:r w:rsidRPr="00355D96">
        <w:rPr>
          <w:rStyle w:val="DZBesediloChar"/>
          <w:szCs w:val="20"/>
        </w:rPr>
        <w:t xml:space="preserve"> </w:t>
      </w:r>
    </w:p>
    <w:p w14:paraId="4CBD50F4" w14:textId="2ED1A95F" w:rsidR="00CE2BF4" w:rsidRPr="00CE2BF4" w:rsidRDefault="0030159B" w:rsidP="00CE2BF4">
      <w:pPr>
        <w:pStyle w:val="BesediloUMAR"/>
      </w:pPr>
      <w:r w:rsidRPr="0030159B">
        <w:rPr>
          <w:noProof/>
        </w:rPr>
        <w:drawing>
          <wp:inline distT="0" distB="0" distL="0" distR="0" wp14:anchorId="58D92913" wp14:editId="23B64492">
            <wp:extent cx="5829300" cy="211301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33533" cy="2114544"/>
                    </a:xfrm>
                    <a:prstGeom prst="rect">
                      <a:avLst/>
                    </a:prstGeom>
                    <a:noFill/>
                    <a:ln>
                      <a:noFill/>
                    </a:ln>
                  </pic:spPr>
                </pic:pic>
              </a:graphicData>
            </a:graphic>
          </wp:inline>
        </w:drawing>
      </w:r>
    </w:p>
    <w:p w14:paraId="15D771DE" w14:textId="77777777" w:rsidR="002F0A04" w:rsidRDefault="002F0A04" w:rsidP="002F0A04">
      <w:pPr>
        <w:pStyle w:val="VirUMAR"/>
      </w:pPr>
      <w:r w:rsidRPr="008F6BED">
        <w:t xml:space="preserve">Vir podatkov: </w:t>
      </w:r>
      <w:r>
        <w:fldChar w:fldCharType="begin"/>
      </w:r>
      <w:r w:rsidR="007309C9">
        <w:instrText xml:space="preserve"> ADDIN ZOTERO_ITEM CSL_CITATION {"citationID":"dniFEhuZ","properties":{"formattedCitation":"(AJPES,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2022)</w:t>
      </w:r>
      <w:r>
        <w:fldChar w:fldCharType="end"/>
      </w:r>
      <w:r w:rsidRPr="008F6BED">
        <w:t>, lastni izračuni.</w:t>
      </w:r>
    </w:p>
    <w:p w14:paraId="0538013B" w14:textId="77777777" w:rsidR="001C45CE" w:rsidRDefault="001C45CE" w:rsidP="00CE2BF4">
      <w:pPr>
        <w:pStyle w:val="VirUMAR"/>
      </w:pPr>
    </w:p>
    <w:p w14:paraId="5093F505" w14:textId="65483344" w:rsidR="001C45CE" w:rsidRPr="001C45CE" w:rsidRDefault="001C45CE" w:rsidP="001C45CE">
      <w:pPr>
        <w:pStyle w:val="BesediloUMAR"/>
        <w:rPr>
          <w:b/>
        </w:rPr>
      </w:pPr>
      <w:r w:rsidRPr="001C45CE">
        <w:rPr>
          <w:b/>
        </w:rPr>
        <w:t xml:space="preserve">Družbam trgovine na drobno v nespecializiranih prodajalnah in v specializiranih prodajalnah z motornimi gorivi so se v letu 2021 povečali tudi pribitki. </w:t>
      </w:r>
      <w:r w:rsidRPr="001C45CE">
        <w:t>Pri družbah obeh panog je bil</w:t>
      </w:r>
      <w:r w:rsidRPr="001C45CE">
        <w:rPr>
          <w:b/>
        </w:rPr>
        <w:t xml:space="preserve"> </w:t>
      </w:r>
      <w:r w:rsidRPr="001C45CE">
        <w:t>pribitek, izračunan kot razmerje med prihodki od prodaje in stroški za nabavo blaga, materiala in storitev ter stroški dela</w:t>
      </w:r>
      <w:r w:rsidR="00B21EFB">
        <w:t>,</w:t>
      </w:r>
      <w:r w:rsidRPr="001C45CE">
        <w:t xml:space="preserve"> v letu 2021</w:t>
      </w:r>
      <w:r w:rsidR="005F40ED">
        <w:t xml:space="preserve"> </w:t>
      </w:r>
      <w:r w:rsidRPr="001C45CE">
        <w:t xml:space="preserve">najvišji v celotnem obdobju. Družbam trgovine na drobno v nespecializiranih prodajalnah se je krepil po letu 2016, močneje v zadnjih dveh letih (2020 in 2021). </w:t>
      </w:r>
      <w:r w:rsidRPr="001C45CE">
        <w:rPr>
          <w:bCs/>
        </w:rPr>
        <w:t xml:space="preserve">Po zmanjšanju v letu 2020 se je močneje okrepil tudi pribitek </w:t>
      </w:r>
      <w:r w:rsidRPr="001C45CE">
        <w:t>v specializiranih prodajalnah z motornimi gorivi</w:t>
      </w:r>
      <w:r w:rsidRPr="00FA4D35">
        <w:rPr>
          <w:bCs/>
        </w:rPr>
        <w:t>.</w:t>
      </w:r>
      <w:r w:rsidRPr="001C45CE">
        <w:rPr>
          <w:b/>
        </w:rPr>
        <w:t xml:space="preserve"> </w:t>
      </w:r>
    </w:p>
    <w:p w14:paraId="572BB0AF" w14:textId="77777777" w:rsidR="001C45CE" w:rsidRPr="001C45CE" w:rsidRDefault="001C45CE" w:rsidP="001C45CE">
      <w:pPr>
        <w:pStyle w:val="BesediloUMAR"/>
        <w:rPr>
          <w:b/>
        </w:rPr>
      </w:pPr>
    </w:p>
    <w:p w14:paraId="42260AAE" w14:textId="5FEAE82B" w:rsidR="001C45CE" w:rsidRDefault="001C45CE" w:rsidP="001C45CE">
      <w:pPr>
        <w:pStyle w:val="BesediloUMAR"/>
      </w:pPr>
      <w:r w:rsidRPr="001C45CE">
        <w:rPr>
          <w:b/>
        </w:rPr>
        <w:t xml:space="preserve">Zadolženost trgovinskih družb se je, po precejšnjem povečanju leta 2019, leta 2020 zmanjšala in ostala podobna tudi v letu 2021. </w:t>
      </w:r>
      <w:r w:rsidRPr="001C45CE">
        <w:t>Dolg se je sicer</w:t>
      </w:r>
      <w:r w:rsidRPr="001C45CE">
        <w:rPr>
          <w:b/>
        </w:rPr>
        <w:t xml:space="preserve"> </w:t>
      </w:r>
      <w:r w:rsidRPr="001C45CE">
        <w:t>v letu 2021 nekoliko povečal, vendar se je ob tem povečal tudi kapital, tako da je zadolženost, merjena z deležem dolga v virih sredstev, ostala podobna kot v letu 2020, ko se je precej zmanjšala in je bila s 57,1 % ena najnižjih v celotnem obdobju. Zadolženost se je zmanjšala družbam v trgovini na debelo in v trgovini z motornimi vozili, povečala pa v družbah trgovine na drobno, ki so tako v letu 2021 postale najbolj zadolžene med vsemi tremi panogami (v preteklih letih so bile to družbe trgovine z motornimi vozili).</w:t>
      </w:r>
    </w:p>
    <w:p w14:paraId="48749EA3" w14:textId="701AF388" w:rsidR="00CE2BF4" w:rsidRDefault="00CE2BF4" w:rsidP="00CE2BF4">
      <w:pPr>
        <w:pStyle w:val="Caption"/>
        <w:rPr>
          <w:rStyle w:val="DZBesediloChar"/>
          <w:szCs w:val="20"/>
        </w:rPr>
      </w:pPr>
      <w:r w:rsidRPr="00355D96">
        <w:t xml:space="preserve">Slika </w:t>
      </w:r>
      <w:r w:rsidRPr="00355D96">
        <w:fldChar w:fldCharType="begin"/>
      </w:r>
      <w:r w:rsidRPr="00355D96">
        <w:instrText xml:space="preserve"> SEQ Slika \* ARABIC </w:instrText>
      </w:r>
      <w:r w:rsidRPr="00355D96">
        <w:fldChar w:fldCharType="separate"/>
      </w:r>
      <w:r w:rsidR="00D80FD5">
        <w:t>12</w:t>
      </w:r>
      <w:r w:rsidRPr="00355D96">
        <w:fldChar w:fldCharType="end"/>
      </w:r>
      <w:r w:rsidRPr="00355D96">
        <w:rPr>
          <w:rStyle w:val="DZBesediloChar"/>
          <w:szCs w:val="20"/>
        </w:rPr>
        <w:t xml:space="preserve">: </w:t>
      </w:r>
      <w:r w:rsidR="001C45CE" w:rsidRPr="001C45CE">
        <w:t xml:space="preserve">V letu 2021 so najbolj zadolžene postale družbe v trgovini na drobno, ki so se jim močno povečale dolgoročne obveznosti </w:t>
      </w:r>
    </w:p>
    <w:p w14:paraId="3CF69C7F" w14:textId="07159C08" w:rsidR="001C45CE" w:rsidRPr="001C45CE" w:rsidRDefault="00C1746F" w:rsidP="001C45CE">
      <w:pPr>
        <w:pStyle w:val="BesediloUMAR"/>
      </w:pPr>
      <w:r w:rsidRPr="00C1746F">
        <w:rPr>
          <w:noProof/>
        </w:rPr>
        <w:drawing>
          <wp:inline distT="0" distB="0" distL="0" distR="0" wp14:anchorId="215F59B5" wp14:editId="6C42D60B">
            <wp:extent cx="5973491" cy="217170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75019" cy="2172256"/>
                    </a:xfrm>
                    <a:prstGeom prst="rect">
                      <a:avLst/>
                    </a:prstGeom>
                    <a:noFill/>
                    <a:ln>
                      <a:noFill/>
                    </a:ln>
                  </pic:spPr>
                </pic:pic>
              </a:graphicData>
            </a:graphic>
          </wp:inline>
        </w:drawing>
      </w:r>
    </w:p>
    <w:p w14:paraId="5BDE8056" w14:textId="77777777" w:rsidR="002F0A04" w:rsidRDefault="002F0A04" w:rsidP="002F0A04">
      <w:pPr>
        <w:pStyle w:val="VirUMAR"/>
      </w:pPr>
      <w:r w:rsidRPr="008F6BED">
        <w:t xml:space="preserve">Vir podatkov: </w:t>
      </w:r>
      <w:r>
        <w:fldChar w:fldCharType="begin"/>
      </w:r>
      <w:r w:rsidR="007309C9">
        <w:instrText xml:space="preserve"> ADDIN ZOTERO_ITEM CSL_CITATION {"citationID":"Cko24JIb","properties":{"formattedCitation":"(AJPES,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2022)</w:t>
      </w:r>
      <w:r>
        <w:fldChar w:fldCharType="end"/>
      </w:r>
      <w:r w:rsidRPr="008F6BED">
        <w:t>, lastni izračuni.</w:t>
      </w:r>
    </w:p>
    <w:p w14:paraId="01EE5909" w14:textId="77777777" w:rsidR="00CE2BF4" w:rsidRDefault="00CE2BF4" w:rsidP="00390A78">
      <w:pPr>
        <w:pStyle w:val="BesediloUMAR"/>
      </w:pPr>
    </w:p>
    <w:bookmarkEnd w:id="11"/>
    <w:p w14:paraId="2FDA5010" w14:textId="77777777" w:rsidR="008F6BED" w:rsidRDefault="008F6BED" w:rsidP="008F6BED">
      <w:pPr>
        <w:pStyle w:val="Heading1"/>
      </w:pPr>
      <w:r>
        <w:t xml:space="preserve">Zaključek </w:t>
      </w:r>
    </w:p>
    <w:p w14:paraId="653E4C94" w14:textId="1E642492" w:rsidR="001908FD" w:rsidRDefault="004F2D70" w:rsidP="004F2D70">
      <w:pPr>
        <w:pStyle w:val="BesediloUMAR"/>
      </w:pPr>
      <w:bookmarkStart w:id="12" w:name="_Hlk109127228"/>
      <w:r w:rsidRPr="003E59E0">
        <w:t>Gospodarske družbe trgovine ter vzdrževanja in popravil motornih vozil (G) so po letu 2013, ko so imele manjšo izgubo, v nadaljnjih letih poslovale z neto čistim dobičkom</w:t>
      </w:r>
      <w:r w:rsidR="003E59E0" w:rsidRPr="003E59E0">
        <w:t xml:space="preserve">. </w:t>
      </w:r>
      <w:r w:rsidR="003E59E0" w:rsidRPr="003E59E0">
        <w:rPr>
          <w:lang w:val="it-IT"/>
        </w:rPr>
        <w:t>Ta se je leta 2020, ki ga je zaznamovala pandemija,</w:t>
      </w:r>
      <w:r w:rsidRPr="003E59E0">
        <w:rPr>
          <w:lang w:val="it-IT"/>
        </w:rPr>
        <w:t xml:space="preserve"> sicer zmanjšal, </w:t>
      </w:r>
      <w:r w:rsidR="003E59E0" w:rsidRPr="003E59E0">
        <w:rPr>
          <w:lang w:val="it-IT"/>
        </w:rPr>
        <w:t>leta 2021 pa ponovno močno povečal. Na zmanjšanje leta 2020</w:t>
      </w:r>
      <w:r w:rsidRPr="003E59E0">
        <w:rPr>
          <w:lang w:val="it-IT"/>
        </w:rPr>
        <w:t xml:space="preserve"> je vplivalo predvsem ponovno povečanje oslabitev nepremičnin in opreme, odpisov zaradi prevrednotenja finančnih naložb in velikega zmanjšanja finančnih prihodkov družb različnih panog, pri nekaterih panogah pa se je poslovanje poslabšalo tudi zaradi manjše prodaje ob omejitvah pri poslovanju zaradi epidemije</w:t>
      </w:r>
      <w:r w:rsidR="009E6268">
        <w:rPr>
          <w:lang w:val="it-IT"/>
        </w:rPr>
        <w:t xml:space="preserve"> covida-19</w:t>
      </w:r>
      <w:r w:rsidRPr="003E59E0">
        <w:rPr>
          <w:lang w:val="it-IT"/>
        </w:rPr>
        <w:t>.</w:t>
      </w:r>
      <w:r w:rsidR="003E59E0" w:rsidRPr="003E59E0">
        <w:rPr>
          <w:lang w:val="it-IT"/>
        </w:rPr>
        <w:t xml:space="preserve"> </w:t>
      </w:r>
      <w:r w:rsidRPr="003E59E0">
        <w:rPr>
          <w:lang w:val="it-IT"/>
        </w:rPr>
        <w:t>V letu 2021 se je poslovanje izboljšalo v večini panog, na kar je vplivala visoka rast trošenja gospodinjstev in rast aktivnosti v dejavnostih, s katerimi je povezana trgovin</w:t>
      </w:r>
      <w:r w:rsidR="004A688A">
        <w:rPr>
          <w:lang w:val="it-IT"/>
        </w:rPr>
        <w:t>a</w:t>
      </w:r>
      <w:r w:rsidRPr="003E59E0">
        <w:rPr>
          <w:lang w:val="it-IT"/>
        </w:rPr>
        <w:t xml:space="preserve"> na debelo. Trgovske družbe so tako leto 2021 zaključile z visok</w:t>
      </w:r>
      <w:r w:rsidR="003E59E0" w:rsidRPr="003E59E0">
        <w:rPr>
          <w:lang w:val="it-IT"/>
        </w:rPr>
        <w:t>imi</w:t>
      </w:r>
      <w:r w:rsidRPr="003E59E0">
        <w:rPr>
          <w:lang w:val="it-IT"/>
        </w:rPr>
        <w:t xml:space="preserve"> rast</w:t>
      </w:r>
      <w:r w:rsidR="003E59E0" w:rsidRPr="003E59E0">
        <w:rPr>
          <w:lang w:val="it-IT"/>
        </w:rPr>
        <w:t>mi</w:t>
      </w:r>
      <w:r w:rsidRPr="003E59E0">
        <w:rPr>
          <w:lang w:val="it-IT"/>
        </w:rPr>
        <w:t xml:space="preserve"> dodane vrednosti, produktivnosti in dobička</w:t>
      </w:r>
      <w:r w:rsidR="003E59E0" w:rsidRPr="003E59E0">
        <w:rPr>
          <w:lang w:val="it-IT"/>
        </w:rPr>
        <w:t>, ki so močno presegle rasti v povprečni gospodarski družbi (tako glede na leto 2020 kot glede na leto 2019)</w:t>
      </w:r>
      <w:r w:rsidRPr="003E59E0">
        <w:rPr>
          <w:lang w:val="it-IT"/>
        </w:rPr>
        <w:t>.</w:t>
      </w:r>
      <w:r w:rsidR="003E59E0" w:rsidRPr="003E59E0">
        <w:rPr>
          <w:lang w:val="it-IT"/>
        </w:rPr>
        <w:t xml:space="preserve"> Močno se je izboljšala tudi gospodarnost poslovanja in povečal presežek prihodkov od prodaje nad stroški blaga, materiala, storitev in dela, ki sta dosegla najvišje vrednosti v celotnem obdobju 2008</w:t>
      </w:r>
      <w:r w:rsidR="004A688A">
        <w:rPr>
          <w:lang w:val="it-IT"/>
        </w:rPr>
        <w:t>–</w:t>
      </w:r>
      <w:r w:rsidR="003E59E0" w:rsidRPr="003E59E0">
        <w:rPr>
          <w:lang w:val="it-IT"/>
        </w:rPr>
        <w:t>2021.</w:t>
      </w:r>
      <w:bookmarkEnd w:id="12"/>
      <w:r w:rsidR="003E59E0" w:rsidRPr="003E59E0">
        <w:rPr>
          <w:lang w:val="it-IT"/>
        </w:rPr>
        <w:t xml:space="preserve"> </w:t>
      </w:r>
      <w:r w:rsidR="001908FD">
        <w:br w:type="page"/>
      </w:r>
    </w:p>
    <w:p w14:paraId="220CC7A6" w14:textId="77777777" w:rsidR="001908FD" w:rsidRDefault="001908FD" w:rsidP="001908FD">
      <w:pPr>
        <w:pStyle w:val="Heading3"/>
        <w:numPr>
          <w:ilvl w:val="0"/>
          <w:numId w:val="0"/>
        </w:numPr>
      </w:pPr>
      <w:bookmarkStart w:id="13" w:name="_Hlk109113743"/>
      <w:r>
        <w:t>Literatura in viri</w:t>
      </w:r>
      <w:r w:rsidR="005A6C05">
        <w:t xml:space="preserve"> </w:t>
      </w:r>
    </w:p>
    <w:bookmarkEnd w:id="13"/>
    <w:p w14:paraId="5F53E4C6" w14:textId="77777777" w:rsidR="001908FD" w:rsidRDefault="001908FD" w:rsidP="001908FD">
      <w:pPr>
        <w:pStyle w:val="Heading3"/>
        <w:numPr>
          <w:ilvl w:val="0"/>
          <w:numId w:val="0"/>
        </w:numPr>
      </w:pPr>
    </w:p>
    <w:p w14:paraId="307C65FC" w14:textId="77777777" w:rsidR="007309C9" w:rsidRPr="007309C9" w:rsidRDefault="007309C9" w:rsidP="00342089">
      <w:pPr>
        <w:pStyle w:val="Bibliography"/>
        <w:spacing w:before="60" w:line="288" w:lineRule="auto"/>
        <w:rPr>
          <w:rFonts w:ascii="Myriad Pro" w:hAnsi="Myriad Pro" w:cs="Times New Roman"/>
          <w:sz w:val="20"/>
          <w:szCs w:val="24"/>
        </w:rPr>
      </w:pPr>
      <w:r>
        <w:fldChar w:fldCharType="begin"/>
      </w:r>
      <w:r>
        <w:instrText xml:space="preserve"> ADDIN ZOTERO_BIBL {"uncited":[["http://zotero.org/users/8372339/items/MZRN9VT3"],["http://zotero.org/users/8372339/items/Z72ALN3M"],["http://zotero.org/users/8372339/items/6NN5NQDI"],["http://zotero.org/users/8372339/items/32UQ6MY7"],["http://zotero.org/users/8372339/items/N94XZGUG"],["http://zotero.org/users/8372339/items/V9BBB2XH"],["http://zotero.org/users/8372339/items/QZ8I7YHY"]],"omitted":[],"custom":[]} CSL_BIBLIOGRAPHY </w:instrText>
      </w:r>
      <w:r>
        <w:fldChar w:fldCharType="separate"/>
      </w:r>
      <w:r w:rsidRPr="007309C9">
        <w:rPr>
          <w:rFonts w:ascii="Myriad Pro" w:hAnsi="Myriad Pro" w:cs="Times New Roman"/>
          <w:sz w:val="20"/>
          <w:szCs w:val="24"/>
        </w:rPr>
        <w:t>AJPES. (2022). Statistični podatki iz bilance stanja in izkaza poslovnega izida za gospodarske družbe in samostojne podjetnike. Ljubljana: Agencija Republike Slovenije za javnopravne evidence in storitve.</w:t>
      </w:r>
    </w:p>
    <w:p w14:paraId="2F613729" w14:textId="77777777" w:rsidR="007309C9" w:rsidRPr="007309C9" w:rsidRDefault="007309C9" w:rsidP="00342089">
      <w:pPr>
        <w:pStyle w:val="Bibliography"/>
        <w:spacing w:before="60" w:line="288" w:lineRule="auto"/>
        <w:rPr>
          <w:rFonts w:ascii="Myriad Pro" w:hAnsi="Myriad Pro" w:cs="Times New Roman"/>
          <w:sz w:val="20"/>
          <w:szCs w:val="24"/>
        </w:rPr>
      </w:pPr>
      <w:r w:rsidRPr="007309C9">
        <w:rPr>
          <w:rFonts w:ascii="Myriad Pro" w:hAnsi="Myriad Pro" w:cs="Times New Roman"/>
          <w:sz w:val="20"/>
          <w:szCs w:val="24"/>
        </w:rPr>
        <w:t>Mercator. (2013). Letno poročilo poslovnega sistema Mercator d.d. za leto 2012. Ljubljana: Mercator, d.d. Pridobljeno s http://www.mercator.si</w:t>
      </w:r>
    </w:p>
    <w:p w14:paraId="3F8DE5BA" w14:textId="77777777" w:rsidR="007309C9" w:rsidRPr="007309C9" w:rsidRDefault="007309C9" w:rsidP="00342089">
      <w:pPr>
        <w:pStyle w:val="Bibliography"/>
        <w:spacing w:before="60" w:line="288" w:lineRule="auto"/>
        <w:rPr>
          <w:rFonts w:ascii="Myriad Pro" w:hAnsi="Myriad Pro" w:cs="Times New Roman"/>
          <w:sz w:val="20"/>
          <w:szCs w:val="24"/>
        </w:rPr>
      </w:pPr>
      <w:r w:rsidRPr="007309C9">
        <w:rPr>
          <w:rFonts w:ascii="Myriad Pro" w:hAnsi="Myriad Pro" w:cs="Times New Roman"/>
          <w:sz w:val="20"/>
          <w:szCs w:val="24"/>
        </w:rPr>
        <w:t>Mercator. (2021). Letno poročilo poslovnega sistema Mercator d.d. za leto 2020. Ljubljana: Mercator, d.d. Pridobljeno s http://www.mercator.si</w:t>
      </w:r>
    </w:p>
    <w:p w14:paraId="41B2F580" w14:textId="77777777" w:rsidR="007309C9" w:rsidRPr="007309C9" w:rsidRDefault="007309C9" w:rsidP="00342089">
      <w:pPr>
        <w:pStyle w:val="Bibliography"/>
        <w:spacing w:before="60" w:line="288" w:lineRule="auto"/>
        <w:rPr>
          <w:rFonts w:ascii="Myriad Pro" w:hAnsi="Myriad Pro" w:cs="Times New Roman"/>
          <w:sz w:val="20"/>
          <w:szCs w:val="24"/>
        </w:rPr>
      </w:pPr>
      <w:r w:rsidRPr="007309C9">
        <w:rPr>
          <w:rFonts w:ascii="Myriad Pro" w:hAnsi="Myriad Pro" w:cs="Times New Roman"/>
          <w:sz w:val="20"/>
          <w:szCs w:val="24"/>
        </w:rPr>
        <w:t>Mercator. (2022). Letno poročilo poslovnega sistema Mercator d. d. za leto 2021. Ljubljana: Mercator, d.d. Pridobljeno s https://www.mercator-ip.si/letna-porocila/</w:t>
      </w:r>
    </w:p>
    <w:p w14:paraId="0980FCAE" w14:textId="77777777" w:rsidR="007309C9" w:rsidRPr="007309C9" w:rsidRDefault="007309C9" w:rsidP="00342089">
      <w:pPr>
        <w:pStyle w:val="Bibliography"/>
        <w:spacing w:before="60" w:line="288" w:lineRule="auto"/>
        <w:rPr>
          <w:rFonts w:ascii="Myriad Pro" w:hAnsi="Myriad Pro" w:cs="Times New Roman"/>
          <w:sz w:val="20"/>
          <w:szCs w:val="24"/>
        </w:rPr>
      </w:pPr>
      <w:r w:rsidRPr="007309C9">
        <w:rPr>
          <w:rFonts w:ascii="Myriad Pro" w:hAnsi="Myriad Pro" w:cs="Times New Roman"/>
          <w:sz w:val="20"/>
          <w:szCs w:val="24"/>
        </w:rPr>
        <w:t>MJU. (2022). Odprti podatki Slovenije. Ljubljana: Ministrstvo za javno upravo. Pridobljeno s https://podatki.gov.si/dataset/prvic-registrirana-vozila-po-mesecih</w:t>
      </w:r>
    </w:p>
    <w:p w14:paraId="346A5622" w14:textId="77777777" w:rsidR="007309C9" w:rsidRPr="007309C9" w:rsidRDefault="007309C9" w:rsidP="00342089">
      <w:pPr>
        <w:pStyle w:val="Bibliography"/>
        <w:spacing w:before="60" w:line="288" w:lineRule="auto"/>
        <w:rPr>
          <w:rFonts w:ascii="Myriad Pro" w:hAnsi="Myriad Pro" w:cs="Times New Roman"/>
          <w:sz w:val="20"/>
          <w:szCs w:val="24"/>
        </w:rPr>
      </w:pPr>
      <w:r w:rsidRPr="007309C9">
        <w:rPr>
          <w:rFonts w:ascii="Myriad Pro" w:hAnsi="Myriad Pro" w:cs="Times New Roman"/>
          <w:sz w:val="20"/>
          <w:szCs w:val="24"/>
        </w:rPr>
        <w:t>Petrol. (2021). Letno poročilo skupine Petrol in družbe Petrol d.d. za leto 2020. Ljubljana: Petrol, d.d. Pridobljeno s http://www.petrol.si</w:t>
      </w:r>
    </w:p>
    <w:p w14:paraId="6E7735A8" w14:textId="77777777" w:rsidR="007309C9" w:rsidRPr="007309C9" w:rsidRDefault="007309C9" w:rsidP="00342089">
      <w:pPr>
        <w:pStyle w:val="Bibliography"/>
        <w:spacing w:before="60" w:line="288" w:lineRule="auto"/>
        <w:rPr>
          <w:rFonts w:ascii="Myriad Pro" w:hAnsi="Myriad Pro" w:cs="Times New Roman"/>
          <w:sz w:val="20"/>
          <w:szCs w:val="24"/>
        </w:rPr>
      </w:pPr>
      <w:r w:rsidRPr="007309C9">
        <w:rPr>
          <w:rFonts w:ascii="Myriad Pro" w:hAnsi="Myriad Pro" w:cs="Times New Roman"/>
          <w:sz w:val="20"/>
          <w:szCs w:val="24"/>
        </w:rPr>
        <w:t>Petrol. (2022). Letno poročilo skupine Petrol in družbe Petrol d. d. za leto 2021. Ljubljana: Petrol, d.d. Pridobljeno s http://www.petrol.eu</w:t>
      </w:r>
    </w:p>
    <w:p w14:paraId="6E527008" w14:textId="77777777" w:rsidR="007309C9" w:rsidRPr="007309C9" w:rsidRDefault="007309C9" w:rsidP="00342089">
      <w:pPr>
        <w:pStyle w:val="LiteraturaUMAR"/>
        <w:spacing w:before="60"/>
      </w:pPr>
      <w:r w:rsidRPr="007309C9">
        <w:t>SURS. (2022). Podatkovna baza. Ljubljana: Statistični urad RS. Pridobljeno s https://pxweb.stat.si/SiStatData</w:t>
      </w:r>
    </w:p>
    <w:p w14:paraId="6BA0C270" w14:textId="77777777" w:rsidR="007309C9" w:rsidRPr="007309C9" w:rsidRDefault="007309C9" w:rsidP="00342089">
      <w:pPr>
        <w:pStyle w:val="BesediloUMAR"/>
        <w:spacing w:before="60"/>
      </w:pPr>
      <w:r>
        <w:fldChar w:fldCharType="end"/>
      </w:r>
    </w:p>
    <w:p w14:paraId="1150334F" w14:textId="03C15C4E" w:rsidR="004F2D70" w:rsidRDefault="004F2D70" w:rsidP="00342089">
      <w:pPr>
        <w:tabs>
          <w:tab w:val="left" w:pos="3585"/>
        </w:tabs>
        <w:spacing w:after="0" w:line="288" w:lineRule="auto"/>
        <w:rPr>
          <w:rFonts w:ascii="Myriad Pro" w:hAnsi="Myriad Pro" w:cs="Arial"/>
          <w:b/>
          <w:bCs/>
          <w:color w:val="9E001A" w:themeColor="accent1"/>
          <w:sz w:val="24"/>
          <w:szCs w:val="26"/>
        </w:rPr>
      </w:pPr>
      <w:bookmarkStart w:id="14" w:name="_Toc90552431"/>
      <w:r>
        <w:br w:type="page"/>
      </w:r>
      <w:r w:rsidR="00342089">
        <w:tab/>
      </w:r>
    </w:p>
    <w:p w14:paraId="4CCD1179" w14:textId="77777777" w:rsidR="004F2D70" w:rsidRPr="004F2D70" w:rsidRDefault="004F2D70" w:rsidP="004F2D70">
      <w:pPr>
        <w:pStyle w:val="Heading3"/>
        <w:numPr>
          <w:ilvl w:val="0"/>
          <w:numId w:val="0"/>
        </w:numPr>
      </w:pPr>
      <w:r w:rsidRPr="004F2D70">
        <w:t>Priloga: Opredelitev kazalnikov, uporabljenih v analizi poslovanja gospodarskih družb</w:t>
      </w:r>
      <w:bookmarkEnd w:id="14"/>
    </w:p>
    <w:p w14:paraId="72243C80" w14:textId="77777777" w:rsidR="004F2D70" w:rsidRPr="004F2D70" w:rsidRDefault="004F2D70" w:rsidP="004F2D70">
      <w:pPr>
        <w:spacing w:after="0" w:line="288" w:lineRule="auto"/>
        <w:jc w:val="both"/>
        <w:rPr>
          <w:rFonts w:ascii="Myriad Pro" w:hAnsi="Myriad Pro"/>
          <w:sz w:val="20"/>
        </w:rPr>
      </w:pPr>
    </w:p>
    <w:p w14:paraId="7331E9C4" w14:textId="77777777" w:rsidR="004F2D70" w:rsidRPr="004F2D70" w:rsidRDefault="004F2D70" w:rsidP="004F2D70">
      <w:pPr>
        <w:pStyle w:val="BesediloUMAR"/>
      </w:pPr>
      <w:r w:rsidRPr="004F2D70">
        <w:t>KAZALNIKA VELIKOSTI</w:t>
      </w:r>
    </w:p>
    <w:p w14:paraId="5CE1FA5D" w14:textId="77777777" w:rsidR="004F2D70" w:rsidRPr="004F2D70" w:rsidRDefault="004F2D70" w:rsidP="004F2D70">
      <w:pPr>
        <w:pStyle w:val="BesediloUMAR"/>
        <w:rPr>
          <w:b/>
        </w:rPr>
      </w:pPr>
      <w:r w:rsidRPr="004F2D70">
        <w:rPr>
          <w:b/>
        </w:rPr>
        <w:t xml:space="preserve">Sredstva na podjetje </w:t>
      </w:r>
    </w:p>
    <w:p w14:paraId="644EACDB" w14:textId="77777777" w:rsidR="004F2D70" w:rsidRPr="004F2D70" w:rsidRDefault="004F2D70" w:rsidP="004F2D70">
      <w:pPr>
        <w:pStyle w:val="BesediloUMAR"/>
      </w:pPr>
      <w:r w:rsidRPr="004F2D70">
        <w:t>001/število podjetij</w:t>
      </w:r>
    </w:p>
    <w:p w14:paraId="394A3D0D" w14:textId="77777777" w:rsidR="004F2D70" w:rsidRPr="004F2D70" w:rsidRDefault="004F2D70" w:rsidP="004F2D70">
      <w:pPr>
        <w:pStyle w:val="BesediloUMAR"/>
        <w:rPr>
          <w:b/>
        </w:rPr>
      </w:pPr>
      <w:r w:rsidRPr="004F2D70">
        <w:rPr>
          <w:b/>
        </w:rPr>
        <w:t xml:space="preserve">Število zaposlenih na podjetje </w:t>
      </w:r>
    </w:p>
    <w:p w14:paraId="70150059" w14:textId="77777777" w:rsidR="004F2D70" w:rsidRPr="004F2D70" w:rsidRDefault="004F2D70" w:rsidP="004F2D70">
      <w:pPr>
        <w:pStyle w:val="BesediloUMAR"/>
      </w:pPr>
      <w:r w:rsidRPr="004F2D70">
        <w:t>188/število podjetij</w:t>
      </w:r>
    </w:p>
    <w:p w14:paraId="70BB545C" w14:textId="77777777" w:rsidR="004F2D70" w:rsidRPr="004F2D70" w:rsidRDefault="004F2D70" w:rsidP="004F2D70">
      <w:pPr>
        <w:pStyle w:val="BesediloUMAR"/>
      </w:pPr>
    </w:p>
    <w:p w14:paraId="5DA03B57" w14:textId="77777777" w:rsidR="004F2D70" w:rsidRPr="004F2D70" w:rsidRDefault="004F2D70" w:rsidP="004F2D70">
      <w:pPr>
        <w:pStyle w:val="BesediloUMAR"/>
      </w:pPr>
      <w:r w:rsidRPr="004F2D70">
        <w:t>KAZALNIK OPREMLJENOSTI DELA S SREDSTVI</w:t>
      </w:r>
    </w:p>
    <w:p w14:paraId="6711646D" w14:textId="77777777" w:rsidR="004F2D70" w:rsidRPr="004F2D70" w:rsidRDefault="004F2D70" w:rsidP="004F2D70">
      <w:pPr>
        <w:pStyle w:val="BesediloUMAR"/>
        <w:rPr>
          <w:b/>
        </w:rPr>
      </w:pPr>
      <w:r w:rsidRPr="004F2D70">
        <w:rPr>
          <w:b/>
        </w:rPr>
        <w:t>Povprečna* sredstva na zaposlenega</w:t>
      </w:r>
    </w:p>
    <w:p w14:paraId="2146920D" w14:textId="77777777" w:rsidR="004F2D70" w:rsidRPr="004F2D70" w:rsidRDefault="004F2D70" w:rsidP="004F2D70">
      <w:pPr>
        <w:pStyle w:val="BesediloUMAR"/>
      </w:pPr>
      <w:r w:rsidRPr="004F2D70">
        <w:t>((001</w:t>
      </w:r>
      <w:r w:rsidRPr="004F2D70">
        <w:rPr>
          <w:vertAlign w:val="subscript"/>
        </w:rPr>
        <w:t>1</w:t>
      </w:r>
      <w:r w:rsidRPr="004F2D70">
        <w:t xml:space="preserve"> + 001</w:t>
      </w:r>
      <w:r w:rsidRPr="004F2D70">
        <w:rPr>
          <w:vertAlign w:val="subscript"/>
        </w:rPr>
        <w:t>0</w:t>
      </w:r>
      <w:r w:rsidRPr="004F2D70">
        <w:t>)/2)/188</w:t>
      </w:r>
    </w:p>
    <w:p w14:paraId="2B5DB824" w14:textId="77777777" w:rsidR="004F2D70" w:rsidRPr="004F2D70" w:rsidRDefault="004F2D70" w:rsidP="004F2D70">
      <w:pPr>
        <w:pStyle w:val="BesediloUMAR"/>
      </w:pPr>
    </w:p>
    <w:p w14:paraId="456E187E" w14:textId="77777777" w:rsidR="004F2D70" w:rsidRPr="004F2D70" w:rsidRDefault="004F2D70" w:rsidP="004F2D70">
      <w:pPr>
        <w:pStyle w:val="BesediloUMAR"/>
      </w:pPr>
      <w:r w:rsidRPr="004F2D70">
        <w:t>KAZALNIK GOSPODARNOSTI</w:t>
      </w:r>
    </w:p>
    <w:p w14:paraId="2BAE6454" w14:textId="77777777" w:rsidR="004F2D70" w:rsidRPr="004F2D70" w:rsidRDefault="004F2D70" w:rsidP="004F2D70">
      <w:pPr>
        <w:pStyle w:val="BesediloUMAR"/>
        <w:rPr>
          <w:b/>
        </w:rPr>
      </w:pPr>
      <w:r w:rsidRPr="004F2D70">
        <w:rPr>
          <w:b/>
        </w:rPr>
        <w:t xml:space="preserve">Gospodarnost poslovanja = poslovni prihodki/poslovni odhodki </w:t>
      </w:r>
    </w:p>
    <w:p w14:paraId="5C4BBA17" w14:textId="77777777" w:rsidR="004F2D70" w:rsidRPr="004F2D70" w:rsidRDefault="004F2D70" w:rsidP="004F2D70">
      <w:pPr>
        <w:pStyle w:val="BesediloUMAR"/>
      </w:pPr>
      <w:r w:rsidRPr="004F2D70">
        <w:t>(126/127)</w:t>
      </w:r>
    </w:p>
    <w:p w14:paraId="602EDA72" w14:textId="77777777" w:rsidR="004F2D70" w:rsidRPr="004F2D70" w:rsidRDefault="004F2D70" w:rsidP="004F2D70">
      <w:pPr>
        <w:pStyle w:val="BesediloUMAR"/>
      </w:pPr>
    </w:p>
    <w:p w14:paraId="007F3C4E" w14:textId="77777777" w:rsidR="004F2D70" w:rsidRPr="004F2D70" w:rsidRDefault="004F2D70" w:rsidP="004F2D70">
      <w:pPr>
        <w:pStyle w:val="BesediloUMAR"/>
      </w:pPr>
      <w:r w:rsidRPr="004F2D70">
        <w:t>KAZALNIKI DONOSNOSTI</w:t>
      </w:r>
    </w:p>
    <w:p w14:paraId="2C393D9A" w14:textId="77777777" w:rsidR="004F2D70" w:rsidRPr="004F2D70" w:rsidRDefault="004F2D70" w:rsidP="004F2D70">
      <w:pPr>
        <w:pStyle w:val="BesediloUMAR"/>
        <w:rPr>
          <w:b/>
        </w:rPr>
      </w:pPr>
      <w:r w:rsidRPr="004F2D70">
        <w:rPr>
          <w:b/>
        </w:rPr>
        <w:t>Donosnost sredstev = neto čisti dobiček (izguba) obračunskega obdobja/povprečna* sredstva</w:t>
      </w:r>
    </w:p>
    <w:p w14:paraId="2AFCF871" w14:textId="77777777" w:rsidR="004F2D70" w:rsidRPr="004F2D70" w:rsidRDefault="004F2D70" w:rsidP="004F2D70">
      <w:pPr>
        <w:pStyle w:val="BesediloUMAR"/>
      </w:pPr>
      <w:r w:rsidRPr="004F2D70">
        <w:t>(186–187)/((001</w:t>
      </w:r>
      <w:r w:rsidRPr="004F2D70">
        <w:rPr>
          <w:vertAlign w:val="subscript"/>
        </w:rPr>
        <w:t>1</w:t>
      </w:r>
      <w:r w:rsidRPr="004F2D70">
        <w:t xml:space="preserve"> + 001</w:t>
      </w:r>
      <w:r w:rsidRPr="004F2D70">
        <w:rPr>
          <w:vertAlign w:val="subscript"/>
        </w:rPr>
        <w:t>0</w:t>
      </w:r>
      <w:r w:rsidRPr="004F2D70">
        <w:t xml:space="preserve">)/2) </w:t>
      </w:r>
    </w:p>
    <w:p w14:paraId="45D3CE92" w14:textId="77777777" w:rsidR="004F2D70" w:rsidRPr="004F2D70" w:rsidRDefault="004F2D70" w:rsidP="004F2D70">
      <w:pPr>
        <w:pStyle w:val="BesediloUMAR"/>
        <w:rPr>
          <w:b/>
        </w:rPr>
      </w:pPr>
      <w:r w:rsidRPr="004F2D70">
        <w:rPr>
          <w:b/>
        </w:rPr>
        <w:t>Donosnost prihodkov = neto čisti dobiček (izguba) obračunskega obdobja/celotni prihodki</w:t>
      </w:r>
    </w:p>
    <w:p w14:paraId="69A88C1E" w14:textId="77777777" w:rsidR="004F2D70" w:rsidRPr="004F2D70" w:rsidRDefault="004F2D70" w:rsidP="004F2D70">
      <w:pPr>
        <w:pStyle w:val="BesediloUMAR"/>
      </w:pPr>
      <w:r w:rsidRPr="004F2D70">
        <w:t>(186–187)/(126 + 153 + 178)</w:t>
      </w:r>
    </w:p>
    <w:p w14:paraId="02145197" w14:textId="77777777" w:rsidR="004F2D70" w:rsidRPr="004F2D70" w:rsidRDefault="004F2D70" w:rsidP="004F2D70">
      <w:pPr>
        <w:pStyle w:val="BesediloUMAR"/>
        <w:rPr>
          <w:b/>
        </w:rPr>
      </w:pPr>
      <w:r w:rsidRPr="004F2D70">
        <w:rPr>
          <w:b/>
        </w:rPr>
        <w:t>Donosnost kapitala = neto čisti dobiček (izguba) obračunskega obdobja/povprečni* kapital</w:t>
      </w:r>
    </w:p>
    <w:p w14:paraId="608AB68A" w14:textId="77777777" w:rsidR="004F2D70" w:rsidRPr="004F2D70" w:rsidRDefault="004F2D70" w:rsidP="004F2D70">
      <w:pPr>
        <w:pStyle w:val="BesediloUMAR"/>
      </w:pPr>
      <w:r w:rsidRPr="004F2D70">
        <w:t>(186–187)/((056</w:t>
      </w:r>
      <w:r w:rsidRPr="004F2D70">
        <w:rPr>
          <w:vertAlign w:val="subscript"/>
        </w:rPr>
        <w:t>1</w:t>
      </w:r>
      <w:r w:rsidRPr="004F2D70">
        <w:t xml:space="preserve"> + 056</w:t>
      </w:r>
      <w:r w:rsidRPr="004F2D70">
        <w:rPr>
          <w:vertAlign w:val="subscript"/>
        </w:rPr>
        <w:t>0</w:t>
      </w:r>
      <w:r w:rsidRPr="004F2D70">
        <w:t>)/2)</w:t>
      </w:r>
    </w:p>
    <w:p w14:paraId="4489BE2D" w14:textId="77777777" w:rsidR="004F2D70" w:rsidRPr="004F2D70" w:rsidRDefault="004F2D70" w:rsidP="004F2D70">
      <w:pPr>
        <w:pStyle w:val="BesediloUMAR"/>
      </w:pPr>
    </w:p>
    <w:p w14:paraId="7351A05B" w14:textId="77777777" w:rsidR="004F2D70" w:rsidRPr="004F2D70" w:rsidRDefault="004F2D70" w:rsidP="004F2D70">
      <w:pPr>
        <w:pStyle w:val="BesediloUMAR"/>
      </w:pPr>
      <w:r w:rsidRPr="004F2D70">
        <w:t>KAZALNIK PRODUKTIVNOSTI</w:t>
      </w:r>
    </w:p>
    <w:p w14:paraId="1D81C55C" w14:textId="77777777" w:rsidR="004F2D70" w:rsidRPr="004F2D70" w:rsidRDefault="004F2D70" w:rsidP="004F2D70">
      <w:pPr>
        <w:pStyle w:val="BesediloUMAR"/>
        <w:rPr>
          <w:b/>
        </w:rPr>
      </w:pPr>
      <w:r w:rsidRPr="004F2D70">
        <w:rPr>
          <w:b/>
        </w:rPr>
        <w:t xml:space="preserve">Dodana vrednost na zaposlenega </w:t>
      </w:r>
    </w:p>
    <w:p w14:paraId="167D2F78" w14:textId="77777777" w:rsidR="004F2D70" w:rsidRPr="004F2D70" w:rsidRDefault="004F2D70" w:rsidP="004F2D70">
      <w:pPr>
        <w:pStyle w:val="BesediloUMAR"/>
      </w:pPr>
      <w:r w:rsidRPr="004F2D70">
        <w:t xml:space="preserve">(126–128–148)/188 </w:t>
      </w:r>
    </w:p>
    <w:p w14:paraId="5B92C84A" w14:textId="77777777" w:rsidR="004F2D70" w:rsidRPr="004F2D70" w:rsidRDefault="004F2D70" w:rsidP="004F2D70">
      <w:pPr>
        <w:pStyle w:val="BesediloUMAR"/>
      </w:pPr>
    </w:p>
    <w:p w14:paraId="291A937B" w14:textId="77777777" w:rsidR="004F2D70" w:rsidRPr="004F2D70" w:rsidRDefault="004F2D70" w:rsidP="004F2D70">
      <w:pPr>
        <w:pStyle w:val="BesediloUMAR"/>
      </w:pPr>
      <w:r w:rsidRPr="004F2D70">
        <w:t>KAZALNIKA STROŠKOV DELA</w:t>
      </w:r>
    </w:p>
    <w:p w14:paraId="7B988BEE" w14:textId="77777777" w:rsidR="004F2D70" w:rsidRPr="004F2D70" w:rsidRDefault="004F2D70" w:rsidP="004F2D70">
      <w:pPr>
        <w:pStyle w:val="BesediloUMAR"/>
        <w:rPr>
          <w:b/>
        </w:rPr>
      </w:pPr>
      <w:r w:rsidRPr="004F2D70">
        <w:rPr>
          <w:b/>
        </w:rPr>
        <w:t xml:space="preserve">Stroški dela na zaposlenega </w:t>
      </w:r>
    </w:p>
    <w:p w14:paraId="263D16C9" w14:textId="77777777" w:rsidR="004F2D70" w:rsidRPr="004F2D70" w:rsidRDefault="004F2D70" w:rsidP="004F2D70">
      <w:pPr>
        <w:pStyle w:val="BesediloUMAR"/>
      </w:pPr>
      <w:r w:rsidRPr="004F2D70">
        <w:t>(139/188)</w:t>
      </w:r>
    </w:p>
    <w:p w14:paraId="109FD119" w14:textId="77777777" w:rsidR="004F2D70" w:rsidRPr="004F2D70" w:rsidRDefault="004F2D70" w:rsidP="004F2D70">
      <w:pPr>
        <w:pStyle w:val="BesediloUMAR"/>
        <w:rPr>
          <w:b/>
        </w:rPr>
      </w:pPr>
      <w:r w:rsidRPr="004F2D70">
        <w:rPr>
          <w:b/>
        </w:rPr>
        <w:t>Delež stroškov dela v dodani vrednosti</w:t>
      </w:r>
    </w:p>
    <w:p w14:paraId="5E2568C6" w14:textId="77777777" w:rsidR="004F2D70" w:rsidRPr="004F2D70" w:rsidRDefault="004F2D70" w:rsidP="004F2D70">
      <w:pPr>
        <w:pStyle w:val="BesediloUMAR"/>
      </w:pPr>
      <w:r w:rsidRPr="004F2D70">
        <w:t>(139/(126–128–148))</w:t>
      </w:r>
    </w:p>
    <w:p w14:paraId="5C3152B6" w14:textId="77777777" w:rsidR="004F2D70" w:rsidRPr="004F2D70" w:rsidRDefault="004F2D70" w:rsidP="004F2D70">
      <w:pPr>
        <w:pStyle w:val="BesediloUMAR"/>
      </w:pPr>
    </w:p>
    <w:p w14:paraId="6B3F07B3" w14:textId="77777777" w:rsidR="004F2D70" w:rsidRPr="004F2D70" w:rsidRDefault="004F2D70" w:rsidP="004F2D70">
      <w:pPr>
        <w:pStyle w:val="BesediloUMAR"/>
      </w:pPr>
      <w:r w:rsidRPr="004F2D70">
        <w:t>KAZALNIKI FINANCIRANJA IN PLAČILNE SPOSOBNOSTI</w:t>
      </w:r>
    </w:p>
    <w:p w14:paraId="6C175A55" w14:textId="77777777" w:rsidR="004F2D70" w:rsidRPr="004F2D70" w:rsidRDefault="004F2D70" w:rsidP="004F2D70">
      <w:pPr>
        <w:pStyle w:val="BesediloUMAR"/>
        <w:rPr>
          <w:b/>
        </w:rPr>
      </w:pPr>
      <w:r w:rsidRPr="004F2D70">
        <w:rPr>
          <w:b/>
        </w:rPr>
        <w:t>Delež dolga (kratkoročne in dolgoročne finančne ter poslovne obveznosti, rezervacije in pasivne časovne razmejitve) v virih sredstev</w:t>
      </w:r>
    </w:p>
    <w:p w14:paraId="56F155E7" w14:textId="77777777" w:rsidR="004F2D70" w:rsidRPr="004F2D70" w:rsidRDefault="004F2D70" w:rsidP="004F2D70">
      <w:pPr>
        <w:pStyle w:val="BesediloUMAR"/>
      </w:pPr>
      <w:r w:rsidRPr="004F2D70">
        <w:t>((072 + 075 + 085 + 095)/055)</w:t>
      </w:r>
    </w:p>
    <w:p w14:paraId="037975D5" w14:textId="77777777" w:rsidR="004F2D70" w:rsidRPr="004F2D70" w:rsidRDefault="004F2D70" w:rsidP="004F2D70">
      <w:pPr>
        <w:pStyle w:val="BesediloUMAR"/>
        <w:rPr>
          <w:b/>
        </w:rPr>
      </w:pPr>
      <w:r w:rsidRPr="004F2D70">
        <w:rPr>
          <w:b/>
        </w:rPr>
        <w:t xml:space="preserve">Delež kratkoročnih obveznosti (s pasivnimi časovnimi razmejitvami) v virih sredstev </w:t>
      </w:r>
    </w:p>
    <w:p w14:paraId="65AA29F8" w14:textId="77777777" w:rsidR="004F2D70" w:rsidRPr="004F2D70" w:rsidRDefault="004F2D70" w:rsidP="004F2D70">
      <w:pPr>
        <w:pStyle w:val="BesediloUMAR"/>
      </w:pPr>
      <w:r w:rsidRPr="004F2D70">
        <w:t>((085 + 095)/055)</w:t>
      </w:r>
    </w:p>
    <w:p w14:paraId="4C18F4C5" w14:textId="77777777" w:rsidR="004F2D70" w:rsidRPr="004F2D70" w:rsidRDefault="004F2D70" w:rsidP="004F2D70">
      <w:pPr>
        <w:pStyle w:val="BesediloUMAR"/>
        <w:rPr>
          <w:b/>
        </w:rPr>
      </w:pPr>
      <w:r w:rsidRPr="004F2D70">
        <w:rPr>
          <w:b/>
        </w:rPr>
        <w:t>Kapitalska pokritost dolgoročnih sredstev</w:t>
      </w:r>
    </w:p>
    <w:p w14:paraId="7473160F" w14:textId="77777777" w:rsidR="004F2D70" w:rsidRPr="004F2D70" w:rsidRDefault="004F2D70" w:rsidP="004F2D70">
      <w:pPr>
        <w:pStyle w:val="BesediloUMAR"/>
      </w:pPr>
      <w:r w:rsidRPr="004F2D70">
        <w:t>(056/002)</w:t>
      </w:r>
    </w:p>
    <w:p w14:paraId="7E223E3F" w14:textId="77777777" w:rsidR="004F2D70" w:rsidRPr="004F2D70" w:rsidRDefault="004F2D70" w:rsidP="004F2D70">
      <w:pPr>
        <w:pStyle w:val="BesediloUMAR"/>
        <w:rPr>
          <w:b/>
        </w:rPr>
      </w:pPr>
      <w:r w:rsidRPr="004F2D70">
        <w:rPr>
          <w:b/>
        </w:rPr>
        <w:t>Dolgoročna pokritost dolgoročnih sredstev in zalog</w:t>
      </w:r>
    </w:p>
    <w:p w14:paraId="02BB0062" w14:textId="77777777" w:rsidR="004F2D70" w:rsidRPr="004F2D70" w:rsidRDefault="004F2D70" w:rsidP="004F2D70">
      <w:pPr>
        <w:pStyle w:val="BesediloUMAR"/>
      </w:pPr>
      <w:r w:rsidRPr="004F2D70">
        <w:t>(056 + 072 + 075)/(002 + 034)</w:t>
      </w:r>
    </w:p>
    <w:p w14:paraId="5B0A6F11" w14:textId="77777777" w:rsidR="004F2D70" w:rsidRDefault="004F2D70" w:rsidP="004F2D70">
      <w:pPr>
        <w:pStyle w:val="BesediloUMAR"/>
      </w:pPr>
    </w:p>
    <w:p w14:paraId="3A53B340" w14:textId="77777777" w:rsidR="004F2D70" w:rsidRDefault="004F2D70" w:rsidP="004F2D70">
      <w:pPr>
        <w:pStyle w:val="BesediloUMAR"/>
      </w:pPr>
    </w:p>
    <w:p w14:paraId="38106116" w14:textId="77777777" w:rsidR="004F2D70" w:rsidRPr="004F2D70" w:rsidRDefault="004F2D70" w:rsidP="004F2D70">
      <w:pPr>
        <w:pStyle w:val="BesediloUMAR"/>
      </w:pPr>
    </w:p>
    <w:p w14:paraId="676963BA" w14:textId="77777777" w:rsidR="004F2D70" w:rsidRPr="004F2D70" w:rsidRDefault="004F2D70" w:rsidP="004F2D70">
      <w:pPr>
        <w:pStyle w:val="BesediloUMAR"/>
      </w:pPr>
      <w:r w:rsidRPr="004F2D70">
        <w:t>KAZALNIK IZVOZNE USMERJENOSTI</w:t>
      </w:r>
    </w:p>
    <w:p w14:paraId="5123D580" w14:textId="77777777" w:rsidR="004F2D70" w:rsidRPr="004F2D70" w:rsidRDefault="004F2D70" w:rsidP="004F2D70">
      <w:pPr>
        <w:pStyle w:val="BesediloUMAR"/>
        <w:rPr>
          <w:b/>
        </w:rPr>
      </w:pPr>
      <w:r w:rsidRPr="004F2D70">
        <w:rPr>
          <w:b/>
        </w:rPr>
        <w:t xml:space="preserve">Delež čistih prihodkov od prodaje na tujem trgu v celotnih čistih prihodkih od prodaje </w:t>
      </w:r>
    </w:p>
    <w:p w14:paraId="66C25DCC" w14:textId="77777777" w:rsidR="004F2D70" w:rsidRPr="004F2D70" w:rsidRDefault="004F2D70" w:rsidP="004F2D70">
      <w:pPr>
        <w:pStyle w:val="BesediloUMAR"/>
      </w:pPr>
      <w:r w:rsidRPr="004F2D70">
        <w:t>(115 + 118)/110</w:t>
      </w:r>
    </w:p>
    <w:p w14:paraId="49955431" w14:textId="77777777" w:rsidR="004F2D70" w:rsidRPr="004F2D70" w:rsidRDefault="004F2D70" w:rsidP="004F2D70">
      <w:pPr>
        <w:pStyle w:val="BesediloUMAR"/>
      </w:pPr>
    </w:p>
    <w:p w14:paraId="00CBCA06" w14:textId="77777777" w:rsidR="004F2D70" w:rsidRPr="004F2D70" w:rsidRDefault="004F2D70" w:rsidP="004F2D70">
      <w:pPr>
        <w:pStyle w:val="BesediloUMAR"/>
      </w:pPr>
      <w:r w:rsidRPr="004F2D70">
        <w:t xml:space="preserve">KAZALNIKA STRUKTURE SREDSTEV </w:t>
      </w:r>
    </w:p>
    <w:p w14:paraId="25120313" w14:textId="77777777" w:rsidR="004F2D70" w:rsidRPr="004F2D70" w:rsidRDefault="004F2D70" w:rsidP="004F2D70">
      <w:pPr>
        <w:pStyle w:val="BesediloUMAR"/>
        <w:rPr>
          <w:b/>
        </w:rPr>
      </w:pPr>
      <w:r w:rsidRPr="004F2D70">
        <w:rPr>
          <w:b/>
        </w:rPr>
        <w:t xml:space="preserve">Delež dolgoročnih sredstev v sredstvih </w:t>
      </w:r>
    </w:p>
    <w:p w14:paraId="3F0CC0E7" w14:textId="77777777" w:rsidR="004F2D70" w:rsidRPr="004F2D70" w:rsidRDefault="004F2D70" w:rsidP="004F2D70">
      <w:pPr>
        <w:pStyle w:val="BesediloUMAR"/>
      </w:pPr>
      <w:r w:rsidRPr="004F2D70">
        <w:t>(002/001)</w:t>
      </w:r>
    </w:p>
    <w:p w14:paraId="67512A75" w14:textId="77777777" w:rsidR="004F2D70" w:rsidRPr="004F2D70" w:rsidRDefault="004F2D70" w:rsidP="004F2D70">
      <w:pPr>
        <w:pStyle w:val="BesediloUMAR"/>
        <w:rPr>
          <w:b/>
        </w:rPr>
      </w:pPr>
      <w:r w:rsidRPr="004F2D70">
        <w:rPr>
          <w:b/>
        </w:rPr>
        <w:t xml:space="preserve">Delež proizvajalnih strojev in naprav ter druge opreme in naprav v dolgoročnih sredstvih </w:t>
      </w:r>
    </w:p>
    <w:p w14:paraId="2FD6A611" w14:textId="77777777" w:rsidR="004F2D70" w:rsidRPr="004F2D70" w:rsidRDefault="004F2D70" w:rsidP="004F2D70">
      <w:pPr>
        <w:pStyle w:val="BesediloUMAR"/>
      </w:pPr>
      <w:r w:rsidRPr="004F2D70">
        <w:t>((013 + 014)/002)</w:t>
      </w:r>
    </w:p>
    <w:p w14:paraId="58ADB2AA" w14:textId="77777777" w:rsidR="004F2D70" w:rsidRPr="004F2D70" w:rsidRDefault="004F2D70" w:rsidP="004F2D70">
      <w:pPr>
        <w:pStyle w:val="BesediloUMAR"/>
      </w:pPr>
    </w:p>
    <w:p w14:paraId="1AAC1175" w14:textId="77777777" w:rsidR="004F2D70" w:rsidRPr="004F2D70" w:rsidRDefault="004F2D70" w:rsidP="004F2D70">
      <w:pPr>
        <w:pStyle w:val="BesediloUMAR"/>
        <w:rPr>
          <w:sz w:val="16"/>
        </w:rPr>
      </w:pPr>
      <w:r w:rsidRPr="004F2D70">
        <w:rPr>
          <w:sz w:val="16"/>
        </w:rPr>
        <w:t>Opombi: Številke v formulah pomenijo ustrezno šifro AOP. * Pri izračunu povprečne vrednosti sredstev in kapitala se upošteva podatek o vrednosti sredstev/kapitala ob koncu tekočega in ob koncu preteklega leta za družbe, ki so poslovale v tekočem letu.</w:t>
      </w:r>
    </w:p>
    <w:p w14:paraId="562665FB" w14:textId="77777777" w:rsidR="00433EC8" w:rsidRPr="00AC6CC1" w:rsidRDefault="00433EC8" w:rsidP="00AC6CC1">
      <w:pPr>
        <w:spacing w:after="0" w:line="240" w:lineRule="auto"/>
        <w:rPr>
          <w:rFonts w:ascii="Myriad Pro" w:hAnsi="Myriad Pro"/>
          <w:sz w:val="16"/>
        </w:rPr>
      </w:pPr>
    </w:p>
    <w:sectPr w:rsidR="00433EC8" w:rsidRPr="00AC6CC1" w:rsidSect="00DA3486">
      <w:headerReference w:type="default" r:id="rId23"/>
      <w:pgSz w:w="11906" w:h="16838"/>
      <w:pgMar w:top="1701" w:right="1418" w:bottom="1418" w:left="1418" w:header="567" w:footer="1134"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87DF6" w16cex:dateUtc="2022-08-18T06:59:00Z"/>
  <w16cex:commentExtensible w16cex:durableId="26A881AB" w16cex:dateUtc="2022-08-18T07:15:00Z"/>
  <w16cex:commentExtensible w16cex:durableId="26A8A375" w16cex:dateUtc="2022-08-18T09:39:00Z"/>
  <w16cex:commentExtensible w16cex:durableId="26A8A3DD" w16cex:dateUtc="2022-08-18T09:41:00Z"/>
  <w16cex:commentExtensible w16cex:durableId="26A8A49B" w16cex:dateUtc="2022-08-18T09: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D4A3B" w14:textId="77777777" w:rsidR="00471F0D" w:rsidRDefault="00471F0D" w:rsidP="009E1648">
      <w:r>
        <w:separator/>
      </w:r>
    </w:p>
    <w:p w14:paraId="08B57C20" w14:textId="77777777" w:rsidR="00471F0D" w:rsidRDefault="00471F0D" w:rsidP="009E1648"/>
    <w:p w14:paraId="35677E10" w14:textId="77777777" w:rsidR="00471F0D" w:rsidRDefault="00471F0D" w:rsidP="009E1648"/>
    <w:p w14:paraId="5E5C0C9E" w14:textId="77777777" w:rsidR="00471F0D" w:rsidRDefault="00471F0D" w:rsidP="009E1648"/>
    <w:p w14:paraId="0C5CFD51" w14:textId="77777777" w:rsidR="00471F0D" w:rsidRDefault="00471F0D" w:rsidP="009E1648"/>
    <w:p w14:paraId="666EBFD3" w14:textId="77777777" w:rsidR="00471F0D" w:rsidRDefault="00471F0D" w:rsidP="009E1648"/>
    <w:p w14:paraId="41C1F2B8" w14:textId="77777777" w:rsidR="00471F0D" w:rsidRDefault="00471F0D" w:rsidP="009E1648"/>
    <w:p w14:paraId="48895A5B" w14:textId="77777777" w:rsidR="00471F0D" w:rsidRDefault="00471F0D" w:rsidP="009E1648"/>
    <w:p w14:paraId="585C22E8" w14:textId="77777777" w:rsidR="00471F0D" w:rsidRDefault="00471F0D"/>
    <w:p w14:paraId="61B413EB" w14:textId="77777777" w:rsidR="00471F0D" w:rsidRDefault="00471F0D"/>
    <w:p w14:paraId="546CFEF4" w14:textId="77777777" w:rsidR="00471F0D" w:rsidRDefault="00471F0D" w:rsidP="00A540FA"/>
    <w:p w14:paraId="747DB5A6" w14:textId="77777777" w:rsidR="00471F0D" w:rsidRDefault="00471F0D" w:rsidP="00A540FA"/>
    <w:p w14:paraId="15AE876F" w14:textId="77777777" w:rsidR="00471F0D" w:rsidRDefault="00471F0D" w:rsidP="00A540FA"/>
    <w:p w14:paraId="638E76FA" w14:textId="77777777" w:rsidR="00471F0D" w:rsidRDefault="00471F0D" w:rsidP="00A540FA"/>
    <w:p w14:paraId="6B7743DD" w14:textId="77777777" w:rsidR="00471F0D" w:rsidRDefault="00471F0D" w:rsidP="00A540FA"/>
    <w:p w14:paraId="59735677" w14:textId="77777777" w:rsidR="00471F0D" w:rsidRDefault="00471F0D"/>
  </w:endnote>
  <w:endnote w:type="continuationSeparator" w:id="0">
    <w:p w14:paraId="129FB628" w14:textId="77777777" w:rsidR="00471F0D" w:rsidRDefault="00471F0D" w:rsidP="009E1648">
      <w:r>
        <w:continuationSeparator/>
      </w:r>
    </w:p>
    <w:p w14:paraId="141BE4FD" w14:textId="77777777" w:rsidR="00471F0D" w:rsidRDefault="00471F0D" w:rsidP="009E1648"/>
    <w:p w14:paraId="0D2C8A31" w14:textId="77777777" w:rsidR="00471F0D" w:rsidRDefault="00471F0D" w:rsidP="009E1648"/>
    <w:p w14:paraId="00BE29D6" w14:textId="77777777" w:rsidR="00471F0D" w:rsidRDefault="00471F0D" w:rsidP="009E1648"/>
    <w:p w14:paraId="1A57946B" w14:textId="77777777" w:rsidR="00471F0D" w:rsidRDefault="00471F0D" w:rsidP="009E1648"/>
    <w:p w14:paraId="2CE57DA7" w14:textId="77777777" w:rsidR="00471F0D" w:rsidRDefault="00471F0D" w:rsidP="009E1648"/>
    <w:p w14:paraId="7B123828" w14:textId="77777777" w:rsidR="00471F0D" w:rsidRDefault="00471F0D" w:rsidP="009E1648"/>
    <w:p w14:paraId="05015FD7" w14:textId="77777777" w:rsidR="00471F0D" w:rsidRDefault="00471F0D" w:rsidP="009E1648"/>
    <w:p w14:paraId="20C67C5F" w14:textId="77777777" w:rsidR="00471F0D" w:rsidRDefault="00471F0D"/>
    <w:p w14:paraId="799E0400" w14:textId="77777777" w:rsidR="00471F0D" w:rsidRDefault="00471F0D"/>
    <w:p w14:paraId="3E0C7CBF" w14:textId="77777777" w:rsidR="00471F0D" w:rsidRDefault="00471F0D" w:rsidP="00A540FA"/>
    <w:p w14:paraId="001A71E6" w14:textId="77777777" w:rsidR="00471F0D" w:rsidRDefault="00471F0D" w:rsidP="00A540FA"/>
    <w:p w14:paraId="1190351D" w14:textId="77777777" w:rsidR="00471F0D" w:rsidRDefault="00471F0D" w:rsidP="00A540FA"/>
    <w:p w14:paraId="6452419F" w14:textId="77777777" w:rsidR="00471F0D" w:rsidRDefault="00471F0D" w:rsidP="00A540FA"/>
    <w:p w14:paraId="42AC5FC9" w14:textId="77777777" w:rsidR="00471F0D" w:rsidRDefault="00471F0D" w:rsidP="00A540FA"/>
    <w:p w14:paraId="69E38B11" w14:textId="77777777" w:rsidR="00471F0D" w:rsidRDefault="00471F0D"/>
  </w:endnote>
  <w:endnote w:type="continuationNotice" w:id="1">
    <w:p w14:paraId="12DC306A" w14:textId="77777777" w:rsidR="00471F0D" w:rsidRDefault="00471F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00C4" w14:textId="77777777" w:rsidR="00FA4D35" w:rsidRDefault="00FA4D35" w:rsidP="00B35647">
    <w:pPr>
      <w:pStyle w:val="Footer"/>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8B345" w14:textId="77777777" w:rsidR="00471F0D" w:rsidRPr="009B56EE" w:rsidRDefault="00471F0D" w:rsidP="009B56EE">
      <w:pPr>
        <w:pStyle w:val="BesediloUMAR"/>
      </w:pPr>
      <w:r w:rsidRPr="009B56EE">
        <w:separator/>
      </w:r>
    </w:p>
  </w:footnote>
  <w:footnote w:type="continuationSeparator" w:id="0">
    <w:p w14:paraId="4B675F5E" w14:textId="77777777" w:rsidR="00471F0D" w:rsidRDefault="00471F0D">
      <w:r>
        <w:separator/>
      </w:r>
    </w:p>
  </w:footnote>
  <w:footnote w:type="continuationNotice" w:id="1">
    <w:p w14:paraId="594C4AE2" w14:textId="77777777" w:rsidR="00471F0D" w:rsidRDefault="00471F0D">
      <w:pPr>
        <w:spacing w:line="240" w:lineRule="auto"/>
      </w:pPr>
    </w:p>
  </w:footnote>
  <w:footnote w:id="2">
    <w:p w14:paraId="0C6608CB" w14:textId="77777777" w:rsidR="00FA4D35" w:rsidRPr="00E404E6" w:rsidRDefault="00FA4D35" w:rsidP="00C02438">
      <w:pPr>
        <w:pStyle w:val="FootnoteText"/>
      </w:pPr>
      <w:r w:rsidRPr="00E404E6">
        <w:rPr>
          <w:rStyle w:val="FootnoteReference"/>
        </w:rPr>
        <w:footnoteRef/>
      </w:r>
      <w:r w:rsidRPr="00E404E6">
        <w:t xml:space="preserve"> Objavlja jih AJPES na podlagi letnih poročil, ki jih enkrat letno predložijo gospodarske družbe. </w:t>
      </w:r>
    </w:p>
  </w:footnote>
  <w:footnote w:id="3">
    <w:p w14:paraId="416BFD55" w14:textId="3DEFEEFD" w:rsidR="00FA4D35" w:rsidRDefault="00FA4D35">
      <w:pPr>
        <w:pStyle w:val="FootnoteText"/>
      </w:pPr>
      <w:r>
        <w:rPr>
          <w:rStyle w:val="FootnoteReference"/>
        </w:rPr>
        <w:footnoteRef/>
      </w:r>
      <w:r>
        <w:t xml:space="preserve"> </w:t>
      </w:r>
      <w:r w:rsidRPr="005B3835">
        <w:t>Leta 2020 je bila višja za 1 %, brez upoštevanja prejetih subvencij</w:t>
      </w:r>
      <w:r>
        <w:t xml:space="preserve"> </w:t>
      </w:r>
      <w:r w:rsidRPr="005B3835">
        <w:t>pa se je zmanjšala za 2,2 %.</w:t>
      </w:r>
      <w:r>
        <w:t xml:space="preserve"> Država je med epidemijo covida-19 za ohranjanje delovnih mest in podporo dohodkom zaposleni</w:t>
      </w:r>
      <w:r w:rsidR="00DC5047">
        <w:t>h</w:t>
      </w:r>
      <w:r>
        <w:t xml:space="preserve"> sprejela številne ukrepe na trgu dela, na podlagi teh pa je podjetjem</w:t>
      </w:r>
      <w:r w:rsidRPr="005B3835">
        <w:t xml:space="preserve"> </w:t>
      </w:r>
      <w:r>
        <w:t>namenila subvencije, ki so predvsem leta 2020 močneje vplivale na višino dodane vrednosti.</w:t>
      </w:r>
    </w:p>
  </w:footnote>
  <w:footnote w:id="4">
    <w:p w14:paraId="66E27873" w14:textId="77777777" w:rsidR="00FA4D35" w:rsidRPr="00AA7880" w:rsidRDefault="00FA4D35" w:rsidP="005B3835">
      <w:pPr>
        <w:pStyle w:val="FootnoteText"/>
      </w:pPr>
      <w:r w:rsidRPr="00E404E6">
        <w:rPr>
          <w:rStyle w:val="FootnoteReference"/>
        </w:rPr>
        <w:footnoteRef/>
      </w:r>
      <w:r w:rsidRPr="00E404E6">
        <w:t xml:space="preserve"> </w:t>
      </w:r>
      <w:r w:rsidRPr="00AA7880">
        <w:t xml:space="preserve">Gibanje neto finančne izgube je bilo v teh letih v veliki meri posledica finančnega poslovanja večje družbe posredništva in trgovine na debelo, ki od leta 2014 zaradi stečaja ni več poslovala. Na povečanje neto finančne izgube so poleg omenjene družbe leta 2012 in 2013 vplivale tudi družbe trgovine na drobno. </w:t>
      </w:r>
    </w:p>
  </w:footnote>
  <w:footnote w:id="5">
    <w:p w14:paraId="1933B410" w14:textId="77777777" w:rsidR="00FA4D35" w:rsidRPr="00E404E6" w:rsidRDefault="00FA4D35" w:rsidP="005B3835">
      <w:pPr>
        <w:pStyle w:val="FootnoteText"/>
      </w:pPr>
      <w:r w:rsidRPr="00E404E6">
        <w:rPr>
          <w:rStyle w:val="FootnoteReference"/>
        </w:rPr>
        <w:footnoteRef/>
      </w:r>
      <w:r w:rsidRPr="00E404E6">
        <w:t xml:space="preserve"> Izboljšanje je bilo predvsem posledica precejšnjega zmanjšanja neto finančne izgube družb posredništva in trgovine na debelo l</w:t>
      </w:r>
      <w:r>
        <w:t>eta 2014 in nadalje leta 2016 ter</w:t>
      </w:r>
      <w:r w:rsidRPr="00E404E6">
        <w:t xml:space="preserve"> družb trgovine na drobno leta 2015.</w:t>
      </w:r>
    </w:p>
  </w:footnote>
  <w:footnote w:id="6">
    <w:p w14:paraId="6F8F8CF2" w14:textId="77777777" w:rsidR="00FA4D35" w:rsidRPr="00E404E6" w:rsidRDefault="00FA4D35" w:rsidP="005B3835">
      <w:pPr>
        <w:pStyle w:val="FootnoteText"/>
      </w:pPr>
      <w:r w:rsidRPr="00E404E6">
        <w:rPr>
          <w:rStyle w:val="FootnoteReference"/>
        </w:rPr>
        <w:footnoteRef/>
      </w:r>
      <w:r>
        <w:t xml:space="preserve"> Na poslovanje v letu 2017 je vplivalo poslovanje največje trgovske družbe na drobno, ki je,</w:t>
      </w:r>
      <w:r w:rsidRPr="00E404E6">
        <w:t xml:space="preserve"> </w:t>
      </w:r>
      <w:r>
        <w:t>p</w:t>
      </w:r>
      <w:r w:rsidRPr="00E404E6">
        <w:t>odobno kot leta 2012</w:t>
      </w:r>
      <w:r>
        <w:t>,</w:t>
      </w:r>
      <w:r w:rsidRPr="00E404E6">
        <w:t xml:space="preserve"> izvedla oslabitve nepremičnin in odpise zaradi prevrednotenja finančnih naložb.</w:t>
      </w:r>
      <w:r>
        <w:t xml:space="preserve"> Na poslovanje v letih 2018 in 2019 pa je vplivalo predvsem nihanje finančnega poslovanja </w:t>
      </w:r>
      <w:r w:rsidRPr="00B144CD">
        <w:t>večje družbe, ki se ukvarja s prodajo motornih goriv</w:t>
      </w:r>
      <w:r>
        <w:t>, v letu 2019 pa večji odpisi vrednosti enega izmed diskontov</w:t>
      </w:r>
      <w:r w:rsidRPr="00B144CD">
        <w:t>.</w:t>
      </w:r>
    </w:p>
  </w:footnote>
  <w:footnote w:id="7">
    <w:p w14:paraId="711F1686" w14:textId="77777777" w:rsidR="00FA4D35" w:rsidRPr="00E404E6" w:rsidRDefault="00FA4D35" w:rsidP="005B3835">
      <w:pPr>
        <w:pStyle w:val="FootnoteText"/>
      </w:pPr>
      <w:r w:rsidRPr="00E404E6">
        <w:rPr>
          <w:vertAlign w:val="superscript"/>
        </w:rPr>
        <w:footnoteRef/>
      </w:r>
      <w:r w:rsidRPr="00E404E6">
        <w:t xml:space="preserve"> </w:t>
      </w:r>
      <w:r w:rsidRPr="0071078A">
        <w:t>Pribitek je izračunan kot razmerje med prihodki od prodaje in stroški za nabavo blaga, materiala in storitev ter stroški dela.</w:t>
      </w:r>
    </w:p>
  </w:footnote>
  <w:footnote w:id="8">
    <w:p w14:paraId="50B00133" w14:textId="77777777" w:rsidR="00FA4D35" w:rsidRPr="00584020" w:rsidRDefault="00FA4D35" w:rsidP="005B3835">
      <w:pPr>
        <w:pStyle w:val="FootnoteText"/>
      </w:pPr>
      <w:r>
        <w:rPr>
          <w:rStyle w:val="FootnoteReference"/>
        </w:rPr>
        <w:footnoteRef/>
      </w:r>
      <w:r>
        <w:t xml:space="preserve"> </w:t>
      </w:r>
      <w:r w:rsidRPr="008137B9">
        <w:rPr>
          <w:noProof/>
        </w:rPr>
        <w:t xml:space="preserve">Največje upade prodaje </w:t>
      </w:r>
      <w:r>
        <w:rPr>
          <w:noProof/>
        </w:rPr>
        <w:t xml:space="preserve">v letu 2020 </w:t>
      </w:r>
      <w:r w:rsidRPr="008137B9">
        <w:rPr>
          <w:noProof/>
        </w:rPr>
        <w:t>so trgovine zabeležile med prvim valom epidemije, ko je bila prodaja marca in aprila medletno manjša kar za 60 oz. 70 %</w:t>
      </w:r>
      <w:r>
        <w:rPr>
          <w:noProof/>
        </w:rPr>
        <w:t xml:space="preserve">. </w:t>
      </w:r>
      <w:r w:rsidRPr="00E404E6">
        <w:rPr>
          <w:noProof/>
        </w:rPr>
        <w:t>V celem letu je bilo prvič r</w:t>
      </w:r>
      <w:r>
        <w:rPr>
          <w:noProof/>
        </w:rPr>
        <w:t>egistriranih malo čez 54.0</w:t>
      </w:r>
      <w:r w:rsidRPr="00E404E6">
        <w:rPr>
          <w:noProof/>
        </w:rPr>
        <w:t xml:space="preserve">00 </w:t>
      </w:r>
      <w:r w:rsidRPr="00E404E6">
        <w:t>novih osebn</w:t>
      </w:r>
      <w:r>
        <w:t>ih avtomobilov (leta 2019 pa 73.600). P</w:t>
      </w:r>
      <w:r w:rsidRPr="00652758">
        <w:t>rodaja pravnim osebam se je po visokih rasteh v obdobju 2013</w:t>
      </w:r>
      <w:r w:rsidRPr="00652758">
        <w:softHyphen/>
        <w:t xml:space="preserve">–2017 </w:t>
      </w:r>
      <w:r>
        <w:t xml:space="preserve">sicer </w:t>
      </w:r>
      <w:r w:rsidRPr="00652758">
        <w:t xml:space="preserve">zmanjšala že leta 2018, kar je bila </w:t>
      </w:r>
      <w:r w:rsidRPr="00584020">
        <w:t>tudi posledica zapletov ob uvedbi novega postopka za določanje porabe goriva in emisij izpušnih plinov.</w:t>
      </w:r>
    </w:p>
  </w:footnote>
  <w:footnote w:id="9">
    <w:p w14:paraId="0B2AD85F" w14:textId="77777777" w:rsidR="00FA4D35" w:rsidRPr="00584020" w:rsidRDefault="00FA4D35" w:rsidP="00CE2BF4">
      <w:pPr>
        <w:pStyle w:val="FootnoteText"/>
      </w:pPr>
      <w:r w:rsidRPr="00584020">
        <w:rPr>
          <w:rStyle w:val="FootnoteReference"/>
        </w:rPr>
        <w:footnoteRef/>
      </w:r>
      <w:r w:rsidRPr="00584020">
        <w:t xml:space="preserve"> </w:t>
      </w:r>
      <w:r w:rsidRPr="00C971BD">
        <w:t>Družba je še leto prej poslovala z visoko neto izgubo iz poslovanja zaradi odpisov vrednosti. Zdravo jedro te družbe, ki se je v letih do vključno 2013 ukvarjala s trgovino na debelo s kovinskimi proizvodi, inštalacijskim materialom in napravami za ogrevanje, se je v letu 2014 registriralo v dejavnosti trgovine na drobno v specializiranih prodajalnah z gradbenim materialom, kovinskimi izdelki, barvami in steklom</w:t>
      </w:r>
      <w:r w:rsidRPr="00584020">
        <w:t>.</w:t>
      </w:r>
    </w:p>
  </w:footnote>
  <w:footnote w:id="10">
    <w:p w14:paraId="05BB7BFF" w14:textId="60B78C40" w:rsidR="00FA4D35" w:rsidRPr="00AA1F5A" w:rsidRDefault="00FA4D35" w:rsidP="00CE2BF4">
      <w:pPr>
        <w:pStyle w:val="FootnoteText"/>
      </w:pPr>
      <w:r w:rsidRPr="00AA1F5A">
        <w:rPr>
          <w:rStyle w:val="FootnoteReference"/>
        </w:rPr>
        <w:footnoteRef/>
      </w:r>
      <w:r w:rsidRPr="00AA1F5A">
        <w:t xml:space="preserve"> Prodaja lesa in gradbenega materiala, kovin in rud ter kovinskih proizvodov </w:t>
      </w:r>
      <w:r w:rsidR="00DA6EC6">
        <w:t>in</w:t>
      </w:r>
      <w:r w:rsidRPr="00AA1F5A">
        <w:t xml:space="preserve"> goriv</w:t>
      </w:r>
      <w:r>
        <w:t>.</w:t>
      </w:r>
    </w:p>
  </w:footnote>
  <w:footnote w:id="11">
    <w:p w14:paraId="5E3291AE" w14:textId="77777777" w:rsidR="00FA4D35" w:rsidRPr="00E404E6" w:rsidRDefault="00FA4D35" w:rsidP="00A43E6A">
      <w:pPr>
        <w:pStyle w:val="FootnoteText"/>
      </w:pPr>
      <w:r w:rsidRPr="00E404E6">
        <w:rPr>
          <w:rStyle w:val="FootnoteReference"/>
        </w:rPr>
        <w:footnoteRef/>
      </w:r>
      <w:r w:rsidRPr="00E404E6">
        <w:rPr>
          <w:rStyle w:val="FootnoteReference"/>
        </w:rPr>
        <w:t xml:space="preserve"> </w:t>
      </w:r>
      <w:r w:rsidRPr="00E404E6">
        <w:t>Družbe, ki so po SKD registrirane v 47.110.</w:t>
      </w:r>
    </w:p>
  </w:footnote>
  <w:footnote w:id="12">
    <w:p w14:paraId="576810CA" w14:textId="77777777" w:rsidR="00DB0C00" w:rsidRDefault="00DB0C00" w:rsidP="00DB0C00">
      <w:pPr>
        <w:pStyle w:val="FootnoteText"/>
      </w:pPr>
      <w:r>
        <w:rPr>
          <w:rStyle w:val="FootnoteReference"/>
        </w:rPr>
        <w:footnoteRef/>
      </w:r>
      <w:r>
        <w:t xml:space="preserve"> Zaradi visokega povečanja oslabitev</w:t>
      </w:r>
      <w:r w:rsidRPr="00943C7D">
        <w:t xml:space="preserve"> nepremičnin </w:t>
      </w:r>
      <w:r>
        <w:t>ter</w:t>
      </w:r>
      <w:r w:rsidRPr="00943C7D">
        <w:t xml:space="preserve"> opreme in odpisov zaradi prevrednotenja finančnih nalo</w:t>
      </w:r>
      <w:r>
        <w:t xml:space="preserve">žb večje družbe v tej panogi, je celotna skupina </w:t>
      </w:r>
      <w:r w:rsidRPr="00943C7D">
        <w:t>let</w:t>
      </w:r>
      <w:r>
        <w:t>o</w:t>
      </w:r>
      <w:r w:rsidRPr="00943C7D">
        <w:t xml:space="preserve"> 2017 </w:t>
      </w:r>
      <w:r>
        <w:t>zaključila</w:t>
      </w:r>
      <w:r w:rsidRPr="00943C7D">
        <w:t xml:space="preserve"> z visoko neto izgubo iz financiranja (medletno povišanje za 347,7</w:t>
      </w:r>
      <w:r>
        <w:t> %</w:t>
      </w:r>
      <w:r w:rsidRPr="00943C7D">
        <w:t>)</w:t>
      </w:r>
      <w:r>
        <w:t>. Ta se je v naslednjih dveh letih več kot prepolovila. Visoki odpisi vrednosti pa so vplivali na močno povišanje poslovnih odhodkov, zaradi katerih so družbe leto 2017 zaključile z neto izgubo iz poslovanja, ki se je leta 2018 prevesila v visok dobiček iz poslovanja.</w:t>
      </w:r>
    </w:p>
  </w:footnote>
  <w:footnote w:id="13">
    <w:p w14:paraId="4E590121" w14:textId="77777777" w:rsidR="00DB0C00" w:rsidRPr="00712A35" w:rsidRDefault="00DB0C00" w:rsidP="00DB0C00">
      <w:pPr>
        <w:pStyle w:val="FootnoteText"/>
      </w:pPr>
      <w:r>
        <w:rPr>
          <w:rStyle w:val="FootnoteReference"/>
        </w:rPr>
        <w:footnoteRef/>
      </w:r>
      <w:r w:rsidRPr="00712A35">
        <w:t xml:space="preserve"> </w:t>
      </w:r>
      <w:r>
        <w:t>N</w:t>
      </w:r>
      <w:r w:rsidRPr="00712A35">
        <w:t xml:space="preserve">a </w:t>
      </w:r>
      <w:r>
        <w:t>to</w:t>
      </w:r>
      <w:r w:rsidRPr="00712A35">
        <w:t xml:space="preserve"> je vplivalo zmanjšanje neto dobička iz poslovanja (zaradi povečanja odpisov vrednosti oz. amortizacije dveh večjih družb v tej panogi) in poslovanje z neto izgubo iz financiranja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CellMar>
        <w:left w:w="0" w:type="dxa"/>
        <w:right w:w="0" w:type="dxa"/>
      </w:tblCellMar>
      <w:tblLook w:val="04A0" w:firstRow="1" w:lastRow="0" w:firstColumn="1" w:lastColumn="0" w:noHBand="0" w:noVBand="1"/>
    </w:tblPr>
    <w:tblGrid>
      <w:gridCol w:w="8276"/>
      <w:gridCol w:w="796"/>
    </w:tblGrid>
    <w:tr w:rsidR="00FA4D35" w:rsidRPr="00A540FA" w14:paraId="73DF8531" w14:textId="77777777" w:rsidTr="00287C4E">
      <w:trPr>
        <w:trHeight w:val="552"/>
      </w:trPr>
      <w:tc>
        <w:tcPr>
          <w:tcW w:w="8276" w:type="dxa"/>
        </w:tcPr>
        <w:p w14:paraId="09B5FD28" w14:textId="7768A7EE" w:rsidR="00FA4D35" w:rsidRPr="00F43CB0" w:rsidRDefault="00FA4D35" w:rsidP="004016AB">
          <w:pPr>
            <w:pStyle w:val="Header"/>
            <w:tabs>
              <w:tab w:val="clear" w:pos="4536"/>
              <w:tab w:val="clear" w:pos="9072"/>
              <w:tab w:val="right" w:pos="8276"/>
            </w:tabs>
            <w:spacing w:line="240" w:lineRule="auto"/>
            <w:rPr>
              <w:rFonts w:cstheme="minorHAnsi"/>
              <w:b/>
              <w:sz w:val="16"/>
            </w:rPr>
          </w:pPr>
          <w:r>
            <w:rPr>
              <w:rFonts w:cstheme="minorHAnsi"/>
              <w:b/>
              <w:sz w:val="16"/>
            </w:rPr>
            <w:t xml:space="preserve">UMAR </w:t>
          </w:r>
          <w:r w:rsidRPr="00F43CB0">
            <w:rPr>
              <w:rFonts w:cstheme="minorHAnsi"/>
              <w:b/>
              <w:sz w:val="16"/>
            </w:rPr>
            <w:t xml:space="preserve"> </w:t>
          </w:r>
          <w:r w:rsidRPr="00F43CB0">
            <w:rPr>
              <w:rFonts w:cstheme="minorHAnsi"/>
              <w:noProof/>
              <w:lang w:eastAsia="sl-SI"/>
            </w:rPr>
            <w:drawing>
              <wp:inline distT="0" distB="0" distL="0" distR="0" wp14:anchorId="15B4FF3A" wp14:editId="5BB01016">
                <wp:extent cx="58825" cy="763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9" cy="148005"/>
                        </a:xfrm>
                        <a:prstGeom prst="rect">
                          <a:avLst/>
                        </a:prstGeom>
                        <a:noFill/>
                        <a:ln>
                          <a:noFill/>
                        </a:ln>
                      </pic:spPr>
                    </pic:pic>
                  </a:graphicData>
                </a:graphic>
              </wp:inline>
            </w:drawing>
          </w:r>
          <w:r>
            <w:rPr>
              <w:rFonts w:cstheme="minorHAnsi"/>
              <w:b/>
              <w:sz w:val="16"/>
            </w:rPr>
            <w:t xml:space="preserve">  Analiza poslovanja trgovskih gospodars</w:t>
          </w:r>
          <w:r w:rsidR="006D22FC">
            <w:rPr>
              <w:rFonts w:cstheme="minorHAnsi"/>
              <w:b/>
              <w:sz w:val="16"/>
            </w:rPr>
            <w:t>k</w:t>
          </w:r>
          <w:r>
            <w:rPr>
              <w:rFonts w:cstheme="minorHAnsi"/>
              <w:b/>
              <w:sz w:val="16"/>
            </w:rPr>
            <w:t>ih družb v letu 2021</w:t>
          </w:r>
          <w:r>
            <w:rPr>
              <w:rFonts w:cstheme="minorHAnsi"/>
              <w:b/>
              <w:sz w:val="16"/>
            </w:rPr>
            <w:tab/>
          </w:r>
        </w:p>
      </w:tc>
      <w:tc>
        <w:tcPr>
          <w:tcW w:w="796" w:type="dxa"/>
        </w:tcPr>
        <w:p w14:paraId="25BD8D39" w14:textId="77777777" w:rsidR="00FA4D35" w:rsidRPr="00B607E3" w:rsidRDefault="00FA4D35" w:rsidP="007444EC">
          <w:pPr>
            <w:pStyle w:val="Header"/>
            <w:tabs>
              <w:tab w:val="left" w:pos="332"/>
              <w:tab w:val="center" w:pos="398"/>
              <w:tab w:val="right" w:pos="511"/>
              <w:tab w:val="right" w:pos="796"/>
            </w:tabs>
            <w:jc w:val="right"/>
            <w:rPr>
              <w:rFonts w:cstheme="minorHAnsi"/>
              <w:b/>
              <w:sz w:val="16"/>
              <w:szCs w:val="16"/>
            </w:rPr>
          </w:pPr>
          <w:r w:rsidRPr="00B607E3">
            <w:rPr>
              <w:rFonts w:cstheme="minorHAnsi"/>
              <w:b/>
              <w:sz w:val="16"/>
              <w:szCs w:val="16"/>
            </w:rPr>
            <w:fldChar w:fldCharType="begin"/>
          </w:r>
          <w:r w:rsidRPr="00B607E3">
            <w:rPr>
              <w:rFonts w:cstheme="minorHAnsi"/>
              <w:b/>
              <w:sz w:val="16"/>
              <w:szCs w:val="16"/>
            </w:rPr>
            <w:instrText xml:space="preserve"> PAGE  \* Arabic  \* MERGEFORMAT </w:instrText>
          </w:r>
          <w:r w:rsidRPr="00B607E3">
            <w:rPr>
              <w:rFonts w:cstheme="minorHAnsi"/>
              <w:b/>
              <w:sz w:val="16"/>
              <w:szCs w:val="16"/>
            </w:rPr>
            <w:fldChar w:fldCharType="separate"/>
          </w:r>
          <w:r>
            <w:rPr>
              <w:rFonts w:cstheme="minorHAnsi"/>
              <w:b/>
              <w:noProof/>
              <w:sz w:val="16"/>
              <w:szCs w:val="16"/>
            </w:rPr>
            <w:t>3</w:t>
          </w:r>
          <w:r w:rsidRPr="00B607E3">
            <w:rPr>
              <w:rFonts w:cstheme="minorHAnsi"/>
              <w:b/>
              <w:sz w:val="16"/>
              <w:szCs w:val="16"/>
            </w:rPr>
            <w:fldChar w:fldCharType="end"/>
          </w:r>
        </w:p>
      </w:tc>
    </w:tr>
  </w:tbl>
  <w:p w14:paraId="61059F8F" w14:textId="77777777" w:rsidR="00FA4D35" w:rsidRDefault="00FA4D35"/>
  <w:p w14:paraId="2FC72D68" w14:textId="77777777" w:rsidR="00FA4D35" w:rsidRDefault="00FA4D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5A4772"/>
    <w:multiLevelType w:val="hybridMultilevel"/>
    <w:tmpl w:val="4208815A"/>
    <w:lvl w:ilvl="0" w:tplc="9C607C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060CD8"/>
    <w:multiLevelType w:val="multilevel"/>
    <w:tmpl w:val="3E48A548"/>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5CB66A94"/>
    <w:multiLevelType w:val="singleLevel"/>
    <w:tmpl w:val="BEAEA458"/>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47"/>
    <w:rsid w:val="000026EC"/>
    <w:rsid w:val="00002CAF"/>
    <w:rsid w:val="000032F1"/>
    <w:rsid w:val="00003E9D"/>
    <w:rsid w:val="00004DAC"/>
    <w:rsid w:val="00006657"/>
    <w:rsid w:val="00006975"/>
    <w:rsid w:val="00006BC6"/>
    <w:rsid w:val="000071B5"/>
    <w:rsid w:val="00007719"/>
    <w:rsid w:val="00013848"/>
    <w:rsid w:val="000141E1"/>
    <w:rsid w:val="00014DA7"/>
    <w:rsid w:val="00020CDA"/>
    <w:rsid w:val="00021509"/>
    <w:rsid w:val="00023A5C"/>
    <w:rsid w:val="00023FFD"/>
    <w:rsid w:val="0002452C"/>
    <w:rsid w:val="00024FA0"/>
    <w:rsid w:val="000267E2"/>
    <w:rsid w:val="00026ACB"/>
    <w:rsid w:val="0003011B"/>
    <w:rsid w:val="00033FF7"/>
    <w:rsid w:val="00035FBD"/>
    <w:rsid w:val="000365D0"/>
    <w:rsid w:val="0003751E"/>
    <w:rsid w:val="00037DDD"/>
    <w:rsid w:val="0004147D"/>
    <w:rsid w:val="00041BCA"/>
    <w:rsid w:val="00042B8F"/>
    <w:rsid w:val="000438D4"/>
    <w:rsid w:val="00043FF1"/>
    <w:rsid w:val="00054645"/>
    <w:rsid w:val="0005475A"/>
    <w:rsid w:val="000547F0"/>
    <w:rsid w:val="00055111"/>
    <w:rsid w:val="000572B9"/>
    <w:rsid w:val="00057C74"/>
    <w:rsid w:val="00060302"/>
    <w:rsid w:val="0006200A"/>
    <w:rsid w:val="00066A45"/>
    <w:rsid w:val="0007025B"/>
    <w:rsid w:val="00070B55"/>
    <w:rsid w:val="000719B8"/>
    <w:rsid w:val="00072E0A"/>
    <w:rsid w:val="0007354C"/>
    <w:rsid w:val="00075D73"/>
    <w:rsid w:val="00077993"/>
    <w:rsid w:val="00077C63"/>
    <w:rsid w:val="00077E9C"/>
    <w:rsid w:val="0008109A"/>
    <w:rsid w:val="00083E22"/>
    <w:rsid w:val="00084484"/>
    <w:rsid w:val="000844BC"/>
    <w:rsid w:val="000918F3"/>
    <w:rsid w:val="0009247A"/>
    <w:rsid w:val="000929C6"/>
    <w:rsid w:val="00092DA8"/>
    <w:rsid w:val="000936DA"/>
    <w:rsid w:val="000968B4"/>
    <w:rsid w:val="000969D0"/>
    <w:rsid w:val="00096DB6"/>
    <w:rsid w:val="000A1F78"/>
    <w:rsid w:val="000A528A"/>
    <w:rsid w:val="000A6E55"/>
    <w:rsid w:val="000A78C0"/>
    <w:rsid w:val="000B0C7C"/>
    <w:rsid w:val="000B177F"/>
    <w:rsid w:val="000B1E80"/>
    <w:rsid w:val="000B2CC4"/>
    <w:rsid w:val="000B3619"/>
    <w:rsid w:val="000B48FF"/>
    <w:rsid w:val="000B52C9"/>
    <w:rsid w:val="000B75F3"/>
    <w:rsid w:val="000C1C5A"/>
    <w:rsid w:val="000C2CAF"/>
    <w:rsid w:val="000C43BF"/>
    <w:rsid w:val="000C4E62"/>
    <w:rsid w:val="000C5063"/>
    <w:rsid w:val="000C66F6"/>
    <w:rsid w:val="000D0AF5"/>
    <w:rsid w:val="000D0C8F"/>
    <w:rsid w:val="000D1E72"/>
    <w:rsid w:val="000D4CA8"/>
    <w:rsid w:val="000E0B25"/>
    <w:rsid w:val="000E1358"/>
    <w:rsid w:val="000E335A"/>
    <w:rsid w:val="000E33B4"/>
    <w:rsid w:val="000E33B7"/>
    <w:rsid w:val="000E3BEC"/>
    <w:rsid w:val="000E70CE"/>
    <w:rsid w:val="000E7B27"/>
    <w:rsid w:val="000E7BCB"/>
    <w:rsid w:val="000F0B06"/>
    <w:rsid w:val="000F128C"/>
    <w:rsid w:val="000F23D6"/>
    <w:rsid w:val="000F2B1C"/>
    <w:rsid w:val="000F37C8"/>
    <w:rsid w:val="000F6F5D"/>
    <w:rsid w:val="00100DB9"/>
    <w:rsid w:val="00102453"/>
    <w:rsid w:val="00102756"/>
    <w:rsid w:val="0010366B"/>
    <w:rsid w:val="0010507E"/>
    <w:rsid w:val="00105A87"/>
    <w:rsid w:val="00105D95"/>
    <w:rsid w:val="00106069"/>
    <w:rsid w:val="00106B4D"/>
    <w:rsid w:val="00106BE5"/>
    <w:rsid w:val="00107A6B"/>
    <w:rsid w:val="00107A7C"/>
    <w:rsid w:val="00110C49"/>
    <w:rsid w:val="00110FEB"/>
    <w:rsid w:val="0011504B"/>
    <w:rsid w:val="00115051"/>
    <w:rsid w:val="001153EC"/>
    <w:rsid w:val="0011551D"/>
    <w:rsid w:val="001170C5"/>
    <w:rsid w:val="00117115"/>
    <w:rsid w:val="00117342"/>
    <w:rsid w:val="0011783D"/>
    <w:rsid w:val="00121772"/>
    <w:rsid w:val="00124C9D"/>
    <w:rsid w:val="00127B1E"/>
    <w:rsid w:val="00130A1A"/>
    <w:rsid w:val="0013312D"/>
    <w:rsid w:val="0013548A"/>
    <w:rsid w:val="00135CF8"/>
    <w:rsid w:val="00137AB5"/>
    <w:rsid w:val="001406F5"/>
    <w:rsid w:val="00140706"/>
    <w:rsid w:val="00141E1A"/>
    <w:rsid w:val="00143E7F"/>
    <w:rsid w:val="00143F8E"/>
    <w:rsid w:val="001455D8"/>
    <w:rsid w:val="00150E9F"/>
    <w:rsid w:val="0015528E"/>
    <w:rsid w:val="001554D4"/>
    <w:rsid w:val="00161445"/>
    <w:rsid w:val="00161611"/>
    <w:rsid w:val="0016173F"/>
    <w:rsid w:val="00162561"/>
    <w:rsid w:val="00165810"/>
    <w:rsid w:val="001673B5"/>
    <w:rsid w:val="001673FC"/>
    <w:rsid w:val="001709CB"/>
    <w:rsid w:val="00170FA1"/>
    <w:rsid w:val="00175219"/>
    <w:rsid w:val="00175D93"/>
    <w:rsid w:val="001764AB"/>
    <w:rsid w:val="001770F0"/>
    <w:rsid w:val="001800CD"/>
    <w:rsid w:val="00181502"/>
    <w:rsid w:val="00181CCA"/>
    <w:rsid w:val="0018519C"/>
    <w:rsid w:val="001908FD"/>
    <w:rsid w:val="001910C2"/>
    <w:rsid w:val="001917B6"/>
    <w:rsid w:val="00192EC7"/>
    <w:rsid w:val="00195F97"/>
    <w:rsid w:val="0019720D"/>
    <w:rsid w:val="00197686"/>
    <w:rsid w:val="001A0885"/>
    <w:rsid w:val="001A1629"/>
    <w:rsid w:val="001A7CD6"/>
    <w:rsid w:val="001B2F40"/>
    <w:rsid w:val="001B6398"/>
    <w:rsid w:val="001C20B3"/>
    <w:rsid w:val="001C3A0A"/>
    <w:rsid w:val="001C45CE"/>
    <w:rsid w:val="001C487D"/>
    <w:rsid w:val="001C4D46"/>
    <w:rsid w:val="001C5AF2"/>
    <w:rsid w:val="001D0A6E"/>
    <w:rsid w:val="001D0B2F"/>
    <w:rsid w:val="001D1834"/>
    <w:rsid w:val="001D3A3F"/>
    <w:rsid w:val="001D4B79"/>
    <w:rsid w:val="001D65E7"/>
    <w:rsid w:val="001D663D"/>
    <w:rsid w:val="001E07FD"/>
    <w:rsid w:val="001E0960"/>
    <w:rsid w:val="001E55C4"/>
    <w:rsid w:val="001E7BEE"/>
    <w:rsid w:val="001F0482"/>
    <w:rsid w:val="001F1537"/>
    <w:rsid w:val="001F166C"/>
    <w:rsid w:val="001F1F26"/>
    <w:rsid w:val="001F379C"/>
    <w:rsid w:val="001F60CF"/>
    <w:rsid w:val="001F62CF"/>
    <w:rsid w:val="001F71C5"/>
    <w:rsid w:val="00203C04"/>
    <w:rsid w:val="00205616"/>
    <w:rsid w:val="002111FC"/>
    <w:rsid w:val="00212697"/>
    <w:rsid w:val="00213247"/>
    <w:rsid w:val="00214084"/>
    <w:rsid w:val="00214A8B"/>
    <w:rsid w:val="00217E32"/>
    <w:rsid w:val="00220A86"/>
    <w:rsid w:val="00220E84"/>
    <w:rsid w:val="002225D3"/>
    <w:rsid w:val="00225170"/>
    <w:rsid w:val="0022533F"/>
    <w:rsid w:val="002257A9"/>
    <w:rsid w:val="00230DE5"/>
    <w:rsid w:val="00232BBE"/>
    <w:rsid w:val="0023463D"/>
    <w:rsid w:val="00234DFD"/>
    <w:rsid w:val="00235E12"/>
    <w:rsid w:val="00242897"/>
    <w:rsid w:val="00243D25"/>
    <w:rsid w:val="00244E0B"/>
    <w:rsid w:val="00247147"/>
    <w:rsid w:val="00250B99"/>
    <w:rsid w:val="00251C4C"/>
    <w:rsid w:val="00252660"/>
    <w:rsid w:val="00252F81"/>
    <w:rsid w:val="002531D4"/>
    <w:rsid w:val="00253567"/>
    <w:rsid w:val="002572F0"/>
    <w:rsid w:val="002577FF"/>
    <w:rsid w:val="002628DA"/>
    <w:rsid w:val="00263E3D"/>
    <w:rsid w:val="00265B02"/>
    <w:rsid w:val="00265E7B"/>
    <w:rsid w:val="00266B89"/>
    <w:rsid w:val="00272C68"/>
    <w:rsid w:val="00274A6B"/>
    <w:rsid w:val="002750B5"/>
    <w:rsid w:val="00275CAC"/>
    <w:rsid w:val="002800D2"/>
    <w:rsid w:val="00281355"/>
    <w:rsid w:val="00282A01"/>
    <w:rsid w:val="00285479"/>
    <w:rsid w:val="00287C4E"/>
    <w:rsid w:val="002901C9"/>
    <w:rsid w:val="00291052"/>
    <w:rsid w:val="00291B55"/>
    <w:rsid w:val="0029204B"/>
    <w:rsid w:val="00294CBF"/>
    <w:rsid w:val="00295489"/>
    <w:rsid w:val="00296655"/>
    <w:rsid w:val="00296ADF"/>
    <w:rsid w:val="00296B59"/>
    <w:rsid w:val="002A0E59"/>
    <w:rsid w:val="002A1940"/>
    <w:rsid w:val="002A368E"/>
    <w:rsid w:val="002A6C97"/>
    <w:rsid w:val="002A7EEA"/>
    <w:rsid w:val="002B06FB"/>
    <w:rsid w:val="002B3773"/>
    <w:rsid w:val="002B3890"/>
    <w:rsid w:val="002B3FA8"/>
    <w:rsid w:val="002B5937"/>
    <w:rsid w:val="002B5D48"/>
    <w:rsid w:val="002B6132"/>
    <w:rsid w:val="002B631F"/>
    <w:rsid w:val="002C0D76"/>
    <w:rsid w:val="002C42D3"/>
    <w:rsid w:val="002D0D1B"/>
    <w:rsid w:val="002D1D30"/>
    <w:rsid w:val="002D3ED5"/>
    <w:rsid w:val="002D4281"/>
    <w:rsid w:val="002D460E"/>
    <w:rsid w:val="002D5102"/>
    <w:rsid w:val="002E032A"/>
    <w:rsid w:val="002E37AA"/>
    <w:rsid w:val="002E45C6"/>
    <w:rsid w:val="002E63B2"/>
    <w:rsid w:val="002F0A04"/>
    <w:rsid w:val="002F36AC"/>
    <w:rsid w:val="002F5D0F"/>
    <w:rsid w:val="002F62CB"/>
    <w:rsid w:val="0030011D"/>
    <w:rsid w:val="003014DC"/>
    <w:rsid w:val="0030159B"/>
    <w:rsid w:val="00305924"/>
    <w:rsid w:val="00306706"/>
    <w:rsid w:val="003119D2"/>
    <w:rsid w:val="00315406"/>
    <w:rsid w:val="0031550F"/>
    <w:rsid w:val="00330829"/>
    <w:rsid w:val="0033107B"/>
    <w:rsid w:val="003312A2"/>
    <w:rsid w:val="00334607"/>
    <w:rsid w:val="00336896"/>
    <w:rsid w:val="00336899"/>
    <w:rsid w:val="00340546"/>
    <w:rsid w:val="0034152B"/>
    <w:rsid w:val="00341E37"/>
    <w:rsid w:val="00341EEF"/>
    <w:rsid w:val="00342089"/>
    <w:rsid w:val="00343039"/>
    <w:rsid w:val="003445AA"/>
    <w:rsid w:val="00344940"/>
    <w:rsid w:val="00344FE4"/>
    <w:rsid w:val="00347515"/>
    <w:rsid w:val="0035126D"/>
    <w:rsid w:val="00351BD0"/>
    <w:rsid w:val="003529F5"/>
    <w:rsid w:val="00353175"/>
    <w:rsid w:val="00353D73"/>
    <w:rsid w:val="00354A68"/>
    <w:rsid w:val="00355D20"/>
    <w:rsid w:val="00355D96"/>
    <w:rsid w:val="00363A1A"/>
    <w:rsid w:val="00364CEA"/>
    <w:rsid w:val="003656BC"/>
    <w:rsid w:val="00365B36"/>
    <w:rsid w:val="00365CA9"/>
    <w:rsid w:val="003663C9"/>
    <w:rsid w:val="00367549"/>
    <w:rsid w:val="00370E6A"/>
    <w:rsid w:val="00373951"/>
    <w:rsid w:val="00373E63"/>
    <w:rsid w:val="00374268"/>
    <w:rsid w:val="003743DD"/>
    <w:rsid w:val="00374A64"/>
    <w:rsid w:val="00375C3D"/>
    <w:rsid w:val="00376234"/>
    <w:rsid w:val="00380DEB"/>
    <w:rsid w:val="00383F11"/>
    <w:rsid w:val="003844E5"/>
    <w:rsid w:val="00385490"/>
    <w:rsid w:val="00386ACD"/>
    <w:rsid w:val="0038783C"/>
    <w:rsid w:val="00390A78"/>
    <w:rsid w:val="00391645"/>
    <w:rsid w:val="003926AD"/>
    <w:rsid w:val="003936E4"/>
    <w:rsid w:val="00394200"/>
    <w:rsid w:val="003944B6"/>
    <w:rsid w:val="00394B17"/>
    <w:rsid w:val="00395593"/>
    <w:rsid w:val="00396660"/>
    <w:rsid w:val="003A130C"/>
    <w:rsid w:val="003A1CC3"/>
    <w:rsid w:val="003A2EB1"/>
    <w:rsid w:val="003A4B98"/>
    <w:rsid w:val="003A4C58"/>
    <w:rsid w:val="003A5848"/>
    <w:rsid w:val="003A6C2F"/>
    <w:rsid w:val="003A7D45"/>
    <w:rsid w:val="003A7F44"/>
    <w:rsid w:val="003B1BDA"/>
    <w:rsid w:val="003B2E0E"/>
    <w:rsid w:val="003B3D3D"/>
    <w:rsid w:val="003B5F73"/>
    <w:rsid w:val="003B64A5"/>
    <w:rsid w:val="003B7CD1"/>
    <w:rsid w:val="003C3E4B"/>
    <w:rsid w:val="003D2EFD"/>
    <w:rsid w:val="003D39EE"/>
    <w:rsid w:val="003D431F"/>
    <w:rsid w:val="003D65E1"/>
    <w:rsid w:val="003D7EE3"/>
    <w:rsid w:val="003E0B22"/>
    <w:rsid w:val="003E193D"/>
    <w:rsid w:val="003E1D01"/>
    <w:rsid w:val="003E2BA4"/>
    <w:rsid w:val="003E31F6"/>
    <w:rsid w:val="003E3A2D"/>
    <w:rsid w:val="003E4990"/>
    <w:rsid w:val="003E59E0"/>
    <w:rsid w:val="003E5C63"/>
    <w:rsid w:val="003E627F"/>
    <w:rsid w:val="003F058C"/>
    <w:rsid w:val="003F090C"/>
    <w:rsid w:val="003F18D2"/>
    <w:rsid w:val="003F1B14"/>
    <w:rsid w:val="003F1D22"/>
    <w:rsid w:val="003F26A8"/>
    <w:rsid w:val="003F33CD"/>
    <w:rsid w:val="003F5FD3"/>
    <w:rsid w:val="003F6AB1"/>
    <w:rsid w:val="00400465"/>
    <w:rsid w:val="00400DE5"/>
    <w:rsid w:val="004016AB"/>
    <w:rsid w:val="00402400"/>
    <w:rsid w:val="00402540"/>
    <w:rsid w:val="004029BB"/>
    <w:rsid w:val="00402B00"/>
    <w:rsid w:val="00404473"/>
    <w:rsid w:val="00404841"/>
    <w:rsid w:val="004049B7"/>
    <w:rsid w:val="00407C0D"/>
    <w:rsid w:val="00407E3C"/>
    <w:rsid w:val="00411FE9"/>
    <w:rsid w:val="00413A61"/>
    <w:rsid w:val="004155C8"/>
    <w:rsid w:val="00415D75"/>
    <w:rsid w:val="00416D9C"/>
    <w:rsid w:val="0042350D"/>
    <w:rsid w:val="00423D6C"/>
    <w:rsid w:val="004248C0"/>
    <w:rsid w:val="0042577D"/>
    <w:rsid w:val="00427E7B"/>
    <w:rsid w:val="00430947"/>
    <w:rsid w:val="004316F7"/>
    <w:rsid w:val="00431FB3"/>
    <w:rsid w:val="00433EC8"/>
    <w:rsid w:val="00433F7B"/>
    <w:rsid w:val="00435423"/>
    <w:rsid w:val="00437CB6"/>
    <w:rsid w:val="00440FB2"/>
    <w:rsid w:val="00441504"/>
    <w:rsid w:val="0044242E"/>
    <w:rsid w:val="0044421E"/>
    <w:rsid w:val="004448D1"/>
    <w:rsid w:val="00445B68"/>
    <w:rsid w:val="00446186"/>
    <w:rsid w:val="0044754D"/>
    <w:rsid w:val="00447A71"/>
    <w:rsid w:val="00452B84"/>
    <w:rsid w:val="00454751"/>
    <w:rsid w:val="00457C59"/>
    <w:rsid w:val="004610CF"/>
    <w:rsid w:val="00461535"/>
    <w:rsid w:val="00463654"/>
    <w:rsid w:val="0046366D"/>
    <w:rsid w:val="00463D53"/>
    <w:rsid w:val="00467B42"/>
    <w:rsid w:val="00470031"/>
    <w:rsid w:val="00471237"/>
    <w:rsid w:val="00471568"/>
    <w:rsid w:val="00471713"/>
    <w:rsid w:val="00471D85"/>
    <w:rsid w:val="00471F0D"/>
    <w:rsid w:val="004730B8"/>
    <w:rsid w:val="00474F4F"/>
    <w:rsid w:val="0047533F"/>
    <w:rsid w:val="0047635E"/>
    <w:rsid w:val="004774EA"/>
    <w:rsid w:val="004774F9"/>
    <w:rsid w:val="00477DBE"/>
    <w:rsid w:val="00481B30"/>
    <w:rsid w:val="00481E14"/>
    <w:rsid w:val="00484DF1"/>
    <w:rsid w:val="00485096"/>
    <w:rsid w:val="00485174"/>
    <w:rsid w:val="004856A5"/>
    <w:rsid w:val="0048594C"/>
    <w:rsid w:val="0048599C"/>
    <w:rsid w:val="00487357"/>
    <w:rsid w:val="0048776B"/>
    <w:rsid w:val="00487BAB"/>
    <w:rsid w:val="00487D9F"/>
    <w:rsid w:val="00487DB9"/>
    <w:rsid w:val="00487FA1"/>
    <w:rsid w:val="004901C2"/>
    <w:rsid w:val="0049345B"/>
    <w:rsid w:val="0049356B"/>
    <w:rsid w:val="004945BD"/>
    <w:rsid w:val="00495854"/>
    <w:rsid w:val="00495889"/>
    <w:rsid w:val="00496165"/>
    <w:rsid w:val="004964EE"/>
    <w:rsid w:val="004966FB"/>
    <w:rsid w:val="00497805"/>
    <w:rsid w:val="004A235B"/>
    <w:rsid w:val="004A318E"/>
    <w:rsid w:val="004A3312"/>
    <w:rsid w:val="004A45DA"/>
    <w:rsid w:val="004A688A"/>
    <w:rsid w:val="004A7084"/>
    <w:rsid w:val="004B275E"/>
    <w:rsid w:val="004B3384"/>
    <w:rsid w:val="004B39ED"/>
    <w:rsid w:val="004B4B54"/>
    <w:rsid w:val="004C0235"/>
    <w:rsid w:val="004C1588"/>
    <w:rsid w:val="004C1673"/>
    <w:rsid w:val="004C22C6"/>
    <w:rsid w:val="004C4982"/>
    <w:rsid w:val="004C5AD3"/>
    <w:rsid w:val="004C6B99"/>
    <w:rsid w:val="004D1933"/>
    <w:rsid w:val="004D1C81"/>
    <w:rsid w:val="004D22FB"/>
    <w:rsid w:val="004D2B31"/>
    <w:rsid w:val="004D33D1"/>
    <w:rsid w:val="004D372F"/>
    <w:rsid w:val="004D51EA"/>
    <w:rsid w:val="004D5670"/>
    <w:rsid w:val="004D6AE4"/>
    <w:rsid w:val="004D6D6F"/>
    <w:rsid w:val="004D78A9"/>
    <w:rsid w:val="004E26C0"/>
    <w:rsid w:val="004E2A6B"/>
    <w:rsid w:val="004E538D"/>
    <w:rsid w:val="004E670A"/>
    <w:rsid w:val="004F09ED"/>
    <w:rsid w:val="004F0F3E"/>
    <w:rsid w:val="004F1872"/>
    <w:rsid w:val="004F25F6"/>
    <w:rsid w:val="004F2BE3"/>
    <w:rsid w:val="004F2D70"/>
    <w:rsid w:val="004F2DE7"/>
    <w:rsid w:val="004F38FC"/>
    <w:rsid w:val="004F3C08"/>
    <w:rsid w:val="004F54A2"/>
    <w:rsid w:val="004F62F9"/>
    <w:rsid w:val="004F6889"/>
    <w:rsid w:val="0050010C"/>
    <w:rsid w:val="00501B23"/>
    <w:rsid w:val="00501BD9"/>
    <w:rsid w:val="00502FA8"/>
    <w:rsid w:val="0050550D"/>
    <w:rsid w:val="0050616E"/>
    <w:rsid w:val="00507640"/>
    <w:rsid w:val="0050798F"/>
    <w:rsid w:val="00510461"/>
    <w:rsid w:val="005139FA"/>
    <w:rsid w:val="00513F8E"/>
    <w:rsid w:val="0051582D"/>
    <w:rsid w:val="0051702C"/>
    <w:rsid w:val="00520E00"/>
    <w:rsid w:val="005237FD"/>
    <w:rsid w:val="0052552A"/>
    <w:rsid w:val="00525FE4"/>
    <w:rsid w:val="00527AAC"/>
    <w:rsid w:val="00530590"/>
    <w:rsid w:val="0053228F"/>
    <w:rsid w:val="00532FEB"/>
    <w:rsid w:val="005331FB"/>
    <w:rsid w:val="00534995"/>
    <w:rsid w:val="00535810"/>
    <w:rsid w:val="00537053"/>
    <w:rsid w:val="0054083E"/>
    <w:rsid w:val="00543646"/>
    <w:rsid w:val="00543748"/>
    <w:rsid w:val="0054632F"/>
    <w:rsid w:val="0054650F"/>
    <w:rsid w:val="005472C7"/>
    <w:rsid w:val="00550662"/>
    <w:rsid w:val="00551677"/>
    <w:rsid w:val="00555663"/>
    <w:rsid w:val="0055724C"/>
    <w:rsid w:val="00560321"/>
    <w:rsid w:val="005604EC"/>
    <w:rsid w:val="0056113D"/>
    <w:rsid w:val="00562453"/>
    <w:rsid w:val="005633C7"/>
    <w:rsid w:val="00564898"/>
    <w:rsid w:val="005727D4"/>
    <w:rsid w:val="005732E6"/>
    <w:rsid w:val="00575C6D"/>
    <w:rsid w:val="00577D88"/>
    <w:rsid w:val="00585C7B"/>
    <w:rsid w:val="005861F1"/>
    <w:rsid w:val="0058622D"/>
    <w:rsid w:val="00586C8F"/>
    <w:rsid w:val="00587409"/>
    <w:rsid w:val="00587AA5"/>
    <w:rsid w:val="00590676"/>
    <w:rsid w:val="0059231A"/>
    <w:rsid w:val="00593328"/>
    <w:rsid w:val="00594ACA"/>
    <w:rsid w:val="00594B4F"/>
    <w:rsid w:val="005955CD"/>
    <w:rsid w:val="00596071"/>
    <w:rsid w:val="00596BFA"/>
    <w:rsid w:val="005A1D18"/>
    <w:rsid w:val="005A265B"/>
    <w:rsid w:val="005A6C05"/>
    <w:rsid w:val="005A7F55"/>
    <w:rsid w:val="005B0540"/>
    <w:rsid w:val="005B0D84"/>
    <w:rsid w:val="005B3500"/>
    <w:rsid w:val="005B3835"/>
    <w:rsid w:val="005B3B73"/>
    <w:rsid w:val="005B4654"/>
    <w:rsid w:val="005B6E4D"/>
    <w:rsid w:val="005C00FC"/>
    <w:rsid w:val="005C161F"/>
    <w:rsid w:val="005C2526"/>
    <w:rsid w:val="005C2CEA"/>
    <w:rsid w:val="005C441B"/>
    <w:rsid w:val="005C5C18"/>
    <w:rsid w:val="005C60C3"/>
    <w:rsid w:val="005C6830"/>
    <w:rsid w:val="005D0DF9"/>
    <w:rsid w:val="005D1010"/>
    <w:rsid w:val="005D17C6"/>
    <w:rsid w:val="005D1D02"/>
    <w:rsid w:val="005D1FEF"/>
    <w:rsid w:val="005D40BC"/>
    <w:rsid w:val="005D46FD"/>
    <w:rsid w:val="005D50A8"/>
    <w:rsid w:val="005D6BEE"/>
    <w:rsid w:val="005D6EE4"/>
    <w:rsid w:val="005D741E"/>
    <w:rsid w:val="005E2A7C"/>
    <w:rsid w:val="005E3DEA"/>
    <w:rsid w:val="005F163C"/>
    <w:rsid w:val="005F333F"/>
    <w:rsid w:val="005F3BD9"/>
    <w:rsid w:val="005F3C8A"/>
    <w:rsid w:val="005F40ED"/>
    <w:rsid w:val="005F4578"/>
    <w:rsid w:val="005F4B6E"/>
    <w:rsid w:val="005F52F4"/>
    <w:rsid w:val="005F7F5A"/>
    <w:rsid w:val="006000A1"/>
    <w:rsid w:val="006040E6"/>
    <w:rsid w:val="00604372"/>
    <w:rsid w:val="00605B8A"/>
    <w:rsid w:val="006119CB"/>
    <w:rsid w:val="006134EC"/>
    <w:rsid w:val="0061384F"/>
    <w:rsid w:val="00613FE0"/>
    <w:rsid w:val="006151CF"/>
    <w:rsid w:val="0061586C"/>
    <w:rsid w:val="00617A5B"/>
    <w:rsid w:val="00617F94"/>
    <w:rsid w:val="006217FD"/>
    <w:rsid w:val="00622948"/>
    <w:rsid w:val="00626525"/>
    <w:rsid w:val="0063281E"/>
    <w:rsid w:val="00632C88"/>
    <w:rsid w:val="00633AA6"/>
    <w:rsid w:val="00634D6B"/>
    <w:rsid w:val="00637ECF"/>
    <w:rsid w:val="00641386"/>
    <w:rsid w:val="0064491A"/>
    <w:rsid w:val="006501DA"/>
    <w:rsid w:val="006556AC"/>
    <w:rsid w:val="00655CD6"/>
    <w:rsid w:val="0066357F"/>
    <w:rsid w:val="006658A7"/>
    <w:rsid w:val="00665F44"/>
    <w:rsid w:val="006667FE"/>
    <w:rsid w:val="00666BE2"/>
    <w:rsid w:val="006674A7"/>
    <w:rsid w:val="0066780A"/>
    <w:rsid w:val="00670494"/>
    <w:rsid w:val="0067227C"/>
    <w:rsid w:val="006730C0"/>
    <w:rsid w:val="00674223"/>
    <w:rsid w:val="0067505F"/>
    <w:rsid w:val="00677435"/>
    <w:rsid w:val="006839FC"/>
    <w:rsid w:val="00683D0C"/>
    <w:rsid w:val="00686F72"/>
    <w:rsid w:val="006909E4"/>
    <w:rsid w:val="00691861"/>
    <w:rsid w:val="00693766"/>
    <w:rsid w:val="00693AF7"/>
    <w:rsid w:val="00693BD3"/>
    <w:rsid w:val="006954CB"/>
    <w:rsid w:val="006966BC"/>
    <w:rsid w:val="006969C3"/>
    <w:rsid w:val="006A2EF0"/>
    <w:rsid w:val="006A604B"/>
    <w:rsid w:val="006B1D3D"/>
    <w:rsid w:val="006B20DE"/>
    <w:rsid w:val="006B2E64"/>
    <w:rsid w:val="006B785E"/>
    <w:rsid w:val="006B7AE0"/>
    <w:rsid w:val="006C07EF"/>
    <w:rsid w:val="006C086E"/>
    <w:rsid w:val="006C09F7"/>
    <w:rsid w:val="006C15DE"/>
    <w:rsid w:val="006C1815"/>
    <w:rsid w:val="006C403C"/>
    <w:rsid w:val="006C4B8D"/>
    <w:rsid w:val="006C4DBB"/>
    <w:rsid w:val="006C6647"/>
    <w:rsid w:val="006C680F"/>
    <w:rsid w:val="006C7E4C"/>
    <w:rsid w:val="006D0C34"/>
    <w:rsid w:val="006D1872"/>
    <w:rsid w:val="006D1AFD"/>
    <w:rsid w:val="006D22FC"/>
    <w:rsid w:val="006D48B0"/>
    <w:rsid w:val="006D4C24"/>
    <w:rsid w:val="006D7195"/>
    <w:rsid w:val="006E2C8C"/>
    <w:rsid w:val="006E4FDE"/>
    <w:rsid w:val="006E530A"/>
    <w:rsid w:val="006E78F4"/>
    <w:rsid w:val="006E7DEF"/>
    <w:rsid w:val="006F12D5"/>
    <w:rsid w:val="006F4BBF"/>
    <w:rsid w:val="006F5351"/>
    <w:rsid w:val="00701097"/>
    <w:rsid w:val="00701E95"/>
    <w:rsid w:val="00703342"/>
    <w:rsid w:val="00704190"/>
    <w:rsid w:val="00704A07"/>
    <w:rsid w:val="00705590"/>
    <w:rsid w:val="00706494"/>
    <w:rsid w:val="0070699D"/>
    <w:rsid w:val="0071002E"/>
    <w:rsid w:val="00710B2D"/>
    <w:rsid w:val="007123CD"/>
    <w:rsid w:val="0071240A"/>
    <w:rsid w:val="0071423C"/>
    <w:rsid w:val="007149B8"/>
    <w:rsid w:val="00717AD3"/>
    <w:rsid w:val="007209FA"/>
    <w:rsid w:val="00722488"/>
    <w:rsid w:val="007242D2"/>
    <w:rsid w:val="0072522B"/>
    <w:rsid w:val="00725D56"/>
    <w:rsid w:val="00727AA2"/>
    <w:rsid w:val="007309C9"/>
    <w:rsid w:val="00731841"/>
    <w:rsid w:val="00732BAD"/>
    <w:rsid w:val="00733E66"/>
    <w:rsid w:val="007340C3"/>
    <w:rsid w:val="007345C0"/>
    <w:rsid w:val="00736DB1"/>
    <w:rsid w:val="0073783D"/>
    <w:rsid w:val="007439FD"/>
    <w:rsid w:val="007444E2"/>
    <w:rsid w:val="007444EC"/>
    <w:rsid w:val="00744F0D"/>
    <w:rsid w:val="00746F35"/>
    <w:rsid w:val="00747002"/>
    <w:rsid w:val="007532FA"/>
    <w:rsid w:val="007538F0"/>
    <w:rsid w:val="00753CE9"/>
    <w:rsid w:val="007565F9"/>
    <w:rsid w:val="00756DFB"/>
    <w:rsid w:val="00757564"/>
    <w:rsid w:val="00760F8F"/>
    <w:rsid w:val="00761FD7"/>
    <w:rsid w:val="00763700"/>
    <w:rsid w:val="00763CDB"/>
    <w:rsid w:val="00765C58"/>
    <w:rsid w:val="007661DC"/>
    <w:rsid w:val="007672D3"/>
    <w:rsid w:val="00770703"/>
    <w:rsid w:val="00771744"/>
    <w:rsid w:val="00772268"/>
    <w:rsid w:val="007731CD"/>
    <w:rsid w:val="007736C3"/>
    <w:rsid w:val="00774B58"/>
    <w:rsid w:val="00774D84"/>
    <w:rsid w:val="0077558D"/>
    <w:rsid w:val="007759EA"/>
    <w:rsid w:val="00776801"/>
    <w:rsid w:val="00781D29"/>
    <w:rsid w:val="00781F66"/>
    <w:rsid w:val="0078243B"/>
    <w:rsid w:val="00784074"/>
    <w:rsid w:val="00784670"/>
    <w:rsid w:val="007860F8"/>
    <w:rsid w:val="00787735"/>
    <w:rsid w:val="00787EC1"/>
    <w:rsid w:val="00787F5E"/>
    <w:rsid w:val="007915C0"/>
    <w:rsid w:val="00792BEF"/>
    <w:rsid w:val="007960DF"/>
    <w:rsid w:val="00796692"/>
    <w:rsid w:val="007A1284"/>
    <w:rsid w:val="007A12BF"/>
    <w:rsid w:val="007A3179"/>
    <w:rsid w:val="007A3C64"/>
    <w:rsid w:val="007B34D6"/>
    <w:rsid w:val="007B6137"/>
    <w:rsid w:val="007B7666"/>
    <w:rsid w:val="007B7CC6"/>
    <w:rsid w:val="007C26AB"/>
    <w:rsid w:val="007C3A38"/>
    <w:rsid w:val="007C58E1"/>
    <w:rsid w:val="007C5ADD"/>
    <w:rsid w:val="007C6528"/>
    <w:rsid w:val="007C71B5"/>
    <w:rsid w:val="007D02D4"/>
    <w:rsid w:val="007D22BF"/>
    <w:rsid w:val="007D4FDE"/>
    <w:rsid w:val="007D5FE5"/>
    <w:rsid w:val="007D6B1B"/>
    <w:rsid w:val="007E2B35"/>
    <w:rsid w:val="007E3CDC"/>
    <w:rsid w:val="007E56AE"/>
    <w:rsid w:val="007E5FB3"/>
    <w:rsid w:val="007F1CC9"/>
    <w:rsid w:val="007F24FB"/>
    <w:rsid w:val="007F3981"/>
    <w:rsid w:val="00803E1C"/>
    <w:rsid w:val="00803E38"/>
    <w:rsid w:val="00804622"/>
    <w:rsid w:val="00805108"/>
    <w:rsid w:val="00806D14"/>
    <w:rsid w:val="008101ED"/>
    <w:rsid w:val="008118B7"/>
    <w:rsid w:val="00811F1B"/>
    <w:rsid w:val="00812202"/>
    <w:rsid w:val="008135D9"/>
    <w:rsid w:val="008139D4"/>
    <w:rsid w:val="00813F73"/>
    <w:rsid w:val="00816849"/>
    <w:rsid w:val="00816CD8"/>
    <w:rsid w:val="00820A4E"/>
    <w:rsid w:val="0082247E"/>
    <w:rsid w:val="00824448"/>
    <w:rsid w:val="00825445"/>
    <w:rsid w:val="00825CC5"/>
    <w:rsid w:val="008261A9"/>
    <w:rsid w:val="00826216"/>
    <w:rsid w:val="00830962"/>
    <w:rsid w:val="0083280E"/>
    <w:rsid w:val="00833551"/>
    <w:rsid w:val="008336EA"/>
    <w:rsid w:val="0083370D"/>
    <w:rsid w:val="00835CBB"/>
    <w:rsid w:val="00835D43"/>
    <w:rsid w:val="008374CD"/>
    <w:rsid w:val="00840FFA"/>
    <w:rsid w:val="008416E2"/>
    <w:rsid w:val="00841F72"/>
    <w:rsid w:val="0084566C"/>
    <w:rsid w:val="00847855"/>
    <w:rsid w:val="00847870"/>
    <w:rsid w:val="008507C3"/>
    <w:rsid w:val="00852D36"/>
    <w:rsid w:val="008542A0"/>
    <w:rsid w:val="008544BC"/>
    <w:rsid w:val="008544ED"/>
    <w:rsid w:val="008577F4"/>
    <w:rsid w:val="008621D2"/>
    <w:rsid w:val="00863095"/>
    <w:rsid w:val="008639E8"/>
    <w:rsid w:val="00865904"/>
    <w:rsid w:val="00867CC9"/>
    <w:rsid w:val="00870DED"/>
    <w:rsid w:val="00871CED"/>
    <w:rsid w:val="0087311A"/>
    <w:rsid w:val="0087606A"/>
    <w:rsid w:val="00880D8D"/>
    <w:rsid w:val="00880DE7"/>
    <w:rsid w:val="00881457"/>
    <w:rsid w:val="00883F84"/>
    <w:rsid w:val="00886E25"/>
    <w:rsid w:val="00887956"/>
    <w:rsid w:val="00890D04"/>
    <w:rsid w:val="00890FA1"/>
    <w:rsid w:val="008916EE"/>
    <w:rsid w:val="00895B4C"/>
    <w:rsid w:val="00897D11"/>
    <w:rsid w:val="008A3347"/>
    <w:rsid w:val="008A45CB"/>
    <w:rsid w:val="008A5C0C"/>
    <w:rsid w:val="008A5FC7"/>
    <w:rsid w:val="008B068D"/>
    <w:rsid w:val="008B18F0"/>
    <w:rsid w:val="008B4AB1"/>
    <w:rsid w:val="008B6EC2"/>
    <w:rsid w:val="008B7525"/>
    <w:rsid w:val="008C2631"/>
    <w:rsid w:val="008C4268"/>
    <w:rsid w:val="008C44ED"/>
    <w:rsid w:val="008C5923"/>
    <w:rsid w:val="008C7079"/>
    <w:rsid w:val="008D0E22"/>
    <w:rsid w:val="008D64B9"/>
    <w:rsid w:val="008E1911"/>
    <w:rsid w:val="008E1ECC"/>
    <w:rsid w:val="008E2858"/>
    <w:rsid w:val="008E32CA"/>
    <w:rsid w:val="008F0A52"/>
    <w:rsid w:val="008F1409"/>
    <w:rsid w:val="008F19FA"/>
    <w:rsid w:val="008F27B7"/>
    <w:rsid w:val="008F3146"/>
    <w:rsid w:val="008F329B"/>
    <w:rsid w:val="008F35C6"/>
    <w:rsid w:val="008F4F89"/>
    <w:rsid w:val="008F5E24"/>
    <w:rsid w:val="008F6BED"/>
    <w:rsid w:val="00900064"/>
    <w:rsid w:val="00901025"/>
    <w:rsid w:val="0090185E"/>
    <w:rsid w:val="00901ACE"/>
    <w:rsid w:val="009067A4"/>
    <w:rsid w:val="00907E23"/>
    <w:rsid w:val="00912B20"/>
    <w:rsid w:val="009138CB"/>
    <w:rsid w:val="00914772"/>
    <w:rsid w:val="00921E98"/>
    <w:rsid w:val="00922D25"/>
    <w:rsid w:val="00923AFA"/>
    <w:rsid w:val="00923B83"/>
    <w:rsid w:val="00924590"/>
    <w:rsid w:val="0092535E"/>
    <w:rsid w:val="00925373"/>
    <w:rsid w:val="00932310"/>
    <w:rsid w:val="00932E92"/>
    <w:rsid w:val="00933E33"/>
    <w:rsid w:val="00936DB4"/>
    <w:rsid w:val="009400F0"/>
    <w:rsid w:val="00940CF3"/>
    <w:rsid w:val="00941D0A"/>
    <w:rsid w:val="0094225F"/>
    <w:rsid w:val="0094234C"/>
    <w:rsid w:val="009436C9"/>
    <w:rsid w:val="009457C6"/>
    <w:rsid w:val="00947E74"/>
    <w:rsid w:val="00951823"/>
    <w:rsid w:val="009525B3"/>
    <w:rsid w:val="00956337"/>
    <w:rsid w:val="00962421"/>
    <w:rsid w:val="009627CD"/>
    <w:rsid w:val="00963048"/>
    <w:rsid w:val="00965315"/>
    <w:rsid w:val="00967DEC"/>
    <w:rsid w:val="0097063C"/>
    <w:rsid w:val="0097070F"/>
    <w:rsid w:val="00973B3C"/>
    <w:rsid w:val="00977E7C"/>
    <w:rsid w:val="00986CB8"/>
    <w:rsid w:val="00987E90"/>
    <w:rsid w:val="00990F48"/>
    <w:rsid w:val="0099400D"/>
    <w:rsid w:val="0099612C"/>
    <w:rsid w:val="00996BF0"/>
    <w:rsid w:val="009A02AF"/>
    <w:rsid w:val="009A0AA1"/>
    <w:rsid w:val="009A3A04"/>
    <w:rsid w:val="009A7FC8"/>
    <w:rsid w:val="009B0030"/>
    <w:rsid w:val="009B0A34"/>
    <w:rsid w:val="009B469A"/>
    <w:rsid w:val="009B56EE"/>
    <w:rsid w:val="009B5D75"/>
    <w:rsid w:val="009B7C4C"/>
    <w:rsid w:val="009C1561"/>
    <w:rsid w:val="009C2471"/>
    <w:rsid w:val="009C2527"/>
    <w:rsid w:val="009C27DC"/>
    <w:rsid w:val="009C4DDF"/>
    <w:rsid w:val="009C5658"/>
    <w:rsid w:val="009C6C39"/>
    <w:rsid w:val="009D02DD"/>
    <w:rsid w:val="009D0F39"/>
    <w:rsid w:val="009D4A53"/>
    <w:rsid w:val="009D6F28"/>
    <w:rsid w:val="009D702B"/>
    <w:rsid w:val="009E1648"/>
    <w:rsid w:val="009E2576"/>
    <w:rsid w:val="009E3791"/>
    <w:rsid w:val="009E60E6"/>
    <w:rsid w:val="009E6268"/>
    <w:rsid w:val="009E627A"/>
    <w:rsid w:val="009E660C"/>
    <w:rsid w:val="009E6EA1"/>
    <w:rsid w:val="009F174F"/>
    <w:rsid w:val="009F2785"/>
    <w:rsid w:val="009F330F"/>
    <w:rsid w:val="009F5424"/>
    <w:rsid w:val="00A007A6"/>
    <w:rsid w:val="00A01F8A"/>
    <w:rsid w:val="00A02AF2"/>
    <w:rsid w:val="00A02FC4"/>
    <w:rsid w:val="00A030BA"/>
    <w:rsid w:val="00A03F4D"/>
    <w:rsid w:val="00A04ED7"/>
    <w:rsid w:val="00A0586D"/>
    <w:rsid w:val="00A05D92"/>
    <w:rsid w:val="00A10664"/>
    <w:rsid w:val="00A1240D"/>
    <w:rsid w:val="00A12E4C"/>
    <w:rsid w:val="00A148E1"/>
    <w:rsid w:val="00A149C2"/>
    <w:rsid w:val="00A21F90"/>
    <w:rsid w:val="00A23281"/>
    <w:rsid w:val="00A242AE"/>
    <w:rsid w:val="00A271A3"/>
    <w:rsid w:val="00A30109"/>
    <w:rsid w:val="00A30C4A"/>
    <w:rsid w:val="00A32666"/>
    <w:rsid w:val="00A33A1F"/>
    <w:rsid w:val="00A3505B"/>
    <w:rsid w:val="00A3547C"/>
    <w:rsid w:val="00A35AF0"/>
    <w:rsid w:val="00A4374F"/>
    <w:rsid w:val="00A43E6A"/>
    <w:rsid w:val="00A479C5"/>
    <w:rsid w:val="00A50610"/>
    <w:rsid w:val="00A51E1C"/>
    <w:rsid w:val="00A52DF1"/>
    <w:rsid w:val="00A53E2D"/>
    <w:rsid w:val="00A540FA"/>
    <w:rsid w:val="00A56E31"/>
    <w:rsid w:val="00A57D65"/>
    <w:rsid w:val="00A600FE"/>
    <w:rsid w:val="00A61130"/>
    <w:rsid w:val="00A62BAF"/>
    <w:rsid w:val="00A63099"/>
    <w:rsid w:val="00A637C9"/>
    <w:rsid w:val="00A6402E"/>
    <w:rsid w:val="00A647F3"/>
    <w:rsid w:val="00A65C05"/>
    <w:rsid w:val="00A7070D"/>
    <w:rsid w:val="00A716E2"/>
    <w:rsid w:val="00A71860"/>
    <w:rsid w:val="00A7408A"/>
    <w:rsid w:val="00A74277"/>
    <w:rsid w:val="00A74EFF"/>
    <w:rsid w:val="00A77D2B"/>
    <w:rsid w:val="00A81144"/>
    <w:rsid w:val="00A8210E"/>
    <w:rsid w:val="00A8287D"/>
    <w:rsid w:val="00A836E7"/>
    <w:rsid w:val="00A83835"/>
    <w:rsid w:val="00A8446A"/>
    <w:rsid w:val="00A84F47"/>
    <w:rsid w:val="00A87994"/>
    <w:rsid w:val="00A9191A"/>
    <w:rsid w:val="00A92A65"/>
    <w:rsid w:val="00A947DF"/>
    <w:rsid w:val="00AA0164"/>
    <w:rsid w:val="00AA0F51"/>
    <w:rsid w:val="00AA1566"/>
    <w:rsid w:val="00AA1A80"/>
    <w:rsid w:val="00AA1D6E"/>
    <w:rsid w:val="00AA5404"/>
    <w:rsid w:val="00AA5EF3"/>
    <w:rsid w:val="00AA6CE9"/>
    <w:rsid w:val="00AA796C"/>
    <w:rsid w:val="00AB09C9"/>
    <w:rsid w:val="00AB1E38"/>
    <w:rsid w:val="00AB276E"/>
    <w:rsid w:val="00AB2BDC"/>
    <w:rsid w:val="00AB2D21"/>
    <w:rsid w:val="00AB514D"/>
    <w:rsid w:val="00AB770E"/>
    <w:rsid w:val="00AC0949"/>
    <w:rsid w:val="00AC2293"/>
    <w:rsid w:val="00AC23C3"/>
    <w:rsid w:val="00AC5AF3"/>
    <w:rsid w:val="00AC65DB"/>
    <w:rsid w:val="00AC6CC1"/>
    <w:rsid w:val="00AD1692"/>
    <w:rsid w:val="00AD208C"/>
    <w:rsid w:val="00AD46D5"/>
    <w:rsid w:val="00AD492E"/>
    <w:rsid w:val="00AD53FA"/>
    <w:rsid w:val="00AD5EBB"/>
    <w:rsid w:val="00AD78D7"/>
    <w:rsid w:val="00AD7B5E"/>
    <w:rsid w:val="00AD7EE1"/>
    <w:rsid w:val="00AE10D2"/>
    <w:rsid w:val="00AE2805"/>
    <w:rsid w:val="00AE3561"/>
    <w:rsid w:val="00AE35C2"/>
    <w:rsid w:val="00AE438F"/>
    <w:rsid w:val="00AF2E43"/>
    <w:rsid w:val="00AF4BD4"/>
    <w:rsid w:val="00AF5825"/>
    <w:rsid w:val="00B00D38"/>
    <w:rsid w:val="00B045D1"/>
    <w:rsid w:val="00B0539C"/>
    <w:rsid w:val="00B1008F"/>
    <w:rsid w:val="00B107CA"/>
    <w:rsid w:val="00B10C74"/>
    <w:rsid w:val="00B122B4"/>
    <w:rsid w:val="00B12FF0"/>
    <w:rsid w:val="00B155DD"/>
    <w:rsid w:val="00B15C74"/>
    <w:rsid w:val="00B1676B"/>
    <w:rsid w:val="00B16F29"/>
    <w:rsid w:val="00B201D8"/>
    <w:rsid w:val="00B21EFB"/>
    <w:rsid w:val="00B22F4C"/>
    <w:rsid w:val="00B3524B"/>
    <w:rsid w:val="00B35647"/>
    <w:rsid w:val="00B3615D"/>
    <w:rsid w:val="00B36A91"/>
    <w:rsid w:val="00B3702F"/>
    <w:rsid w:val="00B371B2"/>
    <w:rsid w:val="00B37623"/>
    <w:rsid w:val="00B426E6"/>
    <w:rsid w:val="00B434E0"/>
    <w:rsid w:val="00B438C8"/>
    <w:rsid w:val="00B44E41"/>
    <w:rsid w:val="00B45979"/>
    <w:rsid w:val="00B514FD"/>
    <w:rsid w:val="00B537A3"/>
    <w:rsid w:val="00B54069"/>
    <w:rsid w:val="00B550F2"/>
    <w:rsid w:val="00B560A6"/>
    <w:rsid w:val="00B607E3"/>
    <w:rsid w:val="00B63504"/>
    <w:rsid w:val="00B64CD8"/>
    <w:rsid w:val="00B65FA9"/>
    <w:rsid w:val="00B724BA"/>
    <w:rsid w:val="00B75916"/>
    <w:rsid w:val="00B75EE2"/>
    <w:rsid w:val="00B7609F"/>
    <w:rsid w:val="00B767D7"/>
    <w:rsid w:val="00B77A5C"/>
    <w:rsid w:val="00B80CF5"/>
    <w:rsid w:val="00B813D7"/>
    <w:rsid w:val="00B81785"/>
    <w:rsid w:val="00B81A22"/>
    <w:rsid w:val="00B82C3E"/>
    <w:rsid w:val="00B82E45"/>
    <w:rsid w:val="00B83BE7"/>
    <w:rsid w:val="00B83EB7"/>
    <w:rsid w:val="00B84351"/>
    <w:rsid w:val="00B85066"/>
    <w:rsid w:val="00B85FA5"/>
    <w:rsid w:val="00B8652B"/>
    <w:rsid w:val="00B904AA"/>
    <w:rsid w:val="00B91D24"/>
    <w:rsid w:val="00B92FB5"/>
    <w:rsid w:val="00B93C61"/>
    <w:rsid w:val="00B94B1F"/>
    <w:rsid w:val="00B951D5"/>
    <w:rsid w:val="00B95EA1"/>
    <w:rsid w:val="00B96F89"/>
    <w:rsid w:val="00BA0EC6"/>
    <w:rsid w:val="00BA23F1"/>
    <w:rsid w:val="00BA3AE0"/>
    <w:rsid w:val="00BA4571"/>
    <w:rsid w:val="00BA6D9F"/>
    <w:rsid w:val="00BB1C7E"/>
    <w:rsid w:val="00BB213C"/>
    <w:rsid w:val="00BB247E"/>
    <w:rsid w:val="00BB3F75"/>
    <w:rsid w:val="00BB539F"/>
    <w:rsid w:val="00BB5712"/>
    <w:rsid w:val="00BB6382"/>
    <w:rsid w:val="00BB73E1"/>
    <w:rsid w:val="00BC1C29"/>
    <w:rsid w:val="00BC4993"/>
    <w:rsid w:val="00BC4F2C"/>
    <w:rsid w:val="00BC5EEC"/>
    <w:rsid w:val="00BD2836"/>
    <w:rsid w:val="00BD4DE8"/>
    <w:rsid w:val="00BD5C16"/>
    <w:rsid w:val="00BE0341"/>
    <w:rsid w:val="00BE117F"/>
    <w:rsid w:val="00BE3732"/>
    <w:rsid w:val="00BE3DAE"/>
    <w:rsid w:val="00BE46F8"/>
    <w:rsid w:val="00BE4897"/>
    <w:rsid w:val="00BE49D4"/>
    <w:rsid w:val="00BE55C3"/>
    <w:rsid w:val="00BE5E05"/>
    <w:rsid w:val="00BF00D5"/>
    <w:rsid w:val="00BF1A34"/>
    <w:rsid w:val="00BF3456"/>
    <w:rsid w:val="00BF3D71"/>
    <w:rsid w:val="00BF688F"/>
    <w:rsid w:val="00BF7667"/>
    <w:rsid w:val="00C0037D"/>
    <w:rsid w:val="00C0057E"/>
    <w:rsid w:val="00C02438"/>
    <w:rsid w:val="00C02607"/>
    <w:rsid w:val="00C03361"/>
    <w:rsid w:val="00C047F1"/>
    <w:rsid w:val="00C055A6"/>
    <w:rsid w:val="00C0565A"/>
    <w:rsid w:val="00C07CEA"/>
    <w:rsid w:val="00C16005"/>
    <w:rsid w:val="00C166CD"/>
    <w:rsid w:val="00C1746F"/>
    <w:rsid w:val="00C200C8"/>
    <w:rsid w:val="00C23E2B"/>
    <w:rsid w:val="00C2435B"/>
    <w:rsid w:val="00C24E64"/>
    <w:rsid w:val="00C30182"/>
    <w:rsid w:val="00C31619"/>
    <w:rsid w:val="00C32C57"/>
    <w:rsid w:val="00C36BAB"/>
    <w:rsid w:val="00C40038"/>
    <w:rsid w:val="00C40E92"/>
    <w:rsid w:val="00C41181"/>
    <w:rsid w:val="00C41ADD"/>
    <w:rsid w:val="00C42146"/>
    <w:rsid w:val="00C43BBD"/>
    <w:rsid w:val="00C453A8"/>
    <w:rsid w:val="00C475AF"/>
    <w:rsid w:val="00C500CC"/>
    <w:rsid w:val="00C50BE0"/>
    <w:rsid w:val="00C52E1F"/>
    <w:rsid w:val="00C52FC3"/>
    <w:rsid w:val="00C53A5D"/>
    <w:rsid w:val="00C54592"/>
    <w:rsid w:val="00C56118"/>
    <w:rsid w:val="00C5680B"/>
    <w:rsid w:val="00C56B2A"/>
    <w:rsid w:val="00C5740D"/>
    <w:rsid w:val="00C5748F"/>
    <w:rsid w:val="00C57DED"/>
    <w:rsid w:val="00C60027"/>
    <w:rsid w:val="00C63E97"/>
    <w:rsid w:val="00C64AD2"/>
    <w:rsid w:val="00C66804"/>
    <w:rsid w:val="00C70492"/>
    <w:rsid w:val="00C71B4C"/>
    <w:rsid w:val="00C72360"/>
    <w:rsid w:val="00C73240"/>
    <w:rsid w:val="00C76913"/>
    <w:rsid w:val="00C7748A"/>
    <w:rsid w:val="00C7779E"/>
    <w:rsid w:val="00C77FD3"/>
    <w:rsid w:val="00C824F7"/>
    <w:rsid w:val="00C85995"/>
    <w:rsid w:val="00C86814"/>
    <w:rsid w:val="00C92340"/>
    <w:rsid w:val="00C9246C"/>
    <w:rsid w:val="00C92F5E"/>
    <w:rsid w:val="00C93B11"/>
    <w:rsid w:val="00C94362"/>
    <w:rsid w:val="00C971BD"/>
    <w:rsid w:val="00CA1D5E"/>
    <w:rsid w:val="00CA37B1"/>
    <w:rsid w:val="00CA387F"/>
    <w:rsid w:val="00CA4C1C"/>
    <w:rsid w:val="00CA6C96"/>
    <w:rsid w:val="00CB06BD"/>
    <w:rsid w:val="00CB36AD"/>
    <w:rsid w:val="00CB3DF4"/>
    <w:rsid w:val="00CB4E86"/>
    <w:rsid w:val="00CB560C"/>
    <w:rsid w:val="00CB6664"/>
    <w:rsid w:val="00CB7058"/>
    <w:rsid w:val="00CC1DD1"/>
    <w:rsid w:val="00CC2626"/>
    <w:rsid w:val="00CC28D2"/>
    <w:rsid w:val="00CC320E"/>
    <w:rsid w:val="00CC4A19"/>
    <w:rsid w:val="00CC7CC0"/>
    <w:rsid w:val="00CC7E33"/>
    <w:rsid w:val="00CD40DF"/>
    <w:rsid w:val="00CD432D"/>
    <w:rsid w:val="00CD605E"/>
    <w:rsid w:val="00CD7599"/>
    <w:rsid w:val="00CE03CD"/>
    <w:rsid w:val="00CE0A6D"/>
    <w:rsid w:val="00CE0C27"/>
    <w:rsid w:val="00CE1396"/>
    <w:rsid w:val="00CE2225"/>
    <w:rsid w:val="00CE2BF4"/>
    <w:rsid w:val="00CE5E57"/>
    <w:rsid w:val="00CE5FB7"/>
    <w:rsid w:val="00CE6D73"/>
    <w:rsid w:val="00CE7996"/>
    <w:rsid w:val="00CF24CE"/>
    <w:rsid w:val="00CF5DDE"/>
    <w:rsid w:val="00CF623C"/>
    <w:rsid w:val="00D01AE0"/>
    <w:rsid w:val="00D01EB5"/>
    <w:rsid w:val="00D01F75"/>
    <w:rsid w:val="00D02F94"/>
    <w:rsid w:val="00D100FC"/>
    <w:rsid w:val="00D1060A"/>
    <w:rsid w:val="00D11999"/>
    <w:rsid w:val="00D1212F"/>
    <w:rsid w:val="00D12E86"/>
    <w:rsid w:val="00D142E1"/>
    <w:rsid w:val="00D146D5"/>
    <w:rsid w:val="00D15EE0"/>
    <w:rsid w:val="00D17034"/>
    <w:rsid w:val="00D22DA7"/>
    <w:rsid w:val="00D26069"/>
    <w:rsid w:val="00D302CC"/>
    <w:rsid w:val="00D3176B"/>
    <w:rsid w:val="00D3263F"/>
    <w:rsid w:val="00D364AA"/>
    <w:rsid w:val="00D36E92"/>
    <w:rsid w:val="00D37EFE"/>
    <w:rsid w:val="00D40102"/>
    <w:rsid w:val="00D41181"/>
    <w:rsid w:val="00D4386F"/>
    <w:rsid w:val="00D44FE5"/>
    <w:rsid w:val="00D50AB4"/>
    <w:rsid w:val="00D52C76"/>
    <w:rsid w:val="00D56DEC"/>
    <w:rsid w:val="00D61039"/>
    <w:rsid w:val="00D63900"/>
    <w:rsid w:val="00D63DB9"/>
    <w:rsid w:val="00D64796"/>
    <w:rsid w:val="00D6595C"/>
    <w:rsid w:val="00D66667"/>
    <w:rsid w:val="00D67382"/>
    <w:rsid w:val="00D67F8F"/>
    <w:rsid w:val="00D71159"/>
    <w:rsid w:val="00D77D88"/>
    <w:rsid w:val="00D80FD5"/>
    <w:rsid w:val="00D82C2A"/>
    <w:rsid w:val="00D83D84"/>
    <w:rsid w:val="00D85442"/>
    <w:rsid w:val="00D86267"/>
    <w:rsid w:val="00D862F1"/>
    <w:rsid w:val="00D86C63"/>
    <w:rsid w:val="00D90D0F"/>
    <w:rsid w:val="00D91D45"/>
    <w:rsid w:val="00D92B68"/>
    <w:rsid w:val="00D945DB"/>
    <w:rsid w:val="00D95305"/>
    <w:rsid w:val="00D963ED"/>
    <w:rsid w:val="00D97ECA"/>
    <w:rsid w:val="00DA02F7"/>
    <w:rsid w:val="00DA1F19"/>
    <w:rsid w:val="00DA2EAA"/>
    <w:rsid w:val="00DA3486"/>
    <w:rsid w:val="00DA5867"/>
    <w:rsid w:val="00DA6EC6"/>
    <w:rsid w:val="00DA7D75"/>
    <w:rsid w:val="00DB0C00"/>
    <w:rsid w:val="00DB1C17"/>
    <w:rsid w:val="00DB2577"/>
    <w:rsid w:val="00DB2A47"/>
    <w:rsid w:val="00DB3F24"/>
    <w:rsid w:val="00DB5113"/>
    <w:rsid w:val="00DB603B"/>
    <w:rsid w:val="00DC1380"/>
    <w:rsid w:val="00DC1B9A"/>
    <w:rsid w:val="00DC26E4"/>
    <w:rsid w:val="00DC26F6"/>
    <w:rsid w:val="00DC2848"/>
    <w:rsid w:val="00DC305D"/>
    <w:rsid w:val="00DC4347"/>
    <w:rsid w:val="00DC5047"/>
    <w:rsid w:val="00DC7DF8"/>
    <w:rsid w:val="00DD4080"/>
    <w:rsid w:val="00DE26F9"/>
    <w:rsid w:val="00DE3607"/>
    <w:rsid w:val="00DE477E"/>
    <w:rsid w:val="00DE5022"/>
    <w:rsid w:val="00DE6D08"/>
    <w:rsid w:val="00DF1FEA"/>
    <w:rsid w:val="00DF3078"/>
    <w:rsid w:val="00DF567A"/>
    <w:rsid w:val="00DF709F"/>
    <w:rsid w:val="00DF777C"/>
    <w:rsid w:val="00E01653"/>
    <w:rsid w:val="00E0176B"/>
    <w:rsid w:val="00E100BA"/>
    <w:rsid w:val="00E1338F"/>
    <w:rsid w:val="00E14771"/>
    <w:rsid w:val="00E162C5"/>
    <w:rsid w:val="00E171D2"/>
    <w:rsid w:val="00E2567D"/>
    <w:rsid w:val="00E3182F"/>
    <w:rsid w:val="00E3491E"/>
    <w:rsid w:val="00E35522"/>
    <w:rsid w:val="00E402B8"/>
    <w:rsid w:val="00E4053F"/>
    <w:rsid w:val="00E41A80"/>
    <w:rsid w:val="00E42EFE"/>
    <w:rsid w:val="00E43059"/>
    <w:rsid w:val="00E44124"/>
    <w:rsid w:val="00E4547C"/>
    <w:rsid w:val="00E47687"/>
    <w:rsid w:val="00E47F60"/>
    <w:rsid w:val="00E47F9F"/>
    <w:rsid w:val="00E52D30"/>
    <w:rsid w:val="00E56ECC"/>
    <w:rsid w:val="00E56FBC"/>
    <w:rsid w:val="00E571AD"/>
    <w:rsid w:val="00E57AD2"/>
    <w:rsid w:val="00E57B7F"/>
    <w:rsid w:val="00E60966"/>
    <w:rsid w:val="00E6402A"/>
    <w:rsid w:val="00E714AB"/>
    <w:rsid w:val="00E71624"/>
    <w:rsid w:val="00E71E41"/>
    <w:rsid w:val="00E72ACF"/>
    <w:rsid w:val="00E7465A"/>
    <w:rsid w:val="00E81D39"/>
    <w:rsid w:val="00E8317D"/>
    <w:rsid w:val="00E838DA"/>
    <w:rsid w:val="00E855DE"/>
    <w:rsid w:val="00E87633"/>
    <w:rsid w:val="00E8774C"/>
    <w:rsid w:val="00E9270C"/>
    <w:rsid w:val="00E95014"/>
    <w:rsid w:val="00EA0B3A"/>
    <w:rsid w:val="00EA1B99"/>
    <w:rsid w:val="00EA61C6"/>
    <w:rsid w:val="00EA61C7"/>
    <w:rsid w:val="00EA7277"/>
    <w:rsid w:val="00EB071D"/>
    <w:rsid w:val="00EB453B"/>
    <w:rsid w:val="00EB5559"/>
    <w:rsid w:val="00EB5B82"/>
    <w:rsid w:val="00EB5C23"/>
    <w:rsid w:val="00EB5D3E"/>
    <w:rsid w:val="00EB67A4"/>
    <w:rsid w:val="00EC02BB"/>
    <w:rsid w:val="00EC293E"/>
    <w:rsid w:val="00EC2E5D"/>
    <w:rsid w:val="00EC35DA"/>
    <w:rsid w:val="00EC393D"/>
    <w:rsid w:val="00EC3F6C"/>
    <w:rsid w:val="00EC78CF"/>
    <w:rsid w:val="00EC7E96"/>
    <w:rsid w:val="00ED12FD"/>
    <w:rsid w:val="00ED1C7D"/>
    <w:rsid w:val="00ED1EFE"/>
    <w:rsid w:val="00ED222C"/>
    <w:rsid w:val="00ED53E3"/>
    <w:rsid w:val="00ED6923"/>
    <w:rsid w:val="00ED71F8"/>
    <w:rsid w:val="00ED7E59"/>
    <w:rsid w:val="00EE5402"/>
    <w:rsid w:val="00EE6BD9"/>
    <w:rsid w:val="00EE6DFB"/>
    <w:rsid w:val="00EE7B76"/>
    <w:rsid w:val="00EF00FF"/>
    <w:rsid w:val="00EF1FAC"/>
    <w:rsid w:val="00EF351C"/>
    <w:rsid w:val="00EF4A8B"/>
    <w:rsid w:val="00EF4C70"/>
    <w:rsid w:val="00EF4DF5"/>
    <w:rsid w:val="00EF6D2F"/>
    <w:rsid w:val="00F00DBD"/>
    <w:rsid w:val="00F0161D"/>
    <w:rsid w:val="00F02AD4"/>
    <w:rsid w:val="00F02E77"/>
    <w:rsid w:val="00F044BD"/>
    <w:rsid w:val="00F04AA9"/>
    <w:rsid w:val="00F04C07"/>
    <w:rsid w:val="00F04C77"/>
    <w:rsid w:val="00F067C5"/>
    <w:rsid w:val="00F146F6"/>
    <w:rsid w:val="00F14F84"/>
    <w:rsid w:val="00F168D8"/>
    <w:rsid w:val="00F20854"/>
    <w:rsid w:val="00F20BAD"/>
    <w:rsid w:val="00F21006"/>
    <w:rsid w:val="00F22E73"/>
    <w:rsid w:val="00F266D5"/>
    <w:rsid w:val="00F267DB"/>
    <w:rsid w:val="00F314E4"/>
    <w:rsid w:val="00F326B5"/>
    <w:rsid w:val="00F32F09"/>
    <w:rsid w:val="00F34E4E"/>
    <w:rsid w:val="00F356EA"/>
    <w:rsid w:val="00F371DB"/>
    <w:rsid w:val="00F37B0C"/>
    <w:rsid w:val="00F43CB0"/>
    <w:rsid w:val="00F45418"/>
    <w:rsid w:val="00F45BA7"/>
    <w:rsid w:val="00F468ED"/>
    <w:rsid w:val="00F47618"/>
    <w:rsid w:val="00F47EDC"/>
    <w:rsid w:val="00F50628"/>
    <w:rsid w:val="00F50D6E"/>
    <w:rsid w:val="00F54777"/>
    <w:rsid w:val="00F54E0F"/>
    <w:rsid w:val="00F5614E"/>
    <w:rsid w:val="00F56F61"/>
    <w:rsid w:val="00F57C55"/>
    <w:rsid w:val="00F61C64"/>
    <w:rsid w:val="00F65C1E"/>
    <w:rsid w:val="00F6642F"/>
    <w:rsid w:val="00F6783F"/>
    <w:rsid w:val="00F7040B"/>
    <w:rsid w:val="00F70E22"/>
    <w:rsid w:val="00F72346"/>
    <w:rsid w:val="00F758B8"/>
    <w:rsid w:val="00F76910"/>
    <w:rsid w:val="00F76BF2"/>
    <w:rsid w:val="00F76F39"/>
    <w:rsid w:val="00F8044E"/>
    <w:rsid w:val="00F80B42"/>
    <w:rsid w:val="00F8107B"/>
    <w:rsid w:val="00F81B2B"/>
    <w:rsid w:val="00F81F7D"/>
    <w:rsid w:val="00F8318F"/>
    <w:rsid w:val="00F83532"/>
    <w:rsid w:val="00F838A6"/>
    <w:rsid w:val="00F85D25"/>
    <w:rsid w:val="00F86AD3"/>
    <w:rsid w:val="00F91B32"/>
    <w:rsid w:val="00F92DA9"/>
    <w:rsid w:val="00F935C1"/>
    <w:rsid w:val="00F938A5"/>
    <w:rsid w:val="00F944CB"/>
    <w:rsid w:val="00F9728B"/>
    <w:rsid w:val="00F9780D"/>
    <w:rsid w:val="00FA02D9"/>
    <w:rsid w:val="00FA2BC2"/>
    <w:rsid w:val="00FA3974"/>
    <w:rsid w:val="00FA4314"/>
    <w:rsid w:val="00FA4D35"/>
    <w:rsid w:val="00FA51E5"/>
    <w:rsid w:val="00FA6FE2"/>
    <w:rsid w:val="00FA703B"/>
    <w:rsid w:val="00FB1AC1"/>
    <w:rsid w:val="00FB5F5D"/>
    <w:rsid w:val="00FB63FA"/>
    <w:rsid w:val="00FB6FB0"/>
    <w:rsid w:val="00FB7A1E"/>
    <w:rsid w:val="00FC17BD"/>
    <w:rsid w:val="00FC1E7F"/>
    <w:rsid w:val="00FC225E"/>
    <w:rsid w:val="00FC2624"/>
    <w:rsid w:val="00FC27DC"/>
    <w:rsid w:val="00FC2FDB"/>
    <w:rsid w:val="00FC4A55"/>
    <w:rsid w:val="00FC69C8"/>
    <w:rsid w:val="00FC7274"/>
    <w:rsid w:val="00FD013A"/>
    <w:rsid w:val="00FD10AF"/>
    <w:rsid w:val="00FD227E"/>
    <w:rsid w:val="00FD2392"/>
    <w:rsid w:val="00FD2422"/>
    <w:rsid w:val="00FD5276"/>
    <w:rsid w:val="00FD6A49"/>
    <w:rsid w:val="00FE0769"/>
    <w:rsid w:val="00FE334C"/>
    <w:rsid w:val="00FE374D"/>
    <w:rsid w:val="00FE3914"/>
    <w:rsid w:val="00FE4644"/>
    <w:rsid w:val="00FE4B4C"/>
    <w:rsid w:val="00FF2D03"/>
    <w:rsid w:val="00FF32C9"/>
    <w:rsid w:val="00FF6180"/>
    <w:rsid w:val="00FF695F"/>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44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2" w:qFormat="1"/>
    <w:lsdException w:name="heading 3" w:uiPriority="3" w:qFormat="1"/>
    <w:lsdException w:name="heading 4" w:uiPriority="8"/>
    <w:lsdException w:name="heading 5" w:uiPriority="8"/>
    <w:lsdException w:name="heading 6" w:uiPriority="8"/>
    <w:lsdException w:name="heading 7" w:semiHidden="1" w:uiPriority="8" w:unhideWhenUsed="1"/>
    <w:lsdException w:name="heading 8" w:semiHidden="1" w:uiPriority="8" w:unhideWhenUsed="1"/>
    <w:lsdException w:name="heading 9" w:semiHidden="1" w:uiPriority="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22FC"/>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_UMAR"/>
    <w:next w:val="BesediloUMAR"/>
    <w:link w:val="Heading1Char"/>
    <w:uiPriority w:val="1"/>
    <w:qFormat/>
    <w:rsid w:val="005F163C"/>
    <w:pPr>
      <w:keepNext/>
      <w:keepLines/>
      <w:pageBreakBefore/>
      <w:numPr>
        <w:numId w:val="2"/>
      </w:numPr>
      <w:spacing w:before="200" w:after="100" w:line="288" w:lineRule="auto"/>
      <w:ind w:left="357" w:hanging="357"/>
      <w:outlineLvl w:val="0"/>
    </w:pPr>
    <w:rPr>
      <w:rFonts w:ascii="Myriad Pro" w:eastAsiaTheme="minorHAnsi" w:hAnsi="Myriad Pro" w:cs="Arial"/>
      <w:b/>
      <w:bCs/>
      <w:color w:val="9E001A" w:themeColor="accent1"/>
      <w:kern w:val="32"/>
      <w:sz w:val="28"/>
      <w:szCs w:val="22"/>
      <w:lang w:eastAsia="en-US"/>
    </w:rPr>
  </w:style>
  <w:style w:type="paragraph" w:styleId="Heading2">
    <w:name w:val="heading 2"/>
    <w:aliases w:val="Heading 2_UMAR"/>
    <w:next w:val="BesediloUMAR"/>
    <w:link w:val="Heading2Char"/>
    <w:uiPriority w:val="2"/>
    <w:qFormat/>
    <w:rsid w:val="005F163C"/>
    <w:pPr>
      <w:keepNext/>
      <w:keepLines/>
      <w:numPr>
        <w:ilvl w:val="1"/>
        <w:numId w:val="2"/>
      </w:numPr>
      <w:spacing w:before="200" w:after="100" w:line="288" w:lineRule="auto"/>
      <w:contextualSpacing/>
      <w:outlineLvl w:val="1"/>
    </w:pPr>
    <w:rPr>
      <w:rFonts w:ascii="Myriad Pro" w:eastAsiaTheme="minorHAnsi" w:hAnsi="Myriad Pro" w:cstheme="minorBidi"/>
      <w:b/>
      <w:color w:val="9E001A" w:themeColor="accent1"/>
      <w:sz w:val="24"/>
      <w:szCs w:val="22"/>
      <w:lang w:eastAsia="en-US"/>
    </w:rPr>
  </w:style>
  <w:style w:type="paragraph" w:styleId="Heading3">
    <w:name w:val="heading 3"/>
    <w:aliases w:val="Heading 3_UMAR"/>
    <w:next w:val="BesediloUMAR"/>
    <w:link w:val="Heading3Char"/>
    <w:uiPriority w:val="3"/>
    <w:qFormat/>
    <w:rsid w:val="005F163C"/>
    <w:pPr>
      <w:keepNext/>
      <w:keepLines/>
      <w:numPr>
        <w:ilvl w:val="2"/>
        <w:numId w:val="2"/>
      </w:numPr>
      <w:spacing w:before="200" w:after="100" w:line="288" w:lineRule="auto"/>
      <w:contextualSpacing/>
      <w:outlineLvl w:val="2"/>
    </w:pPr>
    <w:rPr>
      <w:rFonts w:ascii="Myriad Pro" w:eastAsiaTheme="minorHAnsi" w:hAnsi="Myriad Pro" w:cs="Arial"/>
      <w:b/>
      <w:bCs/>
      <w:color w:val="9E001A" w:themeColor="accent1"/>
      <w:sz w:val="24"/>
      <w:szCs w:val="26"/>
      <w:lang w:eastAsia="en-US"/>
    </w:rPr>
  </w:style>
  <w:style w:type="paragraph" w:styleId="Heading4">
    <w:name w:val="heading 4"/>
    <w:basedOn w:val="Normal"/>
    <w:next w:val="Normal"/>
    <w:uiPriority w:val="8"/>
    <w:unhideWhenUsed/>
    <w:rsid w:val="005F163C"/>
    <w:pPr>
      <w:keepNext/>
      <w:numPr>
        <w:ilvl w:val="3"/>
        <w:numId w:val="2"/>
      </w:numPr>
      <w:spacing w:before="360" w:after="240"/>
      <w:outlineLvl w:val="3"/>
    </w:pPr>
    <w:rPr>
      <w:rFonts w:ascii="Myriad Pro" w:hAnsi="Myriad Pro"/>
      <w:b/>
      <w:bCs/>
    </w:rPr>
  </w:style>
  <w:style w:type="paragraph" w:styleId="Heading5">
    <w:name w:val="heading 5"/>
    <w:basedOn w:val="Normal"/>
    <w:next w:val="Normal"/>
    <w:uiPriority w:val="8"/>
    <w:unhideWhenUsed/>
    <w:rsid w:val="005F163C"/>
    <w:pPr>
      <w:numPr>
        <w:ilvl w:val="4"/>
        <w:numId w:val="2"/>
      </w:numPr>
      <w:spacing w:before="240" w:after="60"/>
      <w:outlineLvl w:val="4"/>
    </w:pPr>
    <w:rPr>
      <w:rFonts w:ascii="Myriad Pro" w:hAnsi="Myriad Pro"/>
      <w:b/>
      <w:bCs/>
      <w:iCs/>
      <w:szCs w:val="26"/>
    </w:rPr>
  </w:style>
  <w:style w:type="paragraph" w:styleId="Heading6">
    <w:name w:val="heading 6"/>
    <w:basedOn w:val="Normal"/>
    <w:next w:val="Normal"/>
    <w:uiPriority w:val="8"/>
    <w:unhideWhenUsed/>
    <w:rsid w:val="005F163C"/>
    <w:pPr>
      <w:numPr>
        <w:ilvl w:val="5"/>
        <w:numId w:val="2"/>
      </w:numPr>
      <w:spacing w:before="240" w:after="60"/>
      <w:outlineLvl w:val="5"/>
    </w:pPr>
    <w:rPr>
      <w:rFonts w:ascii="Myriad Pro" w:hAnsi="Myriad Pro"/>
      <w:b/>
      <w:bCs/>
    </w:rPr>
  </w:style>
  <w:style w:type="paragraph" w:styleId="Heading7">
    <w:name w:val="heading 7"/>
    <w:basedOn w:val="Normal"/>
    <w:next w:val="Normal"/>
    <w:uiPriority w:val="8"/>
    <w:unhideWhenUsed/>
    <w:rsid w:val="005F163C"/>
    <w:pPr>
      <w:numPr>
        <w:ilvl w:val="6"/>
        <w:numId w:val="2"/>
      </w:numPr>
      <w:spacing w:before="240" w:after="60"/>
      <w:outlineLvl w:val="6"/>
    </w:pPr>
    <w:rPr>
      <w:rFonts w:ascii="Myriad Pro" w:hAnsi="Myriad Pro"/>
    </w:rPr>
  </w:style>
  <w:style w:type="paragraph" w:styleId="Heading8">
    <w:name w:val="heading 8"/>
    <w:basedOn w:val="Normal"/>
    <w:next w:val="Normal"/>
    <w:uiPriority w:val="8"/>
    <w:unhideWhenUsed/>
    <w:rsid w:val="005F163C"/>
    <w:pPr>
      <w:numPr>
        <w:ilvl w:val="7"/>
        <w:numId w:val="2"/>
      </w:numPr>
      <w:spacing w:before="240" w:after="60"/>
      <w:outlineLvl w:val="7"/>
    </w:pPr>
    <w:rPr>
      <w:rFonts w:ascii="Myriad Pro" w:hAnsi="Myriad Pro"/>
      <w:i/>
      <w:iCs/>
    </w:rPr>
  </w:style>
  <w:style w:type="paragraph" w:styleId="Heading9">
    <w:name w:val="heading 9"/>
    <w:basedOn w:val="Normal"/>
    <w:next w:val="Normal"/>
    <w:uiPriority w:val="8"/>
    <w:unhideWhenUsed/>
    <w:rsid w:val="005F163C"/>
    <w:pPr>
      <w:numPr>
        <w:ilvl w:val="8"/>
        <w:numId w:val="2"/>
      </w:numPr>
      <w:spacing w:before="240" w:after="60"/>
      <w:outlineLvl w:val="8"/>
    </w:pPr>
    <w:rPr>
      <w:rFonts w:ascii="Myriad Pro" w:hAnsi="Myriad Pro" w:cs="Arial"/>
    </w:rPr>
  </w:style>
  <w:style w:type="character" w:default="1" w:styleId="DefaultParagraphFont">
    <w:name w:val="Default Paragraph Font"/>
    <w:uiPriority w:val="1"/>
    <w:semiHidden/>
    <w:unhideWhenUsed/>
    <w:rsid w:val="006D22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22FC"/>
  </w:style>
  <w:style w:type="paragraph" w:styleId="FootnoteText">
    <w:name w:val="footnote text"/>
    <w:basedOn w:val="BesediloUMAR"/>
    <w:link w:val="FootnoteTextChar"/>
    <w:autoRedefine/>
    <w:uiPriority w:val="8"/>
    <w:qFormat/>
    <w:rsid w:val="005F163C"/>
    <w:rPr>
      <w:sz w:val="16"/>
      <w:szCs w:val="14"/>
    </w:rPr>
  </w:style>
  <w:style w:type="character" w:customStyle="1" w:styleId="FootnoteTextChar">
    <w:name w:val="Footnote Text Char"/>
    <w:basedOn w:val="DefaultParagraphFont"/>
    <w:link w:val="FootnoteText"/>
    <w:uiPriority w:val="8"/>
    <w:rsid w:val="005F163C"/>
    <w:rPr>
      <w:rFonts w:ascii="Myriad Pro" w:eastAsiaTheme="minorHAnsi" w:hAnsi="Myriad Pro" w:cstheme="minorBidi"/>
      <w:sz w:val="16"/>
      <w:szCs w:val="14"/>
      <w:lang w:eastAsia="en-US"/>
    </w:rPr>
  </w:style>
  <w:style w:type="character" w:styleId="FootnoteReference">
    <w:name w:val="footnote reference"/>
    <w:aliases w:val="Footnote symbol,Fussnota,Footnote,Footnote reference number,note TESI,SUPERS,EN Footnote Reference,-E Fußnotenzeichen,Times 10 Point,Exposant 3 Point,E...,nota de rodapé,Footnote Reference_LVL6,Footnote Reference_LVL61,Footnot"/>
    <w:basedOn w:val="DefaultParagraphFont"/>
    <w:uiPriority w:val="8"/>
    <w:rsid w:val="005F163C"/>
    <w:rPr>
      <w:rFonts w:ascii="Myriad Pro" w:hAnsi="Myriad Pro"/>
      <w:sz w:val="18"/>
      <w:vertAlign w:val="superscript"/>
    </w:rPr>
  </w:style>
  <w:style w:type="paragraph" w:styleId="Caption">
    <w:name w:val="caption"/>
    <w:aliases w:val="Okvir/Slika/Tabela_UMAR,DZ_Okvir_Slika_Tabela_Zemljevid"/>
    <w:basedOn w:val="TableofFigures"/>
    <w:next w:val="BesediloUMAR"/>
    <w:link w:val="CaptionChar"/>
    <w:uiPriority w:val="4"/>
    <w:qFormat/>
    <w:rsid w:val="005F163C"/>
    <w:pPr>
      <w:keepNext/>
      <w:keepLines/>
      <w:spacing w:before="240" w:after="60"/>
      <w:contextualSpacing/>
    </w:pPr>
    <w:rPr>
      <w:b/>
      <w:bCs/>
    </w:rPr>
  </w:style>
  <w:style w:type="paragraph" w:styleId="Footer">
    <w:name w:val="footer"/>
    <w:basedOn w:val="Normal"/>
    <w:next w:val="Normal"/>
    <w:link w:val="FooterChar"/>
    <w:autoRedefine/>
    <w:uiPriority w:val="99"/>
    <w:rsid w:val="005F163C"/>
    <w:pPr>
      <w:framePr w:wrap="around" w:vAnchor="text" w:hAnchor="margin" w:xAlign="center" w:y="1"/>
      <w:tabs>
        <w:tab w:val="center" w:pos="4536"/>
        <w:tab w:val="right" w:pos="9072"/>
      </w:tabs>
      <w:spacing w:after="0" w:line="288" w:lineRule="auto"/>
      <w:jc w:val="center"/>
    </w:pPr>
    <w:rPr>
      <w:rFonts w:ascii="Myriad Pro" w:hAnsi="Myriad Pro"/>
      <w:noProof/>
      <w:sz w:val="16"/>
      <w:szCs w:val="16"/>
    </w:rPr>
  </w:style>
  <w:style w:type="paragraph" w:styleId="TableofFigures">
    <w:name w:val="table of figures"/>
    <w:basedOn w:val="BesediloUMAR"/>
    <w:next w:val="BesediloUMAR"/>
    <w:autoRedefine/>
    <w:uiPriority w:val="99"/>
    <w:rsid w:val="005F163C"/>
    <w:pPr>
      <w:tabs>
        <w:tab w:val="right" w:leader="dot" w:pos="9070"/>
      </w:tabs>
    </w:pPr>
    <w:rPr>
      <w:noProof/>
      <w:szCs w:val="20"/>
    </w:rPr>
  </w:style>
  <w:style w:type="paragraph" w:styleId="TableofAuthorities">
    <w:name w:val="table of authorities"/>
    <w:basedOn w:val="Normal"/>
    <w:next w:val="Normal"/>
    <w:semiHidden/>
    <w:rsid w:val="005F163C"/>
    <w:pPr>
      <w:ind w:left="220" w:hanging="220"/>
    </w:pPr>
  </w:style>
  <w:style w:type="paragraph" w:styleId="TOAHeading">
    <w:name w:val="toa heading"/>
    <w:basedOn w:val="Normal"/>
    <w:next w:val="Normal"/>
    <w:semiHidden/>
    <w:rsid w:val="005F163C"/>
    <w:pPr>
      <w:spacing w:before="120"/>
    </w:pPr>
    <w:rPr>
      <w:rFonts w:cs="Arial"/>
      <w:b/>
      <w:bCs/>
    </w:rPr>
  </w:style>
  <w:style w:type="paragraph" w:styleId="TOC1">
    <w:name w:val="toc 1"/>
    <w:basedOn w:val="BesediloUMAR"/>
    <w:next w:val="BesediloUMAR"/>
    <w:autoRedefine/>
    <w:uiPriority w:val="39"/>
    <w:rsid w:val="005F163C"/>
    <w:pPr>
      <w:tabs>
        <w:tab w:val="left" w:pos="340"/>
        <w:tab w:val="right" w:leader="dot" w:pos="9070"/>
      </w:tabs>
      <w:spacing w:before="100" w:after="100"/>
    </w:pPr>
    <w:rPr>
      <w:rFonts w:cs="Arial"/>
      <w:noProof/>
      <w:szCs w:val="20"/>
    </w:rPr>
  </w:style>
  <w:style w:type="paragraph" w:styleId="TOC2">
    <w:name w:val="toc 2"/>
    <w:basedOn w:val="BesediloUMAR"/>
    <w:next w:val="BesediloUMAR"/>
    <w:autoRedefine/>
    <w:uiPriority w:val="39"/>
    <w:rsid w:val="005F163C"/>
    <w:pPr>
      <w:tabs>
        <w:tab w:val="right" w:leader="dot" w:pos="9070"/>
      </w:tabs>
      <w:spacing w:before="100" w:after="100"/>
      <w:ind w:left="340"/>
    </w:pPr>
    <w:rPr>
      <w:noProof/>
    </w:rPr>
  </w:style>
  <w:style w:type="paragraph" w:styleId="TOC3">
    <w:name w:val="toc 3"/>
    <w:next w:val="BesediloUMAR"/>
    <w:autoRedefine/>
    <w:uiPriority w:val="39"/>
    <w:rsid w:val="005F163C"/>
    <w:pPr>
      <w:tabs>
        <w:tab w:val="right" w:leader="dot" w:pos="9070"/>
      </w:tabs>
      <w:spacing w:after="100" w:line="288" w:lineRule="auto"/>
      <w:ind w:left="680"/>
      <w:jc w:val="both"/>
    </w:pPr>
    <w:rPr>
      <w:rFonts w:ascii="Myriad Pro" w:eastAsiaTheme="minorHAnsi" w:hAnsi="Myriad Pro" w:cstheme="minorBidi"/>
      <w:szCs w:val="22"/>
      <w:lang w:eastAsia="en-US"/>
    </w:rPr>
  </w:style>
  <w:style w:type="paragraph" w:styleId="TOC4">
    <w:name w:val="toc 4"/>
    <w:basedOn w:val="Normal"/>
    <w:autoRedefine/>
    <w:semiHidden/>
    <w:rsid w:val="005F163C"/>
    <w:pPr>
      <w:spacing w:after="20"/>
      <w:ind w:left="340"/>
      <w:contextualSpacing/>
    </w:pPr>
  </w:style>
  <w:style w:type="paragraph" w:styleId="TOC5">
    <w:name w:val="toc 5"/>
    <w:basedOn w:val="Normal"/>
    <w:autoRedefine/>
    <w:semiHidden/>
    <w:rsid w:val="005F163C"/>
    <w:pPr>
      <w:spacing w:after="20"/>
      <w:contextualSpacing/>
    </w:pPr>
  </w:style>
  <w:style w:type="paragraph" w:styleId="TOC6">
    <w:name w:val="toc 6"/>
    <w:basedOn w:val="Normal"/>
    <w:next w:val="Normal"/>
    <w:autoRedefine/>
    <w:semiHidden/>
    <w:rsid w:val="005F163C"/>
    <w:pPr>
      <w:ind w:left="1100"/>
    </w:pPr>
  </w:style>
  <w:style w:type="paragraph" w:styleId="TOC7">
    <w:name w:val="toc 7"/>
    <w:basedOn w:val="Normal"/>
    <w:next w:val="Normal"/>
    <w:autoRedefine/>
    <w:semiHidden/>
    <w:rsid w:val="005F163C"/>
    <w:pPr>
      <w:ind w:left="1320"/>
    </w:pPr>
  </w:style>
  <w:style w:type="paragraph" w:styleId="TOC8">
    <w:name w:val="toc 8"/>
    <w:basedOn w:val="Normal"/>
    <w:next w:val="Normal"/>
    <w:autoRedefine/>
    <w:semiHidden/>
    <w:rsid w:val="005F163C"/>
    <w:pPr>
      <w:ind w:left="1540"/>
    </w:pPr>
  </w:style>
  <w:style w:type="paragraph" w:styleId="TOC9">
    <w:name w:val="toc 9"/>
    <w:basedOn w:val="Normal"/>
    <w:next w:val="Normal"/>
    <w:autoRedefine/>
    <w:semiHidden/>
    <w:rsid w:val="005F163C"/>
    <w:pPr>
      <w:ind w:left="1760"/>
    </w:pPr>
  </w:style>
  <w:style w:type="paragraph" w:styleId="CommentText">
    <w:name w:val="annotation text"/>
    <w:basedOn w:val="Normal"/>
    <w:link w:val="CommentTextChar"/>
    <w:semiHidden/>
    <w:rsid w:val="005F163C"/>
    <w:rPr>
      <w:szCs w:val="20"/>
    </w:rPr>
  </w:style>
  <w:style w:type="character" w:styleId="CommentReference">
    <w:name w:val="annotation reference"/>
    <w:basedOn w:val="DefaultParagraphFont"/>
    <w:semiHidden/>
    <w:rsid w:val="005F163C"/>
    <w:rPr>
      <w:sz w:val="16"/>
      <w:szCs w:val="16"/>
    </w:rPr>
  </w:style>
  <w:style w:type="paragraph" w:styleId="EndnoteText">
    <w:name w:val="endnote text"/>
    <w:basedOn w:val="Normal"/>
    <w:autoRedefine/>
    <w:semiHidden/>
    <w:rsid w:val="005F163C"/>
    <w:rPr>
      <w:szCs w:val="20"/>
    </w:rPr>
  </w:style>
  <w:style w:type="character" w:styleId="EndnoteReference">
    <w:name w:val="endnote reference"/>
    <w:basedOn w:val="DefaultParagraphFont"/>
    <w:semiHidden/>
    <w:rsid w:val="005F163C"/>
    <w:rPr>
      <w:vertAlign w:val="superscript"/>
    </w:rPr>
  </w:style>
  <w:style w:type="paragraph" w:styleId="MacroText">
    <w:name w:val="macro"/>
    <w:semiHidden/>
    <w:rsid w:val="005F163C"/>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Index1">
    <w:name w:val="index 1"/>
    <w:basedOn w:val="Normal"/>
    <w:next w:val="Normal"/>
    <w:autoRedefine/>
    <w:semiHidden/>
    <w:rsid w:val="005F163C"/>
    <w:pPr>
      <w:ind w:left="220" w:hanging="220"/>
    </w:pPr>
  </w:style>
  <w:style w:type="paragraph" w:styleId="IndexHeading">
    <w:name w:val="index heading"/>
    <w:basedOn w:val="Normal"/>
    <w:next w:val="Index1"/>
    <w:semiHidden/>
    <w:rsid w:val="005F163C"/>
    <w:rPr>
      <w:rFonts w:cs="Arial"/>
      <w:b/>
      <w:bCs/>
    </w:rPr>
  </w:style>
  <w:style w:type="paragraph" w:styleId="Index2">
    <w:name w:val="index 2"/>
    <w:basedOn w:val="Normal"/>
    <w:next w:val="Normal"/>
    <w:autoRedefine/>
    <w:semiHidden/>
    <w:rsid w:val="005F163C"/>
    <w:pPr>
      <w:ind w:left="440" w:hanging="220"/>
    </w:pPr>
  </w:style>
  <w:style w:type="paragraph" w:styleId="Index3">
    <w:name w:val="index 3"/>
    <w:basedOn w:val="Normal"/>
    <w:next w:val="Normal"/>
    <w:autoRedefine/>
    <w:semiHidden/>
    <w:rsid w:val="005F163C"/>
    <w:pPr>
      <w:ind w:left="660" w:hanging="220"/>
    </w:pPr>
  </w:style>
  <w:style w:type="paragraph" w:styleId="Index4">
    <w:name w:val="index 4"/>
    <w:basedOn w:val="Normal"/>
    <w:next w:val="Normal"/>
    <w:autoRedefine/>
    <w:semiHidden/>
    <w:rsid w:val="005F163C"/>
    <w:pPr>
      <w:ind w:left="880" w:hanging="220"/>
    </w:pPr>
  </w:style>
  <w:style w:type="paragraph" w:styleId="Index5">
    <w:name w:val="index 5"/>
    <w:basedOn w:val="Normal"/>
    <w:next w:val="Normal"/>
    <w:autoRedefine/>
    <w:semiHidden/>
    <w:rsid w:val="005F163C"/>
    <w:pPr>
      <w:ind w:left="1100" w:hanging="220"/>
    </w:pPr>
  </w:style>
  <w:style w:type="paragraph" w:styleId="Index6">
    <w:name w:val="index 6"/>
    <w:basedOn w:val="Normal"/>
    <w:next w:val="Normal"/>
    <w:autoRedefine/>
    <w:semiHidden/>
    <w:rsid w:val="005F163C"/>
    <w:pPr>
      <w:ind w:left="1320" w:hanging="220"/>
    </w:pPr>
  </w:style>
  <w:style w:type="paragraph" w:styleId="Index7">
    <w:name w:val="index 7"/>
    <w:basedOn w:val="Normal"/>
    <w:next w:val="Normal"/>
    <w:autoRedefine/>
    <w:semiHidden/>
    <w:rsid w:val="005F163C"/>
    <w:pPr>
      <w:ind w:left="1540" w:hanging="220"/>
    </w:pPr>
  </w:style>
  <w:style w:type="paragraph" w:styleId="Index8">
    <w:name w:val="index 8"/>
    <w:basedOn w:val="Normal"/>
    <w:next w:val="Normal"/>
    <w:autoRedefine/>
    <w:semiHidden/>
    <w:rsid w:val="005F163C"/>
    <w:pPr>
      <w:ind w:left="1760" w:hanging="220"/>
    </w:pPr>
  </w:style>
  <w:style w:type="paragraph" w:styleId="Index9">
    <w:name w:val="index 9"/>
    <w:basedOn w:val="Normal"/>
    <w:next w:val="Normal"/>
    <w:autoRedefine/>
    <w:semiHidden/>
    <w:rsid w:val="005F163C"/>
    <w:pPr>
      <w:ind w:left="1980" w:hanging="220"/>
    </w:pPr>
  </w:style>
  <w:style w:type="paragraph" w:styleId="DocumentMap">
    <w:name w:val="Document Map"/>
    <w:basedOn w:val="Normal"/>
    <w:semiHidden/>
    <w:rsid w:val="005F163C"/>
    <w:pPr>
      <w:shd w:val="clear" w:color="auto" w:fill="000080"/>
    </w:pPr>
    <w:rPr>
      <w:rFonts w:ascii="Tahoma" w:hAnsi="Tahoma" w:cs="Tahoma"/>
      <w:szCs w:val="20"/>
    </w:rPr>
  </w:style>
  <w:style w:type="character" w:customStyle="1" w:styleId="VodilnistavekUMAR">
    <w:name w:val="Vodilni stavek_UMAR"/>
    <w:basedOn w:val="DefaultParagraphFont"/>
    <w:qFormat/>
    <w:rsid w:val="005F163C"/>
    <w:rPr>
      <w:b/>
    </w:rPr>
  </w:style>
  <w:style w:type="paragraph" w:styleId="BalloonText">
    <w:name w:val="Balloon Text"/>
    <w:basedOn w:val="Normal"/>
    <w:semiHidden/>
    <w:rsid w:val="005F163C"/>
    <w:rPr>
      <w:rFonts w:ascii="Tahoma" w:hAnsi="Tahoma" w:cs="Tahoma"/>
      <w:sz w:val="16"/>
      <w:szCs w:val="16"/>
    </w:rPr>
  </w:style>
  <w:style w:type="character" w:customStyle="1" w:styleId="HeaderChar">
    <w:name w:val="Header Char"/>
    <w:basedOn w:val="DefaultParagraphFont"/>
    <w:link w:val="Header"/>
    <w:uiPriority w:val="99"/>
    <w:rsid w:val="005F163C"/>
    <w:rPr>
      <w:rFonts w:ascii="Myriad Pro" w:eastAsiaTheme="minorHAnsi" w:hAnsi="Myriad Pro" w:cstheme="minorBidi"/>
      <w:sz w:val="22"/>
      <w:szCs w:val="22"/>
      <w:lang w:eastAsia="en-US"/>
    </w:rPr>
  </w:style>
  <w:style w:type="table" w:styleId="TableGrid">
    <w:name w:val="Table Grid"/>
    <w:basedOn w:val="TableNormal"/>
    <w:uiPriority w:val="59"/>
    <w:rsid w:val="005F163C"/>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F163C"/>
    <w:pPr>
      <w:tabs>
        <w:tab w:val="center" w:pos="4536"/>
        <w:tab w:val="right" w:pos="9072"/>
      </w:tabs>
    </w:pPr>
    <w:rPr>
      <w:rFonts w:ascii="Myriad Pro" w:hAnsi="Myriad Pro"/>
    </w:rPr>
  </w:style>
  <w:style w:type="character" w:styleId="Hyperlink">
    <w:name w:val="Hyperlink"/>
    <w:basedOn w:val="BesediloUMARChar"/>
    <w:uiPriority w:val="99"/>
    <w:rsid w:val="005F163C"/>
    <w:rPr>
      <w:rFonts w:ascii="Myriad Pro" w:eastAsiaTheme="minorHAnsi" w:hAnsi="Myriad Pro" w:cstheme="minorBidi"/>
      <w:color w:val="0000FF"/>
      <w:szCs w:val="22"/>
      <w:u w:val="single"/>
      <w:lang w:eastAsia="en-US"/>
    </w:rPr>
  </w:style>
  <w:style w:type="character" w:styleId="Emphasis">
    <w:name w:val="Emphasis"/>
    <w:aliases w:val="Italic poudarek_UMAR"/>
    <w:basedOn w:val="BesediloUMARChar"/>
    <w:qFormat/>
    <w:rsid w:val="005F163C"/>
    <w:rPr>
      <w:rFonts w:ascii="Myriad Pro" w:eastAsiaTheme="minorHAnsi" w:hAnsi="Myriad Pro" w:cstheme="minorBidi"/>
      <w:i/>
      <w:iCs/>
      <w:szCs w:val="22"/>
      <w:lang w:eastAsia="en-US"/>
    </w:rPr>
  </w:style>
  <w:style w:type="character" w:customStyle="1" w:styleId="Heading3Char">
    <w:name w:val="Heading 3 Char"/>
    <w:aliases w:val="Heading 3_UMAR Char"/>
    <w:basedOn w:val="DefaultParagraphFont"/>
    <w:link w:val="Heading3"/>
    <w:uiPriority w:val="3"/>
    <w:rsid w:val="005F163C"/>
    <w:rPr>
      <w:rFonts w:ascii="Myriad Pro" w:eastAsiaTheme="minorHAnsi" w:hAnsi="Myriad Pro" w:cs="Arial"/>
      <w:b/>
      <w:bCs/>
      <w:color w:val="9E001A" w:themeColor="accent1"/>
      <w:sz w:val="24"/>
      <w:szCs w:val="26"/>
      <w:lang w:eastAsia="en-US"/>
    </w:rPr>
  </w:style>
  <w:style w:type="character" w:customStyle="1" w:styleId="Heading2Char">
    <w:name w:val="Heading 2 Char"/>
    <w:aliases w:val="Heading 2_UMAR Char"/>
    <w:basedOn w:val="DefaultParagraphFont"/>
    <w:link w:val="Heading2"/>
    <w:uiPriority w:val="2"/>
    <w:rsid w:val="005F163C"/>
    <w:rPr>
      <w:rFonts w:ascii="Myriad Pro" w:eastAsiaTheme="minorHAnsi" w:hAnsi="Myriad Pro" w:cstheme="minorBidi"/>
      <w:b/>
      <w:color w:val="9E001A" w:themeColor="accent1"/>
      <w:sz w:val="24"/>
      <w:szCs w:val="22"/>
      <w:lang w:eastAsia="en-US"/>
    </w:rPr>
  </w:style>
  <w:style w:type="character" w:customStyle="1" w:styleId="Heading1Char">
    <w:name w:val="Heading 1 Char"/>
    <w:aliases w:val="Heading 1_UMAR Char"/>
    <w:basedOn w:val="DefaultParagraphFont"/>
    <w:link w:val="Heading1"/>
    <w:uiPriority w:val="1"/>
    <w:rsid w:val="005F163C"/>
    <w:rPr>
      <w:rFonts w:ascii="Myriad Pro" w:eastAsiaTheme="minorHAnsi" w:hAnsi="Myriad Pro" w:cs="Arial"/>
      <w:b/>
      <w:bCs/>
      <w:color w:val="9E001A" w:themeColor="accent1"/>
      <w:kern w:val="32"/>
      <w:sz w:val="28"/>
      <w:szCs w:val="22"/>
      <w:lang w:eastAsia="en-US"/>
    </w:rPr>
  </w:style>
  <w:style w:type="character" w:styleId="PlaceholderText">
    <w:name w:val="Placeholder Text"/>
    <w:basedOn w:val="DefaultParagraphFont"/>
    <w:uiPriority w:val="99"/>
    <w:semiHidden/>
    <w:rsid w:val="005F163C"/>
    <w:rPr>
      <w:color w:val="808080"/>
    </w:rPr>
  </w:style>
  <w:style w:type="character" w:customStyle="1" w:styleId="FooterChar">
    <w:name w:val="Footer Char"/>
    <w:basedOn w:val="DefaultParagraphFont"/>
    <w:link w:val="Footer"/>
    <w:uiPriority w:val="99"/>
    <w:rsid w:val="005F163C"/>
    <w:rPr>
      <w:rFonts w:ascii="Myriad Pro" w:eastAsiaTheme="minorHAnsi" w:hAnsi="Myriad Pro" w:cstheme="minorBidi"/>
      <w:noProof/>
      <w:sz w:val="16"/>
      <w:szCs w:val="16"/>
      <w:lang w:eastAsia="en-US"/>
    </w:rPr>
  </w:style>
  <w:style w:type="paragraph" w:customStyle="1" w:styleId="BesediloUMAR">
    <w:name w:val="Besedilo_UMAR"/>
    <w:link w:val="BesediloUMARChar"/>
    <w:qFormat/>
    <w:rsid w:val="005F163C"/>
    <w:pPr>
      <w:spacing w:line="288" w:lineRule="auto"/>
      <w:jc w:val="both"/>
    </w:pPr>
    <w:rPr>
      <w:rFonts w:ascii="Myriad Pro" w:eastAsiaTheme="minorHAnsi" w:hAnsi="Myriad Pro" w:cstheme="minorBidi"/>
      <w:szCs w:val="22"/>
      <w:lang w:eastAsia="en-US"/>
    </w:rPr>
  </w:style>
  <w:style w:type="character" w:customStyle="1" w:styleId="BesediloUMARChar">
    <w:name w:val="Besedilo_UMAR Char"/>
    <w:basedOn w:val="DefaultParagraphFont"/>
    <w:link w:val="BesediloUMAR"/>
    <w:rsid w:val="005F163C"/>
    <w:rPr>
      <w:rFonts w:ascii="Myriad Pro" w:eastAsiaTheme="minorHAnsi" w:hAnsi="Myriad Pro" w:cstheme="minorBidi"/>
      <w:szCs w:val="22"/>
      <w:lang w:eastAsia="en-US"/>
    </w:rPr>
  </w:style>
  <w:style w:type="paragraph" w:customStyle="1" w:styleId="VirUMAR">
    <w:name w:val="Vir_UMAR"/>
    <w:basedOn w:val="BesediloUMAR"/>
    <w:link w:val="VirUMARChar"/>
    <w:uiPriority w:val="6"/>
    <w:qFormat/>
    <w:rsid w:val="005F163C"/>
    <w:pPr>
      <w:spacing w:before="40" w:line="240" w:lineRule="auto"/>
    </w:pPr>
    <w:rPr>
      <w:sz w:val="16"/>
    </w:rPr>
  </w:style>
  <w:style w:type="character" w:customStyle="1" w:styleId="VirUMARChar">
    <w:name w:val="Vir_UMAR Char"/>
    <w:basedOn w:val="DefaultParagraphFont"/>
    <w:link w:val="VirUMAR"/>
    <w:uiPriority w:val="6"/>
    <w:rsid w:val="005F163C"/>
    <w:rPr>
      <w:rFonts w:ascii="Myriad Pro" w:eastAsiaTheme="minorHAnsi" w:hAnsi="Myriad Pro" w:cstheme="minorBidi"/>
      <w:sz w:val="16"/>
      <w:szCs w:val="22"/>
      <w:lang w:eastAsia="en-US"/>
    </w:rPr>
  </w:style>
  <w:style w:type="character" w:customStyle="1" w:styleId="CaptionChar">
    <w:name w:val="Caption Char"/>
    <w:aliases w:val="Okvir/Slika/Tabela_UMAR Char,DZ_Okvir_Slika_Tabela_Zemljevid Char"/>
    <w:basedOn w:val="DefaultParagraphFont"/>
    <w:link w:val="Caption"/>
    <w:uiPriority w:val="4"/>
    <w:rsid w:val="005F163C"/>
    <w:rPr>
      <w:rFonts w:ascii="Myriad Pro" w:eastAsiaTheme="minorHAnsi" w:hAnsi="Myriad Pro" w:cstheme="minorBidi"/>
      <w:b/>
      <w:bCs/>
      <w:noProof/>
      <w:lang w:eastAsia="en-US"/>
    </w:rPr>
  </w:style>
  <w:style w:type="paragraph" w:customStyle="1" w:styleId="TabelaglavadesnoUMAR">
    <w:name w:val="Tabela glava desno_UMAR"/>
    <w:link w:val="TabelaglavadesnoUMARChar"/>
    <w:uiPriority w:val="5"/>
    <w:qFormat/>
    <w:rsid w:val="005F163C"/>
    <w:pPr>
      <w:spacing w:before="10" w:after="10" w:line="220" w:lineRule="atLeast"/>
      <w:jc w:val="right"/>
    </w:pPr>
    <w:rPr>
      <w:rFonts w:ascii="Myriad Pro" w:eastAsiaTheme="minorHAnsi" w:hAnsi="Myriad Pro" w:cs="Calibri"/>
      <w:b/>
      <w:bCs/>
      <w:sz w:val="18"/>
      <w:szCs w:val="18"/>
      <w:lang w:eastAsia="en-US"/>
    </w:rPr>
  </w:style>
  <w:style w:type="character" w:customStyle="1" w:styleId="TabelaglavadesnoUMARChar">
    <w:name w:val="Tabela glava desno_UMAR Char"/>
    <w:basedOn w:val="DefaultParagraphFont"/>
    <w:link w:val="TabelaglavadesnoUMAR"/>
    <w:uiPriority w:val="5"/>
    <w:rsid w:val="005F163C"/>
    <w:rPr>
      <w:rFonts w:ascii="Myriad Pro" w:eastAsiaTheme="minorHAnsi" w:hAnsi="Myriad Pro" w:cs="Calibri"/>
      <w:b/>
      <w:bCs/>
      <w:sz w:val="18"/>
      <w:szCs w:val="18"/>
      <w:lang w:eastAsia="en-US"/>
    </w:rPr>
  </w:style>
  <w:style w:type="paragraph" w:customStyle="1" w:styleId="TabelaglavalevoUMAR">
    <w:name w:val="Tabela glava levo_UMAR"/>
    <w:basedOn w:val="TabelaglavadesnoUMAR"/>
    <w:link w:val="TabelaglavalevoUMARChar"/>
    <w:uiPriority w:val="5"/>
    <w:qFormat/>
    <w:rsid w:val="005F163C"/>
    <w:pPr>
      <w:jc w:val="left"/>
    </w:pPr>
  </w:style>
  <w:style w:type="paragraph" w:customStyle="1" w:styleId="TabelalevoUMAR">
    <w:name w:val="Tabela levo_UMAR"/>
    <w:basedOn w:val="TabelaglavalevoUMAR"/>
    <w:link w:val="TabelalevoUMARChar"/>
    <w:uiPriority w:val="5"/>
    <w:qFormat/>
    <w:rsid w:val="005F163C"/>
    <w:rPr>
      <w:b w:val="0"/>
    </w:rPr>
  </w:style>
  <w:style w:type="character" w:customStyle="1" w:styleId="TabelaglavalevoUMARChar">
    <w:name w:val="Tabela glava levo_UMAR Char"/>
    <w:basedOn w:val="TabelaglavadesnoUMARChar"/>
    <w:link w:val="TabelaglavalevoUMAR"/>
    <w:uiPriority w:val="5"/>
    <w:rsid w:val="005F163C"/>
    <w:rPr>
      <w:rFonts w:ascii="Myriad Pro" w:eastAsiaTheme="minorHAnsi" w:hAnsi="Myriad Pro" w:cs="Calibri"/>
      <w:b/>
      <w:bCs/>
      <w:sz w:val="18"/>
      <w:szCs w:val="18"/>
      <w:lang w:eastAsia="en-US"/>
    </w:rPr>
  </w:style>
  <w:style w:type="paragraph" w:customStyle="1" w:styleId="TabeladesnoUMAR">
    <w:name w:val="Tabela desno_UMAR"/>
    <w:basedOn w:val="TabelaglavadesnoUMAR"/>
    <w:link w:val="TabeladesnoUMARChar"/>
    <w:uiPriority w:val="5"/>
    <w:qFormat/>
    <w:rsid w:val="005F163C"/>
    <w:rPr>
      <w:b w:val="0"/>
    </w:rPr>
  </w:style>
  <w:style w:type="character" w:customStyle="1" w:styleId="TabelalevoUMARChar">
    <w:name w:val="Tabela levo_UMAR Char"/>
    <w:basedOn w:val="TabelaglavalevoUMARChar"/>
    <w:link w:val="TabelalevoUMAR"/>
    <w:uiPriority w:val="5"/>
    <w:rsid w:val="005F163C"/>
    <w:rPr>
      <w:rFonts w:ascii="Myriad Pro" w:eastAsiaTheme="minorHAnsi" w:hAnsi="Myriad Pro" w:cs="Calibri"/>
      <w:b w:val="0"/>
      <w:bCs/>
      <w:sz w:val="18"/>
      <w:szCs w:val="18"/>
      <w:lang w:eastAsia="en-US"/>
    </w:rPr>
  </w:style>
  <w:style w:type="character" w:customStyle="1" w:styleId="TabeladesnoUMARChar">
    <w:name w:val="Tabela desno_UMAR Char"/>
    <w:basedOn w:val="TabelaglavadesnoUMARChar"/>
    <w:link w:val="TabeladesnoUMAR"/>
    <w:uiPriority w:val="5"/>
    <w:rsid w:val="005F163C"/>
    <w:rPr>
      <w:rFonts w:ascii="Myriad Pro" w:eastAsiaTheme="minorHAnsi" w:hAnsi="Myriad Pro" w:cs="Calibri"/>
      <w:b w:val="0"/>
      <w:bCs/>
      <w:sz w:val="18"/>
      <w:szCs w:val="18"/>
      <w:lang w:eastAsia="en-US"/>
    </w:rPr>
  </w:style>
  <w:style w:type="character" w:customStyle="1" w:styleId="BoldpoudarekUMAR">
    <w:name w:val="Bold poudarek_UMAR"/>
    <w:basedOn w:val="BesediloUMARChar"/>
    <w:qFormat/>
    <w:rsid w:val="005F163C"/>
    <w:rPr>
      <w:rFonts w:ascii="Myriad Pro" w:eastAsiaTheme="minorHAnsi" w:hAnsi="Myriad Pro" w:cstheme="minorBidi"/>
      <w:b/>
      <w:szCs w:val="22"/>
      <w:lang w:eastAsia="en-US"/>
    </w:rPr>
  </w:style>
  <w:style w:type="paragraph" w:customStyle="1" w:styleId="NaslovnicanaslovUMAR">
    <w:name w:val="Naslovnica_naslov_UMAR"/>
    <w:basedOn w:val="Heading2"/>
    <w:link w:val="NaslovnicanaslovUMARChar"/>
    <w:uiPriority w:val="99"/>
    <w:qFormat/>
    <w:rsid w:val="005F163C"/>
  </w:style>
  <w:style w:type="character" w:customStyle="1" w:styleId="NaslovnicanaslovUMARChar">
    <w:name w:val="Naslovnica_naslov_UMAR Char"/>
    <w:basedOn w:val="DefaultParagraphFont"/>
    <w:link w:val="NaslovnicanaslovUMAR"/>
    <w:uiPriority w:val="99"/>
    <w:rsid w:val="005F163C"/>
    <w:rPr>
      <w:rFonts w:ascii="Myriad Pro" w:eastAsiaTheme="minorHAnsi" w:hAnsi="Myriad Pro" w:cstheme="minorBidi"/>
      <w:b/>
      <w:color w:val="9E001A" w:themeColor="accent1"/>
      <w:sz w:val="24"/>
      <w:szCs w:val="22"/>
      <w:lang w:eastAsia="en-US"/>
    </w:rPr>
  </w:style>
  <w:style w:type="table" w:styleId="TableGridLight">
    <w:name w:val="Grid Table Light"/>
    <w:aliases w:val="UMAR tabela"/>
    <w:basedOn w:val="TableNormal"/>
    <w:uiPriority w:val="40"/>
    <w:rsid w:val="005F163C"/>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PlainTable1">
    <w:name w:val="Plain Table 1"/>
    <w:basedOn w:val="TableNormal"/>
    <w:uiPriority w:val="41"/>
    <w:rsid w:val="005F163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F163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163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16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16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F16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5F163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5F163C"/>
    <w:pPr>
      <w:spacing w:line="240" w:lineRule="auto"/>
    </w:pPr>
    <w:rPr>
      <w:b/>
      <w:bCs/>
    </w:rPr>
  </w:style>
  <w:style w:type="character" w:customStyle="1" w:styleId="CommentTextChar">
    <w:name w:val="Comment Text Char"/>
    <w:basedOn w:val="DefaultParagraphFont"/>
    <w:link w:val="CommentText"/>
    <w:semiHidden/>
    <w:rsid w:val="005F163C"/>
    <w:rPr>
      <w:rFonts w:asciiTheme="minorHAnsi" w:eastAsiaTheme="minorHAnsi" w:hAnsiTheme="minorHAnsi" w:cstheme="minorBidi"/>
      <w:sz w:val="22"/>
      <w:lang w:eastAsia="en-US"/>
    </w:rPr>
  </w:style>
  <w:style w:type="character" w:customStyle="1" w:styleId="CommentSubjectChar">
    <w:name w:val="Comment Subject Char"/>
    <w:basedOn w:val="CommentTextChar"/>
    <w:link w:val="CommentSubject"/>
    <w:semiHidden/>
    <w:rsid w:val="005F163C"/>
    <w:rPr>
      <w:rFonts w:asciiTheme="minorHAnsi" w:eastAsiaTheme="minorHAnsi" w:hAnsiTheme="minorHAnsi" w:cstheme="minorBidi"/>
      <w:b/>
      <w:bCs/>
      <w:sz w:val="22"/>
      <w:lang w:eastAsia="en-US"/>
    </w:rPr>
  </w:style>
  <w:style w:type="table" w:customStyle="1" w:styleId="UMARokvir">
    <w:name w:val="UMAR okvir"/>
    <w:basedOn w:val="TableNormal"/>
    <w:uiPriority w:val="99"/>
    <w:rsid w:val="005F163C"/>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TableNormal"/>
    <w:uiPriority w:val="99"/>
    <w:rsid w:val="005F163C"/>
    <w:pPr>
      <w:jc w:val="center"/>
    </w:pPr>
    <w:rPr>
      <w:rFonts w:ascii="Myriad Pro" w:hAnsi="Myriad Pro"/>
    </w:rPr>
    <w:tblPr/>
    <w:tcPr>
      <w:vAlign w:val="center"/>
    </w:tcPr>
    <w:tblStylePr w:type="lastCol">
      <w:pPr>
        <w:jc w:val="right"/>
      </w:pPr>
    </w:tblStylePr>
  </w:style>
  <w:style w:type="paragraph" w:styleId="TOCHeading">
    <w:name w:val="TOC Heading"/>
    <w:basedOn w:val="Heading1"/>
    <w:next w:val="Normal"/>
    <w:uiPriority w:val="39"/>
    <w:unhideWhenUsed/>
    <w:rsid w:val="005F163C"/>
    <w:pPr>
      <w:numPr>
        <w:numId w:val="0"/>
      </w:numPr>
      <w:spacing w:before="240" w:after="0" w:line="259" w:lineRule="auto"/>
      <w:outlineLvl w:val="9"/>
    </w:pPr>
    <w:rPr>
      <w:rFonts w:eastAsiaTheme="majorEastAsia" w:cstheme="majorBidi"/>
      <w:b w:val="0"/>
      <w:bCs w:val="0"/>
      <w:color w:val="760013" w:themeColor="accent1" w:themeShade="BF"/>
      <w:kern w:val="0"/>
      <w:sz w:val="32"/>
      <w:szCs w:val="32"/>
      <w:lang w:val="en-US"/>
    </w:rPr>
  </w:style>
  <w:style w:type="paragraph" w:styleId="ListParagraph">
    <w:name w:val="List Paragraph"/>
    <w:basedOn w:val="Normal"/>
    <w:uiPriority w:val="34"/>
    <w:rsid w:val="005F163C"/>
    <w:pPr>
      <w:ind w:left="720"/>
      <w:contextualSpacing/>
    </w:pPr>
    <w:rPr>
      <w:rFonts w:ascii="Myriad Pro" w:hAnsi="Myriad Pro"/>
    </w:rPr>
  </w:style>
  <w:style w:type="paragraph" w:customStyle="1" w:styleId="LiteraturaUMAR">
    <w:name w:val="Literatura_UMAR"/>
    <w:basedOn w:val="BesediloUMAR"/>
    <w:link w:val="LiteraturaUMARChar"/>
    <w:uiPriority w:val="7"/>
    <w:qFormat/>
    <w:rsid w:val="005F163C"/>
    <w:pPr>
      <w:spacing w:before="80"/>
      <w:ind w:left="340" w:hanging="340"/>
      <w:jc w:val="left"/>
    </w:pPr>
  </w:style>
  <w:style w:type="character" w:customStyle="1" w:styleId="LiteraturaUMARChar">
    <w:name w:val="Literatura_UMAR Char"/>
    <w:basedOn w:val="BesediloUMARChar"/>
    <w:link w:val="LiteraturaUMAR"/>
    <w:uiPriority w:val="7"/>
    <w:rsid w:val="005F163C"/>
    <w:rPr>
      <w:rFonts w:ascii="Myriad Pro" w:eastAsiaTheme="minorHAnsi" w:hAnsi="Myriad Pro" w:cstheme="minorBidi"/>
      <w:szCs w:val="22"/>
      <w:lang w:eastAsia="en-US"/>
    </w:rPr>
  </w:style>
  <w:style w:type="paragraph" w:customStyle="1" w:styleId="DZBesedilo">
    <w:name w:val="DZ_Besedilo"/>
    <w:link w:val="DZBesediloChar"/>
    <w:qFormat/>
    <w:rsid w:val="005732E6"/>
    <w:pPr>
      <w:spacing w:line="288" w:lineRule="auto"/>
      <w:jc w:val="both"/>
    </w:pPr>
    <w:rPr>
      <w:rFonts w:ascii="Myriad Pro" w:eastAsiaTheme="minorHAnsi" w:hAnsi="Myriad Pro" w:cstheme="minorBidi"/>
      <w:szCs w:val="22"/>
      <w:lang w:eastAsia="en-US"/>
    </w:rPr>
  </w:style>
  <w:style w:type="character" w:customStyle="1" w:styleId="DZBesediloChar">
    <w:name w:val="DZ_Besedilo Char"/>
    <w:basedOn w:val="DefaultParagraphFont"/>
    <w:link w:val="DZBesedilo"/>
    <w:rsid w:val="005732E6"/>
    <w:rPr>
      <w:rFonts w:ascii="Myriad Pro" w:eastAsiaTheme="minorHAnsi" w:hAnsi="Myriad Pro" w:cstheme="minorBidi"/>
      <w:szCs w:val="22"/>
      <w:lang w:eastAsia="en-US"/>
    </w:rPr>
  </w:style>
  <w:style w:type="paragraph" w:customStyle="1" w:styleId="DZVir">
    <w:name w:val="DZ_Vir"/>
    <w:basedOn w:val="DZBesedilo"/>
    <w:link w:val="DZVirChar"/>
    <w:qFormat/>
    <w:rsid w:val="00355D96"/>
    <w:pPr>
      <w:spacing w:before="40" w:line="240" w:lineRule="auto"/>
    </w:pPr>
    <w:rPr>
      <w:sz w:val="16"/>
    </w:rPr>
  </w:style>
  <w:style w:type="character" w:customStyle="1" w:styleId="DZVirChar">
    <w:name w:val="DZ_Vir Char"/>
    <w:basedOn w:val="DefaultParagraphFont"/>
    <w:link w:val="DZVir"/>
    <w:rsid w:val="00355D96"/>
    <w:rPr>
      <w:rFonts w:ascii="Myriad Pro" w:eastAsiaTheme="minorHAnsi" w:hAnsi="Myriad Pro" w:cstheme="minorBidi"/>
      <w:sz w:val="16"/>
      <w:szCs w:val="22"/>
      <w:lang w:eastAsia="en-US"/>
    </w:rPr>
  </w:style>
  <w:style w:type="character" w:customStyle="1" w:styleId="markedcontent">
    <w:name w:val="markedcontent"/>
    <w:basedOn w:val="DefaultParagraphFont"/>
    <w:rsid w:val="0048776B"/>
  </w:style>
  <w:style w:type="paragraph" w:styleId="Bibliography">
    <w:name w:val="Bibliography"/>
    <w:basedOn w:val="Normal"/>
    <w:next w:val="Normal"/>
    <w:uiPriority w:val="37"/>
    <w:unhideWhenUsed/>
    <w:rsid w:val="007309C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55789">
      <w:bodyDiv w:val="1"/>
      <w:marLeft w:val="0"/>
      <w:marRight w:val="0"/>
      <w:marTop w:val="0"/>
      <w:marBottom w:val="0"/>
      <w:divBdr>
        <w:top w:val="none" w:sz="0" w:space="0" w:color="auto"/>
        <w:left w:val="none" w:sz="0" w:space="0" w:color="auto"/>
        <w:bottom w:val="none" w:sz="0" w:space="0" w:color="auto"/>
        <w:right w:val="none" w:sz="0" w:space="0" w:color="auto"/>
      </w:divBdr>
    </w:div>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969093302">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4.emf"/><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567C2-FCF5-46E9-B052-53597106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4534</Words>
  <Characters>35892</Characters>
  <Application>Microsoft Office Word</Application>
  <DocSecurity>0</DocSecurity>
  <Lines>299</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40346</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2022-08-22T12:22:00Z</dcterms:created>
  <dcterms:modified xsi:type="dcterms:W3CDTF">2022-08-23T06:30:00Z</dcterms:modified>
</cp:coreProperties>
</file>