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9834C" w14:textId="77777777" w:rsidR="0050616E" w:rsidRPr="0050616E" w:rsidRDefault="00471713" w:rsidP="0050616E">
      <w:pPr>
        <w:pStyle w:val="Naslov2"/>
        <w:numPr>
          <w:ilvl w:val="0"/>
          <w:numId w:val="0"/>
        </w:numPr>
      </w:pPr>
      <w:bookmarkStart w:id="0" w:name="_Hlk121213873"/>
      <w:bookmarkStart w:id="1" w:name="_Hlk121386950"/>
      <w:bookmarkEnd w:id="0"/>
      <w:r>
        <w:rPr>
          <w:noProof/>
          <w:lang w:eastAsia="sl-SI"/>
        </w:rPr>
        <w:drawing>
          <wp:anchor distT="0" distB="0" distL="114300" distR="114300" simplePos="0" relativeHeight="251661312" behindDoc="0" locked="0" layoutInCell="1" allowOverlap="1" wp14:anchorId="1A233C08" wp14:editId="54C2BD52">
            <wp:simplePos x="0" y="0"/>
            <wp:positionH relativeFrom="column">
              <wp:posOffset>-900374</wp:posOffset>
            </wp:positionH>
            <wp:positionV relativeFrom="paragraph">
              <wp:posOffset>-1081405</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341E37">
        <w:rPr>
          <w:noProof/>
          <w:lang w:eastAsia="sl-SI"/>
        </w:rPr>
        <w:drawing>
          <wp:anchor distT="0" distB="0" distL="114300" distR="114300" simplePos="0" relativeHeight="251663360" behindDoc="0" locked="0" layoutInCell="1" allowOverlap="1" wp14:anchorId="4DE5D864" wp14:editId="05AB59DC">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p>
    <w:p w14:paraId="0B5EA8B2" w14:textId="77777777" w:rsidR="0050616E" w:rsidRPr="0050616E" w:rsidRDefault="00D66667" w:rsidP="0050616E">
      <w:pPr>
        <w:tabs>
          <w:tab w:val="left" w:pos="7227"/>
        </w:tabs>
        <w:sectPr w:rsidR="0050616E" w:rsidRPr="0050616E" w:rsidSect="007C3A38">
          <w:footerReference w:type="default" r:id="rId10"/>
          <w:pgSz w:w="11906" w:h="16838"/>
          <w:pgMar w:top="1701" w:right="1418" w:bottom="1418" w:left="1418" w:header="709" w:footer="709" w:gutter="0"/>
          <w:pgNumType w:fmt="lowerRoman" w:start="1"/>
          <w:cols w:space="708"/>
        </w:sectPr>
      </w:pPr>
      <w:r>
        <w:rPr>
          <w:noProof/>
          <w:lang w:eastAsia="sl-SI"/>
        </w:rPr>
        <mc:AlternateContent>
          <mc:Choice Requires="wps">
            <w:drawing>
              <wp:anchor distT="0" distB="0" distL="114300" distR="114300" simplePos="0" relativeHeight="251659262" behindDoc="0" locked="0" layoutInCell="1" allowOverlap="1" wp14:anchorId="19A3051F" wp14:editId="1E083295">
                <wp:simplePos x="0" y="0"/>
                <wp:positionH relativeFrom="column">
                  <wp:posOffset>2694750</wp:posOffset>
                </wp:positionH>
                <wp:positionV relativeFrom="paragraph">
                  <wp:posOffset>556895</wp:posOffset>
                </wp:positionV>
                <wp:extent cx="3680460" cy="8066405"/>
                <wp:effectExtent l="0" t="0" r="0" b="10795"/>
                <wp:wrapNone/>
                <wp:docPr id="2" name="Text Box 2"/>
                <wp:cNvGraphicFramePr/>
                <a:graphic xmlns:a="http://schemas.openxmlformats.org/drawingml/2006/main">
                  <a:graphicData uri="http://schemas.microsoft.com/office/word/2010/wordprocessingShape">
                    <wps:wsp>
                      <wps:cNvSpPr txBox="1"/>
                      <wps:spPr>
                        <a:xfrm>
                          <a:off x="0" y="0"/>
                          <a:ext cx="3680460" cy="8066405"/>
                        </a:xfrm>
                        <a:prstGeom prst="rect">
                          <a:avLst/>
                        </a:prstGeom>
                        <a:noFill/>
                        <a:ln w="6350">
                          <a:noFill/>
                        </a:ln>
                        <a:effectLst/>
                      </wps:spPr>
                      <wps:txbx>
                        <w:txbxContent>
                          <w:p w14:paraId="39D6CE3F" w14:textId="77777777" w:rsidR="00CD6506" w:rsidRPr="0050616E" w:rsidRDefault="00CD6506" w:rsidP="0050616E">
                            <w:pPr>
                              <w:pStyle w:val="NaslovnicanaslovUMAR"/>
                              <w:numPr>
                                <w:ilvl w:val="0"/>
                                <w:numId w:val="0"/>
                              </w:numPr>
                              <w:spacing w:line="760" w:lineRule="exact"/>
                              <w:rPr>
                                <w:color w:val="auto"/>
                                <w:sz w:val="76"/>
                                <w:szCs w:val="76"/>
                              </w:rPr>
                            </w:pPr>
                          </w:p>
                          <w:p w14:paraId="00B32932" w14:textId="77777777" w:rsidR="00CD6506" w:rsidRPr="0050616E" w:rsidRDefault="00CD6506" w:rsidP="0050616E">
                            <w:pPr>
                              <w:pStyle w:val="NaslovnicanaslovUMAR"/>
                              <w:numPr>
                                <w:ilvl w:val="0"/>
                                <w:numId w:val="0"/>
                              </w:numPr>
                              <w:spacing w:line="760" w:lineRule="exact"/>
                              <w:rPr>
                                <w:color w:val="auto"/>
                                <w:sz w:val="76"/>
                                <w:szCs w:val="76"/>
                              </w:rPr>
                            </w:pPr>
                          </w:p>
                          <w:p w14:paraId="744022A0" w14:textId="77777777" w:rsidR="00CD6506" w:rsidRPr="0050616E" w:rsidRDefault="00CD6506"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5B7D4E8F" w14:textId="13F2A5E3" w:rsidR="00CD6506" w:rsidRPr="0050616E" w:rsidRDefault="00CD6506" w:rsidP="0050616E">
                            <w:pPr>
                              <w:pStyle w:val="NaslovnicanaslovUMAR"/>
                              <w:numPr>
                                <w:ilvl w:val="0"/>
                                <w:numId w:val="0"/>
                              </w:numPr>
                              <w:spacing w:line="240" w:lineRule="auto"/>
                              <w:rPr>
                                <w:b w:val="0"/>
                                <w:bCs/>
                                <w:color w:val="auto"/>
                                <w:sz w:val="26"/>
                                <w:szCs w:val="26"/>
                              </w:rPr>
                            </w:pPr>
                            <w:r>
                              <w:rPr>
                                <w:b w:val="0"/>
                                <w:bCs/>
                                <w:color w:val="auto"/>
                                <w:sz w:val="26"/>
                                <w:szCs w:val="26"/>
                              </w:rPr>
                              <w:t>December 2022</w:t>
                            </w:r>
                          </w:p>
                          <w:p w14:paraId="713BA1AF" w14:textId="77777777" w:rsidR="00CD6506" w:rsidRPr="0050616E" w:rsidRDefault="00CD6506" w:rsidP="0050616E">
                            <w:pPr>
                              <w:pStyle w:val="NaslovnicanaslovUMAR"/>
                              <w:numPr>
                                <w:ilvl w:val="0"/>
                                <w:numId w:val="0"/>
                              </w:numPr>
                              <w:spacing w:line="760" w:lineRule="exact"/>
                              <w:rPr>
                                <w:color w:val="auto"/>
                                <w:sz w:val="52"/>
                                <w:szCs w:val="52"/>
                              </w:rPr>
                            </w:pPr>
                          </w:p>
                          <w:p w14:paraId="17B69955" w14:textId="77777777" w:rsidR="00CD6506" w:rsidRPr="0050616E" w:rsidRDefault="00CD6506" w:rsidP="0050616E">
                            <w:pPr>
                              <w:pStyle w:val="NaslovnicanaslovUMAR"/>
                              <w:numPr>
                                <w:ilvl w:val="0"/>
                                <w:numId w:val="0"/>
                              </w:numPr>
                              <w:spacing w:after="240" w:line="760" w:lineRule="exact"/>
                              <w:rPr>
                                <w:b w:val="0"/>
                                <w:bCs/>
                                <w:color w:val="auto"/>
                                <w:sz w:val="52"/>
                                <w:szCs w:val="52"/>
                              </w:rPr>
                            </w:pPr>
                            <w:r>
                              <w:rPr>
                                <w:b w:val="0"/>
                                <w:bCs/>
                                <w:color w:val="auto"/>
                                <w:sz w:val="52"/>
                                <w:szCs w:val="52"/>
                              </w:rPr>
                              <w:t>Mojca Koprivnikar Šušteršič</w:t>
                            </w:r>
                          </w:p>
                          <w:p w14:paraId="532514F0" w14:textId="72A2000E" w:rsidR="00CD6506" w:rsidRPr="0050616E" w:rsidRDefault="00CD6506" w:rsidP="0050616E">
                            <w:pPr>
                              <w:pStyle w:val="NaslovnicanaslovUMAR"/>
                              <w:numPr>
                                <w:ilvl w:val="0"/>
                                <w:numId w:val="0"/>
                              </w:numPr>
                              <w:spacing w:line="760" w:lineRule="exact"/>
                              <w:rPr>
                                <w:color w:val="auto"/>
                                <w:sz w:val="76"/>
                                <w:szCs w:val="76"/>
                              </w:rPr>
                            </w:pPr>
                            <w:r>
                              <w:rPr>
                                <w:color w:val="auto"/>
                                <w:sz w:val="76"/>
                                <w:szCs w:val="76"/>
                              </w:rPr>
                              <w:t>Poslovanje gostinskih podjetij med epidemijo covida-19</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3051F" id="_x0000_t202" coordsize="21600,21600" o:spt="202" path="m,l,21600r21600,l21600,xe">
                <v:stroke joinstyle="miter"/>
                <v:path gradientshapeok="t" o:connecttype="rect"/>
              </v:shapetype>
              <v:shape id="Text Box 2" o:spid="_x0000_s1026" type="#_x0000_t202" style="position:absolute;margin-left:212.2pt;margin-top:43.85pt;width:289.8pt;height:635.1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" filled="f" stroked="f" strokeweight=".5pt">
                <v:textbox style="layout-flow:vertical;mso-layout-flow-alt:bottom-to-top" inset="0,0,.5mm,0">
                  <w:txbxContent>
                    <w:p w14:paraId="39D6CE3F" w14:textId="77777777" w:rsidR="00CD6506" w:rsidRPr="0050616E" w:rsidRDefault="00CD6506" w:rsidP="0050616E">
                      <w:pPr>
                        <w:pStyle w:val="NaslovnicanaslovUMAR"/>
                        <w:numPr>
                          <w:ilvl w:val="0"/>
                          <w:numId w:val="0"/>
                        </w:numPr>
                        <w:spacing w:line="760" w:lineRule="exact"/>
                        <w:rPr>
                          <w:color w:val="auto"/>
                          <w:sz w:val="76"/>
                          <w:szCs w:val="76"/>
                        </w:rPr>
                      </w:pPr>
                    </w:p>
                    <w:p w14:paraId="00B32932" w14:textId="77777777" w:rsidR="00CD6506" w:rsidRPr="0050616E" w:rsidRDefault="00CD6506" w:rsidP="0050616E">
                      <w:pPr>
                        <w:pStyle w:val="NaslovnicanaslovUMAR"/>
                        <w:numPr>
                          <w:ilvl w:val="0"/>
                          <w:numId w:val="0"/>
                        </w:numPr>
                        <w:spacing w:line="760" w:lineRule="exact"/>
                        <w:rPr>
                          <w:color w:val="auto"/>
                          <w:sz w:val="76"/>
                          <w:szCs w:val="76"/>
                        </w:rPr>
                      </w:pPr>
                    </w:p>
                    <w:p w14:paraId="744022A0" w14:textId="77777777" w:rsidR="00CD6506" w:rsidRPr="0050616E" w:rsidRDefault="00CD6506"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5B7D4E8F" w14:textId="13F2A5E3" w:rsidR="00CD6506" w:rsidRPr="0050616E" w:rsidRDefault="00CD6506" w:rsidP="0050616E">
                      <w:pPr>
                        <w:pStyle w:val="NaslovnicanaslovUMAR"/>
                        <w:numPr>
                          <w:ilvl w:val="0"/>
                          <w:numId w:val="0"/>
                        </w:numPr>
                        <w:spacing w:line="240" w:lineRule="auto"/>
                        <w:rPr>
                          <w:b w:val="0"/>
                          <w:bCs/>
                          <w:color w:val="auto"/>
                          <w:sz w:val="26"/>
                          <w:szCs w:val="26"/>
                        </w:rPr>
                      </w:pPr>
                      <w:r>
                        <w:rPr>
                          <w:b w:val="0"/>
                          <w:bCs/>
                          <w:color w:val="auto"/>
                          <w:sz w:val="26"/>
                          <w:szCs w:val="26"/>
                        </w:rPr>
                        <w:t>December 2022</w:t>
                      </w:r>
                    </w:p>
                    <w:p w14:paraId="713BA1AF" w14:textId="77777777" w:rsidR="00CD6506" w:rsidRPr="0050616E" w:rsidRDefault="00CD6506" w:rsidP="0050616E">
                      <w:pPr>
                        <w:pStyle w:val="NaslovnicanaslovUMAR"/>
                        <w:numPr>
                          <w:ilvl w:val="0"/>
                          <w:numId w:val="0"/>
                        </w:numPr>
                        <w:spacing w:line="760" w:lineRule="exact"/>
                        <w:rPr>
                          <w:color w:val="auto"/>
                          <w:sz w:val="52"/>
                          <w:szCs w:val="52"/>
                        </w:rPr>
                      </w:pPr>
                    </w:p>
                    <w:p w14:paraId="17B69955" w14:textId="77777777" w:rsidR="00CD6506" w:rsidRPr="0050616E" w:rsidRDefault="00CD6506" w:rsidP="0050616E">
                      <w:pPr>
                        <w:pStyle w:val="NaslovnicanaslovUMAR"/>
                        <w:numPr>
                          <w:ilvl w:val="0"/>
                          <w:numId w:val="0"/>
                        </w:numPr>
                        <w:spacing w:after="240" w:line="760" w:lineRule="exact"/>
                        <w:rPr>
                          <w:b w:val="0"/>
                          <w:bCs/>
                          <w:color w:val="auto"/>
                          <w:sz w:val="52"/>
                          <w:szCs w:val="52"/>
                        </w:rPr>
                      </w:pPr>
                      <w:r>
                        <w:rPr>
                          <w:b w:val="0"/>
                          <w:bCs/>
                          <w:color w:val="auto"/>
                          <w:sz w:val="52"/>
                          <w:szCs w:val="52"/>
                        </w:rPr>
                        <w:t>Mojca Koprivnikar Šušteršič</w:t>
                      </w:r>
                    </w:p>
                    <w:p w14:paraId="532514F0" w14:textId="72A2000E" w:rsidR="00CD6506" w:rsidRPr="0050616E" w:rsidRDefault="00CD6506" w:rsidP="0050616E">
                      <w:pPr>
                        <w:pStyle w:val="NaslovnicanaslovUMAR"/>
                        <w:numPr>
                          <w:ilvl w:val="0"/>
                          <w:numId w:val="0"/>
                        </w:numPr>
                        <w:spacing w:line="760" w:lineRule="exact"/>
                        <w:rPr>
                          <w:color w:val="auto"/>
                          <w:sz w:val="76"/>
                          <w:szCs w:val="76"/>
                        </w:rPr>
                      </w:pPr>
                      <w:r>
                        <w:rPr>
                          <w:color w:val="auto"/>
                          <w:sz w:val="76"/>
                          <w:szCs w:val="76"/>
                        </w:rPr>
                        <w:t>Poslovanje gostinskih podjetij med epidemijo covida-19</w:t>
                      </w:r>
                    </w:p>
                  </w:txbxContent>
                </v:textbox>
              </v:shape>
            </w:pict>
          </mc:Fallback>
        </mc:AlternateContent>
      </w:r>
      <w:r w:rsidR="0050616E">
        <w:tab/>
      </w:r>
    </w:p>
    <w:p w14:paraId="497A5CFA" w14:textId="77777777" w:rsidR="00471713" w:rsidRDefault="00471713" w:rsidP="00247147">
      <w:pPr>
        <w:pStyle w:val="Naslov1"/>
        <w:numPr>
          <w:ilvl w:val="0"/>
          <w:numId w:val="0"/>
        </w:numPr>
        <w:rPr>
          <w:rStyle w:val="VodilnistavekUMAR"/>
        </w:rPr>
      </w:pPr>
      <w:bookmarkStart w:id="2" w:name="_Toc525304171"/>
      <w:bookmarkStart w:id="3" w:name="_Toc527616894"/>
      <w:bookmarkStart w:id="4" w:name="_Toc528328881"/>
      <w:r w:rsidRPr="00471713">
        <w:lastRenderedPageBreak/>
        <w:t>Povzetek</w:t>
      </w:r>
    </w:p>
    <w:p w14:paraId="190AA165" w14:textId="7241EC66" w:rsidR="003C6DCB" w:rsidRPr="003C6DCB" w:rsidRDefault="003C6DCB" w:rsidP="003C6DCB">
      <w:pPr>
        <w:pStyle w:val="BesediloUMAR"/>
        <w:rPr>
          <w:b/>
        </w:rPr>
      </w:pPr>
      <w:r w:rsidRPr="003C6DCB">
        <w:rPr>
          <w:b/>
        </w:rPr>
        <w:t xml:space="preserve">Od </w:t>
      </w:r>
      <w:r w:rsidR="005C2216">
        <w:rPr>
          <w:b/>
        </w:rPr>
        <w:t>pomladi</w:t>
      </w:r>
      <w:r w:rsidRPr="003C6DCB">
        <w:rPr>
          <w:b/>
        </w:rPr>
        <w:t xml:space="preserve"> 2020 se je Slovenija spoprijemala z več valovi okužb s koronavirusom, ki so jih zaznamovali tudi strogi ukrepi za omejitev širjenja okužb.</w:t>
      </w:r>
      <w:r w:rsidRPr="003C6DCB">
        <w:rPr>
          <w:b/>
          <w:szCs w:val="20"/>
        </w:rPr>
        <w:t xml:space="preserve"> Med storitvami, katerih delovanje je bilo od sredine marca 2020 pa do sredine februarja 2022 </w:t>
      </w:r>
      <w:r w:rsidR="007370CC">
        <w:rPr>
          <w:b/>
          <w:szCs w:val="20"/>
        </w:rPr>
        <w:t xml:space="preserve">zaradi epidemije </w:t>
      </w:r>
      <w:r w:rsidRPr="003C6DCB">
        <w:rPr>
          <w:b/>
          <w:szCs w:val="20"/>
        </w:rPr>
        <w:t xml:space="preserve">močno omejeno, je bilo tudi gostinstvo. Med razglasitvijo epidemije so bili gostinski in nastanitveni obrati delno ali v celoti zaprti, tudi med sproščanjem ukrepov </w:t>
      </w:r>
      <w:r w:rsidR="0013413E">
        <w:rPr>
          <w:b/>
          <w:szCs w:val="20"/>
        </w:rPr>
        <w:t xml:space="preserve">pa </w:t>
      </w:r>
      <w:r w:rsidRPr="003C6DCB">
        <w:rPr>
          <w:b/>
          <w:szCs w:val="20"/>
        </w:rPr>
        <w:t>je bilo njihovo delovanje večkrat omejeno z delovnim časom, številom oseb za mizo, okuženostjo v regiji, velikostjo nastanitvenih obratov, zasedenostjo vseh kapacitet, kasneje pa s pogojem</w:t>
      </w:r>
      <w:r w:rsidR="007370CC" w:rsidRPr="007370CC">
        <w:rPr>
          <w:b/>
          <w:szCs w:val="20"/>
        </w:rPr>
        <w:t xml:space="preserve"> </w:t>
      </w:r>
      <w:r w:rsidR="007370CC" w:rsidRPr="003C6DCB">
        <w:rPr>
          <w:b/>
          <w:szCs w:val="20"/>
        </w:rPr>
        <w:t>PCT</w:t>
      </w:r>
      <w:r w:rsidRPr="003C6DCB">
        <w:rPr>
          <w:b/>
          <w:szCs w:val="20"/>
        </w:rPr>
        <w:t>. Zaprtje ali omejitve so vplivale na slabšo obiskanost gostinskih in nastanitvenih obratov in posledično manjši prihod</w:t>
      </w:r>
      <w:r w:rsidR="007370CC">
        <w:rPr>
          <w:b/>
          <w:szCs w:val="20"/>
        </w:rPr>
        <w:t>e</w:t>
      </w:r>
      <w:r w:rsidRPr="003C6DCB">
        <w:rPr>
          <w:b/>
          <w:szCs w:val="20"/>
        </w:rPr>
        <w:t xml:space="preserve">k. </w:t>
      </w:r>
      <w:r w:rsidR="005C2216" w:rsidRPr="003C6DCB">
        <w:rPr>
          <w:b/>
        </w:rPr>
        <w:t>Gostinske družbe</w:t>
      </w:r>
      <w:r w:rsidR="005C2216">
        <w:rPr>
          <w:b/>
        </w:rPr>
        <w:t xml:space="preserve"> so tako </w:t>
      </w:r>
      <w:r w:rsidR="005C2216" w:rsidRPr="003C6DCB">
        <w:rPr>
          <w:b/>
        </w:rPr>
        <w:t>v letu 2020 močno poslabšale</w:t>
      </w:r>
      <w:r w:rsidR="005C2216" w:rsidRPr="005C2216">
        <w:rPr>
          <w:b/>
        </w:rPr>
        <w:t xml:space="preserve"> </w:t>
      </w:r>
      <w:r w:rsidR="005C2216">
        <w:rPr>
          <w:b/>
        </w:rPr>
        <w:t xml:space="preserve">poslovne </w:t>
      </w:r>
      <w:r w:rsidR="005C2216" w:rsidRPr="003C6DCB">
        <w:rPr>
          <w:b/>
        </w:rPr>
        <w:t xml:space="preserve">rezultate. </w:t>
      </w:r>
      <w:r w:rsidR="005C2216">
        <w:rPr>
          <w:b/>
        </w:rPr>
        <w:t>Pri tem so</w:t>
      </w:r>
      <w:r w:rsidR="00806EF5">
        <w:rPr>
          <w:b/>
        </w:rPr>
        <w:t xml:space="preserve"> negativne posledice epidemije v določeni meri</w:t>
      </w:r>
      <w:r w:rsidR="0076059B">
        <w:rPr>
          <w:b/>
          <w:szCs w:val="20"/>
        </w:rPr>
        <w:t xml:space="preserve"> ublažili u</w:t>
      </w:r>
      <w:r w:rsidR="007370CC">
        <w:rPr>
          <w:b/>
          <w:szCs w:val="20"/>
        </w:rPr>
        <w:t>krepi, ki jih je sprejela vlada za omejitev negativnih posledic epidemije za prebivalstvo in gospodarstvo ter pospešitev okrevanja</w:t>
      </w:r>
      <w:r w:rsidRPr="003C6DCB">
        <w:rPr>
          <w:b/>
          <w:szCs w:val="20"/>
        </w:rPr>
        <w:t xml:space="preserve">. </w:t>
      </w:r>
      <w:r w:rsidRPr="003C6DCB">
        <w:rPr>
          <w:b/>
        </w:rPr>
        <w:t>Poslovanje se je naslednje leto izboljšalo, tako da so gostinske družbe leto 2021 zaključile z neto čistim dobičkom, ki pa je bil manjši kot leta 2019. Izboljšanje je bila posledica večjega trošenja domačih turistov in domačega prebivalstva</w:t>
      </w:r>
      <w:r w:rsidR="009E2E0C" w:rsidRPr="009E2E0C">
        <w:t xml:space="preserve"> </w:t>
      </w:r>
      <w:r w:rsidR="009E2E0C" w:rsidRPr="009E2E0C">
        <w:rPr>
          <w:b/>
        </w:rPr>
        <w:t>ob rahljanju ukrepov za omejevanje epidemije, podprto z ohranitvijo razmeroma ugodne dohodkovne situacije med epidemijo</w:t>
      </w:r>
      <w:r w:rsidR="00527A8C">
        <w:rPr>
          <w:b/>
        </w:rPr>
        <w:t xml:space="preserve"> </w:t>
      </w:r>
      <w:r w:rsidR="009E2E0C" w:rsidRPr="009E2E0C">
        <w:rPr>
          <w:b/>
        </w:rPr>
        <w:t>in dodatno spodbujeno z unovčevanjem turističnih bonov in bonov, ki jih je bilo mogoče koristiti v bolj prizadetih dejavnostih turizma, gostinstva, športa in kulture.</w:t>
      </w:r>
      <w:r w:rsidR="009E2E0C">
        <w:t xml:space="preserve"> </w:t>
      </w:r>
      <w:r w:rsidRPr="003C6DCB">
        <w:rPr>
          <w:b/>
        </w:rPr>
        <w:t xml:space="preserve">Povečal se je tudi obisk tujih turistov, ki pa je še močno zaostajal za obiskom iz leta 2019. Ob boljšem osnovnem poslovanju se je </w:t>
      </w:r>
      <w:r w:rsidR="00E555FC">
        <w:rPr>
          <w:b/>
        </w:rPr>
        <w:t xml:space="preserve">leta 2021 </w:t>
      </w:r>
      <w:r w:rsidRPr="003C6DCB">
        <w:rPr>
          <w:b/>
        </w:rPr>
        <w:t>izboljšala tudi donosnost in gospodarnost, zadolženost gostinskih družb pa je ostala visoka. Še nekoliko boljše rezultate gostinske družbe dosegajo v letu 2022, ko je število prenočitev tujih turistov v glavni sezoni že doseglo</w:t>
      </w:r>
      <w:r w:rsidR="005C2216">
        <w:rPr>
          <w:b/>
        </w:rPr>
        <w:t xml:space="preserve"> najvišje ravni pred epidemijo</w:t>
      </w:r>
      <w:r w:rsidRPr="003C6DCB">
        <w:rPr>
          <w:b/>
        </w:rPr>
        <w:t>, na večji prihodek pa je vplivalo tudi unovčevanje obeh vrst bonov</w:t>
      </w:r>
      <w:r w:rsidR="009E2E0C">
        <w:rPr>
          <w:b/>
        </w:rPr>
        <w:t>.</w:t>
      </w:r>
      <w:r w:rsidRPr="003C6DCB">
        <w:rPr>
          <w:b/>
        </w:rPr>
        <w:t xml:space="preserve"> </w:t>
      </w:r>
    </w:p>
    <w:p w14:paraId="61033C42" w14:textId="77777777" w:rsidR="003C6DCB" w:rsidRPr="002F0A04" w:rsidRDefault="003C6DCB" w:rsidP="00247147">
      <w:pPr>
        <w:pStyle w:val="BesediloUMAR"/>
        <w:rPr>
          <w:rStyle w:val="BoldpoudarekUMAR"/>
        </w:rPr>
      </w:pPr>
    </w:p>
    <w:p w14:paraId="111BDD47" w14:textId="77777777" w:rsidR="0011504B" w:rsidRPr="00247147" w:rsidRDefault="0011504B" w:rsidP="00247147">
      <w:pPr>
        <w:pStyle w:val="BesediloUMAR"/>
        <w:rPr>
          <w:rStyle w:val="BoldpoudarekUMAR"/>
        </w:rPr>
      </w:pPr>
    </w:p>
    <w:p w14:paraId="7504A85C" w14:textId="77777777" w:rsidR="00407C0D" w:rsidRDefault="00407C0D" w:rsidP="00407C0D">
      <w:pPr>
        <w:pStyle w:val="BesediloUMAR"/>
      </w:pPr>
    </w:p>
    <w:p w14:paraId="4EBBBAC5" w14:textId="77777777" w:rsidR="00481B30" w:rsidRDefault="008F6BED" w:rsidP="00471713">
      <w:pPr>
        <w:pStyle w:val="Naslov1"/>
      </w:pPr>
      <w:r>
        <w:lastRenderedPageBreak/>
        <w:t xml:space="preserve">Uvod </w:t>
      </w:r>
      <w:bookmarkEnd w:id="2"/>
      <w:bookmarkEnd w:id="3"/>
      <w:bookmarkEnd w:id="4"/>
    </w:p>
    <w:p w14:paraId="5A211C29" w14:textId="2A5E45E9" w:rsidR="003C6DCB" w:rsidRPr="003C6DCB" w:rsidRDefault="003C6DCB" w:rsidP="003C6DCB">
      <w:pPr>
        <w:pStyle w:val="BesediloUMAR"/>
      </w:pPr>
      <w:bookmarkStart w:id="5" w:name="_Hlk121141775"/>
      <w:r w:rsidRPr="003C6DCB">
        <w:t>Od sredine marca 2020 se je Slovenija spoprijemala z več valovi okužb s koronavirusom, ki so jih zaznamovali tudi strogi ukrepi za omejitev širjenja okužb.</w:t>
      </w:r>
      <w:bookmarkEnd w:id="5"/>
      <w:r w:rsidRPr="003C6DCB">
        <w:t xml:space="preserve"> Prvič je bila epidemija razglašena od sredine marca do konca maja 2020, ko je bila zaprta večina vzgojno-izobraževalnih ustanov in večina nenujnih storitev. Po nekajmesečnem postopnem sproščanju so se oktobra 2020 ob ponovni razglasitvi epidemije ukrepi ponovno zaostrili</w:t>
      </w:r>
      <w:r w:rsidR="00212FA3">
        <w:t>,</w:t>
      </w:r>
      <w:r w:rsidRPr="003C6DCB">
        <w:t xml:space="preserve"> s čimer se je precej omejilo ponujanje in prodajanje blaga in storitev. Po sproščanju nekaterih ukrepov v regijah z boljšo epidemično sliko od februarja 2021</w:t>
      </w:r>
      <w:r w:rsidR="006F4152">
        <w:t>,</w:t>
      </w:r>
      <w:r w:rsidRPr="003C6DCB">
        <w:t xml:space="preserve"> je v začetku aprila 2021 sledila krajša ponovna zaostritev. Nato so se ukrepi večinoma sprostili in s 15. junijem 2021 je bila epidemija preklicana. Sredi septembra 2021 je bil uveden t. i. pogoj PCT (preboleli, cepljeni ali testirani). Ta je v veljavi ostal do sredine februarja 2022, ko je zaradi manj hudega poteka bolezni v primeru virusne različice omikron in umiritve števila novih okužb Vlada odločila, da v večini dejavnosti ni več treba izpolnjevati pogoja PCT ter da se odpravijo omejitve zbiranja in delovnega časa </w:t>
      </w:r>
      <w:r w:rsidRPr="003C6DCB">
        <w:fldChar w:fldCharType="begin"/>
      </w:r>
      <w:r w:rsidR="008D3565">
        <w:instrText xml:space="preserve"> ADDIN ZOTERO_ITEM CSL_CITATION {"citationID":"GNESv7j8","properties":{"formattedCitation":"(Vlada RS, b. d.)","plainCitation":"(Vlada RS, b. d.)","noteIndex":0},"citationItems":[{"id":163,"uris":["http://zotero.org/groups/4141114/items/4237B7FP"],"uri":["http://zotero.org/groups/4141114/items/4237B7FP"],"itemData":{"id":163,"type":"webpage","abstract":"Ukrepe za zajezitev širjenja okužb prilagajamo glede na epidemiološko situacijo v državi in širši regiji.","container-title":"Portal GOV.SI","language":"sl","title":"Ukrepi za zajezitev širjenja okužb","URL":"https://www.gov.si/teme/koronavirus-sars-cov-2/ukrepi-za-zajezitev-sirjenja-okuzb/","author":[{"family":"Vlada RS","given":""}],"accessed":{"date-parts":[["2021",8,30]]}}}],"schema":"https://github.com/citation-style-language/schema/raw/master/csl-citation.json"} </w:instrText>
      </w:r>
      <w:r w:rsidRPr="003C6DCB">
        <w:fldChar w:fldCharType="separate"/>
      </w:r>
      <w:r w:rsidRPr="003C6DCB">
        <w:t>(Vlada RS, b. d.)</w:t>
      </w:r>
      <w:r w:rsidRPr="003C6DCB">
        <w:fldChar w:fldCharType="end"/>
      </w:r>
      <w:r w:rsidRPr="003C6DCB">
        <w:t>.</w:t>
      </w:r>
      <w:r w:rsidRPr="003C6DCB">
        <w:rPr>
          <w:vertAlign w:val="superscript"/>
        </w:rPr>
        <w:footnoteReference w:id="2"/>
      </w:r>
      <w:r w:rsidRPr="003C6DCB">
        <w:t xml:space="preserve"> </w:t>
      </w:r>
    </w:p>
    <w:p w14:paraId="43422CAF" w14:textId="77777777" w:rsidR="003C6DCB" w:rsidRPr="003C6DCB" w:rsidRDefault="003C6DCB" w:rsidP="003C6DCB">
      <w:pPr>
        <w:spacing w:after="0" w:line="288" w:lineRule="auto"/>
        <w:jc w:val="both"/>
        <w:rPr>
          <w:rFonts w:ascii="Myriad Pro" w:hAnsi="Myriad Pro"/>
          <w:sz w:val="20"/>
        </w:rPr>
      </w:pPr>
    </w:p>
    <w:p w14:paraId="5CB8FC9B" w14:textId="6B825AAF" w:rsidR="003C6DCB" w:rsidRPr="003C6DCB" w:rsidRDefault="003C6DCB" w:rsidP="003C6DCB">
      <w:pPr>
        <w:pStyle w:val="BesediloUMAR"/>
      </w:pPr>
      <w:r w:rsidRPr="003C6DCB">
        <w:t>Vlada je od prve razglasitve epidemije sprejela vrsto ukrepov za omejitev negativnih posledic epidemije za prebivalstvo in gospodarstvo ter za pospešitev okrevanja.</w:t>
      </w:r>
      <w:r w:rsidRPr="003C6DCB">
        <w:rPr>
          <w:vertAlign w:val="superscript"/>
        </w:rPr>
        <w:footnoteReference w:id="3"/>
      </w:r>
      <w:r w:rsidRPr="003C6DCB">
        <w:t xml:space="preserve"> Ukrepi so občutno ublažili izpad prihodkov gospodarstva in prebivalstva zaradi pandemije ter podjetjem zagotovili likvidnost in podporo pri spoprijemanju z negativnimi posledicami. Pomembnejši ukrepi za ohranjanje števila zaposlenih so bili: čakanje na delo, ukrep delnega subvencioniranja krajšega delovnega časa, povračilo nadomestila 80 % plače delavcem, ki so ostali doma zaradi karantene ali višje sile, mesečni temeljni dohodek za samozaposlene in delno kritje fiksnih stroškov, ukrep odloga in obročnih plačil davkov in nekaterih prispevkov</w:t>
      </w:r>
      <w:r w:rsidR="0056318C">
        <w:t xml:space="preserve"> ter</w:t>
      </w:r>
      <w:r w:rsidRPr="003C6DCB">
        <w:t xml:space="preserve"> delna razbremenitev delodajalcev zaradi zvišanja minimalne plače iz januarja 2020. Poleg ukrepov, ki so ohranjali število zaposlenih</w:t>
      </w:r>
      <w:r w:rsidR="00347E76">
        <w:t>,</w:t>
      </w:r>
      <w:r w:rsidRPr="003C6DCB">
        <w:t xml:space="preserve"> so bili </w:t>
      </w:r>
      <w:r w:rsidR="00D74016" w:rsidRPr="003C6DCB">
        <w:t xml:space="preserve">najbolj ranljivim skupinam prebivalstva </w:t>
      </w:r>
      <w:r w:rsidRPr="003C6DCB">
        <w:t>izplačani tudi krizni dodatki, uvedeni pa so bili tudi turistični boni in boni, ki jih je bilo mogoče koristiti v bolj prizadetih dejavnostih turizma, gostinstva, športa in kulture</w:t>
      </w:r>
      <w:r w:rsidR="00897FA3">
        <w:t>.</w:t>
      </w:r>
    </w:p>
    <w:p w14:paraId="3FBFA7A4" w14:textId="77777777" w:rsidR="003C6DCB" w:rsidRPr="003C6DCB" w:rsidRDefault="003C6DCB" w:rsidP="003C6DCB">
      <w:pPr>
        <w:pStyle w:val="BesediloUMAR"/>
      </w:pPr>
    </w:p>
    <w:p w14:paraId="368F168B" w14:textId="2787608D" w:rsidR="003C6DCB" w:rsidRPr="003C6DCB" w:rsidRDefault="003C6DCB" w:rsidP="003C6DCB">
      <w:pPr>
        <w:pStyle w:val="BesediloUMAR"/>
        <w:rPr>
          <w:szCs w:val="20"/>
        </w:rPr>
      </w:pPr>
      <w:r w:rsidRPr="003C6DCB">
        <w:rPr>
          <w:szCs w:val="20"/>
        </w:rPr>
        <w:t>Med storitvami, katerih delovanje je bilo od sredine marca 2020 pa do sredine februarja 2022 močno omejeno, je bilo tudi gostinstvo. Med razglasitvijo epidemije so bili gostinski in nastanitveni obrati delno ali v celoti zaprti, tudi med sproščanjem ukrepov pa je bilo njihovo delovanje večkrat omejeno z delovnim časom, s številom oseb za mizo, okuženostjo v regiji, velikostjo nastanitvenih obratov, zasedenostjo vseh kapacitet, kasneje pa s pogojem</w:t>
      </w:r>
      <w:r w:rsidR="00347E76" w:rsidRPr="00347E76">
        <w:rPr>
          <w:szCs w:val="20"/>
        </w:rPr>
        <w:t xml:space="preserve"> </w:t>
      </w:r>
      <w:r w:rsidR="00347E76" w:rsidRPr="003C6DCB">
        <w:rPr>
          <w:szCs w:val="20"/>
        </w:rPr>
        <w:t>PCT</w:t>
      </w:r>
      <w:r w:rsidRPr="003C6DCB">
        <w:rPr>
          <w:szCs w:val="20"/>
        </w:rPr>
        <w:t>. Zaprtje ali omejitve so vplivale na slabšo obiskanost gostinskih in nastanitvenih obratov in posledično manjši prihod</w:t>
      </w:r>
      <w:r w:rsidR="00347E76">
        <w:rPr>
          <w:szCs w:val="20"/>
        </w:rPr>
        <w:t>e</w:t>
      </w:r>
      <w:r w:rsidRPr="003C6DCB">
        <w:rPr>
          <w:szCs w:val="20"/>
        </w:rPr>
        <w:t xml:space="preserve">k. </w:t>
      </w:r>
      <w:r w:rsidRPr="003C6DCB">
        <w:t>Poleg omejitev pri poslovanju</w:t>
      </w:r>
      <w:r w:rsidRPr="003C6DCB">
        <w:rPr>
          <w:szCs w:val="20"/>
        </w:rPr>
        <w:t xml:space="preserve"> podjetij v gostinstvu pa so na njihovo poslovanje vplivali tudi vladni ukrepi za blažitev negativnih posledic epidemije za prebivalstvo in gospodarstvo ter za pospešitev okrevanja. </w:t>
      </w:r>
    </w:p>
    <w:p w14:paraId="2A60B5C7" w14:textId="77777777" w:rsidR="003C6DCB" w:rsidRPr="003C6DCB" w:rsidRDefault="003C6DCB" w:rsidP="003C6DCB">
      <w:pPr>
        <w:pStyle w:val="BesediloUMAR"/>
      </w:pPr>
    </w:p>
    <w:p w14:paraId="5B2A609E" w14:textId="11943E56" w:rsidR="003C6DCB" w:rsidRPr="003C6DCB" w:rsidRDefault="003C6DCB" w:rsidP="003C6DCB">
      <w:pPr>
        <w:pStyle w:val="BesediloUMAR"/>
      </w:pPr>
      <w:r w:rsidRPr="003C6DCB">
        <w:t>V kratki analizi predstavljamo poslovanje gospodarskih družb in samostojnih podjetnikov v gostinstvu v obdobju 2008</w:t>
      </w:r>
      <w:r w:rsidR="00897FA3" w:rsidRPr="00897FA3">
        <w:rPr>
          <w:rStyle w:val="BoldpoudarekUMAR"/>
          <w:b w:val="0"/>
        </w:rPr>
        <w:t>–</w:t>
      </w:r>
      <w:r w:rsidRPr="003C6DCB">
        <w:t>2021, pri čemer je glavni poudarek na analizi poslovanja med epidemijo. Analiziramo statistične podatke iz bilanc stanja in izkaza poslovnega izida gospodarskih družb, ki ustvarijo približno 80 % dodane vrednosti celotne gostinske dejavnosti, in samostojnih podjetnikov, ki ustvarijo okoli 20 % dodane vrednosti celotne gostinske dejavnosti. Podatki za vsako od analiziranih let vključujejo poslovne subjekte, ki so v tistem letu dejansko posloval</w:t>
      </w:r>
      <w:r w:rsidR="00897FA3">
        <w:t>i</w:t>
      </w:r>
      <w:r w:rsidRPr="003C6DCB">
        <w:t>. Vse kategorije primerjamo v tekočih cenah, veliko primerjav je predstavljenih tudi grafično. V nadaljevanju kratke analize dodajamo tudi dostopne podatke o poslovanju v letu 2022.</w:t>
      </w:r>
    </w:p>
    <w:p w14:paraId="7964D921" w14:textId="77777777" w:rsidR="003C6DCB" w:rsidRDefault="003C6DCB" w:rsidP="006C15DE">
      <w:pPr>
        <w:pStyle w:val="BesediloUMAR"/>
      </w:pPr>
    </w:p>
    <w:p w14:paraId="155D5E47" w14:textId="77777777" w:rsidR="001554D4" w:rsidRDefault="001554D4" w:rsidP="006C15DE">
      <w:pPr>
        <w:pStyle w:val="BesediloUMAR"/>
      </w:pPr>
    </w:p>
    <w:p w14:paraId="39F68177" w14:textId="77777777" w:rsidR="00407C0D" w:rsidRPr="003F33CD" w:rsidRDefault="00407C0D" w:rsidP="00E60966">
      <w:pPr>
        <w:pStyle w:val="BesediloUMAR"/>
      </w:pPr>
    </w:p>
    <w:p w14:paraId="40D18A7F" w14:textId="130F78C9" w:rsidR="008F6BED" w:rsidRDefault="008F6BED" w:rsidP="008F6BED">
      <w:pPr>
        <w:pStyle w:val="Naslov1"/>
      </w:pPr>
      <w:r>
        <w:lastRenderedPageBreak/>
        <w:t xml:space="preserve">Poslovanje </w:t>
      </w:r>
      <w:r w:rsidR="008C453A">
        <w:t>gostinskih</w:t>
      </w:r>
      <w:r>
        <w:t xml:space="preserve"> </w:t>
      </w:r>
      <w:r w:rsidR="004A4A79">
        <w:t>podjetij</w:t>
      </w:r>
      <w:r w:rsidR="00347E76">
        <w:t xml:space="preserve"> </w:t>
      </w:r>
      <w:r w:rsidR="004E6E34">
        <w:t>med epidemijo</w:t>
      </w:r>
      <w:r>
        <w:t xml:space="preserve"> </w:t>
      </w:r>
    </w:p>
    <w:p w14:paraId="2F008FDE" w14:textId="63F3568B" w:rsidR="00032D50" w:rsidRDefault="007F49CD" w:rsidP="00032D50">
      <w:pPr>
        <w:pStyle w:val="BesediloUMAR"/>
        <w:rPr>
          <w:bCs/>
        </w:rPr>
      </w:pPr>
      <w:r w:rsidRPr="00DC6064">
        <w:rPr>
          <w:b/>
        </w:rPr>
        <w:t>Dodana vrednost in</w:t>
      </w:r>
      <w:r w:rsidRPr="0048488E">
        <w:rPr>
          <w:b/>
        </w:rPr>
        <w:t xml:space="preserve"> število zaposlenih gostinskih </w:t>
      </w:r>
      <w:r w:rsidR="004A4A79">
        <w:rPr>
          <w:b/>
        </w:rPr>
        <w:t xml:space="preserve">gospodarskih </w:t>
      </w:r>
      <w:r w:rsidRPr="0048488E">
        <w:rPr>
          <w:b/>
        </w:rPr>
        <w:t xml:space="preserve">družb sta </w:t>
      </w:r>
      <w:r>
        <w:rPr>
          <w:b/>
        </w:rPr>
        <w:t>se po zmanjšanju v letu</w:t>
      </w:r>
      <w:r w:rsidR="00347E76">
        <w:rPr>
          <w:b/>
        </w:rPr>
        <w:t xml:space="preserve"> izbruha epidemije covida-19</w:t>
      </w:r>
      <w:r>
        <w:rPr>
          <w:b/>
        </w:rPr>
        <w:t xml:space="preserve"> v letu 2021 ponovno povečala, a še nista dosegla ravni pred epidemijo.</w:t>
      </w:r>
      <w:r w:rsidRPr="0048488E">
        <w:rPr>
          <w:b/>
        </w:rPr>
        <w:t xml:space="preserve"> </w:t>
      </w:r>
      <w:r w:rsidRPr="00271198">
        <w:t xml:space="preserve">Po rasti v </w:t>
      </w:r>
      <w:r>
        <w:t xml:space="preserve">obdobju </w:t>
      </w:r>
      <w:r w:rsidRPr="0048488E">
        <w:rPr>
          <w:bCs/>
        </w:rPr>
        <w:t>20</w:t>
      </w:r>
      <w:r>
        <w:rPr>
          <w:bCs/>
        </w:rPr>
        <w:t>15</w:t>
      </w:r>
      <w:r w:rsidRPr="0048488E">
        <w:rPr>
          <w:bCs/>
        </w:rPr>
        <w:t>–201</w:t>
      </w:r>
      <w:r>
        <w:rPr>
          <w:bCs/>
        </w:rPr>
        <w:t>9</w:t>
      </w:r>
      <w:r w:rsidRPr="0048488E">
        <w:rPr>
          <w:bCs/>
        </w:rPr>
        <w:t xml:space="preserve"> </w:t>
      </w:r>
      <w:r w:rsidRPr="00271198">
        <w:t>se je</w:t>
      </w:r>
      <w:r>
        <w:rPr>
          <w:b/>
        </w:rPr>
        <w:t xml:space="preserve"> </w:t>
      </w:r>
      <w:r>
        <w:rPr>
          <w:bCs/>
        </w:rPr>
        <w:t>d</w:t>
      </w:r>
      <w:r w:rsidRPr="0048488E">
        <w:rPr>
          <w:bCs/>
        </w:rPr>
        <w:t xml:space="preserve">odana vrednost </w:t>
      </w:r>
      <w:r>
        <w:rPr>
          <w:bCs/>
        </w:rPr>
        <w:t>(brez upoštevanja subvencij)</w:t>
      </w:r>
      <w:r>
        <w:rPr>
          <w:rStyle w:val="Sprotnaopomba-sklic"/>
          <w:bCs/>
        </w:rPr>
        <w:footnoteReference w:id="4"/>
      </w:r>
      <w:r>
        <w:rPr>
          <w:bCs/>
        </w:rPr>
        <w:t xml:space="preserve"> </w:t>
      </w:r>
      <w:r w:rsidRPr="0048488E">
        <w:rPr>
          <w:bCs/>
        </w:rPr>
        <w:t>gostinskih družb l</w:t>
      </w:r>
      <w:r>
        <w:rPr>
          <w:bCs/>
        </w:rPr>
        <w:t>eta 2020 močno zmanjšala, leta 2021 pa ponovno povečala, a je bila še vedno za skoraj petino manjša kot pred epidemijo.</w:t>
      </w:r>
      <w:r w:rsidRPr="0048488E">
        <w:rPr>
          <w:bCs/>
        </w:rPr>
        <w:t xml:space="preserve"> </w:t>
      </w:r>
      <w:r>
        <w:rPr>
          <w:bCs/>
        </w:rPr>
        <w:t>Po zmanjšanju v letu 2020</w:t>
      </w:r>
      <w:r w:rsidR="003E7931">
        <w:rPr>
          <w:bCs/>
        </w:rPr>
        <w:t>, ki bi bilo brez ukrepov vlade za ohranjanje delovnih mest še precej večje</w:t>
      </w:r>
      <w:r w:rsidR="00921996">
        <w:rPr>
          <w:bCs/>
        </w:rPr>
        <w:t xml:space="preserve"> </w:t>
      </w:r>
      <w:bookmarkStart w:id="6" w:name="_Hlk121480052"/>
      <w:r w:rsidR="00921996">
        <w:rPr>
          <w:bCs/>
        </w:rPr>
        <w:t>(za več glej Okvir 1)</w:t>
      </w:r>
      <w:bookmarkEnd w:id="6"/>
      <w:r w:rsidR="003E7931">
        <w:rPr>
          <w:bCs/>
        </w:rPr>
        <w:t>,</w:t>
      </w:r>
      <w:r>
        <w:rPr>
          <w:bCs/>
        </w:rPr>
        <w:t xml:space="preserve"> se je leta 2021 povečalo tudi število zaposlenih, ki pa še ni doseglo ravni pred epidemijo</w:t>
      </w:r>
      <w:r w:rsidR="003E7931">
        <w:rPr>
          <w:rStyle w:val="Sprotnaopomba-sklic"/>
          <w:bCs/>
        </w:rPr>
        <w:footnoteReference w:id="5"/>
      </w:r>
      <w:r>
        <w:rPr>
          <w:bCs/>
        </w:rPr>
        <w:t xml:space="preserve">. Ob takšnih gibanjih se je </w:t>
      </w:r>
      <w:r w:rsidRPr="0048488E">
        <w:rPr>
          <w:bCs/>
        </w:rPr>
        <w:t xml:space="preserve">produktivnost gostinskih družb (dodana vrednost </w:t>
      </w:r>
      <w:r>
        <w:rPr>
          <w:bCs/>
        </w:rPr>
        <w:t xml:space="preserve">brez upoštevanja subvencij </w:t>
      </w:r>
      <w:r w:rsidRPr="0048488E">
        <w:rPr>
          <w:bCs/>
        </w:rPr>
        <w:t>na zaposlenega)</w:t>
      </w:r>
      <w:r>
        <w:rPr>
          <w:bCs/>
        </w:rPr>
        <w:t xml:space="preserve"> v letu 2021 povečala za okoli tretjino, a je bila še nižja od </w:t>
      </w:r>
      <w:r w:rsidR="00347E76">
        <w:rPr>
          <w:bCs/>
        </w:rPr>
        <w:t xml:space="preserve">ravni </w:t>
      </w:r>
      <w:r>
        <w:rPr>
          <w:bCs/>
        </w:rPr>
        <w:t>pred epidemijo</w:t>
      </w:r>
      <w:r w:rsidRPr="0048488E">
        <w:rPr>
          <w:bCs/>
        </w:rPr>
        <w:t>. Produktivnost družb</w:t>
      </w:r>
      <w:r>
        <w:rPr>
          <w:bCs/>
        </w:rPr>
        <w:t xml:space="preserve">, </w:t>
      </w:r>
      <w:r w:rsidRPr="0048488E">
        <w:rPr>
          <w:bCs/>
        </w:rPr>
        <w:t>ki se ukvarjajo z gostinskimi nastanitvenimi dejavnostmi (I 55)</w:t>
      </w:r>
      <w:r w:rsidR="00347E76">
        <w:rPr>
          <w:bCs/>
        </w:rPr>
        <w:t>,</w:t>
      </w:r>
      <w:r>
        <w:rPr>
          <w:bCs/>
        </w:rPr>
        <w:t xml:space="preserve"> je za </w:t>
      </w:r>
      <w:r w:rsidR="00347E76">
        <w:rPr>
          <w:bCs/>
        </w:rPr>
        <w:t xml:space="preserve">ravnjo </w:t>
      </w:r>
      <w:r>
        <w:rPr>
          <w:bCs/>
        </w:rPr>
        <w:t xml:space="preserve">iz leta 2019 zaostajala za desetino, družb, ki se </w:t>
      </w:r>
      <w:r w:rsidRPr="0048488E">
        <w:rPr>
          <w:bCs/>
        </w:rPr>
        <w:t>ukvarjajo s strežbo jedi in pijač (I 56)</w:t>
      </w:r>
      <w:r w:rsidR="001A7BEF">
        <w:rPr>
          <w:bCs/>
        </w:rPr>
        <w:t>,</w:t>
      </w:r>
      <w:r>
        <w:rPr>
          <w:bCs/>
        </w:rPr>
        <w:t xml:space="preserve"> pa za 16 %</w:t>
      </w:r>
      <w:r w:rsidRPr="0048488E">
        <w:rPr>
          <w:bCs/>
        </w:rPr>
        <w:t>. Največji del oddelka nastanitvenih storitev sicer predstavljajo hoteli in podobni obrati (I 55.1), v oddelku strežba jedi in pijač pa restavracije in družbe druge strežbe jedi (I 56.1).</w:t>
      </w:r>
      <w:bookmarkStart w:id="7" w:name="_Toc96409042"/>
    </w:p>
    <w:p w14:paraId="7FB4808C" w14:textId="77777777" w:rsidR="00032D50" w:rsidRDefault="00032D50" w:rsidP="00032D50">
      <w:pPr>
        <w:pStyle w:val="BesediloUMAR"/>
        <w:rPr>
          <w:bCs/>
        </w:rPr>
      </w:pPr>
    </w:p>
    <w:p w14:paraId="656AE387" w14:textId="1BF4B9D3" w:rsidR="00032D50" w:rsidRPr="00032D50" w:rsidRDefault="00032D50" w:rsidP="00032D50">
      <w:pPr>
        <w:pStyle w:val="BesediloUMAR"/>
        <w:rPr>
          <w:b/>
          <w:bCs/>
          <w:noProof/>
          <w:szCs w:val="20"/>
        </w:rPr>
      </w:pPr>
      <w:r w:rsidRPr="00032D50">
        <w:rPr>
          <w:b/>
          <w:bCs/>
          <w:noProof/>
          <w:szCs w:val="20"/>
        </w:rPr>
        <w:t xml:space="preserve">Slika </w:t>
      </w:r>
      <w:r w:rsidRPr="00032D50">
        <w:rPr>
          <w:b/>
          <w:bCs/>
          <w:noProof/>
          <w:szCs w:val="20"/>
        </w:rPr>
        <w:fldChar w:fldCharType="begin"/>
      </w:r>
      <w:r w:rsidRPr="00032D50">
        <w:rPr>
          <w:b/>
          <w:bCs/>
          <w:noProof/>
          <w:szCs w:val="20"/>
        </w:rPr>
        <w:instrText xml:space="preserve"> SEQ Slika \* ARABIC </w:instrText>
      </w:r>
      <w:r w:rsidRPr="00032D50">
        <w:rPr>
          <w:b/>
          <w:bCs/>
          <w:noProof/>
          <w:szCs w:val="20"/>
        </w:rPr>
        <w:fldChar w:fldCharType="separate"/>
      </w:r>
      <w:r w:rsidR="00DF1252">
        <w:rPr>
          <w:b/>
          <w:bCs/>
          <w:noProof/>
          <w:szCs w:val="20"/>
        </w:rPr>
        <w:t>1</w:t>
      </w:r>
      <w:r w:rsidRPr="00032D50">
        <w:rPr>
          <w:b/>
          <w:bCs/>
          <w:noProof/>
          <w:szCs w:val="20"/>
        </w:rPr>
        <w:fldChar w:fldCharType="end"/>
      </w:r>
      <w:r w:rsidRPr="00032D50">
        <w:rPr>
          <w:b/>
          <w:bCs/>
          <w:noProof/>
        </w:rPr>
        <w:t xml:space="preserve">: </w:t>
      </w:r>
      <w:r w:rsidRPr="00032D50">
        <w:rPr>
          <w:b/>
          <w:bCs/>
          <w:noProof/>
          <w:szCs w:val="20"/>
        </w:rPr>
        <w:t>Po deležu v dodani vrednosti so bile družbe obeh oddelkov v letu 2021 precej izenačene</w:t>
      </w:r>
    </w:p>
    <w:p w14:paraId="50A7AA27" w14:textId="5A3457BC" w:rsidR="00032D50" w:rsidRPr="00C03361" w:rsidRDefault="00505A76" w:rsidP="00032D50">
      <w:pPr>
        <w:pStyle w:val="BesediloUMAR"/>
      </w:pPr>
      <w:r w:rsidRPr="00505A76">
        <w:rPr>
          <w:noProof/>
        </w:rPr>
        <w:drawing>
          <wp:inline distT="0" distB="0" distL="0" distR="0" wp14:anchorId="69ACA732" wp14:editId="0BA79EBA">
            <wp:extent cx="5759450" cy="21569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156907"/>
                    </a:xfrm>
                    <a:prstGeom prst="rect">
                      <a:avLst/>
                    </a:prstGeom>
                    <a:noFill/>
                    <a:ln>
                      <a:noFill/>
                    </a:ln>
                  </pic:spPr>
                </pic:pic>
              </a:graphicData>
            </a:graphic>
          </wp:inline>
        </w:drawing>
      </w:r>
    </w:p>
    <w:p w14:paraId="0307DFA8" w14:textId="4B377A87" w:rsidR="00032D50" w:rsidRPr="00032D50" w:rsidRDefault="00032D50" w:rsidP="00032D50">
      <w:pPr>
        <w:pStyle w:val="VirUMAR"/>
      </w:pPr>
      <w:r w:rsidRPr="008F6BED">
        <w:t xml:space="preserve">Vir podatkov: </w:t>
      </w:r>
      <w:r>
        <w:fldChar w:fldCharType="begin"/>
      </w:r>
      <w:r>
        <w:instrText xml:space="preserve"> ADDIN ZOTERO_ITEM CSL_CITATION {"citationID":"37NqbOnr","properties":{"formattedCitation":"(AJPES,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2022)</w:t>
      </w:r>
      <w:r>
        <w:fldChar w:fldCharType="end"/>
      </w:r>
      <w:r w:rsidRPr="008F6BED">
        <w:t>, lastni izračuni.</w:t>
      </w:r>
    </w:p>
    <w:p w14:paraId="40E7F5BA" w14:textId="77777777" w:rsidR="00DF1252" w:rsidRDefault="00DF1252" w:rsidP="00DF1252">
      <w:pPr>
        <w:pStyle w:val="BesediloUMAR"/>
      </w:pPr>
    </w:p>
    <w:p w14:paraId="3AE0A463" w14:textId="14DC37F0" w:rsidR="00DF1252" w:rsidRDefault="00DF1252" w:rsidP="00DF1252">
      <w:pPr>
        <w:pStyle w:val="DZBesedilo"/>
        <w:rPr>
          <w:bCs/>
        </w:rPr>
      </w:pPr>
      <w:r w:rsidRPr="0008338D">
        <w:rPr>
          <w:b/>
        </w:rPr>
        <w:t>Po</w:t>
      </w:r>
      <w:r w:rsidRPr="0048488E">
        <w:rPr>
          <w:b/>
        </w:rPr>
        <w:t xml:space="preserve"> poslovanju z neto čist</w:t>
      </w:r>
      <w:r>
        <w:rPr>
          <w:b/>
        </w:rPr>
        <w:t>o izgubo v letu</w:t>
      </w:r>
      <w:r w:rsidRPr="0048488E">
        <w:rPr>
          <w:b/>
        </w:rPr>
        <w:t xml:space="preserve"> 20</w:t>
      </w:r>
      <w:r>
        <w:rPr>
          <w:b/>
        </w:rPr>
        <w:t>20</w:t>
      </w:r>
      <w:r w:rsidRPr="0048488E">
        <w:rPr>
          <w:b/>
        </w:rPr>
        <w:t xml:space="preserve"> so gostinske družbe </w:t>
      </w:r>
      <w:r>
        <w:rPr>
          <w:b/>
        </w:rPr>
        <w:t xml:space="preserve">leto 2021 zaključile z neto čistim dobičkom. </w:t>
      </w:r>
      <w:r w:rsidRPr="00714081">
        <w:t>Gostinske družbe so</w:t>
      </w:r>
      <w:r>
        <w:rPr>
          <w:b/>
        </w:rPr>
        <w:t xml:space="preserve"> </w:t>
      </w:r>
      <w:r w:rsidRPr="0048488E">
        <w:rPr>
          <w:bCs/>
        </w:rPr>
        <w:t xml:space="preserve">v obdobju 2008–2014 </w:t>
      </w:r>
      <w:r>
        <w:rPr>
          <w:bCs/>
        </w:rPr>
        <w:t>poslovale z neto čisto izgubo, ki je bila</w:t>
      </w:r>
      <w:r w:rsidRPr="0048488E">
        <w:rPr>
          <w:bCs/>
        </w:rPr>
        <w:t xml:space="preserve"> posledica visoke neto izgube iz financiranja, po letu 2010 pa tudi neto izgube iz poslovanja. </w:t>
      </w:r>
      <w:r>
        <w:rPr>
          <w:bCs/>
        </w:rPr>
        <w:t>Od l</w:t>
      </w:r>
      <w:r w:rsidRPr="0048488E">
        <w:rPr>
          <w:bCs/>
        </w:rPr>
        <w:t xml:space="preserve">eta 2015 </w:t>
      </w:r>
      <w:r>
        <w:rPr>
          <w:bCs/>
        </w:rPr>
        <w:t xml:space="preserve">pa se je </w:t>
      </w:r>
      <w:r w:rsidRPr="0048488E">
        <w:rPr>
          <w:bCs/>
        </w:rPr>
        <w:t>neto poslovni dobiček</w:t>
      </w:r>
      <w:r>
        <w:rPr>
          <w:bCs/>
        </w:rPr>
        <w:t xml:space="preserve"> povečeval,</w:t>
      </w:r>
      <w:r w:rsidRPr="0048488E">
        <w:rPr>
          <w:bCs/>
        </w:rPr>
        <w:t xml:space="preserve"> neto izguba iz financiranja</w:t>
      </w:r>
      <w:r>
        <w:rPr>
          <w:bCs/>
        </w:rPr>
        <w:t xml:space="preserve"> pa zmanjševala.</w:t>
      </w:r>
      <w:r w:rsidRPr="0048488E">
        <w:rPr>
          <w:bCs/>
        </w:rPr>
        <w:t xml:space="preserve"> Neto čisti dobiček je bil tako leta 2019 s 57,7 mio evrov za več kot polovico višji kot pred letom. </w:t>
      </w:r>
      <w:r>
        <w:rPr>
          <w:bCs/>
        </w:rPr>
        <w:t>Nadaljevanje dobrih rezultatov je v letu 2020 prekinila epidemija covida-19 in omejitve poslovanja, ki so bile pri gostinskih družbah zelo</w:t>
      </w:r>
      <w:r w:rsidR="00BB176E">
        <w:rPr>
          <w:bCs/>
        </w:rPr>
        <w:t xml:space="preserve"> velike</w:t>
      </w:r>
      <w:r w:rsidRPr="00E937C6">
        <w:rPr>
          <w:bCs/>
        </w:rPr>
        <w:t>. Gostinske</w:t>
      </w:r>
      <w:r>
        <w:rPr>
          <w:bCs/>
        </w:rPr>
        <w:t xml:space="preserve"> družbe so tako leto 2020 zaključile z neto čisto izgubo v višini 77,4 mio evrov. Poslovanje se je v letu 2021 precej izboljšalo, saj so družbe ponovno poslovale z neto čistim dobičkom, ki je bil sicer s 45,1 mio evrov nekoliko manjši kot leta 2019. </w:t>
      </w:r>
      <w:r w:rsidRPr="0048488E">
        <w:rPr>
          <w:bCs/>
        </w:rPr>
        <w:t>Rezultate poslovanja so leta 20</w:t>
      </w:r>
      <w:r>
        <w:rPr>
          <w:bCs/>
        </w:rPr>
        <w:t>21 izboljšale</w:t>
      </w:r>
      <w:r w:rsidRPr="0048488E">
        <w:rPr>
          <w:bCs/>
        </w:rPr>
        <w:t xml:space="preserve"> družbe obeh oddelkov. Ob </w:t>
      </w:r>
      <w:r>
        <w:rPr>
          <w:bCs/>
        </w:rPr>
        <w:t>izboljšanju</w:t>
      </w:r>
      <w:r w:rsidRPr="0048488E">
        <w:rPr>
          <w:bCs/>
        </w:rPr>
        <w:t xml:space="preserve"> poslovanja</w:t>
      </w:r>
      <w:r>
        <w:rPr>
          <w:bCs/>
        </w:rPr>
        <w:t xml:space="preserve"> se je izboljšala tudi </w:t>
      </w:r>
      <w:r w:rsidRPr="0048488E">
        <w:rPr>
          <w:bCs/>
        </w:rPr>
        <w:t>donosnost prodaje in sredstev</w:t>
      </w:r>
      <w:r>
        <w:rPr>
          <w:bCs/>
        </w:rPr>
        <w:t xml:space="preserve">, ki pa je bila </w:t>
      </w:r>
      <w:r w:rsidR="005E7223">
        <w:rPr>
          <w:bCs/>
        </w:rPr>
        <w:t xml:space="preserve">še </w:t>
      </w:r>
      <w:r>
        <w:rPr>
          <w:bCs/>
        </w:rPr>
        <w:t>nižja kot leta 2019.</w:t>
      </w:r>
    </w:p>
    <w:p w14:paraId="1CB16103" w14:textId="2102CC04" w:rsidR="003E7931" w:rsidRDefault="003E7931" w:rsidP="00DF1252">
      <w:pPr>
        <w:pStyle w:val="DZBesedilo"/>
        <w:rPr>
          <w:rStyle w:val="DZBesediloChar"/>
        </w:rPr>
      </w:pPr>
    </w:p>
    <w:p w14:paraId="035984E2" w14:textId="64808046" w:rsidR="003E7931" w:rsidRDefault="003E7931" w:rsidP="00DF1252">
      <w:pPr>
        <w:pStyle w:val="DZBesedilo"/>
        <w:rPr>
          <w:rStyle w:val="DZBesediloChar"/>
        </w:rPr>
      </w:pPr>
    </w:p>
    <w:p w14:paraId="30C5EECC" w14:textId="3466E698" w:rsidR="009D4DAE" w:rsidRDefault="009D4DAE" w:rsidP="00DF1252">
      <w:pPr>
        <w:pStyle w:val="DZBesedilo"/>
        <w:rPr>
          <w:rStyle w:val="DZBesediloChar"/>
        </w:rPr>
      </w:pPr>
    </w:p>
    <w:p w14:paraId="6AA930EE" w14:textId="77777777" w:rsidR="009D4DAE" w:rsidRDefault="009D4DAE" w:rsidP="00DF1252">
      <w:pPr>
        <w:pStyle w:val="DZBesedilo"/>
        <w:rPr>
          <w:rStyle w:val="DZBesediloChar"/>
        </w:rPr>
      </w:pPr>
    </w:p>
    <w:tbl>
      <w:tblPr>
        <w:tblStyle w:val="UMARokvir1"/>
        <w:tblW w:w="0" w:type="auto"/>
        <w:tblCellMar>
          <w:top w:w="142" w:type="dxa"/>
          <w:bottom w:w="170" w:type="dxa"/>
        </w:tblCellMar>
        <w:tblLook w:val="04A0" w:firstRow="1" w:lastRow="0" w:firstColumn="1" w:lastColumn="0" w:noHBand="0" w:noVBand="1"/>
      </w:tblPr>
      <w:tblGrid>
        <w:gridCol w:w="9060"/>
      </w:tblGrid>
      <w:tr w:rsidR="003E7931" w:rsidRPr="008D75F2" w14:paraId="31A9DA76" w14:textId="77777777" w:rsidTr="001F3514">
        <w:tc>
          <w:tcPr>
            <w:tcW w:w="9060" w:type="dxa"/>
          </w:tcPr>
          <w:p w14:paraId="34F30A69" w14:textId="24663CD3" w:rsidR="003E7931" w:rsidRDefault="003E7931" w:rsidP="004E6E34">
            <w:pPr>
              <w:tabs>
                <w:tab w:val="right" w:leader="dot" w:pos="9070"/>
              </w:tabs>
              <w:spacing w:before="100" w:after="100" w:line="257" w:lineRule="auto"/>
              <w:contextualSpacing/>
              <w:jc w:val="both"/>
              <w:rPr>
                <w:rFonts w:ascii="Myriad Pro" w:hAnsi="Myriad Pro"/>
                <w:b/>
                <w:bCs/>
                <w:noProof/>
                <w:spacing w:val="-6"/>
                <w:sz w:val="20"/>
                <w:szCs w:val="20"/>
              </w:rPr>
            </w:pPr>
            <w:r w:rsidRPr="008D75F2">
              <w:rPr>
                <w:rFonts w:ascii="Myriad Pro" w:hAnsi="Myriad Pro"/>
                <w:b/>
                <w:bCs/>
                <w:noProof/>
                <w:spacing w:val="-6"/>
                <w:sz w:val="20"/>
                <w:szCs w:val="20"/>
              </w:rPr>
              <w:lastRenderedPageBreak/>
              <w:t xml:space="preserve">Okvir </w:t>
            </w:r>
            <w:r w:rsidRPr="008D75F2">
              <w:rPr>
                <w:rFonts w:ascii="Myriad Pro" w:hAnsi="Myriad Pro"/>
                <w:b/>
                <w:bCs/>
                <w:noProof/>
                <w:spacing w:val="-6"/>
                <w:sz w:val="20"/>
                <w:szCs w:val="20"/>
              </w:rPr>
              <w:fldChar w:fldCharType="begin"/>
            </w:r>
            <w:r w:rsidRPr="008D75F2">
              <w:rPr>
                <w:rFonts w:ascii="Myriad Pro" w:hAnsi="Myriad Pro"/>
                <w:b/>
                <w:bCs/>
                <w:noProof/>
                <w:spacing w:val="-6"/>
                <w:sz w:val="20"/>
                <w:szCs w:val="20"/>
              </w:rPr>
              <w:instrText xml:space="preserve"> SEQ Okvir \* ARABIC </w:instrText>
            </w:r>
            <w:r w:rsidRPr="008D75F2">
              <w:rPr>
                <w:rFonts w:ascii="Myriad Pro" w:hAnsi="Myriad Pro"/>
                <w:b/>
                <w:bCs/>
                <w:noProof/>
                <w:spacing w:val="-6"/>
                <w:sz w:val="20"/>
                <w:szCs w:val="20"/>
              </w:rPr>
              <w:fldChar w:fldCharType="separate"/>
            </w:r>
            <w:r w:rsidRPr="008D75F2">
              <w:rPr>
                <w:rFonts w:ascii="Myriad Pro" w:hAnsi="Myriad Pro"/>
                <w:b/>
                <w:bCs/>
                <w:noProof/>
                <w:spacing w:val="-6"/>
                <w:sz w:val="20"/>
                <w:szCs w:val="20"/>
              </w:rPr>
              <w:t>1</w:t>
            </w:r>
            <w:r w:rsidRPr="008D75F2">
              <w:rPr>
                <w:rFonts w:ascii="Myriad Pro" w:hAnsi="Myriad Pro"/>
                <w:b/>
                <w:bCs/>
                <w:noProof/>
                <w:spacing w:val="-6"/>
                <w:sz w:val="20"/>
                <w:szCs w:val="20"/>
              </w:rPr>
              <w:fldChar w:fldCharType="end"/>
            </w:r>
            <w:r w:rsidRPr="008D75F2">
              <w:rPr>
                <w:rFonts w:ascii="Myriad Pro" w:hAnsi="Myriad Pro"/>
                <w:b/>
                <w:bCs/>
                <w:noProof/>
                <w:spacing w:val="-6"/>
                <w:sz w:val="20"/>
                <w:szCs w:val="20"/>
              </w:rPr>
              <w:t xml:space="preserve">: </w:t>
            </w:r>
            <w:r>
              <w:rPr>
                <w:rFonts w:ascii="Myriad Pro" w:hAnsi="Myriad Pro"/>
                <w:b/>
                <w:bCs/>
                <w:noProof/>
                <w:spacing w:val="-6"/>
                <w:sz w:val="20"/>
                <w:szCs w:val="20"/>
              </w:rPr>
              <w:t>Ukrepi vlade za ohranjanje delovnih mest</w:t>
            </w:r>
          </w:p>
          <w:p w14:paraId="0138361C" w14:textId="77777777" w:rsidR="009D4DAE" w:rsidRDefault="009D4DAE" w:rsidP="004E6E34">
            <w:pPr>
              <w:tabs>
                <w:tab w:val="right" w:leader="dot" w:pos="9070"/>
              </w:tabs>
              <w:spacing w:before="100" w:after="100" w:line="257" w:lineRule="auto"/>
              <w:contextualSpacing/>
              <w:jc w:val="both"/>
              <w:rPr>
                <w:rFonts w:ascii="Myriad Pro" w:hAnsi="Myriad Pro"/>
                <w:b/>
                <w:bCs/>
                <w:noProof/>
                <w:spacing w:val="-6"/>
                <w:sz w:val="20"/>
                <w:szCs w:val="20"/>
              </w:rPr>
            </w:pPr>
          </w:p>
          <w:p w14:paraId="27FEE635" w14:textId="5BAD1965" w:rsidR="003E7931" w:rsidRDefault="003E7931" w:rsidP="004E6E34">
            <w:pPr>
              <w:spacing w:after="0" w:line="288" w:lineRule="auto"/>
              <w:jc w:val="both"/>
              <w:rPr>
                <w:rFonts w:ascii="Myriad Pro" w:hAnsi="Myriad Pro"/>
                <w:sz w:val="20"/>
              </w:rPr>
            </w:pPr>
            <w:r w:rsidRPr="009D4DAE">
              <w:rPr>
                <w:rFonts w:ascii="Myriad Pro" w:hAnsi="Myriad Pro"/>
                <w:b/>
                <w:sz w:val="20"/>
              </w:rPr>
              <w:t>Vlada je od prve razglasitve epidemije sprejela vrsto ukrepov za ohranitev delovnih mest.</w:t>
            </w:r>
            <w:r w:rsidRPr="003C6DCB">
              <w:rPr>
                <w:rFonts w:ascii="Myriad Pro" w:hAnsi="Myriad Pro"/>
                <w:sz w:val="20"/>
              </w:rPr>
              <w:t xml:space="preserve"> Namen ukrepov je bil znižanje stroškov dela, s čimer bi se povečale možnosti ohranitve delovnih mest in zaposlenih do obdobja, ko bi se znova okrepila gospodarska aktivnost. Eden izmed pomembnejših ukrepov je bil ukrep povračil</w:t>
            </w:r>
            <w:r w:rsidR="00E937C6">
              <w:rPr>
                <w:rFonts w:ascii="Myriad Pro" w:hAnsi="Myriad Pro"/>
                <w:sz w:val="20"/>
              </w:rPr>
              <w:t>a</w:t>
            </w:r>
            <w:r w:rsidRPr="003C6DCB">
              <w:rPr>
                <w:rFonts w:ascii="Myriad Pro" w:hAnsi="Myriad Pro"/>
                <w:sz w:val="20"/>
              </w:rPr>
              <w:t xml:space="preserve"> nadomestila plače za zaposlene na čakanju na delo, ki je med drugim določil pravico do delnega povračila izplačanih nadomestil plače delavcem, ki jim delodajalec zaradi epidemije ni mogel zagotavljati dela in jih je napotil na začasno čakanje na delo</w:t>
            </w:r>
            <w:r w:rsidRPr="003C6DCB">
              <w:rPr>
                <w:rFonts w:ascii="Myriad Pro" w:hAnsi="Myriad Pro"/>
                <w:sz w:val="18"/>
                <w:vertAlign w:val="superscript"/>
              </w:rPr>
              <w:footnoteReference w:id="6"/>
            </w:r>
            <w:r w:rsidRPr="003C6DCB">
              <w:rPr>
                <w:rFonts w:ascii="Myriad Pro" w:hAnsi="Myriad Pro"/>
                <w:sz w:val="20"/>
              </w:rPr>
              <w:t xml:space="preserve">. </w:t>
            </w:r>
            <w:r w:rsidRPr="00934CF5">
              <w:rPr>
                <w:rFonts w:ascii="Myriad Pro" w:hAnsi="Myriad Pro"/>
                <w:sz w:val="20"/>
              </w:rPr>
              <w:t>Sredi leta 2020 je bil sprejet tudi ukrep delnega subvencioniranja skrajšanja polnega delovnega časa</w:t>
            </w:r>
            <w:r>
              <w:rPr>
                <w:rFonts w:ascii="Myriad Pro" w:hAnsi="Myriad Pro"/>
                <w:sz w:val="20"/>
              </w:rPr>
              <w:t xml:space="preserve">, ki je </w:t>
            </w:r>
            <w:r w:rsidRPr="00934CF5">
              <w:rPr>
                <w:rFonts w:ascii="Myriad Pro" w:hAnsi="Myriad Pro"/>
                <w:sz w:val="20"/>
              </w:rPr>
              <w:t>omogočal, da delodajalec delavcem začasno odredi delo s skrajšanim delovnim časom (za največ polovični delovni čas), za preostali del časa pa je bil delavec napoten na začasno čakanje na delo</w:t>
            </w:r>
            <w:r>
              <w:rPr>
                <w:rStyle w:val="Sprotnaopomba-sklic"/>
              </w:rPr>
              <w:footnoteReference w:id="7"/>
            </w:r>
            <w:r w:rsidRPr="00934CF5">
              <w:rPr>
                <w:rFonts w:ascii="Myriad Pro" w:hAnsi="Myriad Pro"/>
                <w:sz w:val="20"/>
              </w:rPr>
              <w:t xml:space="preserve">. </w:t>
            </w:r>
            <w:r w:rsidRPr="003C6DCB">
              <w:rPr>
                <w:rFonts w:ascii="Myriad Pro" w:hAnsi="Myriad Pro"/>
                <w:sz w:val="20"/>
              </w:rPr>
              <w:t xml:space="preserve">V okviru ukrepov za ohranjanje delovnih mest so bili sprejeti tudi </w:t>
            </w:r>
            <w:r>
              <w:rPr>
                <w:rFonts w:ascii="Myriad Pro" w:hAnsi="Myriad Pro"/>
                <w:sz w:val="20"/>
              </w:rPr>
              <w:t xml:space="preserve">številni </w:t>
            </w:r>
            <w:r w:rsidRPr="003C6DCB">
              <w:rPr>
                <w:rFonts w:ascii="Myriad Pro" w:hAnsi="Myriad Pro"/>
                <w:sz w:val="20"/>
              </w:rPr>
              <w:t>drugi ukrepi</w:t>
            </w:r>
            <w:r>
              <w:rPr>
                <w:rStyle w:val="Sprotnaopomba-sklic"/>
              </w:rPr>
              <w:footnoteReference w:id="8"/>
            </w:r>
            <w:r w:rsidRPr="003C6DCB">
              <w:rPr>
                <w:rFonts w:ascii="Myriad Pro" w:hAnsi="Myriad Pro"/>
                <w:sz w:val="20"/>
              </w:rPr>
              <w:t>.</w:t>
            </w:r>
            <w:r w:rsidRPr="00032D50">
              <w:rPr>
                <w:rFonts w:ascii="Myriad Pro" w:hAnsi="Myriad Pro"/>
                <w:sz w:val="20"/>
              </w:rPr>
              <w:t xml:space="preserve"> </w:t>
            </w:r>
            <w:r w:rsidRPr="003C6DCB">
              <w:rPr>
                <w:rFonts w:ascii="Myriad Pro" w:hAnsi="Myriad Pro"/>
                <w:sz w:val="20"/>
              </w:rPr>
              <w:t xml:space="preserve">Zaradi </w:t>
            </w:r>
            <w:r w:rsidR="00CD6506">
              <w:rPr>
                <w:rFonts w:ascii="Myriad Pro" w:hAnsi="Myriad Pro"/>
                <w:sz w:val="20"/>
              </w:rPr>
              <w:t xml:space="preserve">obsežnih </w:t>
            </w:r>
            <w:r w:rsidRPr="00E937C6">
              <w:rPr>
                <w:rFonts w:ascii="Myriad Pro" w:hAnsi="Myriad Pro"/>
                <w:sz w:val="20"/>
              </w:rPr>
              <w:t>omejitev pri poslovanju je bil</w:t>
            </w:r>
            <w:r w:rsidRPr="003C6DCB">
              <w:rPr>
                <w:rFonts w:ascii="Myriad Pro" w:hAnsi="Myriad Pro"/>
                <w:sz w:val="20"/>
              </w:rPr>
              <w:t xml:space="preserve"> v ukrepe vključen velik delež zaposlenih in podjetij iz gostinstva</w:t>
            </w:r>
            <w:r>
              <w:rPr>
                <w:rFonts w:ascii="Myriad Pro" w:hAnsi="Myriad Pro"/>
                <w:sz w:val="20"/>
              </w:rPr>
              <w:t xml:space="preserve"> (dejavnost I)</w:t>
            </w:r>
            <w:r w:rsidRPr="003C6DCB">
              <w:rPr>
                <w:rFonts w:ascii="Myriad Pro" w:hAnsi="Myriad Pro"/>
                <w:sz w:val="20"/>
              </w:rPr>
              <w:t>. Kar okoli 73 % vseh podjetij v gostinstvu je v obdobju veljavnosti ukrepa vsaj enkrat koristil</w:t>
            </w:r>
            <w:r>
              <w:rPr>
                <w:rFonts w:ascii="Myriad Pro" w:hAnsi="Myriad Pro"/>
                <w:sz w:val="20"/>
              </w:rPr>
              <w:t>o</w:t>
            </w:r>
            <w:r w:rsidRPr="003C6DCB">
              <w:rPr>
                <w:rFonts w:ascii="Myriad Pro" w:hAnsi="Myriad Pro"/>
                <w:sz w:val="20"/>
              </w:rPr>
              <w:t xml:space="preserve"> ukrep čakanje na delo, kar je bilo največ med vsemi dejavnostmi</w:t>
            </w:r>
            <w:r w:rsidRPr="003C6DCB">
              <w:rPr>
                <w:rFonts w:ascii="Myriad Pro" w:hAnsi="Myriad Pro"/>
                <w:sz w:val="18"/>
                <w:vertAlign w:val="superscript"/>
              </w:rPr>
              <w:footnoteReference w:id="9"/>
            </w:r>
            <w:r w:rsidRPr="003C6DCB">
              <w:rPr>
                <w:rFonts w:ascii="Myriad Pro" w:hAnsi="Myriad Pro"/>
                <w:sz w:val="20"/>
              </w:rPr>
              <w:t xml:space="preserve">. </w:t>
            </w:r>
          </w:p>
          <w:p w14:paraId="78D23C51" w14:textId="61384711" w:rsidR="003E7931" w:rsidRPr="00355D96" w:rsidRDefault="003E7931" w:rsidP="004E6E34">
            <w:pPr>
              <w:pStyle w:val="Napis"/>
              <w:rPr>
                <w:rStyle w:val="DZBesediloChar"/>
                <w:szCs w:val="20"/>
              </w:rPr>
            </w:pPr>
            <w:r w:rsidRPr="00355D96">
              <w:t xml:space="preserve">Slika </w:t>
            </w:r>
            <w:r w:rsidRPr="00355D96">
              <w:fldChar w:fldCharType="begin"/>
            </w:r>
            <w:r w:rsidRPr="00355D96">
              <w:instrText xml:space="preserve"> SEQ Slika \* ARABIC </w:instrText>
            </w:r>
            <w:r w:rsidRPr="00355D96">
              <w:fldChar w:fldCharType="separate"/>
            </w:r>
            <w:r w:rsidR="009D4DAE">
              <w:t>2</w:t>
            </w:r>
            <w:r w:rsidRPr="00355D96">
              <w:fldChar w:fldCharType="end"/>
            </w:r>
            <w:r w:rsidRPr="00355D96">
              <w:rPr>
                <w:rStyle w:val="DZBesediloChar"/>
                <w:szCs w:val="20"/>
              </w:rPr>
              <w:t xml:space="preserve">: </w:t>
            </w:r>
            <w:r>
              <w:t>Delež podjetij, ki so koristila ukrep čakanje na delo</w:t>
            </w:r>
            <w:r w:rsidR="00F931BD">
              <w:t>,</w:t>
            </w:r>
            <w:r>
              <w:t xml:space="preserve"> je bil najvišji v gostinstvu </w:t>
            </w:r>
          </w:p>
          <w:p w14:paraId="3460F10E" w14:textId="15FC0A42" w:rsidR="003E7931" w:rsidRDefault="00505A76" w:rsidP="004E6E34">
            <w:pPr>
              <w:spacing w:after="0" w:line="288" w:lineRule="auto"/>
              <w:jc w:val="both"/>
              <w:rPr>
                <w:rFonts w:ascii="Myriad Pro" w:hAnsi="Myriad Pro"/>
                <w:sz w:val="20"/>
              </w:rPr>
            </w:pPr>
            <w:r w:rsidRPr="00505A76">
              <w:rPr>
                <w:rFonts w:ascii="Myriad Pro" w:hAnsi="Myriad Pro"/>
                <w:noProof/>
                <w:sz w:val="20"/>
              </w:rPr>
              <w:drawing>
                <wp:inline distT="0" distB="0" distL="0" distR="0" wp14:anchorId="239A3A8A" wp14:editId="1EA95A7B">
                  <wp:extent cx="5543550" cy="25273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3550" cy="2527300"/>
                          </a:xfrm>
                          <a:prstGeom prst="rect">
                            <a:avLst/>
                          </a:prstGeom>
                          <a:noFill/>
                          <a:ln>
                            <a:noFill/>
                          </a:ln>
                        </pic:spPr>
                      </pic:pic>
                    </a:graphicData>
                  </a:graphic>
                </wp:inline>
              </w:drawing>
            </w:r>
          </w:p>
          <w:p w14:paraId="060C62DB" w14:textId="77777777" w:rsidR="003E7931" w:rsidRDefault="003E7931" w:rsidP="004E6E34">
            <w:pPr>
              <w:pStyle w:val="VirUMAR"/>
            </w:pPr>
            <w:r w:rsidRPr="008F6BED">
              <w:t xml:space="preserve">Vir podatkov: </w:t>
            </w:r>
            <w:r>
              <w:fldChar w:fldCharType="begin"/>
            </w:r>
            <w:r>
              <w:instrText xml:space="preserve"> ADDIN ZOTERO_ITEM CSL_CITATION {"citationID":"2l3OSAnK","properties":{"formattedCitation":"(ZRSZ, 2021)","plainCitation":"(ZRSZ, 2021)","dontUpdate":true,"noteIndex":0},"citationItems":[{"id":1813,"uris":["http://zotero.org/users/8372339/items/DV3DZSL2"],"uri":["http://zotero.org/users/8372339/items/DV3DZSL2"],"itemData":{"id":1813,"type":"report","event-place":"Ljubljana","genre":"Interni podatki","publisher":"Zavod RS za zaposlovanje","publisher-place":"Ljubljana","title":"Delodajalci vključeni v interventne ukrepe","author":[{"family":"ZRSZ","given":""}],"issued":{"date-parts":[["2021"]]}}}],"schema":"https://github.com/citation-style-language/schema/raw/master/csl-citation.json"} </w:instrText>
            </w:r>
            <w:r>
              <w:fldChar w:fldCharType="separate"/>
            </w:r>
            <w:r w:rsidRPr="00231C02">
              <w:t>ZRSZ</w:t>
            </w:r>
            <w:r>
              <w:t xml:space="preserve"> (</w:t>
            </w:r>
            <w:r w:rsidRPr="00231C02">
              <w:t>2021)</w:t>
            </w:r>
            <w:r>
              <w:fldChar w:fldCharType="end"/>
            </w:r>
            <w:r>
              <w:t>.</w:t>
            </w:r>
          </w:p>
          <w:p w14:paraId="24392AF3" w14:textId="77777777" w:rsidR="003E7931" w:rsidRDefault="003E7931" w:rsidP="004E6E34">
            <w:pPr>
              <w:pStyle w:val="VirUMAR"/>
            </w:pPr>
          </w:p>
          <w:p w14:paraId="40317961" w14:textId="77777777" w:rsidR="003E7931" w:rsidRDefault="003E7931" w:rsidP="004E6E34">
            <w:pPr>
              <w:pStyle w:val="BesediloUMAR"/>
              <w:rPr>
                <w:b/>
              </w:rPr>
            </w:pPr>
            <w:r w:rsidRPr="00D0780C">
              <w:rPr>
                <w:b/>
              </w:rPr>
              <w:t>Gibanje obsega izplačil čakanja na delo in skrajšanega delovnega časa je bilo močno povezano z razvojem epidemije oziroma njenim negativnim učinkom na posamezne dejavnosti.</w:t>
            </w:r>
            <w:r w:rsidRPr="003C6DCB">
              <w:t xml:space="preserve"> </w:t>
            </w:r>
            <w:r w:rsidRPr="00D0780C">
              <w:t>Prvi val epidemije je skupaj z zajezitvenimi ukrepi močno prizadel storitvene dejavnosti in industrijo. Po okrevanju v tretjem četrtletju je bil negativni učinek drugega vala na gospodarsko aktivnost manjši, prizadete pa so bile predvsem storitvene dejavnosti</w:t>
            </w:r>
            <w:r>
              <w:t>, med njimi močneje gostinstvo</w:t>
            </w:r>
            <w:r w:rsidRPr="00D0780C">
              <w:t>. Skladno s tem se je gibala tudi višina zneskov, izplačanih v okviru interventnih ukrepov čakanja na delo in skrajšanega polnega delovnega časa.</w:t>
            </w:r>
            <w:r w:rsidRPr="00032D50">
              <w:rPr>
                <w:b/>
              </w:rPr>
              <w:t xml:space="preserve"> </w:t>
            </w:r>
          </w:p>
          <w:p w14:paraId="450A548E" w14:textId="543D5B63" w:rsidR="003E7931" w:rsidRPr="00355D96" w:rsidRDefault="003E7931" w:rsidP="004E6E34">
            <w:pPr>
              <w:pStyle w:val="Napis"/>
              <w:rPr>
                <w:rStyle w:val="DZBesediloChar"/>
                <w:szCs w:val="20"/>
              </w:rPr>
            </w:pPr>
            <w:r w:rsidRPr="00355D96">
              <w:lastRenderedPageBreak/>
              <w:t xml:space="preserve">Slika </w:t>
            </w:r>
            <w:r w:rsidRPr="00355D96">
              <w:fldChar w:fldCharType="begin"/>
            </w:r>
            <w:r w:rsidRPr="00355D96">
              <w:instrText xml:space="preserve"> SEQ Slika \* ARABIC </w:instrText>
            </w:r>
            <w:r w:rsidRPr="00355D96">
              <w:fldChar w:fldCharType="separate"/>
            </w:r>
            <w:r w:rsidR="009D4DAE">
              <w:t>3</w:t>
            </w:r>
            <w:r w:rsidRPr="00355D96">
              <w:fldChar w:fldCharType="end"/>
            </w:r>
            <w:r w:rsidRPr="00355D96">
              <w:rPr>
                <w:rStyle w:val="DZBesediloChar"/>
                <w:szCs w:val="20"/>
              </w:rPr>
              <w:t xml:space="preserve">: </w:t>
            </w:r>
            <w:r>
              <w:t>Znesek izplačil iz naslova interventnih ukrepov čakanja na delo in skrajšanega delovnega časa je bil med podjetji v gostinstvu visok</w:t>
            </w:r>
          </w:p>
          <w:p w14:paraId="385AAF04" w14:textId="62859A48" w:rsidR="003E7931" w:rsidRDefault="00505A76" w:rsidP="004E6E34">
            <w:pPr>
              <w:spacing w:after="0" w:line="288" w:lineRule="auto"/>
              <w:jc w:val="both"/>
              <w:rPr>
                <w:rFonts w:ascii="Myriad Pro" w:hAnsi="Myriad Pro"/>
                <w:sz w:val="20"/>
              </w:rPr>
            </w:pPr>
            <w:r w:rsidRPr="00505A76">
              <w:rPr>
                <w:rFonts w:ascii="Myriad Pro" w:hAnsi="Myriad Pro"/>
                <w:noProof/>
                <w:sz w:val="20"/>
              </w:rPr>
              <w:drawing>
                <wp:inline distT="0" distB="0" distL="0" distR="0" wp14:anchorId="27B1D7F7" wp14:editId="62EF1AA5">
                  <wp:extent cx="5562600" cy="20701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0" cy="2070100"/>
                          </a:xfrm>
                          <a:prstGeom prst="rect">
                            <a:avLst/>
                          </a:prstGeom>
                          <a:noFill/>
                          <a:ln>
                            <a:noFill/>
                          </a:ln>
                        </pic:spPr>
                      </pic:pic>
                    </a:graphicData>
                  </a:graphic>
                </wp:inline>
              </w:drawing>
            </w:r>
          </w:p>
          <w:p w14:paraId="09F907B8" w14:textId="1F10DC5A" w:rsidR="000E5732" w:rsidRPr="008D75F2" w:rsidRDefault="003E7931" w:rsidP="004E6E34">
            <w:pPr>
              <w:pStyle w:val="VirUMAR"/>
            </w:pPr>
            <w:r w:rsidRPr="008F6BED">
              <w:t xml:space="preserve">Vir podatkov: </w:t>
            </w:r>
            <w:r>
              <w:fldChar w:fldCharType="begin"/>
            </w:r>
            <w:r>
              <w:instrText xml:space="preserve"> ADDIN ZOTERO_ITEM CSL_CITATION {"citationID":"Wa6StrTH","properties":{"formattedCitation":"(ZRSZ, 2021)","plainCitation":"(ZRSZ, 2021)","dontUpdate":true,"noteIndex":0},"citationItems":[{"id":1813,"uris":["http://zotero.org/users/8372339/items/DV3DZSL2"],"uri":["http://zotero.org/users/8372339/items/DV3DZSL2"],"itemData":{"id":1813,"type":"report","event-place":"Ljubljana","genre":"Interni podatki","publisher":"Zavod RS za zaposlovanje","publisher-place":"Ljubljana","title":"Delodajalci vključeni v interventne ukrepe","author":[{"family":"ZRSZ","given":""}],"issued":{"date-parts":[["2021"]]}}}],"schema":"https://github.com/citation-style-language/schema/raw/master/csl-citation.json"} </w:instrText>
            </w:r>
            <w:r>
              <w:fldChar w:fldCharType="separate"/>
            </w:r>
            <w:r w:rsidRPr="00231C02">
              <w:t>ZRSZ</w:t>
            </w:r>
            <w:r>
              <w:t xml:space="preserve"> (</w:t>
            </w:r>
            <w:r w:rsidRPr="00231C02">
              <w:t>2021)</w:t>
            </w:r>
            <w:r>
              <w:fldChar w:fldCharType="end"/>
            </w:r>
          </w:p>
        </w:tc>
      </w:tr>
    </w:tbl>
    <w:p w14:paraId="2A7E2F40" w14:textId="77777777" w:rsidR="003E7931" w:rsidRDefault="003E7931" w:rsidP="003E7931">
      <w:pPr>
        <w:pStyle w:val="Napis"/>
      </w:pPr>
      <w:r w:rsidRPr="00355D96">
        <w:lastRenderedPageBreak/>
        <w:t xml:space="preserve">Slika </w:t>
      </w:r>
      <w:r w:rsidRPr="00355D96">
        <w:fldChar w:fldCharType="begin"/>
      </w:r>
      <w:r w:rsidRPr="00355D96">
        <w:instrText xml:space="preserve"> SEQ Slika \* ARABIC </w:instrText>
      </w:r>
      <w:r w:rsidRPr="00355D96">
        <w:fldChar w:fldCharType="separate"/>
      </w:r>
      <w:r>
        <w:t>4</w:t>
      </w:r>
      <w:r w:rsidRPr="00355D96">
        <w:fldChar w:fldCharType="end"/>
      </w:r>
      <w:r w:rsidRPr="00355D96">
        <w:rPr>
          <w:rStyle w:val="DZBesediloChar"/>
          <w:szCs w:val="20"/>
        </w:rPr>
        <w:t>:</w:t>
      </w:r>
      <w:r w:rsidRPr="00355D96">
        <w:t xml:space="preserve"> </w:t>
      </w:r>
      <w:r>
        <w:rPr>
          <w:rStyle w:val="DZBesediloChar"/>
        </w:rPr>
        <w:t>Z neto čistim dobičkom so v letu 2021 poslovale družbe obeh oddelkov</w:t>
      </w:r>
    </w:p>
    <w:p w14:paraId="590ECE37" w14:textId="55CFE703" w:rsidR="003E7931" w:rsidRDefault="00505A76" w:rsidP="003E7931">
      <w:pPr>
        <w:pStyle w:val="Napis"/>
        <w:rPr>
          <w:rStyle w:val="DZBesediloChar"/>
          <w:szCs w:val="20"/>
        </w:rPr>
      </w:pPr>
      <w:r w:rsidRPr="00505A76">
        <w:rPr>
          <w:rStyle w:val="DZBesediloChar"/>
          <w:szCs w:val="20"/>
        </w:rPr>
        <w:drawing>
          <wp:inline distT="0" distB="0" distL="0" distR="0" wp14:anchorId="5DFA1694" wp14:editId="64F49AC4">
            <wp:extent cx="5759450" cy="2091832"/>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2091832"/>
                    </a:xfrm>
                    <a:prstGeom prst="rect">
                      <a:avLst/>
                    </a:prstGeom>
                    <a:noFill/>
                    <a:ln>
                      <a:noFill/>
                    </a:ln>
                  </pic:spPr>
                </pic:pic>
              </a:graphicData>
            </a:graphic>
          </wp:inline>
        </w:drawing>
      </w:r>
    </w:p>
    <w:p w14:paraId="2809EDBF" w14:textId="77777777" w:rsidR="003E7931" w:rsidRDefault="003E7931" w:rsidP="003E7931">
      <w:pPr>
        <w:pStyle w:val="VirUMAR"/>
      </w:pPr>
      <w:r w:rsidRPr="008F6BED">
        <w:t xml:space="preserve">Vir podatkov: </w:t>
      </w:r>
      <w:r>
        <w:fldChar w:fldCharType="begin"/>
      </w:r>
      <w:r>
        <w:instrText xml:space="preserve"> ADDIN ZOTERO_ITEM CSL_CITATION {"citationID":"hitdmYMC","properties":{"formattedCitation":"(AJPES,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7309C9">
        <w:t xml:space="preserve">AJPES </w:t>
      </w:r>
      <w:r>
        <w:t>(</w:t>
      </w:r>
      <w:r w:rsidRPr="007309C9">
        <w:t>2022)</w:t>
      </w:r>
      <w:r>
        <w:fldChar w:fldCharType="end"/>
      </w:r>
      <w:r w:rsidRPr="008F6BED">
        <w:t>, lastni izračuni.</w:t>
      </w:r>
    </w:p>
    <w:p w14:paraId="4831E7AA" w14:textId="03276FC8" w:rsidR="003E7931" w:rsidRDefault="003E7931" w:rsidP="00DF1252">
      <w:pPr>
        <w:pStyle w:val="DZBesedilo"/>
        <w:rPr>
          <w:rStyle w:val="DZBesediloChar"/>
        </w:rPr>
      </w:pPr>
    </w:p>
    <w:p w14:paraId="1AF80AAC" w14:textId="20FA23B8" w:rsidR="009D4DAE" w:rsidRDefault="001A106F" w:rsidP="009D4DAE">
      <w:pPr>
        <w:pStyle w:val="BesediloUMAR"/>
      </w:pPr>
      <w:r>
        <w:rPr>
          <w:b/>
        </w:rPr>
        <w:t>N</w:t>
      </w:r>
      <w:r w:rsidR="009D4DAE" w:rsidRPr="00C32468">
        <w:rPr>
          <w:b/>
        </w:rPr>
        <w:t>eto izgub</w:t>
      </w:r>
      <w:r>
        <w:rPr>
          <w:b/>
        </w:rPr>
        <w:t>a</w:t>
      </w:r>
      <w:r w:rsidR="009D4DAE" w:rsidRPr="00C32468">
        <w:rPr>
          <w:b/>
        </w:rPr>
        <w:t xml:space="preserve"> iz poslovanja</w:t>
      </w:r>
      <w:r>
        <w:rPr>
          <w:b/>
        </w:rPr>
        <w:t>, ki jo je</w:t>
      </w:r>
      <w:r w:rsidR="009D4DAE" w:rsidRPr="00C32468">
        <w:rPr>
          <w:b/>
        </w:rPr>
        <w:t xml:space="preserve"> v letu 2020</w:t>
      </w:r>
      <w:r>
        <w:rPr>
          <w:b/>
        </w:rPr>
        <w:t xml:space="preserve"> povzročil izbruh epidemije</w:t>
      </w:r>
      <w:r w:rsidR="009D4DAE" w:rsidRPr="00C32468">
        <w:rPr>
          <w:b/>
        </w:rPr>
        <w:t>, se je</w:t>
      </w:r>
      <w:r>
        <w:rPr>
          <w:b/>
        </w:rPr>
        <w:t xml:space="preserve"> leta 2021 že prelevila v neto dobiček </w:t>
      </w:r>
      <w:r w:rsidR="009D4DAE" w:rsidRPr="00C32468">
        <w:rPr>
          <w:b/>
        </w:rPr>
        <w:t>iz poslovanja.</w:t>
      </w:r>
      <w:r w:rsidR="009D4DAE">
        <w:t xml:space="preserve"> </w:t>
      </w:r>
      <w:r w:rsidR="009D4DAE" w:rsidRPr="00254D8A">
        <w:rPr>
          <w:bCs/>
        </w:rPr>
        <w:t>Poslovanje gostinskih družb je bilo po letu 2009, ko so še poslovale z neto dobičkom iz poslovanja, iz leta v leto slabše, tako da so leto 2014 končale z neto izgubo iz poslovanja v višini 31,5 mio evrov</w:t>
      </w:r>
      <w:r w:rsidR="009D4DAE">
        <w:rPr>
          <w:rStyle w:val="Sprotnaopomba-sklic"/>
          <w:bCs/>
        </w:rPr>
        <w:footnoteReference w:id="10"/>
      </w:r>
      <w:r w:rsidR="009D4DAE" w:rsidRPr="00254D8A">
        <w:rPr>
          <w:bCs/>
        </w:rPr>
        <w:t xml:space="preserve">. Ob večjih prodajnih prihodkih zaradi povečanega obiska predvsem tujih turistov in ob zmanjšanju odpisov vrednosti, ki so bili v prejšnjih letih zelo visoki, so </w:t>
      </w:r>
      <w:r w:rsidR="009D4DAE">
        <w:rPr>
          <w:bCs/>
        </w:rPr>
        <w:t>gostinske</w:t>
      </w:r>
      <w:r w:rsidR="009D4DAE" w:rsidRPr="00254D8A">
        <w:rPr>
          <w:bCs/>
        </w:rPr>
        <w:t xml:space="preserve"> družbe svoje poslovanje v naslednjih petih letih </w:t>
      </w:r>
      <w:r w:rsidR="009D4DAE">
        <w:rPr>
          <w:bCs/>
        </w:rPr>
        <w:t xml:space="preserve">precej </w:t>
      </w:r>
      <w:r w:rsidR="009D4DAE" w:rsidRPr="00254D8A">
        <w:rPr>
          <w:bCs/>
        </w:rPr>
        <w:t>izboljšale</w:t>
      </w:r>
      <w:r w:rsidR="009D4DAE">
        <w:rPr>
          <w:bCs/>
        </w:rPr>
        <w:t xml:space="preserve"> in leto</w:t>
      </w:r>
      <w:r w:rsidR="009D4DAE" w:rsidRPr="00254D8A">
        <w:rPr>
          <w:bCs/>
        </w:rPr>
        <w:t xml:space="preserve"> 2019 </w:t>
      </w:r>
      <w:r w:rsidR="009D4DAE">
        <w:rPr>
          <w:bCs/>
        </w:rPr>
        <w:t xml:space="preserve">zaključile </w:t>
      </w:r>
      <w:r w:rsidR="00B866AA">
        <w:rPr>
          <w:bCs/>
        </w:rPr>
        <w:t>s</w:t>
      </w:r>
      <w:r w:rsidR="009D4DAE" w:rsidRPr="00254D8A">
        <w:rPr>
          <w:bCs/>
        </w:rPr>
        <w:t xml:space="preserve"> </w:t>
      </w:r>
      <w:r w:rsidR="009D4DAE">
        <w:rPr>
          <w:bCs/>
        </w:rPr>
        <w:t>79,7</w:t>
      </w:r>
      <w:r w:rsidR="009D4DAE" w:rsidRPr="00254D8A">
        <w:rPr>
          <w:bCs/>
        </w:rPr>
        <w:t xml:space="preserve"> mio evrov neto dobička iz </w:t>
      </w:r>
      <w:r w:rsidR="009D4DAE" w:rsidRPr="0071078A">
        <w:rPr>
          <w:bCs/>
          <w:spacing w:val="-6"/>
        </w:rPr>
        <w:t>poslovanja</w:t>
      </w:r>
      <w:r w:rsidR="009D4DAE" w:rsidRPr="0071078A">
        <w:rPr>
          <w:bCs/>
          <w:spacing w:val="-6"/>
          <w:vertAlign w:val="superscript"/>
        </w:rPr>
        <w:footnoteReference w:id="11"/>
      </w:r>
      <w:r w:rsidR="009D4DAE">
        <w:rPr>
          <w:bCs/>
          <w:spacing w:val="-6"/>
        </w:rPr>
        <w:t>.</w:t>
      </w:r>
      <w:r w:rsidR="009D4DAE" w:rsidRPr="0071078A">
        <w:rPr>
          <w:bCs/>
          <w:spacing w:val="-6"/>
        </w:rPr>
        <w:t xml:space="preserve"> </w:t>
      </w:r>
      <w:r w:rsidR="00CC0249">
        <w:rPr>
          <w:bCs/>
          <w:spacing w:val="-6"/>
        </w:rPr>
        <w:t xml:space="preserve"> </w:t>
      </w:r>
      <w:r w:rsidR="009D4DAE">
        <w:rPr>
          <w:bCs/>
          <w:spacing w:val="-6"/>
        </w:rPr>
        <w:lastRenderedPageBreak/>
        <w:t xml:space="preserve">Zaradi razglasitve epidemije doma in po svetu in </w:t>
      </w:r>
      <w:r w:rsidR="008B7DA2">
        <w:rPr>
          <w:bCs/>
          <w:spacing w:val="-6"/>
        </w:rPr>
        <w:t xml:space="preserve">z njo povezanih </w:t>
      </w:r>
      <w:r w:rsidR="009D4DAE">
        <w:rPr>
          <w:bCs/>
          <w:spacing w:val="-6"/>
        </w:rPr>
        <w:t>ukrepov (predvsem zaprtje gostinskih obratov med epidemijo in kasnejše omejitve pri poslovanju, omejitve pri potovanjih in prestopanju mej) se je ta leta 2020 prevesil v močno izgubo iz poslovanja (v višini 65,8 mio evrov). Poslovni prihodki so se namreč ob zmanjšanju prenočitev in manjši potrošnji domačega prebivalstva</w:t>
      </w:r>
      <w:r w:rsidR="009D4DAE">
        <w:t xml:space="preserve"> </w:t>
      </w:r>
      <w:r w:rsidR="009D4DAE">
        <w:rPr>
          <w:bCs/>
          <w:spacing w:val="-6"/>
        </w:rPr>
        <w:t>zmanjšali za 29 % (čisti prihodki od prodaje pa za 36 %)</w:t>
      </w:r>
      <w:r w:rsidR="009D4DAE">
        <w:rPr>
          <w:rStyle w:val="Sprotnaopomba-sklic"/>
          <w:bCs/>
          <w:spacing w:val="-6"/>
        </w:rPr>
        <w:footnoteReference w:id="12"/>
      </w:r>
      <w:r w:rsidR="009D4DAE">
        <w:rPr>
          <w:bCs/>
          <w:spacing w:val="-6"/>
        </w:rPr>
        <w:t xml:space="preserve">. </w:t>
      </w:r>
      <w:r w:rsidR="009D4DAE">
        <w:t>V celotnem letu so se precej zmanjšali tudi poslovni odhodki (za petino), vendar</w:t>
      </w:r>
      <w:r w:rsidR="00B866AA">
        <w:t xml:space="preserve"> manj</w:t>
      </w:r>
      <w:r w:rsidR="009D4DAE">
        <w:t xml:space="preserve"> </w:t>
      </w:r>
      <w:r w:rsidR="00B866AA">
        <w:t>kot</w:t>
      </w:r>
      <w:r w:rsidR="009D4DAE">
        <w:t xml:space="preserve"> prihodki, na kar je vplivalo tudi manjše zmanjšanje stroškov dela (le za desetino)</w:t>
      </w:r>
      <w:r w:rsidR="00DE3FDF">
        <w:t>,</w:t>
      </w:r>
      <w:r w:rsidR="009D4DAE">
        <w:t xml:space="preserve"> </w:t>
      </w:r>
      <w:r w:rsidR="00B866AA">
        <w:t>pod vplivom</w:t>
      </w:r>
      <w:r w:rsidR="009D4DAE">
        <w:t xml:space="preserve"> državni</w:t>
      </w:r>
      <w:r w:rsidR="00B866AA">
        <w:t>h</w:t>
      </w:r>
      <w:r w:rsidR="009D4DAE">
        <w:t xml:space="preserve"> ukrep</w:t>
      </w:r>
      <w:r w:rsidR="00B866AA">
        <w:t>ov</w:t>
      </w:r>
      <w:r w:rsidR="009D4DAE">
        <w:t xml:space="preserve"> za ohranjanje delovnih mest in podporo dohodkom zaposlenih</w:t>
      </w:r>
      <w:r w:rsidR="00B866AA">
        <w:t xml:space="preserve"> (npr. povračila za čakanje na delo, krizni dodatek, delno subvencioniranje skrajšanega delovnega časa idr.)</w:t>
      </w:r>
      <w:r w:rsidR="009D4DAE">
        <w:rPr>
          <w:rStyle w:val="Sprotnaopomba-sklic"/>
        </w:rPr>
        <w:footnoteReference w:id="13"/>
      </w:r>
      <w:r w:rsidR="009D4DAE">
        <w:t xml:space="preserve">. Sproščanje omejitev pri poslovanju in prehajanju mej, nadaljevanje </w:t>
      </w:r>
      <w:bookmarkStart w:id="8" w:name="_Hlk121132831"/>
      <w:r w:rsidR="009D4DAE">
        <w:t>unovčevanja turističnih bonov in uvedba</w:t>
      </w:r>
      <w:r w:rsidR="009D4DAE" w:rsidRPr="00AB7AA9">
        <w:t xml:space="preserve"> </w:t>
      </w:r>
      <w:r w:rsidR="009D4DAE">
        <w:t>bonov</w:t>
      </w:r>
      <w:r w:rsidR="009D4DAE" w:rsidRPr="00F47CB9">
        <w:t xml:space="preserve">, ki jih je bilo mogoče koristiti v bolj prizadetih dejavnostih turizma, gostinstva, športa in kulture </w:t>
      </w:r>
      <w:bookmarkEnd w:id="8"/>
      <w:r w:rsidR="00E62D42">
        <w:rPr>
          <w:bCs/>
        </w:rPr>
        <w:t>(glej tudi Okvir 2)</w:t>
      </w:r>
      <w:r w:rsidR="003162DB">
        <w:rPr>
          <w:bCs/>
        </w:rPr>
        <w:t>,</w:t>
      </w:r>
      <w:r w:rsidR="00E62D42" w:rsidRPr="00F47CB9">
        <w:t xml:space="preserve"> </w:t>
      </w:r>
      <w:r w:rsidR="00E62D42">
        <w:t>ter ohranitev razmeroma ugodne dohodkovne situacije</w:t>
      </w:r>
      <w:r w:rsidR="00B25714">
        <w:t xml:space="preserve"> gospodinjstev</w:t>
      </w:r>
      <w:r w:rsidR="00E62D42">
        <w:rPr>
          <w:rStyle w:val="Sprotnaopomba-sklic"/>
        </w:rPr>
        <w:footnoteReference w:id="14"/>
      </w:r>
      <w:r w:rsidR="00E62D42">
        <w:t xml:space="preserve"> </w:t>
      </w:r>
      <w:r w:rsidR="009D4DAE">
        <w:t>so vplivali na izboljšanje poslovanja v letu 2021. Skupno število prenočitev, ki se je v letu 2020 zmanjšalo za 42 %, se je v letu 2021 precej okrepilo (za 22 %), a je še vedno močno (za 29 %) zaostajalo za številom iz leta 2019. Tudi zaradi unovčevanja bonov se je še povečalo število prenočitev domačih turistov, ki so v letu 2021 s skoraj 6,6 mio prenočitev za 47 % presegli število iz leta 2019. Povečalo se je tudi število prenočitev tujih turistov (za 43 %), predvsem tistih iz bližnjih držav, vendar je še vedno precej (za 58 % oz. 6,6 mio prenočitev) za</w:t>
      </w:r>
      <w:r w:rsidR="0022234B">
        <w:t>o</w:t>
      </w:r>
      <w:r w:rsidR="009D4DAE">
        <w:t xml:space="preserve">stajalo za </w:t>
      </w:r>
      <w:r w:rsidR="00B866AA">
        <w:t>t</w:t>
      </w:r>
      <w:r w:rsidR="004E6E34">
        <w:t>i</w:t>
      </w:r>
      <w:r w:rsidR="00B866AA">
        <w:t xml:space="preserve">stim </w:t>
      </w:r>
      <w:r w:rsidR="009D4DAE">
        <w:t>iz leta 2019. Ob večjem povečanju poslovnih prihodkov (za več kot tretjino) od poslovnih odhodkov (za skoraj četrtino) so gostinske družbe leto 2021 zaključile s 63,9 mio evrov neto dobička iz poslovanja</w:t>
      </w:r>
      <w:r w:rsidR="009D4DAE" w:rsidRPr="00E62D42">
        <w:t>.</w:t>
      </w:r>
      <w:r w:rsidR="00E62D42" w:rsidRPr="00E62D42">
        <w:t xml:space="preserve"> </w:t>
      </w:r>
    </w:p>
    <w:p w14:paraId="09E22D35" w14:textId="6267610B" w:rsidR="009D4DAE" w:rsidRPr="008D75F2" w:rsidRDefault="009D4DAE" w:rsidP="009D4DAE">
      <w:pPr>
        <w:pStyle w:val="Napis"/>
        <w:jc w:val="left"/>
        <w:rPr>
          <w:spacing w:val="-6"/>
          <w:szCs w:val="22"/>
        </w:rPr>
      </w:pPr>
      <w:r w:rsidRPr="005B3835">
        <w:t xml:space="preserve">Slika </w:t>
      </w:r>
      <w:r w:rsidRPr="005B3835">
        <w:fldChar w:fldCharType="begin"/>
      </w:r>
      <w:r w:rsidRPr="005B3835">
        <w:instrText xml:space="preserve"> SEQ Slika \* ARABIC </w:instrText>
      </w:r>
      <w:r w:rsidRPr="005B3835">
        <w:fldChar w:fldCharType="separate"/>
      </w:r>
      <w:r>
        <w:t>5</w:t>
      </w:r>
      <w:r w:rsidRPr="005B3835">
        <w:fldChar w:fldCharType="end"/>
      </w:r>
      <w:r w:rsidRPr="005B3835">
        <w:rPr>
          <w:rStyle w:val="DZBesediloChar"/>
          <w:szCs w:val="20"/>
        </w:rPr>
        <w:t xml:space="preserve">: </w:t>
      </w:r>
      <w:r w:rsidRPr="008D75F2">
        <w:rPr>
          <w:spacing w:val="-6"/>
          <w:szCs w:val="22"/>
        </w:rPr>
        <w:t xml:space="preserve">Rast </w:t>
      </w:r>
      <w:r w:rsidR="00B866AA">
        <w:rPr>
          <w:spacing w:val="-6"/>
          <w:szCs w:val="22"/>
        </w:rPr>
        <w:t xml:space="preserve">števila </w:t>
      </w:r>
      <w:r w:rsidRPr="008D75F2">
        <w:rPr>
          <w:spacing w:val="-6"/>
          <w:szCs w:val="22"/>
        </w:rPr>
        <w:t>prenočitev domačih turistov</w:t>
      </w:r>
      <w:r w:rsidR="00B866AA">
        <w:rPr>
          <w:spacing w:val="-6"/>
          <w:szCs w:val="22"/>
        </w:rPr>
        <w:t xml:space="preserve"> med epidemijo </w:t>
      </w:r>
      <w:r w:rsidRPr="008D75F2">
        <w:rPr>
          <w:spacing w:val="-6"/>
          <w:szCs w:val="22"/>
        </w:rPr>
        <w:t>je spodbudila uvedba turističnih bonov</w:t>
      </w:r>
    </w:p>
    <w:p w14:paraId="44ED0B37" w14:textId="0E16C2C9" w:rsidR="009D4DAE" w:rsidRDefault="000E5732" w:rsidP="009D4DAE">
      <w:pPr>
        <w:pStyle w:val="BesediloUMAR"/>
        <w:rPr>
          <w:rStyle w:val="DZBesediloChar"/>
          <w:szCs w:val="20"/>
        </w:rPr>
      </w:pPr>
      <w:r w:rsidRPr="000E5732">
        <w:rPr>
          <w:rStyle w:val="DZBesediloChar"/>
          <w:noProof/>
        </w:rPr>
        <w:drawing>
          <wp:inline distT="0" distB="0" distL="0" distR="0" wp14:anchorId="40AD1EE9" wp14:editId="737D85A8">
            <wp:extent cx="5759450" cy="209694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2096948"/>
                    </a:xfrm>
                    <a:prstGeom prst="rect">
                      <a:avLst/>
                    </a:prstGeom>
                    <a:noFill/>
                    <a:ln>
                      <a:noFill/>
                    </a:ln>
                  </pic:spPr>
                </pic:pic>
              </a:graphicData>
            </a:graphic>
          </wp:inline>
        </w:drawing>
      </w:r>
    </w:p>
    <w:p w14:paraId="59360EC9" w14:textId="0F193A4A" w:rsidR="009D4DAE" w:rsidRDefault="009D4DAE" w:rsidP="009D4DAE">
      <w:pPr>
        <w:pStyle w:val="DZVir"/>
        <w:rPr>
          <w:rStyle w:val="DZBesediloChar"/>
        </w:rPr>
      </w:pPr>
      <w:r w:rsidRPr="008F6BED">
        <w:t>Vir poda</w:t>
      </w:r>
      <w:r>
        <w:t xml:space="preserve">tkov: </w:t>
      </w:r>
      <w:bookmarkStart w:id="9" w:name="_Hlk121388065"/>
      <w:r>
        <w:fldChar w:fldCharType="begin"/>
      </w:r>
      <w:r>
        <w:instrText xml:space="preserve"> ADDIN ZOTERO_ITEM CSL_CITATION {"citationID":"OWI7LmYy","properties":{"formattedCitation":"(SURS, 2022)","plainCitation":"(SURS, 2022)","dontUpdate":true,"noteIndex":0},"citationItems":[{"id":1805,"uris":["http://zotero.org/users/8372339/items/QZ8I7YHY"],"uri":["http://zotero.org/users/8372339/items/QZ8I7YHY"],"itemData":{"id":1805,"type":"report","event-place":"Ljubljana","language":"sl","publisher":"Statistični urad RS","publisher-place":"Ljubljana","title":"Podatkovna baza","URL":"https://pxweb.stat.si/SiStatData","author":[{"family":"SURS","given":""}],"accessed":{"date-parts":[["2022",2,11]]},"issued":{"date-parts":[["2022"]]}}}],"schema":"https://github.com/citation-style-language/schema/raw/master/csl-citation.json"} </w:instrText>
      </w:r>
      <w:r>
        <w:fldChar w:fldCharType="separate"/>
      </w:r>
      <w:r w:rsidRPr="00231C02">
        <w:t>SURS</w:t>
      </w:r>
      <w:r>
        <w:t xml:space="preserve"> (</w:t>
      </w:r>
      <w:r w:rsidRPr="00231C02">
        <w:t>2022)</w:t>
      </w:r>
      <w:r>
        <w:fldChar w:fldCharType="end"/>
      </w:r>
      <w:r w:rsidRPr="00826FB9">
        <w:rPr>
          <w:rStyle w:val="DZBesediloChar"/>
        </w:rPr>
        <w:t>,</w:t>
      </w:r>
      <w:bookmarkEnd w:id="9"/>
      <w:r w:rsidRPr="00826FB9">
        <w:rPr>
          <w:rStyle w:val="DZBesediloChar"/>
        </w:rPr>
        <w:t xml:space="preserve"> lastni izračuni.</w:t>
      </w:r>
      <w:r>
        <w:rPr>
          <w:rStyle w:val="DZBesediloChar"/>
        </w:rPr>
        <w:t xml:space="preserve"> Opomba: podatki za leto 2022 so do vključno oktobra.</w:t>
      </w:r>
    </w:p>
    <w:p w14:paraId="55DDDB4F" w14:textId="6758B478" w:rsidR="009D4DAE" w:rsidRDefault="009D4DAE" w:rsidP="009D4DAE">
      <w:pPr>
        <w:pStyle w:val="DZVir"/>
        <w:rPr>
          <w:rStyle w:val="DZBesediloChar"/>
          <w:sz w:val="20"/>
        </w:rPr>
      </w:pPr>
    </w:p>
    <w:p w14:paraId="5110523C" w14:textId="7A2F9E30" w:rsidR="000E5732" w:rsidRDefault="000E5732" w:rsidP="009D4DAE">
      <w:pPr>
        <w:pStyle w:val="DZVir"/>
        <w:rPr>
          <w:rStyle w:val="DZBesediloChar"/>
        </w:rPr>
      </w:pPr>
    </w:p>
    <w:p w14:paraId="0FD481D7" w14:textId="6685C5E2" w:rsidR="000E5732" w:rsidRDefault="000E5732" w:rsidP="009D4DAE">
      <w:pPr>
        <w:pStyle w:val="DZVir"/>
        <w:rPr>
          <w:rStyle w:val="DZBesediloChar"/>
        </w:rPr>
      </w:pPr>
    </w:p>
    <w:p w14:paraId="35055275" w14:textId="283926CD" w:rsidR="000E5732" w:rsidRDefault="000E5732" w:rsidP="009D4DAE">
      <w:pPr>
        <w:pStyle w:val="DZVir"/>
        <w:rPr>
          <w:rStyle w:val="DZBesediloChar"/>
        </w:rPr>
      </w:pPr>
    </w:p>
    <w:p w14:paraId="33924736" w14:textId="0DC2BA10" w:rsidR="000E5732" w:rsidRDefault="000E5732" w:rsidP="009D4DAE">
      <w:pPr>
        <w:pStyle w:val="DZVir"/>
        <w:rPr>
          <w:rStyle w:val="DZBesediloChar"/>
        </w:rPr>
      </w:pPr>
    </w:p>
    <w:p w14:paraId="0268AA51" w14:textId="045AA93D" w:rsidR="000E5732" w:rsidRDefault="000E5732" w:rsidP="009D4DAE">
      <w:pPr>
        <w:pStyle w:val="DZVir"/>
        <w:rPr>
          <w:rStyle w:val="DZBesediloChar"/>
        </w:rPr>
      </w:pPr>
    </w:p>
    <w:p w14:paraId="251B4B67" w14:textId="23286868" w:rsidR="000E5732" w:rsidRDefault="000E5732" w:rsidP="009D4DAE">
      <w:pPr>
        <w:pStyle w:val="DZVir"/>
        <w:rPr>
          <w:rStyle w:val="DZBesediloChar"/>
        </w:rPr>
      </w:pPr>
    </w:p>
    <w:p w14:paraId="603A18A3" w14:textId="2FD005E9" w:rsidR="000E5732" w:rsidRDefault="000E5732" w:rsidP="009D4DAE">
      <w:pPr>
        <w:pStyle w:val="DZVir"/>
        <w:rPr>
          <w:rStyle w:val="DZBesediloChar"/>
        </w:rPr>
      </w:pPr>
    </w:p>
    <w:p w14:paraId="5A7F91F6" w14:textId="77777777" w:rsidR="000E5732" w:rsidRPr="009D4DAE" w:rsidRDefault="000E5732" w:rsidP="009D4DAE">
      <w:pPr>
        <w:pStyle w:val="DZVir"/>
        <w:rPr>
          <w:rStyle w:val="DZBesediloChar"/>
          <w:sz w:val="20"/>
        </w:rPr>
      </w:pPr>
    </w:p>
    <w:tbl>
      <w:tblPr>
        <w:tblStyle w:val="UMARokvir1"/>
        <w:tblW w:w="0" w:type="auto"/>
        <w:tblCellMar>
          <w:top w:w="142" w:type="dxa"/>
          <w:bottom w:w="170" w:type="dxa"/>
        </w:tblCellMar>
        <w:tblLook w:val="04A0" w:firstRow="1" w:lastRow="0" w:firstColumn="1" w:lastColumn="0" w:noHBand="0" w:noVBand="1"/>
      </w:tblPr>
      <w:tblGrid>
        <w:gridCol w:w="9060"/>
      </w:tblGrid>
      <w:tr w:rsidR="009D4DAE" w:rsidRPr="008D75F2" w14:paraId="47AFC8D2" w14:textId="77777777" w:rsidTr="001F3514">
        <w:tc>
          <w:tcPr>
            <w:tcW w:w="9060" w:type="dxa"/>
          </w:tcPr>
          <w:p w14:paraId="3A9766F9" w14:textId="60DF9D45" w:rsidR="009D4DAE" w:rsidRDefault="009D4DAE" w:rsidP="004E6E34">
            <w:pPr>
              <w:tabs>
                <w:tab w:val="right" w:leader="dot" w:pos="9070"/>
              </w:tabs>
              <w:spacing w:before="100" w:after="100" w:line="257" w:lineRule="auto"/>
              <w:contextualSpacing/>
              <w:jc w:val="both"/>
              <w:rPr>
                <w:rFonts w:ascii="Myriad Pro" w:hAnsi="Myriad Pro"/>
                <w:b/>
                <w:bCs/>
                <w:noProof/>
                <w:spacing w:val="-6"/>
                <w:sz w:val="20"/>
                <w:szCs w:val="20"/>
              </w:rPr>
            </w:pPr>
            <w:r w:rsidRPr="008D75F2">
              <w:rPr>
                <w:rFonts w:ascii="Myriad Pro" w:hAnsi="Myriad Pro"/>
                <w:b/>
                <w:bCs/>
                <w:noProof/>
                <w:spacing w:val="-6"/>
                <w:sz w:val="20"/>
                <w:szCs w:val="20"/>
              </w:rPr>
              <w:lastRenderedPageBreak/>
              <w:t xml:space="preserve">Okvir </w:t>
            </w:r>
            <w:r w:rsidRPr="008D75F2">
              <w:rPr>
                <w:rFonts w:ascii="Myriad Pro" w:hAnsi="Myriad Pro"/>
                <w:b/>
                <w:bCs/>
                <w:noProof/>
                <w:spacing w:val="-6"/>
                <w:sz w:val="20"/>
                <w:szCs w:val="20"/>
              </w:rPr>
              <w:fldChar w:fldCharType="begin"/>
            </w:r>
            <w:r w:rsidRPr="008D75F2">
              <w:rPr>
                <w:rFonts w:ascii="Myriad Pro" w:hAnsi="Myriad Pro"/>
                <w:b/>
                <w:bCs/>
                <w:noProof/>
                <w:spacing w:val="-6"/>
                <w:sz w:val="20"/>
                <w:szCs w:val="20"/>
              </w:rPr>
              <w:instrText xml:space="preserve"> SEQ Okvir \* ARABIC </w:instrText>
            </w:r>
            <w:r w:rsidRPr="008D75F2">
              <w:rPr>
                <w:rFonts w:ascii="Myriad Pro" w:hAnsi="Myriad Pro"/>
                <w:b/>
                <w:bCs/>
                <w:noProof/>
                <w:spacing w:val="-6"/>
                <w:sz w:val="20"/>
                <w:szCs w:val="20"/>
              </w:rPr>
              <w:fldChar w:fldCharType="separate"/>
            </w:r>
            <w:r>
              <w:rPr>
                <w:rFonts w:ascii="Myriad Pro" w:hAnsi="Myriad Pro"/>
                <w:b/>
                <w:bCs/>
                <w:noProof/>
                <w:spacing w:val="-6"/>
                <w:sz w:val="20"/>
                <w:szCs w:val="20"/>
              </w:rPr>
              <w:t>2</w:t>
            </w:r>
            <w:r w:rsidRPr="008D75F2">
              <w:rPr>
                <w:rFonts w:ascii="Myriad Pro" w:hAnsi="Myriad Pro"/>
                <w:b/>
                <w:bCs/>
                <w:noProof/>
                <w:spacing w:val="-6"/>
                <w:sz w:val="20"/>
                <w:szCs w:val="20"/>
              </w:rPr>
              <w:fldChar w:fldCharType="end"/>
            </w:r>
            <w:r w:rsidRPr="008D75F2">
              <w:rPr>
                <w:rFonts w:ascii="Myriad Pro" w:hAnsi="Myriad Pro"/>
                <w:b/>
                <w:bCs/>
                <w:noProof/>
                <w:spacing w:val="-6"/>
                <w:sz w:val="20"/>
                <w:szCs w:val="20"/>
              </w:rPr>
              <w:t>: Turistični boni in boni21</w:t>
            </w:r>
          </w:p>
          <w:p w14:paraId="6A02901A" w14:textId="77777777" w:rsidR="009D4DAE" w:rsidRPr="008D75F2" w:rsidRDefault="009D4DAE" w:rsidP="000E5732">
            <w:pPr>
              <w:tabs>
                <w:tab w:val="right" w:leader="dot" w:pos="9070"/>
              </w:tabs>
              <w:spacing w:after="0" w:line="276" w:lineRule="auto"/>
              <w:contextualSpacing/>
              <w:jc w:val="both"/>
              <w:rPr>
                <w:rFonts w:ascii="Myriad Pro" w:hAnsi="Myriad Pro"/>
                <w:b/>
                <w:bCs/>
                <w:noProof/>
                <w:spacing w:val="-6"/>
                <w:sz w:val="20"/>
                <w:szCs w:val="20"/>
              </w:rPr>
            </w:pPr>
          </w:p>
          <w:p w14:paraId="5D562C28" w14:textId="1835CB0E" w:rsidR="009D4DAE" w:rsidRDefault="009D4DAE" w:rsidP="000E5732">
            <w:pPr>
              <w:spacing w:after="0" w:line="276" w:lineRule="auto"/>
              <w:jc w:val="both"/>
              <w:rPr>
                <w:rFonts w:ascii="Myriad Pro" w:hAnsi="Myriad Pro"/>
                <w:sz w:val="20"/>
              </w:rPr>
            </w:pPr>
            <w:r w:rsidRPr="008D75F2">
              <w:rPr>
                <w:rFonts w:ascii="Myriad Pro" w:hAnsi="Myriad Pro"/>
                <w:sz w:val="20"/>
              </w:rPr>
              <w:t>Kot pomoč turistični panogi, ki je bila med epidemijo močno prizadeta</w:t>
            </w:r>
            <w:r w:rsidR="00B866AA">
              <w:rPr>
                <w:rFonts w:ascii="Myriad Pro" w:hAnsi="Myriad Pro"/>
                <w:sz w:val="20"/>
              </w:rPr>
              <w:t>,</w:t>
            </w:r>
            <w:r w:rsidRPr="008D75F2">
              <w:rPr>
                <w:rFonts w:ascii="Myriad Pro" w:hAnsi="Myriad Pro"/>
                <w:sz w:val="20"/>
              </w:rPr>
              <w:t xml:space="preserve"> je </w:t>
            </w:r>
            <w:r w:rsidR="00B866AA">
              <w:rPr>
                <w:rFonts w:ascii="Myriad Pro" w:hAnsi="Myriad Pro"/>
                <w:sz w:val="20"/>
              </w:rPr>
              <w:t>V</w:t>
            </w:r>
            <w:r w:rsidRPr="008D75F2">
              <w:rPr>
                <w:rFonts w:ascii="Myriad Pro" w:hAnsi="Myriad Pro"/>
                <w:sz w:val="20"/>
              </w:rPr>
              <w:t>lada RS leta 2020 kot enega nosilnih ukrepov iz tretjega protikoronskega svežnja sprejela turistične bone v skupni vrednosti 3</w:t>
            </w:r>
            <w:r>
              <w:rPr>
                <w:rFonts w:ascii="Myriad Pro" w:hAnsi="Myriad Pro"/>
                <w:sz w:val="20"/>
              </w:rPr>
              <w:t>57</w:t>
            </w:r>
            <w:r w:rsidRPr="008D75F2">
              <w:rPr>
                <w:rFonts w:ascii="Myriad Pro" w:hAnsi="Myriad Pro"/>
                <w:sz w:val="20"/>
              </w:rPr>
              <w:t xml:space="preserve"> milijonov evrov. Bon je prejela vsaka oseba, ki je imela 13. marca leta 2020 stalno prebivališče v Sloveniji. Polnoletne osebe oz. osebe, ki so do konca leta dopolnile 18 let, so bile upravičene do bona v vrednosti 200 evrov, mladoletnim pa je pripadal bon v vrednosti 50 evrov. Unovčevanje, ki se je začelo 19. junija, je država omogočala le pri ponudnikih, ki so bili 13. marca leta 2020 vpisani v poslovni register in register nastanitvenih obratov. Bone je bilo mogoče unovčiti pri ponudnikih prenočitev, kot so hoteli, počitniški domovi, turistične kmetije, zasebne sobe, planinski domovi in avtokampi, unovčiti za prenočitev ali prenočitev z zajtrkom. Bon je bil deljiv, tako da ga je lahko upravičenec unovčil v več delih in pri več različnih ponudnikih.</w:t>
            </w:r>
          </w:p>
          <w:p w14:paraId="7D80EDB0" w14:textId="77777777" w:rsidR="009D4DAE" w:rsidRPr="008D75F2" w:rsidRDefault="009D4DAE" w:rsidP="000E5732">
            <w:pPr>
              <w:spacing w:after="0" w:line="276" w:lineRule="auto"/>
              <w:jc w:val="both"/>
              <w:rPr>
                <w:rFonts w:ascii="Myriad Pro" w:hAnsi="Myriad Pro"/>
                <w:sz w:val="20"/>
              </w:rPr>
            </w:pPr>
          </w:p>
          <w:p w14:paraId="4DE8E23B" w14:textId="7295221C" w:rsidR="009D4DAE" w:rsidRDefault="009D4DAE" w:rsidP="000E5732">
            <w:pPr>
              <w:spacing w:after="0" w:line="276" w:lineRule="auto"/>
              <w:jc w:val="both"/>
              <w:rPr>
                <w:rFonts w:ascii="Myriad Pro" w:hAnsi="Myriad Pro"/>
                <w:sz w:val="20"/>
              </w:rPr>
            </w:pPr>
            <w:r w:rsidRPr="008D75F2">
              <w:rPr>
                <w:rFonts w:ascii="Myriad Pro" w:hAnsi="Myriad Pro"/>
                <w:sz w:val="20"/>
              </w:rPr>
              <w:t xml:space="preserve">Dodatno je vlada RS leta 2021 sprejela ukrepe za izboljšanje gospodarskega položaja na področju potrošnje v gostinstvu, turizmu, športu in kulturi </w:t>
            </w:r>
            <w:r w:rsidR="009713AA">
              <w:rPr>
                <w:rFonts w:ascii="Myriad Pro" w:hAnsi="Myriad Pro"/>
                <w:sz w:val="20"/>
              </w:rPr>
              <w:t>ter</w:t>
            </w:r>
            <w:r w:rsidRPr="008D75F2">
              <w:rPr>
                <w:rFonts w:ascii="Myriad Pro" w:hAnsi="Myriad Pro"/>
                <w:sz w:val="20"/>
              </w:rPr>
              <w:t xml:space="preserve"> uvedla bone (BON21) v skupni vrednosti </w:t>
            </w:r>
            <w:r w:rsidRPr="00F067B5">
              <w:rPr>
                <w:rFonts w:ascii="Myriad Pro" w:hAnsi="Myriad Pro"/>
                <w:sz w:val="20"/>
              </w:rPr>
              <w:t>187</w:t>
            </w:r>
            <w:r w:rsidRPr="008D75F2">
              <w:rPr>
                <w:rFonts w:ascii="Myriad Pro" w:hAnsi="Myriad Pro"/>
                <w:sz w:val="20"/>
              </w:rPr>
              <w:t xml:space="preserve"> milijonov evrov. Bone so prejeli vsi posamezniki, ki so na dan 30. junija 2021 imeli zabeleženo stalno bivališče v Sloveniji. Za odrasle je bila vrednost bonov 100 eurov, za mladoletnike pa 50 evrov. Tako kot turistični boni so bili tudi ti boni prenosljivi med najožjimi družinskimi člani. Koristilo se jih lahko v celoti ali v več manjših zneskih </w:t>
            </w:r>
            <w:r w:rsidR="009713AA">
              <w:rPr>
                <w:rFonts w:ascii="Myriad Pro" w:hAnsi="Myriad Pro"/>
                <w:sz w:val="20"/>
              </w:rPr>
              <w:t>in</w:t>
            </w:r>
            <w:r w:rsidRPr="008D75F2">
              <w:rPr>
                <w:rFonts w:ascii="Myriad Pro" w:hAnsi="Myriad Pro"/>
                <w:sz w:val="20"/>
              </w:rPr>
              <w:t xml:space="preserve"> pri različnih ponudnikih, ki so uvrščeni v eno izmed dejavnosti s področja gostinstva, tur</w:t>
            </w:r>
            <w:r>
              <w:rPr>
                <w:rFonts w:ascii="Myriad Pro" w:hAnsi="Myriad Pro"/>
                <w:sz w:val="20"/>
              </w:rPr>
              <w:t>i</w:t>
            </w:r>
            <w:r w:rsidRPr="008D75F2">
              <w:rPr>
                <w:rFonts w:ascii="Myriad Pro" w:hAnsi="Myriad Pro"/>
                <w:sz w:val="20"/>
              </w:rPr>
              <w:t xml:space="preserve">zma, športa in kulture. </w:t>
            </w:r>
          </w:p>
          <w:p w14:paraId="5B6EBBDC" w14:textId="77777777" w:rsidR="009D4DAE" w:rsidRPr="008D75F2" w:rsidRDefault="009D4DAE" w:rsidP="000E5732">
            <w:pPr>
              <w:spacing w:after="0" w:line="276" w:lineRule="auto"/>
              <w:jc w:val="both"/>
              <w:rPr>
                <w:rFonts w:ascii="Myriad Pro" w:hAnsi="Myriad Pro"/>
                <w:sz w:val="20"/>
              </w:rPr>
            </w:pPr>
          </w:p>
          <w:p w14:paraId="7A3BDA41" w14:textId="75AEFD07" w:rsidR="009D4DAE" w:rsidRDefault="009D4DAE" w:rsidP="000E5732">
            <w:pPr>
              <w:spacing w:after="0" w:line="276" w:lineRule="auto"/>
              <w:jc w:val="both"/>
              <w:rPr>
                <w:rFonts w:ascii="Myriad Pro" w:hAnsi="Myriad Pro"/>
                <w:sz w:val="20"/>
                <w:highlight w:val="yellow"/>
              </w:rPr>
            </w:pPr>
            <w:r w:rsidRPr="008D75F2">
              <w:rPr>
                <w:rFonts w:ascii="Myriad Pro" w:hAnsi="Myriad Pro"/>
                <w:sz w:val="20"/>
              </w:rPr>
              <w:t>Unovčenje obeh</w:t>
            </w:r>
            <w:bookmarkStart w:id="10" w:name="_GoBack"/>
            <w:bookmarkEnd w:id="10"/>
            <w:r w:rsidRPr="008D75F2">
              <w:rPr>
                <w:rFonts w:ascii="Myriad Pro" w:hAnsi="Myriad Pro"/>
                <w:sz w:val="20"/>
              </w:rPr>
              <w:t xml:space="preserve"> vrst bonov je</w:t>
            </w:r>
            <w:r w:rsidR="00994E3A">
              <w:rPr>
                <w:rFonts w:ascii="Myriad Pro" w:hAnsi="Myriad Pro"/>
                <w:sz w:val="20"/>
              </w:rPr>
              <w:t xml:space="preserve"> bilo</w:t>
            </w:r>
            <w:r w:rsidRPr="008D75F2">
              <w:rPr>
                <w:rFonts w:ascii="Myriad Pro" w:hAnsi="Myriad Pro"/>
                <w:sz w:val="20"/>
              </w:rPr>
              <w:t xml:space="preserve"> podaljša</w:t>
            </w:r>
            <w:r w:rsidR="00994E3A">
              <w:rPr>
                <w:rFonts w:ascii="Myriad Pro" w:hAnsi="Myriad Pro"/>
                <w:sz w:val="20"/>
              </w:rPr>
              <w:t>no</w:t>
            </w:r>
            <w:r w:rsidRPr="008D75F2">
              <w:rPr>
                <w:rFonts w:ascii="Myriad Pro" w:hAnsi="Myriad Pro"/>
                <w:sz w:val="20"/>
              </w:rPr>
              <w:t xml:space="preserve"> do 30. 6. 2022. Do </w:t>
            </w:r>
            <w:r>
              <w:rPr>
                <w:rFonts w:ascii="Myriad Pro" w:hAnsi="Myriad Pro"/>
                <w:sz w:val="20"/>
              </w:rPr>
              <w:t xml:space="preserve">konca </w:t>
            </w:r>
            <w:r w:rsidRPr="008D75F2">
              <w:rPr>
                <w:rFonts w:ascii="Myriad Pro" w:hAnsi="Myriad Pro"/>
                <w:sz w:val="20"/>
              </w:rPr>
              <w:t>roka je bilo skupno unovčenih za 301,8 milijon</w:t>
            </w:r>
            <w:r w:rsidR="00994E3A">
              <w:rPr>
                <w:rFonts w:ascii="Myriad Pro" w:hAnsi="Myriad Pro"/>
                <w:sz w:val="20"/>
              </w:rPr>
              <w:t>a</w:t>
            </w:r>
            <w:r w:rsidRPr="008D75F2">
              <w:rPr>
                <w:rFonts w:ascii="Myriad Pro" w:hAnsi="Myriad Pro"/>
                <w:sz w:val="20"/>
              </w:rPr>
              <w:t xml:space="preserve"> turističnih bonov, kar je bilo 8</w:t>
            </w:r>
            <w:r>
              <w:rPr>
                <w:rFonts w:ascii="Myriad Pro" w:hAnsi="Myriad Pro"/>
                <w:sz w:val="20"/>
              </w:rPr>
              <w:t>4</w:t>
            </w:r>
            <w:r w:rsidRPr="008D75F2">
              <w:rPr>
                <w:rFonts w:ascii="Myriad Pro" w:hAnsi="Myriad Pro"/>
                <w:sz w:val="20"/>
              </w:rPr>
              <w:t>,5 % celotne vrednosti. Unovčenih je bilo tudi za 167,1 milijon</w:t>
            </w:r>
            <w:r w:rsidR="00994E3A">
              <w:rPr>
                <w:rFonts w:ascii="Myriad Pro" w:hAnsi="Myriad Pro"/>
                <w:sz w:val="20"/>
              </w:rPr>
              <w:t>a</w:t>
            </w:r>
            <w:r w:rsidRPr="008D75F2">
              <w:rPr>
                <w:rFonts w:ascii="Myriad Pro" w:hAnsi="Myriad Pro"/>
                <w:sz w:val="20"/>
              </w:rPr>
              <w:t xml:space="preserve"> evrov bonov</w:t>
            </w:r>
            <w:r w:rsidR="00DE72E8">
              <w:rPr>
                <w:rFonts w:ascii="Myriad Pro" w:hAnsi="Myriad Pro"/>
                <w:sz w:val="20"/>
              </w:rPr>
              <w:t>,</w:t>
            </w:r>
            <w:r w:rsidRPr="008D75F2">
              <w:rPr>
                <w:rFonts w:ascii="Myriad Pro" w:hAnsi="Myriad Pro"/>
                <w:sz w:val="20"/>
              </w:rPr>
              <w:t xml:space="preserve"> izdanih v letu 2021, kar je bilo </w:t>
            </w:r>
            <w:r>
              <w:rPr>
                <w:rFonts w:ascii="Myriad Pro" w:hAnsi="Myriad Pro"/>
                <w:sz w:val="20"/>
              </w:rPr>
              <w:t xml:space="preserve">89,4 </w:t>
            </w:r>
            <w:r w:rsidRPr="005C7F2A">
              <w:rPr>
                <w:rFonts w:ascii="Myriad Pro" w:hAnsi="Myriad Pro"/>
                <w:sz w:val="20"/>
              </w:rPr>
              <w:t>%</w:t>
            </w:r>
            <w:r w:rsidRPr="008D75F2">
              <w:rPr>
                <w:rFonts w:ascii="Myriad Pro" w:hAnsi="Myriad Pro"/>
                <w:sz w:val="20"/>
              </w:rPr>
              <w:t xml:space="preserve"> od celotne vrednosti. </w:t>
            </w:r>
            <w:r>
              <w:rPr>
                <w:rFonts w:ascii="Myriad Pro" w:hAnsi="Myriad Pro"/>
                <w:sz w:val="20"/>
              </w:rPr>
              <w:t>O</w:t>
            </w:r>
            <w:r w:rsidRPr="008D75F2">
              <w:rPr>
                <w:rFonts w:ascii="Myriad Pro" w:hAnsi="Myriad Pro"/>
                <w:sz w:val="20"/>
              </w:rPr>
              <w:t>d bo</w:t>
            </w:r>
            <w:r>
              <w:rPr>
                <w:rFonts w:ascii="Myriad Pro" w:hAnsi="Myriad Pro"/>
                <w:sz w:val="20"/>
              </w:rPr>
              <w:t>n</w:t>
            </w:r>
            <w:r w:rsidRPr="008D75F2">
              <w:rPr>
                <w:rFonts w:ascii="Myriad Pro" w:hAnsi="Myriad Pro"/>
                <w:sz w:val="20"/>
              </w:rPr>
              <w:t>ov, izdanih v letu 2021</w:t>
            </w:r>
            <w:r>
              <w:rPr>
                <w:rFonts w:ascii="Myriad Pro" w:hAnsi="Myriad Pro"/>
                <w:sz w:val="20"/>
              </w:rPr>
              <w:t>, je bil</w:t>
            </w:r>
            <w:r w:rsidR="00994E3A">
              <w:rPr>
                <w:rFonts w:ascii="Myriad Pro" w:hAnsi="Myriad Pro"/>
                <w:sz w:val="20"/>
              </w:rPr>
              <w:t>a</w:t>
            </w:r>
            <w:r w:rsidRPr="008D75F2">
              <w:rPr>
                <w:rFonts w:ascii="Myriad Pro" w:hAnsi="Myriad Pro"/>
                <w:sz w:val="20"/>
              </w:rPr>
              <w:t xml:space="preserve"> </w:t>
            </w:r>
            <w:r w:rsidRPr="00230036">
              <w:rPr>
                <w:rFonts w:ascii="Myriad Pro" w:hAnsi="Myriad Pro"/>
                <w:sz w:val="20"/>
              </w:rPr>
              <w:t>polovic</w:t>
            </w:r>
            <w:r w:rsidR="00994E3A">
              <w:rPr>
                <w:rFonts w:ascii="Myriad Pro" w:hAnsi="Myriad Pro"/>
                <w:sz w:val="20"/>
              </w:rPr>
              <w:t>a</w:t>
            </w:r>
            <w:r w:rsidRPr="00230036">
              <w:rPr>
                <w:rFonts w:ascii="Myriad Pro" w:hAnsi="Myriad Pro"/>
                <w:sz w:val="20"/>
              </w:rPr>
              <w:t xml:space="preserve"> unovčenih v gostinstvu, 30 % v turizmu, 14 % v kulturi in 6</w:t>
            </w:r>
            <w:r w:rsidRPr="00230036">
              <w:t> </w:t>
            </w:r>
            <w:r w:rsidRPr="00230036">
              <w:rPr>
                <w:rFonts w:ascii="Myriad Pro" w:hAnsi="Myriad Pro"/>
                <w:sz w:val="20"/>
              </w:rPr>
              <w:t xml:space="preserve">% v športu.  </w:t>
            </w:r>
          </w:p>
          <w:p w14:paraId="6530F43C" w14:textId="77777777" w:rsidR="009D4DAE" w:rsidRPr="008D75F2" w:rsidRDefault="009D4DAE" w:rsidP="004E6E34">
            <w:pPr>
              <w:spacing w:after="0" w:line="288" w:lineRule="auto"/>
              <w:jc w:val="both"/>
              <w:rPr>
                <w:rFonts w:ascii="Myriad Pro" w:hAnsi="Myriad Pro"/>
                <w:sz w:val="20"/>
              </w:rPr>
            </w:pPr>
          </w:p>
          <w:p w14:paraId="22168F1F" w14:textId="0021FA4F" w:rsidR="009D4DAE" w:rsidRPr="008D75F2" w:rsidRDefault="009D4DAE" w:rsidP="004E6E34">
            <w:pPr>
              <w:tabs>
                <w:tab w:val="right" w:leader="dot" w:pos="9070"/>
              </w:tabs>
              <w:spacing w:before="100" w:after="100" w:line="257" w:lineRule="auto"/>
              <w:contextualSpacing/>
              <w:jc w:val="both"/>
              <w:rPr>
                <w:rFonts w:ascii="Myriad Pro" w:hAnsi="Myriad Pro"/>
                <w:b/>
                <w:bCs/>
                <w:noProof/>
                <w:spacing w:val="-6"/>
                <w:sz w:val="20"/>
                <w:szCs w:val="20"/>
              </w:rPr>
            </w:pPr>
            <w:r w:rsidRPr="008D75F2">
              <w:rPr>
                <w:rFonts w:ascii="Myriad Pro" w:hAnsi="Myriad Pro"/>
                <w:b/>
                <w:bCs/>
                <w:noProof/>
                <w:spacing w:val="-6"/>
                <w:sz w:val="20"/>
                <w:szCs w:val="20"/>
              </w:rPr>
              <w:t xml:space="preserve">Tabela </w:t>
            </w:r>
            <w:r w:rsidRPr="008D75F2">
              <w:rPr>
                <w:rFonts w:ascii="Myriad Pro" w:hAnsi="Myriad Pro"/>
                <w:b/>
                <w:bCs/>
                <w:noProof/>
                <w:spacing w:val="-6"/>
                <w:sz w:val="20"/>
                <w:szCs w:val="20"/>
              </w:rPr>
              <w:fldChar w:fldCharType="begin"/>
            </w:r>
            <w:r w:rsidRPr="008D75F2">
              <w:rPr>
                <w:rFonts w:ascii="Myriad Pro" w:hAnsi="Myriad Pro"/>
                <w:b/>
                <w:bCs/>
                <w:noProof/>
                <w:spacing w:val="-6"/>
                <w:sz w:val="20"/>
                <w:szCs w:val="20"/>
              </w:rPr>
              <w:instrText xml:space="preserve"> SEQ Tabela \* ARABIC </w:instrText>
            </w:r>
            <w:r w:rsidRPr="008D75F2">
              <w:rPr>
                <w:rFonts w:ascii="Myriad Pro" w:hAnsi="Myriad Pro"/>
                <w:b/>
                <w:bCs/>
                <w:noProof/>
                <w:spacing w:val="-6"/>
                <w:sz w:val="20"/>
                <w:szCs w:val="20"/>
              </w:rPr>
              <w:fldChar w:fldCharType="separate"/>
            </w:r>
            <w:r>
              <w:rPr>
                <w:rFonts w:ascii="Myriad Pro" w:hAnsi="Myriad Pro"/>
                <w:b/>
                <w:bCs/>
                <w:noProof/>
                <w:spacing w:val="-6"/>
                <w:sz w:val="20"/>
                <w:szCs w:val="20"/>
              </w:rPr>
              <w:t>1</w:t>
            </w:r>
            <w:r w:rsidRPr="008D75F2">
              <w:rPr>
                <w:rFonts w:ascii="Myriad Pro" w:hAnsi="Myriad Pro"/>
                <w:b/>
                <w:bCs/>
                <w:noProof/>
                <w:spacing w:val="-6"/>
                <w:sz w:val="20"/>
                <w:szCs w:val="20"/>
              </w:rPr>
              <w:fldChar w:fldCharType="end"/>
            </w:r>
            <w:r w:rsidRPr="008D75F2">
              <w:rPr>
                <w:rFonts w:ascii="Myriad Pro" w:hAnsi="Myriad Pro"/>
                <w:b/>
                <w:bCs/>
                <w:noProof/>
                <w:spacing w:val="-6"/>
                <w:sz w:val="20"/>
                <w:szCs w:val="20"/>
              </w:rPr>
              <w:t>: Vrednost unovčenih turističnih bonov in BON21</w:t>
            </w:r>
          </w:p>
          <w:tbl>
            <w:tblPr>
              <w:tblStyle w:val="Tabelasvetlamrea"/>
              <w:tblW w:w="0" w:type="auto"/>
              <w:tblCellMar>
                <w:left w:w="0" w:type="dxa"/>
              </w:tblCellMar>
              <w:tblLook w:val="04A0" w:firstRow="1" w:lastRow="0" w:firstColumn="1" w:lastColumn="0" w:noHBand="0" w:noVBand="1"/>
            </w:tblPr>
            <w:tblGrid>
              <w:gridCol w:w="2462"/>
              <w:gridCol w:w="1605"/>
              <w:gridCol w:w="1605"/>
              <w:gridCol w:w="1524"/>
              <w:gridCol w:w="1524"/>
            </w:tblGrid>
            <w:tr w:rsidR="009D4DAE" w:rsidRPr="008D75F2" w14:paraId="653E9331" w14:textId="77777777" w:rsidTr="001F35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shd w:val="clear" w:color="auto" w:fill="BFBFBF" w:themeFill="background1" w:themeFillShade="BF"/>
                </w:tcPr>
                <w:p w14:paraId="567D4C43" w14:textId="77777777" w:rsidR="009D4DAE" w:rsidRPr="008D75F2" w:rsidRDefault="009D4DAE" w:rsidP="000E5732">
                  <w:pPr>
                    <w:spacing w:after="0" w:line="288" w:lineRule="auto"/>
                    <w:jc w:val="left"/>
                    <w:rPr>
                      <w:rFonts w:ascii="Myriad Pro" w:hAnsi="Myriad Pro"/>
                      <w:sz w:val="18"/>
                    </w:rPr>
                  </w:pPr>
                </w:p>
              </w:tc>
              <w:tc>
                <w:tcPr>
                  <w:tcW w:w="1605" w:type="dxa"/>
                  <w:shd w:val="clear" w:color="auto" w:fill="BFBFBF" w:themeFill="background1" w:themeFillShade="BF"/>
                </w:tcPr>
                <w:p w14:paraId="1FE3826E" w14:textId="77777777" w:rsidR="009D4DAE" w:rsidRPr="000E5732" w:rsidRDefault="009D4DAE" w:rsidP="000E5732">
                  <w:pPr>
                    <w:spacing w:after="0" w:line="288" w:lineRule="auto"/>
                    <w:cnfStyle w:val="100000000000" w:firstRow="1" w:lastRow="0" w:firstColumn="0" w:lastColumn="0" w:oddVBand="0" w:evenVBand="0" w:oddHBand="0" w:evenHBand="0" w:firstRowFirstColumn="0" w:firstRowLastColumn="0" w:lastRowFirstColumn="0" w:lastRowLastColumn="0"/>
                    <w:rPr>
                      <w:rFonts w:ascii="Myriad Pro" w:hAnsi="Myriad Pro"/>
                      <w:b/>
                      <w:sz w:val="18"/>
                    </w:rPr>
                  </w:pPr>
                  <w:r w:rsidRPr="000E5732">
                    <w:rPr>
                      <w:rFonts w:ascii="Myriad Pro" w:hAnsi="Myriad Pro"/>
                      <w:b/>
                      <w:sz w:val="18"/>
                    </w:rPr>
                    <w:t>2020</w:t>
                  </w:r>
                </w:p>
              </w:tc>
              <w:tc>
                <w:tcPr>
                  <w:tcW w:w="1605" w:type="dxa"/>
                  <w:shd w:val="clear" w:color="auto" w:fill="BFBFBF" w:themeFill="background1" w:themeFillShade="BF"/>
                </w:tcPr>
                <w:p w14:paraId="760F7280" w14:textId="77777777" w:rsidR="009D4DAE" w:rsidRPr="000E5732" w:rsidRDefault="009D4DAE" w:rsidP="000E5732">
                  <w:pPr>
                    <w:spacing w:after="0" w:line="288" w:lineRule="auto"/>
                    <w:cnfStyle w:val="100000000000" w:firstRow="1" w:lastRow="0" w:firstColumn="0" w:lastColumn="0" w:oddVBand="0" w:evenVBand="0" w:oddHBand="0" w:evenHBand="0" w:firstRowFirstColumn="0" w:firstRowLastColumn="0" w:lastRowFirstColumn="0" w:lastRowLastColumn="0"/>
                    <w:rPr>
                      <w:rFonts w:ascii="Myriad Pro" w:hAnsi="Myriad Pro"/>
                      <w:b/>
                      <w:sz w:val="18"/>
                    </w:rPr>
                  </w:pPr>
                  <w:r w:rsidRPr="000E5732">
                    <w:rPr>
                      <w:rFonts w:ascii="Myriad Pro" w:hAnsi="Myriad Pro"/>
                      <w:b/>
                      <w:sz w:val="18"/>
                    </w:rPr>
                    <w:t>2021</w:t>
                  </w:r>
                </w:p>
              </w:tc>
              <w:tc>
                <w:tcPr>
                  <w:tcW w:w="1524" w:type="dxa"/>
                  <w:shd w:val="clear" w:color="auto" w:fill="BFBFBF" w:themeFill="background1" w:themeFillShade="BF"/>
                </w:tcPr>
                <w:p w14:paraId="49A88FB6" w14:textId="77777777" w:rsidR="009D4DAE" w:rsidRPr="000E5732" w:rsidRDefault="009D4DAE" w:rsidP="000E5732">
                  <w:pPr>
                    <w:spacing w:after="0" w:line="288" w:lineRule="auto"/>
                    <w:cnfStyle w:val="100000000000" w:firstRow="1" w:lastRow="0" w:firstColumn="0" w:lastColumn="0" w:oddVBand="0" w:evenVBand="0" w:oddHBand="0" w:evenHBand="0" w:firstRowFirstColumn="0" w:firstRowLastColumn="0" w:lastRowFirstColumn="0" w:lastRowLastColumn="0"/>
                    <w:rPr>
                      <w:rFonts w:ascii="Myriad Pro" w:hAnsi="Myriad Pro"/>
                      <w:b/>
                      <w:sz w:val="18"/>
                    </w:rPr>
                  </w:pPr>
                  <w:r w:rsidRPr="000E5732">
                    <w:rPr>
                      <w:rFonts w:ascii="Myriad Pro" w:hAnsi="Myriad Pro"/>
                      <w:b/>
                      <w:sz w:val="18"/>
                    </w:rPr>
                    <w:t>2022</w:t>
                  </w:r>
                </w:p>
              </w:tc>
              <w:tc>
                <w:tcPr>
                  <w:tcW w:w="1524" w:type="dxa"/>
                  <w:shd w:val="clear" w:color="auto" w:fill="BFBFBF" w:themeFill="background1" w:themeFillShade="BF"/>
                </w:tcPr>
                <w:p w14:paraId="629E12A8" w14:textId="77777777" w:rsidR="009D4DAE" w:rsidRPr="000E5732" w:rsidRDefault="009D4DAE" w:rsidP="000E5732">
                  <w:pPr>
                    <w:spacing w:after="0" w:line="288" w:lineRule="auto"/>
                    <w:cnfStyle w:val="100000000000" w:firstRow="1" w:lastRow="0" w:firstColumn="0" w:lastColumn="0" w:oddVBand="0" w:evenVBand="0" w:oddHBand="0" w:evenHBand="0" w:firstRowFirstColumn="0" w:firstRowLastColumn="0" w:lastRowFirstColumn="0" w:lastRowLastColumn="0"/>
                    <w:rPr>
                      <w:rFonts w:ascii="Myriad Pro" w:hAnsi="Myriad Pro"/>
                      <w:b/>
                      <w:sz w:val="18"/>
                    </w:rPr>
                  </w:pPr>
                  <w:r w:rsidRPr="000E5732">
                    <w:rPr>
                      <w:rFonts w:ascii="Myriad Pro" w:hAnsi="Myriad Pro"/>
                      <w:b/>
                      <w:sz w:val="18"/>
                    </w:rPr>
                    <w:t>2020</w:t>
                  </w:r>
                  <w:r w:rsidRPr="000E5732">
                    <w:rPr>
                      <w:b/>
                      <w:bCs/>
                    </w:rPr>
                    <w:t>–</w:t>
                  </w:r>
                  <w:r w:rsidRPr="000E5732">
                    <w:rPr>
                      <w:rFonts w:ascii="Myriad Pro" w:hAnsi="Myriad Pro"/>
                      <w:b/>
                      <w:sz w:val="18"/>
                    </w:rPr>
                    <w:t>2022</w:t>
                  </w:r>
                </w:p>
              </w:tc>
            </w:tr>
            <w:tr w:rsidR="009D4DAE" w:rsidRPr="008D75F2" w14:paraId="4408628D" w14:textId="77777777" w:rsidTr="001F3514">
              <w:tc>
                <w:tcPr>
                  <w:cnfStyle w:val="001000000000" w:firstRow="0" w:lastRow="0" w:firstColumn="1" w:lastColumn="0" w:oddVBand="0" w:evenVBand="0" w:oddHBand="0" w:evenHBand="0" w:firstRowFirstColumn="0" w:firstRowLastColumn="0" w:lastRowFirstColumn="0" w:lastRowLastColumn="0"/>
                  <w:tcW w:w="2462" w:type="dxa"/>
                </w:tcPr>
                <w:p w14:paraId="2CA1A8AD" w14:textId="77777777" w:rsidR="009D4DAE" w:rsidRPr="008D75F2" w:rsidRDefault="009D4DAE" w:rsidP="000E5732">
                  <w:pPr>
                    <w:spacing w:after="0" w:line="288" w:lineRule="auto"/>
                    <w:rPr>
                      <w:rFonts w:ascii="Myriad Pro" w:hAnsi="Myriad Pro"/>
                      <w:sz w:val="18"/>
                    </w:rPr>
                  </w:pPr>
                  <w:r w:rsidRPr="008D75F2">
                    <w:rPr>
                      <w:rFonts w:ascii="Myriad Pro" w:hAnsi="Myriad Pro"/>
                      <w:sz w:val="18"/>
                    </w:rPr>
                    <w:t>Turistični boni, v mio EUR</w:t>
                  </w:r>
                </w:p>
              </w:tc>
              <w:tc>
                <w:tcPr>
                  <w:tcW w:w="1605" w:type="dxa"/>
                </w:tcPr>
                <w:p w14:paraId="50D0C193" w14:textId="77777777" w:rsidR="009D4DAE" w:rsidRPr="008D75F2" w:rsidRDefault="009D4DAE" w:rsidP="000E5732">
                  <w:pPr>
                    <w:spacing w:after="0" w:line="288" w:lineRule="auto"/>
                    <w:jc w:val="right"/>
                    <w:cnfStyle w:val="000000000000" w:firstRow="0" w:lastRow="0" w:firstColumn="0" w:lastColumn="0" w:oddVBand="0" w:evenVBand="0" w:oddHBand="0" w:evenHBand="0" w:firstRowFirstColumn="0" w:firstRowLastColumn="0" w:lastRowFirstColumn="0" w:lastRowLastColumn="0"/>
                    <w:rPr>
                      <w:rFonts w:ascii="Myriad Pro" w:hAnsi="Myriad Pro"/>
                      <w:sz w:val="18"/>
                    </w:rPr>
                  </w:pPr>
                  <w:r w:rsidRPr="008D75F2">
                    <w:rPr>
                      <w:rFonts w:ascii="Myriad Pro" w:hAnsi="Myriad Pro"/>
                      <w:sz w:val="18"/>
                    </w:rPr>
                    <w:t>128,0</w:t>
                  </w:r>
                </w:p>
              </w:tc>
              <w:tc>
                <w:tcPr>
                  <w:tcW w:w="1605" w:type="dxa"/>
                </w:tcPr>
                <w:p w14:paraId="739EFE3D" w14:textId="77777777" w:rsidR="009D4DAE" w:rsidRPr="008D75F2" w:rsidRDefault="009D4DAE" w:rsidP="000E5732">
                  <w:pPr>
                    <w:spacing w:after="0" w:line="288" w:lineRule="auto"/>
                    <w:jc w:val="right"/>
                    <w:cnfStyle w:val="000000000000" w:firstRow="0" w:lastRow="0" w:firstColumn="0" w:lastColumn="0" w:oddVBand="0" w:evenVBand="0" w:oddHBand="0" w:evenHBand="0" w:firstRowFirstColumn="0" w:firstRowLastColumn="0" w:lastRowFirstColumn="0" w:lastRowLastColumn="0"/>
                    <w:rPr>
                      <w:rFonts w:ascii="Myriad Pro" w:hAnsi="Myriad Pro"/>
                      <w:sz w:val="18"/>
                    </w:rPr>
                  </w:pPr>
                  <w:r w:rsidRPr="008D75F2">
                    <w:rPr>
                      <w:rFonts w:ascii="Myriad Pro" w:hAnsi="Myriad Pro"/>
                      <w:sz w:val="18"/>
                    </w:rPr>
                    <w:t>121,4</w:t>
                  </w:r>
                </w:p>
              </w:tc>
              <w:tc>
                <w:tcPr>
                  <w:tcW w:w="1524" w:type="dxa"/>
                </w:tcPr>
                <w:p w14:paraId="358C6232" w14:textId="77777777" w:rsidR="009D4DAE" w:rsidRPr="008D75F2" w:rsidRDefault="009D4DAE" w:rsidP="000E5732">
                  <w:pPr>
                    <w:spacing w:after="0" w:line="288" w:lineRule="auto"/>
                    <w:jc w:val="right"/>
                    <w:cnfStyle w:val="000000000000" w:firstRow="0" w:lastRow="0" w:firstColumn="0" w:lastColumn="0" w:oddVBand="0" w:evenVBand="0" w:oddHBand="0" w:evenHBand="0" w:firstRowFirstColumn="0" w:firstRowLastColumn="0" w:lastRowFirstColumn="0" w:lastRowLastColumn="0"/>
                    <w:rPr>
                      <w:rFonts w:ascii="Myriad Pro" w:hAnsi="Myriad Pro"/>
                      <w:sz w:val="18"/>
                    </w:rPr>
                  </w:pPr>
                  <w:r w:rsidRPr="008D75F2">
                    <w:rPr>
                      <w:rFonts w:ascii="Myriad Pro" w:hAnsi="Myriad Pro"/>
                      <w:sz w:val="18"/>
                    </w:rPr>
                    <w:t>52,4</w:t>
                  </w:r>
                </w:p>
              </w:tc>
              <w:tc>
                <w:tcPr>
                  <w:tcW w:w="1524" w:type="dxa"/>
                </w:tcPr>
                <w:p w14:paraId="659FF1B4" w14:textId="77777777" w:rsidR="009D4DAE" w:rsidRPr="008D75F2" w:rsidRDefault="009D4DAE" w:rsidP="000E5732">
                  <w:pPr>
                    <w:spacing w:after="0" w:line="288" w:lineRule="auto"/>
                    <w:jc w:val="right"/>
                    <w:cnfStyle w:val="000000000000" w:firstRow="0" w:lastRow="0" w:firstColumn="0" w:lastColumn="0" w:oddVBand="0" w:evenVBand="0" w:oddHBand="0" w:evenHBand="0" w:firstRowFirstColumn="0" w:firstRowLastColumn="0" w:lastRowFirstColumn="0" w:lastRowLastColumn="0"/>
                    <w:rPr>
                      <w:rFonts w:ascii="Myriad Pro" w:hAnsi="Myriad Pro"/>
                      <w:sz w:val="18"/>
                    </w:rPr>
                  </w:pPr>
                  <w:r w:rsidRPr="008D75F2">
                    <w:rPr>
                      <w:rFonts w:ascii="Myriad Pro" w:hAnsi="Myriad Pro"/>
                      <w:sz w:val="18"/>
                    </w:rPr>
                    <w:t>301,8</w:t>
                  </w:r>
                </w:p>
              </w:tc>
            </w:tr>
            <w:tr w:rsidR="009D4DAE" w:rsidRPr="008D75F2" w14:paraId="08FEA2CD" w14:textId="77777777" w:rsidTr="001F3514">
              <w:tc>
                <w:tcPr>
                  <w:cnfStyle w:val="001000000000" w:firstRow="0" w:lastRow="0" w:firstColumn="1" w:lastColumn="0" w:oddVBand="0" w:evenVBand="0" w:oddHBand="0" w:evenHBand="0" w:firstRowFirstColumn="0" w:firstRowLastColumn="0" w:lastRowFirstColumn="0" w:lastRowLastColumn="0"/>
                  <w:tcW w:w="2462" w:type="dxa"/>
                </w:tcPr>
                <w:p w14:paraId="10B9A519" w14:textId="77777777" w:rsidR="009D4DAE" w:rsidRPr="008D75F2" w:rsidRDefault="009D4DAE" w:rsidP="000E5732">
                  <w:pPr>
                    <w:spacing w:after="0" w:line="288" w:lineRule="auto"/>
                    <w:rPr>
                      <w:rFonts w:ascii="Myriad Pro" w:hAnsi="Myriad Pro"/>
                      <w:sz w:val="18"/>
                    </w:rPr>
                  </w:pPr>
                  <w:r w:rsidRPr="008D75F2">
                    <w:rPr>
                      <w:rFonts w:ascii="Myriad Pro" w:hAnsi="Myriad Pro"/>
                      <w:sz w:val="18"/>
                    </w:rPr>
                    <w:t>% od celotne vrednosti</w:t>
                  </w:r>
                </w:p>
              </w:tc>
              <w:tc>
                <w:tcPr>
                  <w:tcW w:w="1605" w:type="dxa"/>
                </w:tcPr>
                <w:p w14:paraId="3CFF7CCF" w14:textId="77777777" w:rsidR="009D4DAE" w:rsidRPr="008D75F2" w:rsidRDefault="009D4DAE" w:rsidP="000E5732">
                  <w:pPr>
                    <w:spacing w:after="0" w:line="288" w:lineRule="auto"/>
                    <w:jc w:val="right"/>
                    <w:cnfStyle w:val="000000000000" w:firstRow="0" w:lastRow="0" w:firstColumn="0" w:lastColumn="0" w:oddVBand="0" w:evenVBand="0" w:oddHBand="0" w:evenHBand="0" w:firstRowFirstColumn="0" w:firstRowLastColumn="0" w:lastRowFirstColumn="0" w:lastRowLastColumn="0"/>
                    <w:rPr>
                      <w:rFonts w:ascii="Myriad Pro" w:hAnsi="Myriad Pro"/>
                      <w:sz w:val="18"/>
                    </w:rPr>
                  </w:pPr>
                  <w:r>
                    <w:rPr>
                      <w:rFonts w:ascii="Myriad Pro" w:hAnsi="Myriad Pro"/>
                      <w:sz w:val="18"/>
                    </w:rPr>
                    <w:t xml:space="preserve">  </w:t>
                  </w:r>
                  <w:r w:rsidRPr="008D75F2">
                    <w:rPr>
                      <w:rFonts w:ascii="Myriad Pro" w:hAnsi="Myriad Pro"/>
                      <w:sz w:val="18"/>
                    </w:rPr>
                    <w:t>3</w:t>
                  </w:r>
                  <w:r>
                    <w:rPr>
                      <w:rFonts w:ascii="Myriad Pro" w:hAnsi="Myriad Pro"/>
                      <w:sz w:val="18"/>
                    </w:rPr>
                    <w:t>5</w:t>
                  </w:r>
                  <w:r w:rsidRPr="008D75F2">
                    <w:rPr>
                      <w:rFonts w:ascii="Myriad Pro" w:hAnsi="Myriad Pro"/>
                      <w:sz w:val="18"/>
                    </w:rPr>
                    <w:t>,</w:t>
                  </w:r>
                  <w:r>
                    <w:rPr>
                      <w:rFonts w:ascii="Myriad Pro" w:hAnsi="Myriad Pro"/>
                      <w:sz w:val="18"/>
                    </w:rPr>
                    <w:t>9</w:t>
                  </w:r>
                </w:p>
              </w:tc>
              <w:tc>
                <w:tcPr>
                  <w:tcW w:w="1605" w:type="dxa"/>
                </w:tcPr>
                <w:p w14:paraId="3063EB0A" w14:textId="77777777" w:rsidR="009D4DAE" w:rsidRPr="008D75F2" w:rsidRDefault="009D4DAE" w:rsidP="000E5732">
                  <w:pPr>
                    <w:spacing w:after="0" w:line="288" w:lineRule="auto"/>
                    <w:jc w:val="right"/>
                    <w:cnfStyle w:val="000000000000" w:firstRow="0" w:lastRow="0" w:firstColumn="0" w:lastColumn="0" w:oddVBand="0" w:evenVBand="0" w:oddHBand="0" w:evenHBand="0" w:firstRowFirstColumn="0" w:firstRowLastColumn="0" w:lastRowFirstColumn="0" w:lastRowLastColumn="0"/>
                    <w:rPr>
                      <w:rFonts w:ascii="Myriad Pro" w:hAnsi="Myriad Pro"/>
                      <w:sz w:val="18"/>
                    </w:rPr>
                  </w:pPr>
                  <w:r>
                    <w:rPr>
                      <w:rFonts w:ascii="Myriad Pro" w:hAnsi="Myriad Pro"/>
                      <w:sz w:val="18"/>
                    </w:rPr>
                    <w:t xml:space="preserve">  </w:t>
                  </w:r>
                  <w:r w:rsidRPr="008D75F2">
                    <w:rPr>
                      <w:rFonts w:ascii="Myriad Pro" w:hAnsi="Myriad Pro"/>
                      <w:sz w:val="18"/>
                    </w:rPr>
                    <w:t>3</w:t>
                  </w:r>
                  <w:r>
                    <w:rPr>
                      <w:rFonts w:ascii="Myriad Pro" w:hAnsi="Myriad Pro"/>
                      <w:sz w:val="18"/>
                    </w:rPr>
                    <w:t>4,0</w:t>
                  </w:r>
                </w:p>
              </w:tc>
              <w:tc>
                <w:tcPr>
                  <w:tcW w:w="1524" w:type="dxa"/>
                </w:tcPr>
                <w:p w14:paraId="043CB04F" w14:textId="77777777" w:rsidR="009D4DAE" w:rsidRPr="008D75F2" w:rsidRDefault="009D4DAE" w:rsidP="000E5732">
                  <w:pPr>
                    <w:spacing w:after="0" w:line="288" w:lineRule="auto"/>
                    <w:jc w:val="right"/>
                    <w:cnfStyle w:val="000000000000" w:firstRow="0" w:lastRow="0" w:firstColumn="0" w:lastColumn="0" w:oddVBand="0" w:evenVBand="0" w:oddHBand="0" w:evenHBand="0" w:firstRowFirstColumn="0" w:firstRowLastColumn="0" w:lastRowFirstColumn="0" w:lastRowLastColumn="0"/>
                    <w:rPr>
                      <w:rFonts w:ascii="Myriad Pro" w:hAnsi="Myriad Pro"/>
                      <w:sz w:val="18"/>
                    </w:rPr>
                  </w:pPr>
                  <w:r w:rsidRPr="008D75F2">
                    <w:rPr>
                      <w:rFonts w:ascii="Myriad Pro" w:hAnsi="Myriad Pro"/>
                      <w:sz w:val="18"/>
                    </w:rPr>
                    <w:t>1</w:t>
                  </w:r>
                  <w:r>
                    <w:rPr>
                      <w:rFonts w:ascii="Myriad Pro" w:hAnsi="Myriad Pro"/>
                      <w:sz w:val="18"/>
                    </w:rPr>
                    <w:t>4,7</w:t>
                  </w:r>
                </w:p>
              </w:tc>
              <w:tc>
                <w:tcPr>
                  <w:tcW w:w="1524" w:type="dxa"/>
                </w:tcPr>
                <w:p w14:paraId="274479BA" w14:textId="77777777" w:rsidR="009D4DAE" w:rsidRPr="008D75F2" w:rsidRDefault="009D4DAE" w:rsidP="000E5732">
                  <w:pPr>
                    <w:spacing w:after="0" w:line="288" w:lineRule="auto"/>
                    <w:jc w:val="right"/>
                    <w:cnfStyle w:val="000000000000" w:firstRow="0" w:lastRow="0" w:firstColumn="0" w:lastColumn="0" w:oddVBand="0" w:evenVBand="0" w:oddHBand="0" w:evenHBand="0" w:firstRowFirstColumn="0" w:firstRowLastColumn="0" w:lastRowFirstColumn="0" w:lastRowLastColumn="0"/>
                    <w:rPr>
                      <w:rFonts w:ascii="Myriad Pro" w:hAnsi="Myriad Pro"/>
                      <w:sz w:val="18"/>
                    </w:rPr>
                  </w:pPr>
                  <w:r>
                    <w:rPr>
                      <w:rFonts w:ascii="Myriad Pro" w:hAnsi="Myriad Pro"/>
                      <w:sz w:val="18"/>
                    </w:rPr>
                    <w:t xml:space="preserve">  </w:t>
                  </w:r>
                  <w:r w:rsidRPr="008D75F2">
                    <w:rPr>
                      <w:rFonts w:ascii="Myriad Pro" w:hAnsi="Myriad Pro"/>
                      <w:sz w:val="18"/>
                    </w:rPr>
                    <w:t>8</w:t>
                  </w:r>
                  <w:r>
                    <w:rPr>
                      <w:rFonts w:ascii="Myriad Pro" w:hAnsi="Myriad Pro"/>
                      <w:sz w:val="18"/>
                    </w:rPr>
                    <w:t>4</w:t>
                  </w:r>
                  <w:r w:rsidRPr="008D75F2">
                    <w:rPr>
                      <w:rFonts w:ascii="Myriad Pro" w:hAnsi="Myriad Pro"/>
                      <w:sz w:val="18"/>
                    </w:rPr>
                    <w:t>,5</w:t>
                  </w:r>
                </w:p>
              </w:tc>
            </w:tr>
            <w:tr w:rsidR="009D4DAE" w:rsidRPr="008D75F2" w14:paraId="3D64088F" w14:textId="77777777" w:rsidTr="001F3514">
              <w:tc>
                <w:tcPr>
                  <w:cnfStyle w:val="001000000000" w:firstRow="0" w:lastRow="0" w:firstColumn="1" w:lastColumn="0" w:oddVBand="0" w:evenVBand="0" w:oddHBand="0" w:evenHBand="0" w:firstRowFirstColumn="0" w:firstRowLastColumn="0" w:lastRowFirstColumn="0" w:lastRowLastColumn="0"/>
                  <w:tcW w:w="2462" w:type="dxa"/>
                </w:tcPr>
                <w:p w14:paraId="2BB837DD" w14:textId="77777777" w:rsidR="009D4DAE" w:rsidRPr="008D75F2" w:rsidRDefault="009D4DAE" w:rsidP="000E5732">
                  <w:pPr>
                    <w:spacing w:after="0" w:line="288" w:lineRule="auto"/>
                    <w:rPr>
                      <w:rFonts w:ascii="Myriad Pro" w:hAnsi="Myriad Pro"/>
                      <w:sz w:val="18"/>
                    </w:rPr>
                  </w:pPr>
                  <w:r w:rsidRPr="008D75F2">
                    <w:rPr>
                      <w:rFonts w:ascii="Myriad Pro" w:hAnsi="Myriad Pro"/>
                      <w:sz w:val="18"/>
                    </w:rPr>
                    <w:t>BON21, v mio EUR</w:t>
                  </w:r>
                </w:p>
              </w:tc>
              <w:tc>
                <w:tcPr>
                  <w:tcW w:w="1605" w:type="dxa"/>
                </w:tcPr>
                <w:p w14:paraId="5543E543" w14:textId="77777777" w:rsidR="009D4DAE" w:rsidRPr="008D75F2" w:rsidRDefault="009D4DAE" w:rsidP="000E5732">
                  <w:pPr>
                    <w:spacing w:after="0" w:line="288" w:lineRule="auto"/>
                    <w:jc w:val="right"/>
                    <w:cnfStyle w:val="000000000000" w:firstRow="0" w:lastRow="0" w:firstColumn="0" w:lastColumn="0" w:oddVBand="0" w:evenVBand="0" w:oddHBand="0" w:evenHBand="0" w:firstRowFirstColumn="0" w:firstRowLastColumn="0" w:lastRowFirstColumn="0" w:lastRowLastColumn="0"/>
                    <w:rPr>
                      <w:rFonts w:ascii="Myriad Pro" w:hAnsi="Myriad Pro"/>
                      <w:sz w:val="18"/>
                    </w:rPr>
                  </w:pPr>
                </w:p>
              </w:tc>
              <w:tc>
                <w:tcPr>
                  <w:tcW w:w="1605" w:type="dxa"/>
                </w:tcPr>
                <w:p w14:paraId="28BF1C39" w14:textId="77777777" w:rsidR="009D4DAE" w:rsidRPr="008D75F2" w:rsidRDefault="009D4DAE" w:rsidP="000E5732">
                  <w:pPr>
                    <w:spacing w:after="0" w:line="288" w:lineRule="auto"/>
                    <w:jc w:val="right"/>
                    <w:cnfStyle w:val="000000000000" w:firstRow="0" w:lastRow="0" w:firstColumn="0" w:lastColumn="0" w:oddVBand="0" w:evenVBand="0" w:oddHBand="0" w:evenHBand="0" w:firstRowFirstColumn="0" w:firstRowLastColumn="0" w:lastRowFirstColumn="0" w:lastRowLastColumn="0"/>
                    <w:rPr>
                      <w:rFonts w:ascii="Myriad Pro" w:hAnsi="Myriad Pro"/>
                      <w:sz w:val="18"/>
                    </w:rPr>
                  </w:pPr>
                  <w:r w:rsidRPr="008D75F2">
                    <w:rPr>
                      <w:rFonts w:ascii="Myriad Pro" w:hAnsi="Myriad Pro"/>
                      <w:sz w:val="18"/>
                    </w:rPr>
                    <w:t>106,5</w:t>
                  </w:r>
                </w:p>
              </w:tc>
              <w:tc>
                <w:tcPr>
                  <w:tcW w:w="1524" w:type="dxa"/>
                </w:tcPr>
                <w:p w14:paraId="46AA8B3A" w14:textId="77777777" w:rsidR="009D4DAE" w:rsidRPr="008D75F2" w:rsidRDefault="009D4DAE" w:rsidP="000E5732">
                  <w:pPr>
                    <w:spacing w:after="0" w:line="288" w:lineRule="auto"/>
                    <w:jc w:val="right"/>
                    <w:cnfStyle w:val="000000000000" w:firstRow="0" w:lastRow="0" w:firstColumn="0" w:lastColumn="0" w:oddVBand="0" w:evenVBand="0" w:oddHBand="0" w:evenHBand="0" w:firstRowFirstColumn="0" w:firstRowLastColumn="0" w:lastRowFirstColumn="0" w:lastRowLastColumn="0"/>
                    <w:rPr>
                      <w:rFonts w:ascii="Myriad Pro" w:hAnsi="Myriad Pro"/>
                      <w:sz w:val="18"/>
                    </w:rPr>
                  </w:pPr>
                  <w:r w:rsidRPr="008D75F2">
                    <w:rPr>
                      <w:rFonts w:ascii="Myriad Pro" w:hAnsi="Myriad Pro"/>
                      <w:sz w:val="18"/>
                    </w:rPr>
                    <w:t>60,6</w:t>
                  </w:r>
                </w:p>
              </w:tc>
              <w:tc>
                <w:tcPr>
                  <w:tcW w:w="1524" w:type="dxa"/>
                </w:tcPr>
                <w:p w14:paraId="17AC05B7" w14:textId="77777777" w:rsidR="009D4DAE" w:rsidRPr="008D75F2" w:rsidRDefault="009D4DAE" w:rsidP="000E5732">
                  <w:pPr>
                    <w:spacing w:after="0" w:line="288" w:lineRule="auto"/>
                    <w:jc w:val="right"/>
                    <w:cnfStyle w:val="000000000000" w:firstRow="0" w:lastRow="0" w:firstColumn="0" w:lastColumn="0" w:oddVBand="0" w:evenVBand="0" w:oddHBand="0" w:evenHBand="0" w:firstRowFirstColumn="0" w:firstRowLastColumn="0" w:lastRowFirstColumn="0" w:lastRowLastColumn="0"/>
                    <w:rPr>
                      <w:rFonts w:ascii="Myriad Pro" w:hAnsi="Myriad Pro"/>
                      <w:sz w:val="18"/>
                    </w:rPr>
                  </w:pPr>
                  <w:r w:rsidRPr="008D75F2">
                    <w:rPr>
                      <w:rFonts w:ascii="Myriad Pro" w:hAnsi="Myriad Pro"/>
                      <w:sz w:val="18"/>
                    </w:rPr>
                    <w:t>167,1</w:t>
                  </w:r>
                </w:p>
              </w:tc>
            </w:tr>
            <w:tr w:rsidR="009D4DAE" w:rsidRPr="008D75F2" w14:paraId="3C2E10D3" w14:textId="77777777" w:rsidTr="001F3514">
              <w:tc>
                <w:tcPr>
                  <w:cnfStyle w:val="001000000000" w:firstRow="0" w:lastRow="0" w:firstColumn="1" w:lastColumn="0" w:oddVBand="0" w:evenVBand="0" w:oddHBand="0" w:evenHBand="0" w:firstRowFirstColumn="0" w:firstRowLastColumn="0" w:lastRowFirstColumn="0" w:lastRowLastColumn="0"/>
                  <w:tcW w:w="2462" w:type="dxa"/>
                </w:tcPr>
                <w:p w14:paraId="41A92FF0" w14:textId="77777777" w:rsidR="009D4DAE" w:rsidRPr="008D75F2" w:rsidRDefault="009D4DAE" w:rsidP="000E5732">
                  <w:pPr>
                    <w:spacing w:after="0" w:line="288" w:lineRule="auto"/>
                    <w:rPr>
                      <w:rFonts w:ascii="Myriad Pro" w:hAnsi="Myriad Pro"/>
                      <w:sz w:val="18"/>
                    </w:rPr>
                  </w:pPr>
                  <w:r w:rsidRPr="008D75F2">
                    <w:rPr>
                      <w:rFonts w:ascii="Myriad Pro" w:hAnsi="Myriad Pro"/>
                      <w:sz w:val="18"/>
                    </w:rPr>
                    <w:t>% od celotne vrednosti</w:t>
                  </w:r>
                </w:p>
              </w:tc>
              <w:tc>
                <w:tcPr>
                  <w:tcW w:w="1605" w:type="dxa"/>
                </w:tcPr>
                <w:p w14:paraId="12A0E9CD" w14:textId="77777777" w:rsidR="009D4DAE" w:rsidRPr="008D75F2" w:rsidRDefault="009D4DAE" w:rsidP="000E5732">
                  <w:pPr>
                    <w:spacing w:after="0" w:line="288" w:lineRule="auto"/>
                    <w:jc w:val="right"/>
                    <w:cnfStyle w:val="000000000000" w:firstRow="0" w:lastRow="0" w:firstColumn="0" w:lastColumn="0" w:oddVBand="0" w:evenVBand="0" w:oddHBand="0" w:evenHBand="0" w:firstRowFirstColumn="0" w:firstRowLastColumn="0" w:lastRowFirstColumn="0" w:lastRowLastColumn="0"/>
                    <w:rPr>
                      <w:rFonts w:ascii="Myriad Pro" w:hAnsi="Myriad Pro"/>
                      <w:sz w:val="18"/>
                    </w:rPr>
                  </w:pPr>
                </w:p>
              </w:tc>
              <w:tc>
                <w:tcPr>
                  <w:tcW w:w="1605" w:type="dxa"/>
                </w:tcPr>
                <w:p w14:paraId="42360842" w14:textId="77777777" w:rsidR="009D4DAE" w:rsidRPr="008D75F2" w:rsidRDefault="009D4DAE" w:rsidP="000E5732">
                  <w:pPr>
                    <w:spacing w:after="0" w:line="288" w:lineRule="auto"/>
                    <w:jc w:val="right"/>
                    <w:cnfStyle w:val="000000000000" w:firstRow="0" w:lastRow="0" w:firstColumn="0" w:lastColumn="0" w:oddVBand="0" w:evenVBand="0" w:oddHBand="0" w:evenHBand="0" w:firstRowFirstColumn="0" w:firstRowLastColumn="0" w:lastRowFirstColumn="0" w:lastRowLastColumn="0"/>
                    <w:rPr>
                      <w:rFonts w:ascii="Myriad Pro" w:hAnsi="Myriad Pro"/>
                      <w:sz w:val="18"/>
                    </w:rPr>
                  </w:pPr>
                  <w:r>
                    <w:rPr>
                      <w:rFonts w:ascii="Myriad Pro" w:hAnsi="Myriad Pro"/>
                      <w:sz w:val="18"/>
                    </w:rPr>
                    <w:t xml:space="preserve">  57,0</w:t>
                  </w:r>
                </w:p>
              </w:tc>
              <w:tc>
                <w:tcPr>
                  <w:tcW w:w="1524" w:type="dxa"/>
                </w:tcPr>
                <w:p w14:paraId="2DE79AF4" w14:textId="77777777" w:rsidR="009D4DAE" w:rsidRPr="008D75F2" w:rsidRDefault="009D4DAE" w:rsidP="000E5732">
                  <w:pPr>
                    <w:spacing w:after="0" w:line="288" w:lineRule="auto"/>
                    <w:jc w:val="right"/>
                    <w:cnfStyle w:val="000000000000" w:firstRow="0" w:lastRow="0" w:firstColumn="0" w:lastColumn="0" w:oddVBand="0" w:evenVBand="0" w:oddHBand="0" w:evenHBand="0" w:firstRowFirstColumn="0" w:firstRowLastColumn="0" w:lastRowFirstColumn="0" w:lastRowLastColumn="0"/>
                    <w:rPr>
                      <w:rFonts w:ascii="Myriad Pro" w:hAnsi="Myriad Pro"/>
                      <w:sz w:val="18"/>
                    </w:rPr>
                  </w:pPr>
                  <w:r>
                    <w:rPr>
                      <w:rFonts w:ascii="Myriad Pro" w:hAnsi="Myriad Pro"/>
                      <w:sz w:val="18"/>
                    </w:rPr>
                    <w:t>32,4</w:t>
                  </w:r>
                </w:p>
              </w:tc>
              <w:tc>
                <w:tcPr>
                  <w:tcW w:w="1524" w:type="dxa"/>
                </w:tcPr>
                <w:p w14:paraId="2930475A" w14:textId="77777777" w:rsidR="009D4DAE" w:rsidRPr="008D75F2" w:rsidRDefault="009D4DAE" w:rsidP="000E5732">
                  <w:pPr>
                    <w:spacing w:after="0" w:line="288" w:lineRule="auto"/>
                    <w:jc w:val="right"/>
                    <w:cnfStyle w:val="000000000000" w:firstRow="0" w:lastRow="0" w:firstColumn="0" w:lastColumn="0" w:oddVBand="0" w:evenVBand="0" w:oddHBand="0" w:evenHBand="0" w:firstRowFirstColumn="0" w:firstRowLastColumn="0" w:lastRowFirstColumn="0" w:lastRowLastColumn="0"/>
                    <w:rPr>
                      <w:rFonts w:ascii="Myriad Pro" w:hAnsi="Myriad Pro"/>
                      <w:sz w:val="18"/>
                    </w:rPr>
                  </w:pPr>
                  <w:r>
                    <w:rPr>
                      <w:rFonts w:ascii="Myriad Pro" w:hAnsi="Myriad Pro"/>
                      <w:sz w:val="18"/>
                    </w:rPr>
                    <w:t xml:space="preserve">  89,4</w:t>
                  </w:r>
                </w:p>
              </w:tc>
            </w:tr>
          </w:tbl>
          <w:p w14:paraId="4E485348" w14:textId="64E2222A" w:rsidR="000E5732" w:rsidRPr="008D75F2" w:rsidRDefault="009D4DAE" w:rsidP="004E6E34">
            <w:pPr>
              <w:spacing w:before="40" w:after="0" w:line="240" w:lineRule="auto"/>
              <w:jc w:val="both"/>
              <w:rPr>
                <w:rFonts w:ascii="Myriad Pro" w:hAnsi="Myriad Pro"/>
                <w:sz w:val="16"/>
              </w:rPr>
            </w:pPr>
            <w:r w:rsidRPr="008D75F2">
              <w:rPr>
                <w:rFonts w:ascii="Myriad Pro" w:hAnsi="Myriad Pro"/>
                <w:sz w:val="16"/>
              </w:rPr>
              <w:t xml:space="preserve">Vir podatkov: </w:t>
            </w:r>
            <w:r>
              <w:rPr>
                <w:rFonts w:ascii="Myriad Pro" w:hAnsi="Myriad Pro"/>
                <w:sz w:val="16"/>
              </w:rPr>
              <w:fldChar w:fldCharType="begin"/>
            </w:r>
            <w:r>
              <w:rPr>
                <w:rFonts w:ascii="Myriad Pro" w:hAnsi="Myriad Pro"/>
                <w:sz w:val="16"/>
              </w:rPr>
              <w:instrText xml:space="preserve"> ADDIN ZOTERO_ITEM CSL_CITATION {"citationID":"K7WiQLHF","properties":{"formattedCitation":"(MF, 2022)","plainCitation":"(MF, 2022)","dontUpdate":true,"noteIndex":0},"citationItems":[{"id":1818,"uris":["http://zotero.org/users/8372339/items/F54LT84L"],"uri":["http://zotero.org/users/8372339/items/F54LT84L"],"itemData":{"id":1818,"type":"report","event-place":"Ljubljana","genre":"Interni podatki","publisher":"Ministrstvo za finance","publisher-place":"Ljubljana","title":"Odhodki državnega proračuna za blaženje posledic covid-19","author":[{"family":"MF","given":""}],"issued":{"date-parts":[["2022",9]]}}}],"schema":"https://github.com/citation-style-language/schema/raw/master/csl-citation.json"} </w:instrText>
            </w:r>
            <w:r>
              <w:rPr>
                <w:rFonts w:ascii="Myriad Pro" w:hAnsi="Myriad Pro"/>
                <w:sz w:val="16"/>
              </w:rPr>
              <w:fldChar w:fldCharType="separate"/>
            </w:r>
            <w:r w:rsidRPr="00231C02">
              <w:rPr>
                <w:rFonts w:ascii="Myriad Pro" w:hAnsi="Myriad Pro"/>
                <w:sz w:val="16"/>
              </w:rPr>
              <w:t xml:space="preserve">MF </w:t>
            </w:r>
            <w:r>
              <w:rPr>
                <w:rFonts w:ascii="Myriad Pro" w:hAnsi="Myriad Pro"/>
                <w:sz w:val="16"/>
              </w:rPr>
              <w:t>(</w:t>
            </w:r>
            <w:r w:rsidRPr="00231C02">
              <w:rPr>
                <w:rFonts w:ascii="Myriad Pro" w:hAnsi="Myriad Pro"/>
                <w:sz w:val="16"/>
              </w:rPr>
              <w:t>2022)</w:t>
            </w:r>
            <w:r>
              <w:rPr>
                <w:rFonts w:ascii="Myriad Pro" w:hAnsi="Myriad Pro"/>
                <w:sz w:val="16"/>
              </w:rPr>
              <w:fldChar w:fldCharType="end"/>
            </w:r>
            <w:r w:rsidRPr="008D75F2">
              <w:rPr>
                <w:rFonts w:ascii="Myriad Pro" w:hAnsi="Myriad Pro"/>
                <w:sz w:val="16"/>
              </w:rPr>
              <w:t xml:space="preserve">, lastni izračuni. </w:t>
            </w:r>
          </w:p>
        </w:tc>
      </w:tr>
    </w:tbl>
    <w:p w14:paraId="0E9A2F11" w14:textId="09BC5C52" w:rsidR="009D4DAE" w:rsidRPr="00C32468" w:rsidRDefault="009D4DAE" w:rsidP="009D4DAE">
      <w:pPr>
        <w:pStyle w:val="Napis"/>
        <w:jc w:val="left"/>
        <w:rPr>
          <w:spacing w:val="-6"/>
          <w:szCs w:val="22"/>
        </w:rPr>
      </w:pPr>
      <w:r w:rsidRPr="005B3835">
        <w:t xml:space="preserve">Slika </w:t>
      </w:r>
      <w:r w:rsidRPr="005B3835">
        <w:fldChar w:fldCharType="begin"/>
      </w:r>
      <w:r w:rsidRPr="005B3835">
        <w:instrText xml:space="preserve"> SEQ Slika \* ARABIC </w:instrText>
      </w:r>
      <w:r w:rsidRPr="005B3835">
        <w:fldChar w:fldCharType="separate"/>
      </w:r>
      <w:r>
        <w:t>6</w:t>
      </w:r>
      <w:r w:rsidRPr="005B3835">
        <w:fldChar w:fldCharType="end"/>
      </w:r>
      <w:r w:rsidRPr="005B3835">
        <w:rPr>
          <w:rStyle w:val="DZBesediloChar"/>
          <w:szCs w:val="20"/>
        </w:rPr>
        <w:t xml:space="preserve">: </w:t>
      </w:r>
      <w:r w:rsidRPr="00C32468">
        <w:rPr>
          <w:spacing w:val="-6"/>
          <w:szCs w:val="22"/>
        </w:rPr>
        <w:t>Močno se je povečalo tudi število prenočitev tujih turistov, ki pa je leta 2021</w:t>
      </w:r>
      <w:r w:rsidR="00994E3A">
        <w:rPr>
          <w:spacing w:val="-6"/>
          <w:szCs w:val="22"/>
        </w:rPr>
        <w:t xml:space="preserve"> </w:t>
      </w:r>
      <w:r w:rsidRPr="00C32468">
        <w:rPr>
          <w:spacing w:val="-6"/>
          <w:szCs w:val="22"/>
        </w:rPr>
        <w:t>še zaostajalo za številom iz leta 2019</w:t>
      </w:r>
    </w:p>
    <w:p w14:paraId="4C0C6023" w14:textId="77B5A19F" w:rsidR="009D4DAE" w:rsidRDefault="000E5732" w:rsidP="009D4DAE">
      <w:pPr>
        <w:pStyle w:val="BesediloUMAR"/>
        <w:rPr>
          <w:rStyle w:val="BoldpoudarekUMAR"/>
        </w:rPr>
      </w:pPr>
      <w:r w:rsidRPr="000E5732">
        <w:rPr>
          <w:rStyle w:val="BoldpoudarekUMAR"/>
          <w:b w:val="0"/>
          <w:noProof/>
        </w:rPr>
        <w:drawing>
          <wp:inline distT="0" distB="0" distL="0" distR="0" wp14:anchorId="5F2E5140" wp14:editId="65629514">
            <wp:extent cx="5759450" cy="1994455"/>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1994455"/>
                    </a:xfrm>
                    <a:prstGeom prst="rect">
                      <a:avLst/>
                    </a:prstGeom>
                    <a:noFill/>
                    <a:ln>
                      <a:noFill/>
                    </a:ln>
                  </pic:spPr>
                </pic:pic>
              </a:graphicData>
            </a:graphic>
          </wp:inline>
        </w:drawing>
      </w:r>
    </w:p>
    <w:p w14:paraId="11D10B10" w14:textId="08D28947" w:rsidR="009D4DAE" w:rsidRDefault="009D4DAE" w:rsidP="009D4DAE">
      <w:pPr>
        <w:pStyle w:val="DZVir"/>
        <w:rPr>
          <w:rStyle w:val="DZBesediloChar"/>
        </w:rPr>
      </w:pPr>
      <w:r w:rsidRPr="008F6BED">
        <w:t xml:space="preserve">Vir podatkov: </w:t>
      </w:r>
      <w:r>
        <w:fldChar w:fldCharType="begin"/>
      </w:r>
      <w:r>
        <w:instrText xml:space="preserve"> ADDIN ZOTERO_ITEM CSL_CITATION {"citationID":"VChupLBy","properties":{"formattedCitation":"(SURS, 2022)","plainCitation":"(SURS, 2022)","dontUpdate":true,"noteIndex":0},"citationItems":[{"id":1805,"uris":["http://zotero.org/users/8372339/items/QZ8I7YHY"],"uri":["http://zotero.org/users/8372339/items/QZ8I7YHY"],"itemData":{"id":1805,"type":"report","event-place":"Ljubljana","language":"sl","publisher":"Statistični urad RS","publisher-place":"Ljubljana","title":"Podatkovna baza","URL":"https://pxweb.stat.si/SiStatData","author":[{"family":"SURS","given":""}],"accessed":{"date-parts":[["2022",2,11]]},"issued":{"date-parts":[["2022"]]}}}],"schema":"https://github.com/citation-style-language/schema/raw/master/csl-citation.json"} </w:instrText>
      </w:r>
      <w:r>
        <w:fldChar w:fldCharType="separate"/>
      </w:r>
      <w:r w:rsidRPr="00231C02">
        <w:t>SURS</w:t>
      </w:r>
      <w:r>
        <w:t xml:space="preserve"> (</w:t>
      </w:r>
      <w:r w:rsidRPr="00231C02">
        <w:t>2022)</w:t>
      </w:r>
      <w:r>
        <w:fldChar w:fldCharType="end"/>
      </w:r>
      <w:r w:rsidRPr="00826FB9">
        <w:rPr>
          <w:rStyle w:val="DZBesediloChar"/>
        </w:rPr>
        <w:t>, lastni izračuni.</w:t>
      </w:r>
      <w:r>
        <w:rPr>
          <w:rStyle w:val="DZBesediloChar"/>
        </w:rPr>
        <w:t xml:space="preserve"> Opomba: podatki za leto 2022 so do vključno oktobra.</w:t>
      </w:r>
    </w:p>
    <w:p w14:paraId="562E0E8A" w14:textId="71B90636" w:rsidR="009D4DAE" w:rsidRDefault="009D4DAE" w:rsidP="009D4DAE">
      <w:pPr>
        <w:pStyle w:val="BesediloUMAR"/>
      </w:pPr>
      <w:r w:rsidRPr="00C32468">
        <w:rPr>
          <w:b/>
        </w:rPr>
        <w:lastRenderedPageBreak/>
        <w:t>Gostinske družbe so, po povečanju v predhodnem letu, leta 2021 močno zmanjšale izgubo iz financiranja.</w:t>
      </w:r>
      <w:r w:rsidRPr="00C32468">
        <w:t xml:space="preserve"> Finančno poslovanje se je po poslabševanju do leta 2012 v obdobju 2013–2019 izboljšalo, leta 2020 močno poslabšalo, leta 2021 pa ponovno izboljšalo. Neto izguba iz financiranja, ki je bila najvišja v letu 2012 (77,9 mio evrov), se je do leta 2019 zmanjšala na 11,1 mio evrov</w:t>
      </w:r>
      <w:r w:rsidRPr="000D1101">
        <w:rPr>
          <w:bCs/>
          <w:vertAlign w:val="superscript"/>
        </w:rPr>
        <w:footnoteReference w:id="15"/>
      </w:r>
      <w:r w:rsidRPr="00C32468">
        <w:t>, leta 2020 povečala na 18,6 mio evrov, leta 2021 pa ponovno zmanjšala (na 14,1 mio evrov). Pri tem so leta 2021 izgubo iz financiranja zmanjšale družbe nastanitvenih dejavnosti, družbe, ki se ukvarjajo s strežbo jedi in pijač pa ob višjih finančnih odhodkih in nižjih finančnih prihodkih izgubo iz financiranja še povečale.</w:t>
      </w:r>
    </w:p>
    <w:p w14:paraId="14109028" w14:textId="204E8114" w:rsidR="00DF1252" w:rsidRPr="00DF1252" w:rsidRDefault="00DF1252" w:rsidP="00DF1252">
      <w:pPr>
        <w:pStyle w:val="Napis"/>
      </w:pPr>
      <w:r w:rsidRPr="00355D96">
        <w:t xml:space="preserve">Tabela </w:t>
      </w:r>
      <w:r w:rsidRPr="00355D96">
        <w:fldChar w:fldCharType="begin"/>
      </w:r>
      <w:r w:rsidRPr="00355D96">
        <w:instrText xml:space="preserve"> SEQ Tabela \* ARABIC </w:instrText>
      </w:r>
      <w:r w:rsidRPr="00355D96">
        <w:fldChar w:fldCharType="separate"/>
      </w:r>
      <w:r w:rsidR="009D4DAE">
        <w:t>2</w:t>
      </w:r>
      <w:r w:rsidRPr="00355D96">
        <w:fldChar w:fldCharType="end"/>
      </w:r>
      <w:r w:rsidRPr="00DF1252">
        <w:t>: Kazalniki poslovanja gospodarskih družb gostinstva v izbranih letih</w:t>
      </w:r>
    </w:p>
    <w:tbl>
      <w:tblPr>
        <w:tblStyle w:val="Tabelasvetlamrea"/>
        <w:tblW w:w="0" w:type="auto"/>
        <w:tblLayout w:type="fixed"/>
        <w:tblCellMar>
          <w:left w:w="0" w:type="dxa"/>
        </w:tblCellMar>
        <w:tblLook w:val="01E0" w:firstRow="1" w:lastRow="1" w:firstColumn="1" w:lastColumn="1" w:noHBand="0" w:noVBand="0"/>
      </w:tblPr>
      <w:tblGrid>
        <w:gridCol w:w="4279"/>
        <w:gridCol w:w="797"/>
        <w:gridCol w:w="799"/>
        <w:gridCol w:w="798"/>
        <w:gridCol w:w="799"/>
        <w:gridCol w:w="799"/>
        <w:gridCol w:w="799"/>
      </w:tblGrid>
      <w:tr w:rsidR="00DF1252" w:rsidRPr="00052ECE" w14:paraId="2B8F0B37" w14:textId="77777777" w:rsidTr="001F3514">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4279" w:type="dxa"/>
          </w:tcPr>
          <w:p w14:paraId="71D43551" w14:textId="77777777" w:rsidR="00DF1252" w:rsidRPr="00052ECE" w:rsidRDefault="00DF1252" w:rsidP="001F3514">
            <w:pPr>
              <w:pStyle w:val="DZVir"/>
              <w:spacing w:before="0"/>
              <w:jc w:val="left"/>
              <w:rPr>
                <w:b/>
                <w:bCs/>
                <w:sz w:val="18"/>
                <w:szCs w:val="18"/>
                <w:lang w:val="x-none"/>
              </w:rPr>
            </w:pPr>
          </w:p>
        </w:tc>
        <w:tc>
          <w:tcPr>
            <w:cnfStyle w:val="000010000000" w:firstRow="0" w:lastRow="0" w:firstColumn="0" w:lastColumn="0" w:oddVBand="1" w:evenVBand="0" w:oddHBand="0" w:evenHBand="0" w:firstRowFirstColumn="0" w:firstRowLastColumn="0" w:lastRowFirstColumn="0" w:lastRowLastColumn="0"/>
            <w:tcW w:w="797" w:type="dxa"/>
          </w:tcPr>
          <w:p w14:paraId="750E4694" w14:textId="77777777" w:rsidR="00DF1252" w:rsidRPr="00052ECE" w:rsidRDefault="00DF1252" w:rsidP="001F3514">
            <w:pPr>
              <w:pStyle w:val="DZVir"/>
              <w:jc w:val="right"/>
              <w:rPr>
                <w:b/>
                <w:sz w:val="18"/>
                <w:szCs w:val="18"/>
              </w:rPr>
            </w:pPr>
            <w:r w:rsidRPr="00052ECE">
              <w:rPr>
                <w:b/>
                <w:sz w:val="18"/>
                <w:szCs w:val="18"/>
              </w:rPr>
              <w:t>2008</w:t>
            </w:r>
          </w:p>
        </w:tc>
        <w:tc>
          <w:tcPr>
            <w:cnfStyle w:val="000001000000" w:firstRow="0" w:lastRow="0" w:firstColumn="0" w:lastColumn="0" w:oddVBand="0" w:evenVBand="1" w:oddHBand="0" w:evenHBand="0" w:firstRowFirstColumn="0" w:firstRowLastColumn="0" w:lastRowFirstColumn="0" w:lastRowLastColumn="0"/>
            <w:tcW w:w="799" w:type="dxa"/>
          </w:tcPr>
          <w:p w14:paraId="3FB69A2C" w14:textId="77777777" w:rsidR="00DF1252" w:rsidRPr="00052ECE" w:rsidRDefault="00DF1252" w:rsidP="001F3514">
            <w:pPr>
              <w:pStyle w:val="DZVir"/>
              <w:jc w:val="right"/>
              <w:rPr>
                <w:b/>
                <w:sz w:val="18"/>
                <w:szCs w:val="18"/>
              </w:rPr>
            </w:pPr>
            <w:r w:rsidRPr="00052ECE">
              <w:rPr>
                <w:b/>
                <w:sz w:val="18"/>
                <w:szCs w:val="18"/>
              </w:rPr>
              <w:t>2010</w:t>
            </w:r>
          </w:p>
        </w:tc>
        <w:tc>
          <w:tcPr>
            <w:cnfStyle w:val="000010000000" w:firstRow="0" w:lastRow="0" w:firstColumn="0" w:lastColumn="0" w:oddVBand="1" w:evenVBand="0" w:oddHBand="0" w:evenHBand="0" w:firstRowFirstColumn="0" w:firstRowLastColumn="0" w:lastRowFirstColumn="0" w:lastRowLastColumn="0"/>
            <w:tcW w:w="798" w:type="dxa"/>
          </w:tcPr>
          <w:p w14:paraId="5B454DF1" w14:textId="77777777" w:rsidR="00DF1252" w:rsidRPr="00052ECE" w:rsidRDefault="00DF1252" w:rsidP="001F3514">
            <w:pPr>
              <w:pStyle w:val="DZVir"/>
              <w:jc w:val="right"/>
              <w:rPr>
                <w:b/>
                <w:sz w:val="18"/>
                <w:szCs w:val="18"/>
              </w:rPr>
            </w:pPr>
            <w:r w:rsidRPr="00052ECE">
              <w:rPr>
                <w:b/>
                <w:sz w:val="18"/>
                <w:szCs w:val="18"/>
              </w:rPr>
              <w:t>2015</w:t>
            </w:r>
          </w:p>
        </w:tc>
        <w:tc>
          <w:tcPr>
            <w:cnfStyle w:val="000001000000" w:firstRow="0" w:lastRow="0" w:firstColumn="0" w:lastColumn="0" w:oddVBand="0" w:evenVBand="1" w:oddHBand="0" w:evenHBand="0" w:firstRowFirstColumn="0" w:firstRowLastColumn="0" w:lastRowFirstColumn="0" w:lastRowLastColumn="0"/>
            <w:tcW w:w="799" w:type="dxa"/>
          </w:tcPr>
          <w:p w14:paraId="0CCC0D17" w14:textId="77777777" w:rsidR="00DF1252" w:rsidRPr="00052ECE" w:rsidRDefault="00DF1252" w:rsidP="001F3514">
            <w:pPr>
              <w:pStyle w:val="DZVir"/>
              <w:jc w:val="right"/>
              <w:rPr>
                <w:b/>
                <w:sz w:val="18"/>
                <w:szCs w:val="18"/>
              </w:rPr>
            </w:pPr>
            <w:r>
              <w:rPr>
                <w:b/>
                <w:sz w:val="18"/>
                <w:szCs w:val="18"/>
              </w:rPr>
              <w:t>2019</w:t>
            </w:r>
          </w:p>
        </w:tc>
        <w:tc>
          <w:tcPr>
            <w:cnfStyle w:val="000010000000" w:firstRow="0" w:lastRow="0" w:firstColumn="0" w:lastColumn="0" w:oddVBand="1" w:evenVBand="0" w:oddHBand="0" w:evenHBand="0" w:firstRowFirstColumn="0" w:firstRowLastColumn="0" w:lastRowFirstColumn="0" w:lastRowLastColumn="0"/>
            <w:tcW w:w="799" w:type="dxa"/>
          </w:tcPr>
          <w:p w14:paraId="0B1EEC79" w14:textId="77777777" w:rsidR="00DF1252" w:rsidRPr="00052ECE" w:rsidRDefault="00DF1252" w:rsidP="001F3514">
            <w:pPr>
              <w:pStyle w:val="DZVir"/>
              <w:jc w:val="right"/>
              <w:rPr>
                <w:b/>
                <w:sz w:val="18"/>
                <w:szCs w:val="18"/>
              </w:rPr>
            </w:pPr>
            <w:r>
              <w:rPr>
                <w:b/>
                <w:sz w:val="18"/>
                <w:szCs w:val="18"/>
              </w:rPr>
              <w:t>2020</w:t>
            </w:r>
          </w:p>
        </w:tc>
        <w:tc>
          <w:tcPr>
            <w:cnfStyle w:val="000100000000" w:firstRow="0" w:lastRow="0" w:firstColumn="0" w:lastColumn="1" w:oddVBand="0" w:evenVBand="0" w:oddHBand="0" w:evenHBand="0" w:firstRowFirstColumn="0" w:firstRowLastColumn="0" w:lastRowFirstColumn="0" w:lastRowLastColumn="0"/>
            <w:tcW w:w="799" w:type="dxa"/>
          </w:tcPr>
          <w:p w14:paraId="3C628B84" w14:textId="77777777" w:rsidR="00DF1252" w:rsidRDefault="00DF1252" w:rsidP="001F3514">
            <w:pPr>
              <w:pStyle w:val="DZVir"/>
              <w:jc w:val="right"/>
              <w:rPr>
                <w:b/>
                <w:sz w:val="18"/>
                <w:szCs w:val="18"/>
              </w:rPr>
            </w:pPr>
            <w:r>
              <w:rPr>
                <w:b/>
                <w:sz w:val="18"/>
                <w:szCs w:val="18"/>
              </w:rPr>
              <w:t>2021</w:t>
            </w:r>
          </w:p>
        </w:tc>
      </w:tr>
      <w:tr w:rsidR="00DF1252" w:rsidRPr="00052ECE" w14:paraId="29CA2652"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tcPr>
          <w:p w14:paraId="29AE02AA" w14:textId="77777777" w:rsidR="00DF1252" w:rsidRPr="00052ECE" w:rsidRDefault="00DF1252" w:rsidP="001F3514">
            <w:pPr>
              <w:pStyle w:val="DZVir"/>
              <w:spacing w:before="0"/>
              <w:jc w:val="left"/>
              <w:rPr>
                <w:sz w:val="18"/>
                <w:szCs w:val="18"/>
                <w:lang w:val="x-none"/>
              </w:rPr>
            </w:pPr>
            <w:r w:rsidRPr="00052ECE">
              <w:rPr>
                <w:sz w:val="18"/>
                <w:szCs w:val="18"/>
                <w:lang w:val="x-none"/>
              </w:rPr>
              <w:t>Število gospodarskih družb</w:t>
            </w:r>
          </w:p>
        </w:tc>
        <w:tc>
          <w:tcPr>
            <w:cnfStyle w:val="000010000000" w:firstRow="0" w:lastRow="0" w:firstColumn="0" w:lastColumn="0" w:oddVBand="1" w:evenVBand="0" w:oddHBand="0" w:evenHBand="0" w:firstRowFirstColumn="0" w:firstRowLastColumn="0" w:lastRowFirstColumn="0" w:lastRowLastColumn="0"/>
            <w:tcW w:w="797" w:type="dxa"/>
          </w:tcPr>
          <w:p w14:paraId="13A90AC1" w14:textId="77777777" w:rsidR="00DF1252" w:rsidRPr="00052ECE" w:rsidRDefault="00DF1252" w:rsidP="004E6E34">
            <w:pPr>
              <w:pStyle w:val="DZVir"/>
              <w:jc w:val="right"/>
              <w:rPr>
                <w:sz w:val="18"/>
                <w:szCs w:val="18"/>
              </w:rPr>
            </w:pPr>
            <w:r w:rsidRPr="00052ECE">
              <w:rPr>
                <w:sz w:val="18"/>
                <w:szCs w:val="18"/>
              </w:rPr>
              <w:t>2.318</w:t>
            </w:r>
          </w:p>
        </w:tc>
        <w:tc>
          <w:tcPr>
            <w:cnfStyle w:val="000001000000" w:firstRow="0" w:lastRow="0" w:firstColumn="0" w:lastColumn="0" w:oddVBand="0" w:evenVBand="1" w:oddHBand="0" w:evenHBand="0" w:firstRowFirstColumn="0" w:firstRowLastColumn="0" w:lastRowFirstColumn="0" w:lastRowLastColumn="0"/>
            <w:tcW w:w="799" w:type="dxa"/>
          </w:tcPr>
          <w:p w14:paraId="570E3D2B" w14:textId="77777777" w:rsidR="00DF1252" w:rsidRPr="00052ECE" w:rsidRDefault="00DF1252" w:rsidP="004E6E34">
            <w:pPr>
              <w:pStyle w:val="DZVir"/>
              <w:jc w:val="right"/>
              <w:rPr>
                <w:sz w:val="18"/>
                <w:szCs w:val="18"/>
              </w:rPr>
            </w:pPr>
            <w:r w:rsidRPr="00052ECE">
              <w:rPr>
                <w:sz w:val="18"/>
                <w:szCs w:val="18"/>
              </w:rPr>
              <w:t>2.541</w:t>
            </w:r>
          </w:p>
        </w:tc>
        <w:tc>
          <w:tcPr>
            <w:cnfStyle w:val="000010000000" w:firstRow="0" w:lastRow="0" w:firstColumn="0" w:lastColumn="0" w:oddVBand="1" w:evenVBand="0" w:oddHBand="0" w:evenHBand="0" w:firstRowFirstColumn="0" w:firstRowLastColumn="0" w:lastRowFirstColumn="0" w:lastRowLastColumn="0"/>
            <w:tcW w:w="798" w:type="dxa"/>
          </w:tcPr>
          <w:p w14:paraId="584D7728" w14:textId="77777777" w:rsidR="00DF1252" w:rsidRPr="00052ECE" w:rsidRDefault="00DF1252" w:rsidP="004E6E34">
            <w:pPr>
              <w:pStyle w:val="DZVir"/>
              <w:jc w:val="right"/>
              <w:rPr>
                <w:sz w:val="18"/>
                <w:szCs w:val="18"/>
              </w:rPr>
            </w:pPr>
            <w:r w:rsidRPr="00052ECE">
              <w:rPr>
                <w:sz w:val="18"/>
                <w:szCs w:val="18"/>
              </w:rPr>
              <w:t>3.208</w:t>
            </w:r>
          </w:p>
        </w:tc>
        <w:tc>
          <w:tcPr>
            <w:cnfStyle w:val="000001000000" w:firstRow="0" w:lastRow="0" w:firstColumn="0" w:lastColumn="0" w:oddVBand="0" w:evenVBand="1" w:oddHBand="0" w:evenHBand="0" w:firstRowFirstColumn="0" w:firstRowLastColumn="0" w:lastRowFirstColumn="0" w:lastRowLastColumn="0"/>
            <w:tcW w:w="799" w:type="dxa"/>
          </w:tcPr>
          <w:p w14:paraId="2EE11FE2" w14:textId="77777777" w:rsidR="00DF1252" w:rsidRPr="00052ECE" w:rsidRDefault="00DF1252" w:rsidP="004E6E34">
            <w:pPr>
              <w:pStyle w:val="DZVir"/>
              <w:jc w:val="right"/>
              <w:rPr>
                <w:sz w:val="18"/>
                <w:szCs w:val="18"/>
              </w:rPr>
            </w:pPr>
            <w:r>
              <w:rPr>
                <w:sz w:val="18"/>
                <w:szCs w:val="18"/>
              </w:rPr>
              <w:t>3.365</w:t>
            </w:r>
          </w:p>
        </w:tc>
        <w:tc>
          <w:tcPr>
            <w:cnfStyle w:val="000010000000" w:firstRow="0" w:lastRow="0" w:firstColumn="0" w:lastColumn="0" w:oddVBand="1" w:evenVBand="0" w:oddHBand="0" w:evenHBand="0" w:firstRowFirstColumn="0" w:firstRowLastColumn="0" w:lastRowFirstColumn="0" w:lastRowLastColumn="0"/>
            <w:tcW w:w="799" w:type="dxa"/>
          </w:tcPr>
          <w:p w14:paraId="0D90FF97" w14:textId="77777777" w:rsidR="00DF1252" w:rsidRPr="00052ECE" w:rsidRDefault="00DF1252" w:rsidP="004E6E34">
            <w:pPr>
              <w:pStyle w:val="DZVir"/>
              <w:jc w:val="right"/>
              <w:rPr>
                <w:sz w:val="18"/>
                <w:szCs w:val="18"/>
              </w:rPr>
            </w:pPr>
            <w:r>
              <w:rPr>
                <w:sz w:val="18"/>
                <w:szCs w:val="18"/>
              </w:rPr>
              <w:t>3.549</w:t>
            </w:r>
          </w:p>
        </w:tc>
        <w:tc>
          <w:tcPr>
            <w:cnfStyle w:val="000100000000" w:firstRow="0" w:lastRow="0" w:firstColumn="0" w:lastColumn="1" w:oddVBand="0" w:evenVBand="0" w:oddHBand="0" w:evenHBand="0" w:firstRowFirstColumn="0" w:firstRowLastColumn="0" w:lastRowFirstColumn="0" w:lastRowLastColumn="0"/>
            <w:tcW w:w="799" w:type="dxa"/>
          </w:tcPr>
          <w:p w14:paraId="0EA9F935" w14:textId="77777777" w:rsidR="00DF1252" w:rsidRDefault="00DF1252" w:rsidP="004E6E34">
            <w:pPr>
              <w:pStyle w:val="DZVir"/>
              <w:jc w:val="right"/>
              <w:rPr>
                <w:sz w:val="18"/>
                <w:szCs w:val="18"/>
              </w:rPr>
            </w:pPr>
            <w:r>
              <w:rPr>
                <w:sz w:val="18"/>
                <w:szCs w:val="18"/>
              </w:rPr>
              <w:t>4.005</w:t>
            </w:r>
          </w:p>
        </w:tc>
      </w:tr>
      <w:tr w:rsidR="00DF1252" w:rsidRPr="00052ECE" w14:paraId="4FD768EF"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tcPr>
          <w:p w14:paraId="4B2CD6E1" w14:textId="77777777" w:rsidR="00DF1252" w:rsidRPr="00052ECE" w:rsidRDefault="00DF1252" w:rsidP="001F3514">
            <w:pPr>
              <w:pStyle w:val="DZVir"/>
              <w:spacing w:before="0"/>
              <w:jc w:val="left"/>
              <w:rPr>
                <w:sz w:val="18"/>
                <w:szCs w:val="18"/>
                <w:vertAlign w:val="superscript"/>
                <w:lang w:val="x-none"/>
              </w:rPr>
            </w:pPr>
            <w:r w:rsidRPr="00052ECE">
              <w:rPr>
                <w:sz w:val="18"/>
                <w:szCs w:val="18"/>
                <w:lang w:val="x-none"/>
              </w:rPr>
              <w:t>Število zaposlenih</w:t>
            </w:r>
            <w:r w:rsidRPr="00052ECE">
              <w:rPr>
                <w:sz w:val="18"/>
                <w:szCs w:val="18"/>
                <w:vertAlign w:val="superscript"/>
                <w:lang w:val="x-none"/>
              </w:rPr>
              <w:t>1</w:t>
            </w:r>
          </w:p>
        </w:tc>
        <w:tc>
          <w:tcPr>
            <w:cnfStyle w:val="000010000000" w:firstRow="0" w:lastRow="0" w:firstColumn="0" w:lastColumn="0" w:oddVBand="1" w:evenVBand="0" w:oddHBand="0" w:evenHBand="0" w:firstRowFirstColumn="0" w:firstRowLastColumn="0" w:lastRowFirstColumn="0" w:lastRowLastColumn="0"/>
            <w:tcW w:w="797" w:type="dxa"/>
          </w:tcPr>
          <w:p w14:paraId="123C4D55" w14:textId="77777777" w:rsidR="00DF1252" w:rsidRPr="00052ECE" w:rsidRDefault="00DF1252" w:rsidP="004E6E34">
            <w:pPr>
              <w:pStyle w:val="DZVir"/>
              <w:jc w:val="right"/>
              <w:rPr>
                <w:sz w:val="18"/>
                <w:szCs w:val="18"/>
              </w:rPr>
            </w:pPr>
            <w:r w:rsidRPr="00052ECE">
              <w:rPr>
                <w:sz w:val="18"/>
                <w:szCs w:val="18"/>
              </w:rPr>
              <w:t>17.255</w:t>
            </w:r>
          </w:p>
        </w:tc>
        <w:tc>
          <w:tcPr>
            <w:cnfStyle w:val="000001000000" w:firstRow="0" w:lastRow="0" w:firstColumn="0" w:lastColumn="0" w:oddVBand="0" w:evenVBand="1" w:oddHBand="0" w:evenHBand="0" w:firstRowFirstColumn="0" w:firstRowLastColumn="0" w:lastRowFirstColumn="0" w:lastRowLastColumn="0"/>
            <w:tcW w:w="799" w:type="dxa"/>
          </w:tcPr>
          <w:p w14:paraId="2E6F7652" w14:textId="77777777" w:rsidR="00DF1252" w:rsidRPr="00052ECE" w:rsidRDefault="00DF1252" w:rsidP="004E6E34">
            <w:pPr>
              <w:pStyle w:val="DZVir"/>
              <w:jc w:val="right"/>
              <w:rPr>
                <w:sz w:val="18"/>
                <w:szCs w:val="18"/>
              </w:rPr>
            </w:pPr>
            <w:r w:rsidRPr="00052ECE">
              <w:rPr>
                <w:sz w:val="18"/>
                <w:szCs w:val="18"/>
              </w:rPr>
              <w:t>17.067</w:t>
            </w:r>
          </w:p>
        </w:tc>
        <w:tc>
          <w:tcPr>
            <w:cnfStyle w:val="000010000000" w:firstRow="0" w:lastRow="0" w:firstColumn="0" w:lastColumn="0" w:oddVBand="1" w:evenVBand="0" w:oddHBand="0" w:evenHBand="0" w:firstRowFirstColumn="0" w:firstRowLastColumn="0" w:lastRowFirstColumn="0" w:lastRowLastColumn="0"/>
            <w:tcW w:w="798" w:type="dxa"/>
          </w:tcPr>
          <w:p w14:paraId="051AE35C" w14:textId="77777777" w:rsidR="00DF1252" w:rsidRPr="00052ECE" w:rsidRDefault="00DF1252" w:rsidP="004E6E34">
            <w:pPr>
              <w:pStyle w:val="DZVir"/>
              <w:jc w:val="right"/>
              <w:rPr>
                <w:sz w:val="18"/>
                <w:szCs w:val="18"/>
              </w:rPr>
            </w:pPr>
            <w:r w:rsidRPr="00052ECE">
              <w:rPr>
                <w:sz w:val="18"/>
                <w:szCs w:val="18"/>
              </w:rPr>
              <w:t>16.857</w:t>
            </w:r>
          </w:p>
        </w:tc>
        <w:tc>
          <w:tcPr>
            <w:cnfStyle w:val="000001000000" w:firstRow="0" w:lastRow="0" w:firstColumn="0" w:lastColumn="0" w:oddVBand="0" w:evenVBand="1" w:oddHBand="0" w:evenHBand="0" w:firstRowFirstColumn="0" w:firstRowLastColumn="0" w:lastRowFirstColumn="0" w:lastRowLastColumn="0"/>
            <w:tcW w:w="799" w:type="dxa"/>
          </w:tcPr>
          <w:p w14:paraId="73910368" w14:textId="77777777" w:rsidR="00DF1252" w:rsidRPr="00052ECE" w:rsidRDefault="00DF1252" w:rsidP="004E6E34">
            <w:pPr>
              <w:pStyle w:val="DZVir"/>
              <w:jc w:val="right"/>
              <w:rPr>
                <w:sz w:val="18"/>
                <w:szCs w:val="18"/>
              </w:rPr>
            </w:pPr>
            <w:r>
              <w:rPr>
                <w:sz w:val="18"/>
                <w:szCs w:val="18"/>
              </w:rPr>
              <w:t>22.236</w:t>
            </w:r>
          </w:p>
        </w:tc>
        <w:tc>
          <w:tcPr>
            <w:cnfStyle w:val="000010000000" w:firstRow="0" w:lastRow="0" w:firstColumn="0" w:lastColumn="0" w:oddVBand="1" w:evenVBand="0" w:oddHBand="0" w:evenHBand="0" w:firstRowFirstColumn="0" w:firstRowLastColumn="0" w:lastRowFirstColumn="0" w:lastRowLastColumn="0"/>
            <w:tcW w:w="799" w:type="dxa"/>
          </w:tcPr>
          <w:p w14:paraId="1D3C9575" w14:textId="77777777" w:rsidR="00DF1252" w:rsidRPr="00052ECE" w:rsidRDefault="00DF1252" w:rsidP="004E6E34">
            <w:pPr>
              <w:pStyle w:val="DZVir"/>
              <w:jc w:val="right"/>
              <w:rPr>
                <w:sz w:val="18"/>
                <w:szCs w:val="18"/>
              </w:rPr>
            </w:pPr>
            <w:r>
              <w:rPr>
                <w:sz w:val="18"/>
                <w:szCs w:val="18"/>
              </w:rPr>
              <w:t>20.467</w:t>
            </w:r>
          </w:p>
        </w:tc>
        <w:tc>
          <w:tcPr>
            <w:cnfStyle w:val="000100000000" w:firstRow="0" w:lastRow="0" w:firstColumn="0" w:lastColumn="1" w:oddVBand="0" w:evenVBand="0" w:oddHBand="0" w:evenHBand="0" w:firstRowFirstColumn="0" w:firstRowLastColumn="0" w:lastRowFirstColumn="0" w:lastRowLastColumn="0"/>
            <w:tcW w:w="799" w:type="dxa"/>
          </w:tcPr>
          <w:p w14:paraId="383E79E7" w14:textId="77777777" w:rsidR="00DF1252" w:rsidRDefault="00DF1252" w:rsidP="004E6E34">
            <w:pPr>
              <w:pStyle w:val="DZVir"/>
              <w:jc w:val="right"/>
              <w:rPr>
                <w:sz w:val="18"/>
                <w:szCs w:val="18"/>
              </w:rPr>
            </w:pPr>
            <w:r>
              <w:rPr>
                <w:sz w:val="18"/>
                <w:szCs w:val="18"/>
              </w:rPr>
              <w:t>20.938</w:t>
            </w:r>
          </w:p>
        </w:tc>
      </w:tr>
      <w:tr w:rsidR="00DF1252" w:rsidRPr="00052ECE" w14:paraId="5B3A12BE"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tcPr>
          <w:p w14:paraId="15E186BF" w14:textId="77777777" w:rsidR="00DF1252" w:rsidRPr="00052ECE" w:rsidRDefault="00DF1252" w:rsidP="001F3514">
            <w:pPr>
              <w:pStyle w:val="DZVir"/>
              <w:spacing w:before="0"/>
              <w:jc w:val="left"/>
              <w:rPr>
                <w:sz w:val="18"/>
                <w:szCs w:val="18"/>
                <w:lang w:val="x-none"/>
              </w:rPr>
            </w:pPr>
            <w:r w:rsidRPr="00052ECE">
              <w:rPr>
                <w:sz w:val="18"/>
                <w:szCs w:val="18"/>
                <w:lang w:val="x-none"/>
              </w:rPr>
              <w:t>Delež zaposlenih v vseh družbah (v</w:t>
            </w:r>
            <w:r>
              <w:rPr>
                <w:sz w:val="18"/>
                <w:szCs w:val="18"/>
                <w:lang w:val="x-none"/>
              </w:rPr>
              <w:t> %</w:t>
            </w:r>
            <w:r w:rsidRPr="00052ECE">
              <w:rPr>
                <w:sz w:val="18"/>
                <w:szCs w:val="18"/>
                <w:lang w:val="x-none"/>
              </w:rPr>
              <w:t>)</w:t>
            </w:r>
          </w:p>
        </w:tc>
        <w:tc>
          <w:tcPr>
            <w:cnfStyle w:val="000010000000" w:firstRow="0" w:lastRow="0" w:firstColumn="0" w:lastColumn="0" w:oddVBand="1" w:evenVBand="0" w:oddHBand="0" w:evenHBand="0" w:firstRowFirstColumn="0" w:firstRowLastColumn="0" w:lastRowFirstColumn="0" w:lastRowLastColumn="0"/>
            <w:tcW w:w="797" w:type="dxa"/>
          </w:tcPr>
          <w:p w14:paraId="07FB12C6" w14:textId="77777777" w:rsidR="00DF1252" w:rsidRPr="00052ECE" w:rsidRDefault="00DF1252" w:rsidP="004E6E34">
            <w:pPr>
              <w:pStyle w:val="DZVir"/>
              <w:jc w:val="right"/>
              <w:rPr>
                <w:sz w:val="18"/>
                <w:szCs w:val="18"/>
              </w:rPr>
            </w:pPr>
            <w:r w:rsidRPr="00052ECE">
              <w:rPr>
                <w:sz w:val="18"/>
                <w:szCs w:val="18"/>
              </w:rPr>
              <w:t>3,4</w:t>
            </w:r>
          </w:p>
        </w:tc>
        <w:tc>
          <w:tcPr>
            <w:cnfStyle w:val="000001000000" w:firstRow="0" w:lastRow="0" w:firstColumn="0" w:lastColumn="0" w:oddVBand="0" w:evenVBand="1" w:oddHBand="0" w:evenHBand="0" w:firstRowFirstColumn="0" w:firstRowLastColumn="0" w:lastRowFirstColumn="0" w:lastRowLastColumn="0"/>
            <w:tcW w:w="799" w:type="dxa"/>
          </w:tcPr>
          <w:p w14:paraId="460BF10C" w14:textId="77777777" w:rsidR="00DF1252" w:rsidRPr="00052ECE" w:rsidRDefault="00DF1252" w:rsidP="004E6E34">
            <w:pPr>
              <w:pStyle w:val="DZVir"/>
              <w:jc w:val="right"/>
              <w:rPr>
                <w:sz w:val="18"/>
                <w:szCs w:val="18"/>
              </w:rPr>
            </w:pPr>
            <w:r w:rsidRPr="00052ECE">
              <w:rPr>
                <w:sz w:val="18"/>
                <w:szCs w:val="18"/>
              </w:rPr>
              <w:t>3,7</w:t>
            </w:r>
          </w:p>
        </w:tc>
        <w:tc>
          <w:tcPr>
            <w:cnfStyle w:val="000010000000" w:firstRow="0" w:lastRow="0" w:firstColumn="0" w:lastColumn="0" w:oddVBand="1" w:evenVBand="0" w:oddHBand="0" w:evenHBand="0" w:firstRowFirstColumn="0" w:firstRowLastColumn="0" w:lastRowFirstColumn="0" w:lastRowLastColumn="0"/>
            <w:tcW w:w="798" w:type="dxa"/>
          </w:tcPr>
          <w:p w14:paraId="532B3F43" w14:textId="77777777" w:rsidR="00DF1252" w:rsidRPr="00052ECE" w:rsidRDefault="00DF1252" w:rsidP="004E6E34">
            <w:pPr>
              <w:pStyle w:val="DZVir"/>
              <w:jc w:val="right"/>
              <w:rPr>
                <w:sz w:val="18"/>
                <w:szCs w:val="18"/>
              </w:rPr>
            </w:pPr>
            <w:r w:rsidRPr="00052ECE">
              <w:rPr>
                <w:sz w:val="18"/>
                <w:szCs w:val="18"/>
              </w:rPr>
              <w:t>3,8</w:t>
            </w:r>
          </w:p>
        </w:tc>
        <w:tc>
          <w:tcPr>
            <w:cnfStyle w:val="000001000000" w:firstRow="0" w:lastRow="0" w:firstColumn="0" w:lastColumn="0" w:oddVBand="0" w:evenVBand="1" w:oddHBand="0" w:evenHBand="0" w:firstRowFirstColumn="0" w:firstRowLastColumn="0" w:lastRowFirstColumn="0" w:lastRowLastColumn="0"/>
            <w:tcW w:w="799" w:type="dxa"/>
          </w:tcPr>
          <w:p w14:paraId="3D26C861" w14:textId="77777777" w:rsidR="00DF1252" w:rsidRPr="00052ECE" w:rsidRDefault="00DF1252" w:rsidP="004E6E34">
            <w:pPr>
              <w:pStyle w:val="DZVir"/>
              <w:jc w:val="right"/>
              <w:rPr>
                <w:sz w:val="18"/>
                <w:szCs w:val="18"/>
              </w:rPr>
            </w:pPr>
            <w:r>
              <w:rPr>
                <w:sz w:val="18"/>
                <w:szCs w:val="18"/>
              </w:rPr>
              <w:t>4,3</w:t>
            </w:r>
          </w:p>
        </w:tc>
        <w:tc>
          <w:tcPr>
            <w:cnfStyle w:val="000010000000" w:firstRow="0" w:lastRow="0" w:firstColumn="0" w:lastColumn="0" w:oddVBand="1" w:evenVBand="0" w:oddHBand="0" w:evenHBand="0" w:firstRowFirstColumn="0" w:firstRowLastColumn="0" w:lastRowFirstColumn="0" w:lastRowLastColumn="0"/>
            <w:tcW w:w="799" w:type="dxa"/>
          </w:tcPr>
          <w:p w14:paraId="13E1FF51" w14:textId="77777777" w:rsidR="00DF1252" w:rsidRPr="00052ECE" w:rsidRDefault="00DF1252" w:rsidP="004E6E34">
            <w:pPr>
              <w:pStyle w:val="DZVir"/>
              <w:jc w:val="right"/>
              <w:rPr>
                <w:sz w:val="18"/>
                <w:szCs w:val="18"/>
              </w:rPr>
            </w:pPr>
            <w:r>
              <w:rPr>
                <w:sz w:val="18"/>
                <w:szCs w:val="18"/>
              </w:rPr>
              <w:t>4,0</w:t>
            </w:r>
          </w:p>
        </w:tc>
        <w:tc>
          <w:tcPr>
            <w:cnfStyle w:val="000100000000" w:firstRow="0" w:lastRow="0" w:firstColumn="0" w:lastColumn="1" w:oddVBand="0" w:evenVBand="0" w:oddHBand="0" w:evenHBand="0" w:firstRowFirstColumn="0" w:firstRowLastColumn="0" w:lastRowFirstColumn="0" w:lastRowLastColumn="0"/>
            <w:tcW w:w="799" w:type="dxa"/>
          </w:tcPr>
          <w:p w14:paraId="600C843D" w14:textId="77777777" w:rsidR="00DF1252" w:rsidRDefault="00DF1252" w:rsidP="004E6E34">
            <w:pPr>
              <w:pStyle w:val="DZVir"/>
              <w:jc w:val="right"/>
              <w:rPr>
                <w:sz w:val="18"/>
                <w:szCs w:val="18"/>
              </w:rPr>
            </w:pPr>
            <w:r>
              <w:rPr>
                <w:sz w:val="18"/>
                <w:szCs w:val="18"/>
              </w:rPr>
              <w:t>4,0</w:t>
            </w:r>
          </w:p>
        </w:tc>
      </w:tr>
      <w:tr w:rsidR="00DF1252" w:rsidRPr="00052ECE" w14:paraId="588985E9"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tcPr>
          <w:p w14:paraId="5DEDE328" w14:textId="77777777" w:rsidR="00DF1252" w:rsidRPr="00052ECE" w:rsidRDefault="00DF1252" w:rsidP="001F3514">
            <w:pPr>
              <w:pStyle w:val="DZVir"/>
              <w:spacing w:before="0"/>
              <w:jc w:val="left"/>
              <w:rPr>
                <w:sz w:val="18"/>
                <w:szCs w:val="18"/>
                <w:lang w:val="x-none"/>
              </w:rPr>
            </w:pPr>
            <w:r w:rsidRPr="00052ECE">
              <w:rPr>
                <w:sz w:val="18"/>
                <w:szCs w:val="18"/>
                <w:lang w:val="x-none"/>
              </w:rPr>
              <w:t>Delež dodane vrednosti v vseh družbah (v</w:t>
            </w:r>
            <w:r>
              <w:rPr>
                <w:sz w:val="18"/>
                <w:szCs w:val="18"/>
                <w:lang w:val="x-none"/>
              </w:rPr>
              <w:t> %</w:t>
            </w:r>
            <w:r w:rsidRPr="00052ECE">
              <w:rPr>
                <w:sz w:val="18"/>
                <w:szCs w:val="18"/>
                <w:lang w:val="x-none"/>
              </w:rPr>
              <w:t>)</w:t>
            </w:r>
          </w:p>
        </w:tc>
        <w:tc>
          <w:tcPr>
            <w:cnfStyle w:val="000010000000" w:firstRow="0" w:lastRow="0" w:firstColumn="0" w:lastColumn="0" w:oddVBand="1" w:evenVBand="0" w:oddHBand="0" w:evenHBand="0" w:firstRowFirstColumn="0" w:firstRowLastColumn="0" w:lastRowFirstColumn="0" w:lastRowLastColumn="0"/>
            <w:tcW w:w="797" w:type="dxa"/>
          </w:tcPr>
          <w:p w14:paraId="0A305119" w14:textId="77777777" w:rsidR="00DF1252" w:rsidRPr="00052ECE" w:rsidRDefault="00DF1252" w:rsidP="004E6E34">
            <w:pPr>
              <w:pStyle w:val="DZVir"/>
              <w:jc w:val="right"/>
              <w:rPr>
                <w:sz w:val="18"/>
                <w:szCs w:val="18"/>
              </w:rPr>
            </w:pPr>
            <w:r w:rsidRPr="00052ECE">
              <w:rPr>
                <w:sz w:val="18"/>
                <w:szCs w:val="18"/>
              </w:rPr>
              <w:t>2,3</w:t>
            </w:r>
          </w:p>
        </w:tc>
        <w:tc>
          <w:tcPr>
            <w:cnfStyle w:val="000001000000" w:firstRow="0" w:lastRow="0" w:firstColumn="0" w:lastColumn="0" w:oddVBand="0" w:evenVBand="1" w:oddHBand="0" w:evenHBand="0" w:firstRowFirstColumn="0" w:firstRowLastColumn="0" w:lastRowFirstColumn="0" w:lastRowLastColumn="0"/>
            <w:tcW w:w="799" w:type="dxa"/>
          </w:tcPr>
          <w:p w14:paraId="7AA3DE35" w14:textId="77777777" w:rsidR="00DF1252" w:rsidRPr="00052ECE" w:rsidRDefault="00DF1252" w:rsidP="004E6E34">
            <w:pPr>
              <w:pStyle w:val="DZVir"/>
              <w:jc w:val="right"/>
              <w:rPr>
                <w:sz w:val="18"/>
                <w:szCs w:val="18"/>
              </w:rPr>
            </w:pPr>
            <w:r w:rsidRPr="00052ECE">
              <w:rPr>
                <w:sz w:val="18"/>
                <w:szCs w:val="18"/>
              </w:rPr>
              <w:t>2,4</w:t>
            </w:r>
          </w:p>
        </w:tc>
        <w:tc>
          <w:tcPr>
            <w:cnfStyle w:val="000010000000" w:firstRow="0" w:lastRow="0" w:firstColumn="0" w:lastColumn="0" w:oddVBand="1" w:evenVBand="0" w:oddHBand="0" w:evenHBand="0" w:firstRowFirstColumn="0" w:firstRowLastColumn="0" w:lastRowFirstColumn="0" w:lastRowLastColumn="0"/>
            <w:tcW w:w="798" w:type="dxa"/>
          </w:tcPr>
          <w:p w14:paraId="7B9084F2" w14:textId="77777777" w:rsidR="00DF1252" w:rsidRPr="00052ECE" w:rsidRDefault="00DF1252" w:rsidP="004E6E34">
            <w:pPr>
              <w:pStyle w:val="DZVir"/>
              <w:jc w:val="right"/>
              <w:rPr>
                <w:sz w:val="18"/>
                <w:szCs w:val="18"/>
              </w:rPr>
            </w:pPr>
            <w:r w:rsidRPr="00052ECE">
              <w:rPr>
                <w:sz w:val="18"/>
                <w:szCs w:val="18"/>
              </w:rPr>
              <w:t>2,5</w:t>
            </w:r>
          </w:p>
        </w:tc>
        <w:tc>
          <w:tcPr>
            <w:cnfStyle w:val="000001000000" w:firstRow="0" w:lastRow="0" w:firstColumn="0" w:lastColumn="0" w:oddVBand="0" w:evenVBand="1" w:oddHBand="0" w:evenHBand="0" w:firstRowFirstColumn="0" w:firstRowLastColumn="0" w:lastRowFirstColumn="0" w:lastRowLastColumn="0"/>
            <w:tcW w:w="799" w:type="dxa"/>
          </w:tcPr>
          <w:p w14:paraId="7249351E" w14:textId="77777777" w:rsidR="00DF1252" w:rsidRPr="00052ECE" w:rsidRDefault="00DF1252" w:rsidP="004E6E34">
            <w:pPr>
              <w:pStyle w:val="DZVir"/>
              <w:jc w:val="right"/>
              <w:rPr>
                <w:sz w:val="18"/>
                <w:szCs w:val="18"/>
              </w:rPr>
            </w:pPr>
            <w:r>
              <w:rPr>
                <w:sz w:val="18"/>
                <w:szCs w:val="18"/>
              </w:rPr>
              <w:t>2,8</w:t>
            </w:r>
          </w:p>
        </w:tc>
        <w:tc>
          <w:tcPr>
            <w:cnfStyle w:val="000010000000" w:firstRow="0" w:lastRow="0" w:firstColumn="0" w:lastColumn="0" w:oddVBand="1" w:evenVBand="0" w:oddHBand="0" w:evenHBand="0" w:firstRowFirstColumn="0" w:firstRowLastColumn="0" w:lastRowFirstColumn="0" w:lastRowLastColumn="0"/>
            <w:tcW w:w="799" w:type="dxa"/>
          </w:tcPr>
          <w:p w14:paraId="7D87ADD1" w14:textId="77777777" w:rsidR="00DF1252" w:rsidRPr="00052ECE" w:rsidRDefault="00DF1252" w:rsidP="004E6E34">
            <w:pPr>
              <w:pStyle w:val="DZVir"/>
              <w:jc w:val="right"/>
              <w:rPr>
                <w:sz w:val="18"/>
                <w:szCs w:val="18"/>
              </w:rPr>
            </w:pPr>
            <w:r>
              <w:rPr>
                <w:sz w:val="18"/>
                <w:szCs w:val="18"/>
              </w:rPr>
              <w:t>2,0</w:t>
            </w:r>
          </w:p>
        </w:tc>
        <w:tc>
          <w:tcPr>
            <w:cnfStyle w:val="000100000000" w:firstRow="0" w:lastRow="0" w:firstColumn="0" w:lastColumn="1" w:oddVBand="0" w:evenVBand="0" w:oddHBand="0" w:evenHBand="0" w:firstRowFirstColumn="0" w:firstRowLastColumn="0" w:lastRowFirstColumn="0" w:lastRowLastColumn="0"/>
            <w:tcW w:w="799" w:type="dxa"/>
          </w:tcPr>
          <w:p w14:paraId="592416BF" w14:textId="77777777" w:rsidR="00DF1252" w:rsidRDefault="00DF1252" w:rsidP="004E6E34">
            <w:pPr>
              <w:pStyle w:val="DZVir"/>
              <w:jc w:val="right"/>
              <w:rPr>
                <w:sz w:val="18"/>
                <w:szCs w:val="18"/>
              </w:rPr>
            </w:pPr>
            <w:r>
              <w:rPr>
                <w:sz w:val="18"/>
                <w:szCs w:val="18"/>
              </w:rPr>
              <w:t>2,5</w:t>
            </w:r>
          </w:p>
        </w:tc>
      </w:tr>
      <w:tr w:rsidR="00DF1252" w:rsidRPr="00052ECE" w14:paraId="3CB3B038"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tcPr>
          <w:p w14:paraId="2EE32465" w14:textId="77777777" w:rsidR="00DF1252" w:rsidRPr="00052ECE" w:rsidRDefault="00DF1252" w:rsidP="001F3514">
            <w:pPr>
              <w:pStyle w:val="DZVir"/>
              <w:spacing w:before="0"/>
              <w:jc w:val="left"/>
              <w:rPr>
                <w:sz w:val="18"/>
                <w:szCs w:val="18"/>
                <w:lang w:val="x-none"/>
              </w:rPr>
            </w:pPr>
            <w:r w:rsidRPr="00052ECE">
              <w:rPr>
                <w:sz w:val="18"/>
                <w:szCs w:val="18"/>
                <w:lang w:val="x-none"/>
              </w:rPr>
              <w:t>Neto</w:t>
            </w:r>
            <w:r w:rsidRPr="00052ECE">
              <w:rPr>
                <w:sz w:val="18"/>
                <w:szCs w:val="18"/>
                <w:vertAlign w:val="superscript"/>
                <w:lang w:val="x-none"/>
              </w:rPr>
              <w:t>2</w:t>
            </w:r>
            <w:r w:rsidRPr="00052ECE">
              <w:rPr>
                <w:sz w:val="18"/>
                <w:szCs w:val="18"/>
                <w:lang w:val="x-none"/>
              </w:rPr>
              <w:t xml:space="preserve"> čisti dobiček/izguba (v mio EUR)</w:t>
            </w:r>
          </w:p>
        </w:tc>
        <w:tc>
          <w:tcPr>
            <w:cnfStyle w:val="000010000000" w:firstRow="0" w:lastRow="0" w:firstColumn="0" w:lastColumn="0" w:oddVBand="1" w:evenVBand="0" w:oddHBand="0" w:evenHBand="0" w:firstRowFirstColumn="0" w:firstRowLastColumn="0" w:lastRowFirstColumn="0" w:lastRowLastColumn="0"/>
            <w:tcW w:w="797" w:type="dxa"/>
          </w:tcPr>
          <w:p w14:paraId="5AF80DFB" w14:textId="77777777" w:rsidR="00DF1252" w:rsidRPr="00052ECE" w:rsidRDefault="00DF1252" w:rsidP="004E6E34">
            <w:pPr>
              <w:pStyle w:val="DZVir"/>
              <w:jc w:val="right"/>
              <w:rPr>
                <w:sz w:val="18"/>
                <w:szCs w:val="18"/>
              </w:rPr>
            </w:pPr>
            <w:r w:rsidRPr="00052ECE">
              <w:rPr>
                <w:sz w:val="18"/>
                <w:szCs w:val="18"/>
              </w:rPr>
              <w:t>-27,6</w:t>
            </w:r>
          </w:p>
        </w:tc>
        <w:tc>
          <w:tcPr>
            <w:cnfStyle w:val="000001000000" w:firstRow="0" w:lastRow="0" w:firstColumn="0" w:lastColumn="0" w:oddVBand="0" w:evenVBand="1" w:oddHBand="0" w:evenHBand="0" w:firstRowFirstColumn="0" w:firstRowLastColumn="0" w:lastRowFirstColumn="0" w:lastRowLastColumn="0"/>
            <w:tcW w:w="799" w:type="dxa"/>
          </w:tcPr>
          <w:p w14:paraId="793D4779" w14:textId="77777777" w:rsidR="00DF1252" w:rsidRPr="00052ECE" w:rsidRDefault="00DF1252" w:rsidP="004E6E34">
            <w:pPr>
              <w:pStyle w:val="DZVir"/>
              <w:jc w:val="right"/>
              <w:rPr>
                <w:sz w:val="18"/>
                <w:szCs w:val="18"/>
              </w:rPr>
            </w:pPr>
            <w:r w:rsidRPr="00052ECE">
              <w:rPr>
                <w:sz w:val="18"/>
                <w:szCs w:val="18"/>
              </w:rPr>
              <w:t>-59,4</w:t>
            </w:r>
          </w:p>
        </w:tc>
        <w:tc>
          <w:tcPr>
            <w:cnfStyle w:val="000010000000" w:firstRow="0" w:lastRow="0" w:firstColumn="0" w:lastColumn="0" w:oddVBand="1" w:evenVBand="0" w:oddHBand="0" w:evenHBand="0" w:firstRowFirstColumn="0" w:firstRowLastColumn="0" w:lastRowFirstColumn="0" w:lastRowLastColumn="0"/>
            <w:tcW w:w="798" w:type="dxa"/>
          </w:tcPr>
          <w:p w14:paraId="3EEBDF5F" w14:textId="77777777" w:rsidR="00DF1252" w:rsidRPr="00052ECE" w:rsidRDefault="00DF1252" w:rsidP="004E6E34">
            <w:pPr>
              <w:pStyle w:val="DZVir"/>
              <w:jc w:val="right"/>
              <w:rPr>
                <w:sz w:val="18"/>
                <w:szCs w:val="18"/>
              </w:rPr>
            </w:pPr>
            <w:r>
              <w:rPr>
                <w:sz w:val="18"/>
                <w:szCs w:val="18"/>
              </w:rPr>
              <w:t xml:space="preserve"> </w:t>
            </w:r>
            <w:r w:rsidRPr="00052ECE">
              <w:rPr>
                <w:sz w:val="18"/>
                <w:szCs w:val="18"/>
              </w:rPr>
              <w:t>0,0</w:t>
            </w:r>
          </w:p>
        </w:tc>
        <w:tc>
          <w:tcPr>
            <w:cnfStyle w:val="000001000000" w:firstRow="0" w:lastRow="0" w:firstColumn="0" w:lastColumn="0" w:oddVBand="0" w:evenVBand="1" w:oddHBand="0" w:evenHBand="0" w:firstRowFirstColumn="0" w:firstRowLastColumn="0" w:lastRowFirstColumn="0" w:lastRowLastColumn="0"/>
            <w:tcW w:w="799" w:type="dxa"/>
          </w:tcPr>
          <w:p w14:paraId="79E5276F" w14:textId="77777777" w:rsidR="00DF1252" w:rsidRPr="00052ECE" w:rsidRDefault="00DF1252" w:rsidP="004E6E34">
            <w:pPr>
              <w:pStyle w:val="DZVir"/>
              <w:jc w:val="right"/>
              <w:rPr>
                <w:sz w:val="18"/>
                <w:szCs w:val="18"/>
              </w:rPr>
            </w:pPr>
            <w:r>
              <w:rPr>
                <w:sz w:val="18"/>
                <w:szCs w:val="18"/>
              </w:rPr>
              <w:t>57,7</w:t>
            </w:r>
          </w:p>
        </w:tc>
        <w:tc>
          <w:tcPr>
            <w:cnfStyle w:val="000010000000" w:firstRow="0" w:lastRow="0" w:firstColumn="0" w:lastColumn="0" w:oddVBand="1" w:evenVBand="0" w:oddHBand="0" w:evenHBand="0" w:firstRowFirstColumn="0" w:firstRowLastColumn="0" w:lastRowFirstColumn="0" w:lastRowLastColumn="0"/>
            <w:tcW w:w="799" w:type="dxa"/>
          </w:tcPr>
          <w:p w14:paraId="6726CB0D" w14:textId="77777777" w:rsidR="00DF1252" w:rsidRPr="00052ECE" w:rsidRDefault="00DF1252" w:rsidP="004E6E34">
            <w:pPr>
              <w:pStyle w:val="DZVir"/>
              <w:jc w:val="right"/>
              <w:rPr>
                <w:sz w:val="18"/>
                <w:szCs w:val="18"/>
              </w:rPr>
            </w:pPr>
            <w:r>
              <w:rPr>
                <w:sz w:val="18"/>
                <w:szCs w:val="18"/>
              </w:rPr>
              <w:t>-77,4</w:t>
            </w:r>
          </w:p>
        </w:tc>
        <w:tc>
          <w:tcPr>
            <w:cnfStyle w:val="000100000000" w:firstRow="0" w:lastRow="0" w:firstColumn="0" w:lastColumn="1" w:oddVBand="0" w:evenVBand="0" w:oddHBand="0" w:evenHBand="0" w:firstRowFirstColumn="0" w:firstRowLastColumn="0" w:lastRowFirstColumn="0" w:lastRowLastColumn="0"/>
            <w:tcW w:w="799" w:type="dxa"/>
          </w:tcPr>
          <w:p w14:paraId="5648AA22" w14:textId="77777777" w:rsidR="00DF1252" w:rsidRDefault="00DF1252" w:rsidP="004E6E34">
            <w:pPr>
              <w:pStyle w:val="DZVir"/>
              <w:jc w:val="right"/>
              <w:rPr>
                <w:sz w:val="18"/>
                <w:szCs w:val="18"/>
              </w:rPr>
            </w:pPr>
            <w:r>
              <w:rPr>
                <w:sz w:val="18"/>
                <w:szCs w:val="18"/>
              </w:rPr>
              <w:t>45,1</w:t>
            </w:r>
          </w:p>
        </w:tc>
      </w:tr>
      <w:tr w:rsidR="00DF1252" w:rsidRPr="00052ECE" w14:paraId="3BF04824"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9070" w:type="dxa"/>
            <w:gridSpan w:val="7"/>
          </w:tcPr>
          <w:p w14:paraId="547C3453" w14:textId="77777777" w:rsidR="00DF1252" w:rsidRPr="00052ECE" w:rsidRDefault="00DF1252" w:rsidP="001F3514">
            <w:pPr>
              <w:pStyle w:val="DZVir"/>
              <w:spacing w:before="0"/>
              <w:jc w:val="left"/>
              <w:rPr>
                <w:b/>
                <w:bCs/>
                <w:sz w:val="18"/>
                <w:szCs w:val="18"/>
                <w:lang w:val="x-none"/>
              </w:rPr>
            </w:pPr>
            <w:r w:rsidRPr="00052ECE">
              <w:rPr>
                <w:b/>
                <w:bCs/>
                <w:sz w:val="18"/>
                <w:szCs w:val="18"/>
                <w:lang w:val="x-none"/>
              </w:rPr>
              <w:t>VELIKOST</w:t>
            </w:r>
          </w:p>
        </w:tc>
      </w:tr>
      <w:tr w:rsidR="00DF1252" w:rsidRPr="00052ECE" w14:paraId="3CD9489C"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tcPr>
          <w:p w14:paraId="0C0C6DD0" w14:textId="77777777" w:rsidR="00DF1252" w:rsidRPr="00052ECE" w:rsidRDefault="00DF1252" w:rsidP="001F3514">
            <w:pPr>
              <w:pStyle w:val="DZVir"/>
              <w:spacing w:before="0"/>
              <w:jc w:val="left"/>
              <w:rPr>
                <w:sz w:val="18"/>
                <w:szCs w:val="18"/>
                <w:lang w:val="x-none"/>
              </w:rPr>
            </w:pPr>
            <w:r w:rsidRPr="00052ECE">
              <w:rPr>
                <w:sz w:val="18"/>
                <w:szCs w:val="18"/>
                <w:lang w:val="x-none"/>
              </w:rPr>
              <w:t>Sredstva/podjetje (v tisoč EUR)</w:t>
            </w:r>
          </w:p>
        </w:tc>
        <w:tc>
          <w:tcPr>
            <w:cnfStyle w:val="000010000000" w:firstRow="0" w:lastRow="0" w:firstColumn="0" w:lastColumn="0" w:oddVBand="1" w:evenVBand="0" w:oddHBand="0" w:evenHBand="0" w:firstRowFirstColumn="0" w:firstRowLastColumn="0" w:lastRowFirstColumn="0" w:lastRowLastColumn="0"/>
            <w:tcW w:w="797" w:type="dxa"/>
          </w:tcPr>
          <w:p w14:paraId="53DD8B25" w14:textId="77777777" w:rsidR="00DF1252" w:rsidRPr="00052ECE" w:rsidRDefault="00DF1252" w:rsidP="004E6E34">
            <w:pPr>
              <w:pStyle w:val="DZVir"/>
              <w:jc w:val="right"/>
              <w:rPr>
                <w:sz w:val="18"/>
                <w:szCs w:val="18"/>
              </w:rPr>
            </w:pPr>
            <w:r w:rsidRPr="00052ECE">
              <w:rPr>
                <w:sz w:val="18"/>
                <w:szCs w:val="18"/>
              </w:rPr>
              <w:t>1.004</w:t>
            </w:r>
          </w:p>
        </w:tc>
        <w:tc>
          <w:tcPr>
            <w:cnfStyle w:val="000001000000" w:firstRow="0" w:lastRow="0" w:firstColumn="0" w:lastColumn="0" w:oddVBand="0" w:evenVBand="1" w:oddHBand="0" w:evenHBand="0" w:firstRowFirstColumn="0" w:firstRowLastColumn="0" w:lastRowFirstColumn="0" w:lastRowLastColumn="0"/>
            <w:tcW w:w="799" w:type="dxa"/>
          </w:tcPr>
          <w:p w14:paraId="752FE853" w14:textId="77777777" w:rsidR="00DF1252" w:rsidRPr="00052ECE" w:rsidRDefault="00DF1252" w:rsidP="004E6E34">
            <w:pPr>
              <w:pStyle w:val="DZVir"/>
              <w:jc w:val="right"/>
              <w:rPr>
                <w:sz w:val="18"/>
                <w:szCs w:val="18"/>
              </w:rPr>
            </w:pPr>
            <w:r w:rsidRPr="00052ECE">
              <w:rPr>
                <w:sz w:val="18"/>
                <w:szCs w:val="18"/>
              </w:rPr>
              <w:t>995</w:t>
            </w:r>
          </w:p>
        </w:tc>
        <w:tc>
          <w:tcPr>
            <w:cnfStyle w:val="000010000000" w:firstRow="0" w:lastRow="0" w:firstColumn="0" w:lastColumn="0" w:oddVBand="1" w:evenVBand="0" w:oddHBand="0" w:evenHBand="0" w:firstRowFirstColumn="0" w:firstRowLastColumn="0" w:lastRowFirstColumn="0" w:lastRowLastColumn="0"/>
            <w:tcW w:w="798" w:type="dxa"/>
          </w:tcPr>
          <w:p w14:paraId="49F0A8D8" w14:textId="77777777" w:rsidR="00DF1252" w:rsidRPr="00052ECE" w:rsidRDefault="00DF1252" w:rsidP="004E6E34">
            <w:pPr>
              <w:pStyle w:val="DZVir"/>
              <w:jc w:val="right"/>
              <w:rPr>
                <w:sz w:val="18"/>
                <w:szCs w:val="18"/>
              </w:rPr>
            </w:pPr>
            <w:r w:rsidRPr="00052ECE">
              <w:rPr>
                <w:sz w:val="18"/>
                <w:szCs w:val="18"/>
              </w:rPr>
              <w:t>628</w:t>
            </w:r>
          </w:p>
        </w:tc>
        <w:tc>
          <w:tcPr>
            <w:cnfStyle w:val="000001000000" w:firstRow="0" w:lastRow="0" w:firstColumn="0" w:lastColumn="0" w:oddVBand="0" w:evenVBand="1" w:oddHBand="0" w:evenHBand="0" w:firstRowFirstColumn="0" w:firstRowLastColumn="0" w:lastRowFirstColumn="0" w:lastRowLastColumn="0"/>
            <w:tcW w:w="799" w:type="dxa"/>
          </w:tcPr>
          <w:p w14:paraId="308A4781" w14:textId="77777777" w:rsidR="00DF1252" w:rsidRPr="00052ECE" w:rsidRDefault="00DF1252" w:rsidP="004E6E34">
            <w:pPr>
              <w:pStyle w:val="DZVir"/>
              <w:jc w:val="right"/>
              <w:rPr>
                <w:sz w:val="18"/>
                <w:szCs w:val="18"/>
              </w:rPr>
            </w:pPr>
            <w:r>
              <w:rPr>
                <w:sz w:val="18"/>
                <w:szCs w:val="18"/>
              </w:rPr>
              <w:t>726</w:t>
            </w:r>
          </w:p>
        </w:tc>
        <w:tc>
          <w:tcPr>
            <w:cnfStyle w:val="000010000000" w:firstRow="0" w:lastRow="0" w:firstColumn="0" w:lastColumn="0" w:oddVBand="1" w:evenVBand="0" w:oddHBand="0" w:evenHBand="0" w:firstRowFirstColumn="0" w:firstRowLastColumn="0" w:lastRowFirstColumn="0" w:lastRowLastColumn="0"/>
            <w:tcW w:w="799" w:type="dxa"/>
          </w:tcPr>
          <w:p w14:paraId="43E5DBF5" w14:textId="77777777" w:rsidR="00DF1252" w:rsidRPr="00052ECE" w:rsidRDefault="00DF1252" w:rsidP="004E6E34">
            <w:pPr>
              <w:pStyle w:val="DZVir"/>
              <w:jc w:val="right"/>
              <w:rPr>
                <w:sz w:val="18"/>
                <w:szCs w:val="18"/>
              </w:rPr>
            </w:pPr>
            <w:r>
              <w:rPr>
                <w:sz w:val="18"/>
                <w:szCs w:val="18"/>
              </w:rPr>
              <w:t>725</w:t>
            </w:r>
          </w:p>
        </w:tc>
        <w:tc>
          <w:tcPr>
            <w:cnfStyle w:val="000100000000" w:firstRow="0" w:lastRow="0" w:firstColumn="0" w:lastColumn="1" w:oddVBand="0" w:evenVBand="0" w:oddHBand="0" w:evenHBand="0" w:firstRowFirstColumn="0" w:firstRowLastColumn="0" w:lastRowFirstColumn="0" w:lastRowLastColumn="0"/>
            <w:tcW w:w="799" w:type="dxa"/>
          </w:tcPr>
          <w:p w14:paraId="64341367" w14:textId="77777777" w:rsidR="00DF1252" w:rsidRDefault="00DF1252" w:rsidP="004E6E34">
            <w:pPr>
              <w:pStyle w:val="DZVir"/>
              <w:jc w:val="right"/>
              <w:rPr>
                <w:sz w:val="18"/>
                <w:szCs w:val="18"/>
              </w:rPr>
            </w:pPr>
            <w:r>
              <w:rPr>
                <w:sz w:val="18"/>
                <w:szCs w:val="18"/>
              </w:rPr>
              <w:t>729</w:t>
            </w:r>
          </w:p>
        </w:tc>
      </w:tr>
      <w:tr w:rsidR="00DF1252" w:rsidRPr="00052ECE" w14:paraId="254E79EF"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tcPr>
          <w:p w14:paraId="76C35B9D" w14:textId="77777777" w:rsidR="00DF1252" w:rsidRPr="00052ECE" w:rsidRDefault="00DF1252" w:rsidP="001F3514">
            <w:pPr>
              <w:pStyle w:val="DZVir"/>
              <w:spacing w:before="0"/>
              <w:jc w:val="left"/>
              <w:rPr>
                <w:sz w:val="18"/>
                <w:szCs w:val="18"/>
                <w:lang w:val="x-none"/>
              </w:rPr>
            </w:pPr>
            <w:r w:rsidRPr="00052ECE">
              <w:rPr>
                <w:sz w:val="18"/>
                <w:szCs w:val="18"/>
                <w:lang w:val="x-none"/>
              </w:rPr>
              <w:t>Število zaposlenih/podjetje</w:t>
            </w:r>
          </w:p>
        </w:tc>
        <w:tc>
          <w:tcPr>
            <w:cnfStyle w:val="000010000000" w:firstRow="0" w:lastRow="0" w:firstColumn="0" w:lastColumn="0" w:oddVBand="1" w:evenVBand="0" w:oddHBand="0" w:evenHBand="0" w:firstRowFirstColumn="0" w:firstRowLastColumn="0" w:lastRowFirstColumn="0" w:lastRowLastColumn="0"/>
            <w:tcW w:w="797" w:type="dxa"/>
          </w:tcPr>
          <w:p w14:paraId="3F9E9929" w14:textId="77777777" w:rsidR="00DF1252" w:rsidRPr="00052ECE" w:rsidRDefault="00DF1252" w:rsidP="004E6E34">
            <w:pPr>
              <w:pStyle w:val="DZVir"/>
              <w:jc w:val="right"/>
              <w:rPr>
                <w:sz w:val="18"/>
                <w:szCs w:val="18"/>
              </w:rPr>
            </w:pPr>
            <w:r w:rsidRPr="00052ECE">
              <w:rPr>
                <w:sz w:val="18"/>
                <w:szCs w:val="18"/>
              </w:rPr>
              <w:t>7,4</w:t>
            </w:r>
          </w:p>
        </w:tc>
        <w:tc>
          <w:tcPr>
            <w:cnfStyle w:val="000001000000" w:firstRow="0" w:lastRow="0" w:firstColumn="0" w:lastColumn="0" w:oddVBand="0" w:evenVBand="1" w:oddHBand="0" w:evenHBand="0" w:firstRowFirstColumn="0" w:firstRowLastColumn="0" w:lastRowFirstColumn="0" w:lastRowLastColumn="0"/>
            <w:tcW w:w="799" w:type="dxa"/>
          </w:tcPr>
          <w:p w14:paraId="42668EF0" w14:textId="77777777" w:rsidR="00DF1252" w:rsidRPr="00052ECE" w:rsidRDefault="00DF1252" w:rsidP="004E6E34">
            <w:pPr>
              <w:pStyle w:val="DZVir"/>
              <w:jc w:val="right"/>
              <w:rPr>
                <w:sz w:val="18"/>
                <w:szCs w:val="18"/>
              </w:rPr>
            </w:pPr>
            <w:r w:rsidRPr="00052ECE">
              <w:rPr>
                <w:sz w:val="18"/>
                <w:szCs w:val="18"/>
              </w:rPr>
              <w:t>6,7</w:t>
            </w:r>
          </w:p>
        </w:tc>
        <w:tc>
          <w:tcPr>
            <w:cnfStyle w:val="000010000000" w:firstRow="0" w:lastRow="0" w:firstColumn="0" w:lastColumn="0" w:oddVBand="1" w:evenVBand="0" w:oddHBand="0" w:evenHBand="0" w:firstRowFirstColumn="0" w:firstRowLastColumn="0" w:lastRowFirstColumn="0" w:lastRowLastColumn="0"/>
            <w:tcW w:w="798" w:type="dxa"/>
          </w:tcPr>
          <w:p w14:paraId="73866D3E" w14:textId="77777777" w:rsidR="00DF1252" w:rsidRPr="00052ECE" w:rsidRDefault="00DF1252" w:rsidP="004E6E34">
            <w:pPr>
              <w:pStyle w:val="DZVir"/>
              <w:jc w:val="right"/>
              <w:rPr>
                <w:sz w:val="18"/>
                <w:szCs w:val="18"/>
              </w:rPr>
            </w:pPr>
            <w:r w:rsidRPr="00052ECE">
              <w:rPr>
                <w:sz w:val="18"/>
                <w:szCs w:val="18"/>
              </w:rPr>
              <w:t>5,3</w:t>
            </w:r>
          </w:p>
        </w:tc>
        <w:tc>
          <w:tcPr>
            <w:cnfStyle w:val="000001000000" w:firstRow="0" w:lastRow="0" w:firstColumn="0" w:lastColumn="0" w:oddVBand="0" w:evenVBand="1" w:oddHBand="0" w:evenHBand="0" w:firstRowFirstColumn="0" w:firstRowLastColumn="0" w:lastRowFirstColumn="0" w:lastRowLastColumn="0"/>
            <w:tcW w:w="799" w:type="dxa"/>
          </w:tcPr>
          <w:p w14:paraId="0719DE7C" w14:textId="77777777" w:rsidR="00DF1252" w:rsidRPr="00052ECE" w:rsidRDefault="00DF1252" w:rsidP="004E6E34">
            <w:pPr>
              <w:pStyle w:val="DZVir"/>
              <w:jc w:val="right"/>
              <w:rPr>
                <w:sz w:val="18"/>
                <w:szCs w:val="18"/>
              </w:rPr>
            </w:pPr>
            <w:r>
              <w:rPr>
                <w:sz w:val="18"/>
                <w:szCs w:val="18"/>
              </w:rPr>
              <w:t>6,6</w:t>
            </w:r>
          </w:p>
        </w:tc>
        <w:tc>
          <w:tcPr>
            <w:cnfStyle w:val="000010000000" w:firstRow="0" w:lastRow="0" w:firstColumn="0" w:lastColumn="0" w:oddVBand="1" w:evenVBand="0" w:oddHBand="0" w:evenHBand="0" w:firstRowFirstColumn="0" w:firstRowLastColumn="0" w:lastRowFirstColumn="0" w:lastRowLastColumn="0"/>
            <w:tcW w:w="799" w:type="dxa"/>
          </w:tcPr>
          <w:p w14:paraId="0678F160" w14:textId="77777777" w:rsidR="00DF1252" w:rsidRPr="00052ECE" w:rsidRDefault="00DF1252" w:rsidP="004E6E34">
            <w:pPr>
              <w:pStyle w:val="DZVir"/>
              <w:jc w:val="right"/>
              <w:rPr>
                <w:sz w:val="18"/>
                <w:szCs w:val="18"/>
              </w:rPr>
            </w:pPr>
            <w:r>
              <w:rPr>
                <w:sz w:val="18"/>
                <w:szCs w:val="18"/>
              </w:rPr>
              <w:t>5,8</w:t>
            </w:r>
          </w:p>
        </w:tc>
        <w:tc>
          <w:tcPr>
            <w:cnfStyle w:val="000100000000" w:firstRow="0" w:lastRow="0" w:firstColumn="0" w:lastColumn="1" w:oddVBand="0" w:evenVBand="0" w:oddHBand="0" w:evenHBand="0" w:firstRowFirstColumn="0" w:firstRowLastColumn="0" w:lastRowFirstColumn="0" w:lastRowLastColumn="0"/>
            <w:tcW w:w="799" w:type="dxa"/>
          </w:tcPr>
          <w:p w14:paraId="68D0976F" w14:textId="77777777" w:rsidR="00DF1252" w:rsidRDefault="00DF1252" w:rsidP="004E6E34">
            <w:pPr>
              <w:pStyle w:val="DZVir"/>
              <w:jc w:val="right"/>
              <w:rPr>
                <w:sz w:val="18"/>
                <w:szCs w:val="18"/>
              </w:rPr>
            </w:pPr>
            <w:r>
              <w:rPr>
                <w:sz w:val="18"/>
                <w:szCs w:val="18"/>
              </w:rPr>
              <w:t>5,2</w:t>
            </w:r>
          </w:p>
        </w:tc>
      </w:tr>
      <w:tr w:rsidR="00DF1252" w:rsidRPr="00052ECE" w14:paraId="30A6EC1F"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9070" w:type="dxa"/>
            <w:gridSpan w:val="7"/>
          </w:tcPr>
          <w:p w14:paraId="4EA87BEC" w14:textId="77777777" w:rsidR="00DF1252" w:rsidRPr="00052ECE" w:rsidRDefault="00DF1252" w:rsidP="001F3514">
            <w:pPr>
              <w:pStyle w:val="DZVir"/>
              <w:spacing w:before="0"/>
              <w:jc w:val="left"/>
              <w:rPr>
                <w:b/>
                <w:bCs/>
                <w:sz w:val="18"/>
                <w:szCs w:val="18"/>
                <w:lang w:val="x-none"/>
              </w:rPr>
            </w:pPr>
            <w:r w:rsidRPr="00052ECE">
              <w:rPr>
                <w:b/>
                <w:bCs/>
                <w:sz w:val="18"/>
                <w:szCs w:val="18"/>
                <w:lang w:val="x-none"/>
              </w:rPr>
              <w:t>OPREMLJENOST DELA S SREDSTVI</w:t>
            </w:r>
          </w:p>
        </w:tc>
      </w:tr>
      <w:tr w:rsidR="00DF1252" w:rsidRPr="00052ECE" w14:paraId="5A861BC8"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tcPr>
          <w:p w14:paraId="0EBD1D82" w14:textId="77777777" w:rsidR="00DF1252" w:rsidRPr="00052ECE" w:rsidRDefault="00DF1252" w:rsidP="001F3514">
            <w:pPr>
              <w:pStyle w:val="DZVir"/>
              <w:spacing w:before="0"/>
              <w:jc w:val="left"/>
              <w:rPr>
                <w:sz w:val="18"/>
                <w:szCs w:val="18"/>
                <w:lang w:val="x-none"/>
              </w:rPr>
            </w:pPr>
            <w:r w:rsidRPr="00052ECE">
              <w:rPr>
                <w:sz w:val="18"/>
                <w:szCs w:val="18"/>
                <w:lang w:val="x-none"/>
              </w:rPr>
              <w:t>Povprečna sredstva/zaposlenega (v tisoč EUR)</w:t>
            </w:r>
          </w:p>
        </w:tc>
        <w:tc>
          <w:tcPr>
            <w:cnfStyle w:val="000010000000" w:firstRow="0" w:lastRow="0" w:firstColumn="0" w:lastColumn="0" w:oddVBand="1" w:evenVBand="0" w:oddHBand="0" w:evenHBand="0" w:firstRowFirstColumn="0" w:firstRowLastColumn="0" w:lastRowFirstColumn="0" w:lastRowLastColumn="0"/>
            <w:tcW w:w="797" w:type="dxa"/>
          </w:tcPr>
          <w:p w14:paraId="0821B934" w14:textId="77777777" w:rsidR="00DF1252" w:rsidRPr="00052ECE" w:rsidRDefault="00DF1252" w:rsidP="004E6E34">
            <w:pPr>
              <w:pStyle w:val="DZVir"/>
              <w:jc w:val="right"/>
              <w:rPr>
                <w:sz w:val="18"/>
                <w:szCs w:val="18"/>
              </w:rPr>
            </w:pPr>
            <w:r w:rsidRPr="00052ECE">
              <w:rPr>
                <w:sz w:val="18"/>
                <w:szCs w:val="18"/>
              </w:rPr>
              <w:t>127</w:t>
            </w:r>
          </w:p>
        </w:tc>
        <w:tc>
          <w:tcPr>
            <w:cnfStyle w:val="000001000000" w:firstRow="0" w:lastRow="0" w:firstColumn="0" w:lastColumn="0" w:oddVBand="0" w:evenVBand="1" w:oddHBand="0" w:evenHBand="0" w:firstRowFirstColumn="0" w:firstRowLastColumn="0" w:lastRowFirstColumn="0" w:lastRowLastColumn="0"/>
            <w:tcW w:w="799" w:type="dxa"/>
          </w:tcPr>
          <w:p w14:paraId="10CAC37B" w14:textId="77777777" w:rsidR="00DF1252" w:rsidRPr="00052ECE" w:rsidRDefault="00DF1252" w:rsidP="004E6E34">
            <w:pPr>
              <w:pStyle w:val="DZVir"/>
              <w:jc w:val="right"/>
              <w:rPr>
                <w:sz w:val="18"/>
                <w:szCs w:val="18"/>
              </w:rPr>
            </w:pPr>
            <w:r w:rsidRPr="00052ECE">
              <w:rPr>
                <w:sz w:val="18"/>
                <w:szCs w:val="18"/>
              </w:rPr>
              <w:t>146</w:t>
            </w:r>
          </w:p>
        </w:tc>
        <w:tc>
          <w:tcPr>
            <w:cnfStyle w:val="000010000000" w:firstRow="0" w:lastRow="0" w:firstColumn="0" w:lastColumn="0" w:oddVBand="1" w:evenVBand="0" w:oddHBand="0" w:evenHBand="0" w:firstRowFirstColumn="0" w:firstRowLastColumn="0" w:lastRowFirstColumn="0" w:lastRowLastColumn="0"/>
            <w:tcW w:w="798" w:type="dxa"/>
          </w:tcPr>
          <w:p w14:paraId="4DB9F304" w14:textId="77777777" w:rsidR="00DF1252" w:rsidRPr="00052ECE" w:rsidRDefault="00DF1252" w:rsidP="004E6E34">
            <w:pPr>
              <w:pStyle w:val="DZVir"/>
              <w:jc w:val="right"/>
              <w:rPr>
                <w:sz w:val="18"/>
                <w:szCs w:val="18"/>
              </w:rPr>
            </w:pPr>
            <w:r w:rsidRPr="00052ECE">
              <w:rPr>
                <w:sz w:val="18"/>
                <w:szCs w:val="18"/>
              </w:rPr>
              <w:t>121</w:t>
            </w:r>
          </w:p>
        </w:tc>
        <w:tc>
          <w:tcPr>
            <w:cnfStyle w:val="000001000000" w:firstRow="0" w:lastRow="0" w:firstColumn="0" w:lastColumn="0" w:oddVBand="0" w:evenVBand="1" w:oddHBand="0" w:evenHBand="0" w:firstRowFirstColumn="0" w:firstRowLastColumn="0" w:lastRowFirstColumn="0" w:lastRowLastColumn="0"/>
            <w:tcW w:w="799" w:type="dxa"/>
          </w:tcPr>
          <w:p w14:paraId="71ACB62B" w14:textId="77777777" w:rsidR="00DF1252" w:rsidRPr="00052ECE" w:rsidRDefault="00DF1252" w:rsidP="004E6E34">
            <w:pPr>
              <w:pStyle w:val="DZVir"/>
              <w:jc w:val="right"/>
              <w:rPr>
                <w:sz w:val="18"/>
                <w:szCs w:val="18"/>
              </w:rPr>
            </w:pPr>
            <w:r>
              <w:rPr>
                <w:sz w:val="18"/>
                <w:szCs w:val="18"/>
              </w:rPr>
              <w:t>105</w:t>
            </w:r>
          </w:p>
        </w:tc>
        <w:tc>
          <w:tcPr>
            <w:cnfStyle w:val="000010000000" w:firstRow="0" w:lastRow="0" w:firstColumn="0" w:lastColumn="0" w:oddVBand="1" w:evenVBand="0" w:oddHBand="0" w:evenHBand="0" w:firstRowFirstColumn="0" w:firstRowLastColumn="0" w:lastRowFirstColumn="0" w:lastRowLastColumn="0"/>
            <w:tcW w:w="799" w:type="dxa"/>
          </w:tcPr>
          <w:p w14:paraId="09D58809" w14:textId="77777777" w:rsidR="00DF1252" w:rsidRPr="00052ECE" w:rsidRDefault="00DF1252" w:rsidP="004E6E34">
            <w:pPr>
              <w:pStyle w:val="DZVir"/>
              <w:jc w:val="right"/>
              <w:rPr>
                <w:sz w:val="18"/>
                <w:szCs w:val="18"/>
              </w:rPr>
            </w:pPr>
            <w:r>
              <w:rPr>
                <w:sz w:val="18"/>
                <w:szCs w:val="18"/>
              </w:rPr>
              <w:t>124</w:t>
            </w:r>
          </w:p>
        </w:tc>
        <w:tc>
          <w:tcPr>
            <w:cnfStyle w:val="000100000000" w:firstRow="0" w:lastRow="0" w:firstColumn="0" w:lastColumn="1" w:oddVBand="0" w:evenVBand="0" w:oddHBand="0" w:evenHBand="0" w:firstRowFirstColumn="0" w:firstRowLastColumn="0" w:lastRowFirstColumn="0" w:lastRowLastColumn="0"/>
            <w:tcW w:w="799" w:type="dxa"/>
          </w:tcPr>
          <w:p w14:paraId="5FD070D9" w14:textId="77777777" w:rsidR="00DF1252" w:rsidRDefault="00DF1252" w:rsidP="004E6E34">
            <w:pPr>
              <w:pStyle w:val="DZVir"/>
              <w:jc w:val="right"/>
              <w:rPr>
                <w:sz w:val="18"/>
                <w:szCs w:val="18"/>
              </w:rPr>
            </w:pPr>
            <w:r>
              <w:rPr>
                <w:sz w:val="18"/>
                <w:szCs w:val="18"/>
              </w:rPr>
              <w:t>136</w:t>
            </w:r>
          </w:p>
        </w:tc>
      </w:tr>
      <w:tr w:rsidR="00DF1252" w:rsidRPr="00052ECE" w14:paraId="126170CA"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9070" w:type="dxa"/>
            <w:gridSpan w:val="7"/>
          </w:tcPr>
          <w:p w14:paraId="65E4B786" w14:textId="77777777" w:rsidR="00DF1252" w:rsidRPr="00052ECE" w:rsidRDefault="00DF1252" w:rsidP="001F3514">
            <w:pPr>
              <w:pStyle w:val="DZVir"/>
              <w:spacing w:before="0"/>
              <w:jc w:val="left"/>
              <w:rPr>
                <w:b/>
                <w:bCs/>
                <w:sz w:val="18"/>
                <w:szCs w:val="18"/>
                <w:lang w:val="x-none"/>
              </w:rPr>
            </w:pPr>
            <w:r w:rsidRPr="00052ECE">
              <w:rPr>
                <w:b/>
                <w:bCs/>
                <w:sz w:val="18"/>
                <w:szCs w:val="18"/>
                <w:lang w:val="x-none"/>
              </w:rPr>
              <w:t>GOSPODARNOST</w:t>
            </w:r>
          </w:p>
        </w:tc>
      </w:tr>
      <w:tr w:rsidR="00DF1252" w:rsidRPr="00052ECE" w14:paraId="33C66B76"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tcPr>
          <w:p w14:paraId="3F30B872" w14:textId="77777777" w:rsidR="00DF1252" w:rsidRPr="00052ECE" w:rsidRDefault="00DF1252" w:rsidP="001F3514">
            <w:pPr>
              <w:pStyle w:val="DZVir"/>
              <w:spacing w:before="0"/>
              <w:jc w:val="left"/>
              <w:rPr>
                <w:sz w:val="18"/>
                <w:szCs w:val="18"/>
                <w:lang w:val="x-none"/>
              </w:rPr>
            </w:pPr>
            <w:r w:rsidRPr="00052ECE">
              <w:rPr>
                <w:sz w:val="18"/>
                <w:szCs w:val="18"/>
                <w:lang w:val="x-none"/>
              </w:rPr>
              <w:t>Gospodarnost poslovanja</w:t>
            </w:r>
          </w:p>
        </w:tc>
        <w:tc>
          <w:tcPr>
            <w:cnfStyle w:val="000010000000" w:firstRow="0" w:lastRow="0" w:firstColumn="0" w:lastColumn="0" w:oddVBand="1" w:evenVBand="0" w:oddHBand="0" w:evenHBand="0" w:firstRowFirstColumn="0" w:firstRowLastColumn="0" w:lastRowFirstColumn="0" w:lastRowLastColumn="0"/>
            <w:tcW w:w="797" w:type="dxa"/>
          </w:tcPr>
          <w:p w14:paraId="4B20B6B2" w14:textId="77777777" w:rsidR="00DF1252" w:rsidRPr="00052ECE" w:rsidRDefault="00DF1252" w:rsidP="004E6E34">
            <w:pPr>
              <w:pStyle w:val="DZVir"/>
              <w:jc w:val="right"/>
              <w:rPr>
                <w:sz w:val="18"/>
                <w:szCs w:val="18"/>
              </w:rPr>
            </w:pPr>
            <w:r w:rsidRPr="00052ECE">
              <w:rPr>
                <w:sz w:val="18"/>
                <w:szCs w:val="18"/>
              </w:rPr>
              <w:t>1,022</w:t>
            </w:r>
          </w:p>
        </w:tc>
        <w:tc>
          <w:tcPr>
            <w:cnfStyle w:val="000001000000" w:firstRow="0" w:lastRow="0" w:firstColumn="0" w:lastColumn="0" w:oddVBand="0" w:evenVBand="1" w:oddHBand="0" w:evenHBand="0" w:firstRowFirstColumn="0" w:firstRowLastColumn="0" w:lastRowFirstColumn="0" w:lastRowLastColumn="0"/>
            <w:tcW w:w="799" w:type="dxa"/>
          </w:tcPr>
          <w:p w14:paraId="410D96DE" w14:textId="77777777" w:rsidR="00DF1252" w:rsidRPr="00052ECE" w:rsidRDefault="00DF1252" w:rsidP="004E6E34">
            <w:pPr>
              <w:pStyle w:val="DZVir"/>
              <w:jc w:val="right"/>
              <w:rPr>
                <w:sz w:val="18"/>
                <w:szCs w:val="18"/>
              </w:rPr>
            </w:pPr>
            <w:r w:rsidRPr="00052ECE">
              <w:rPr>
                <w:sz w:val="18"/>
                <w:szCs w:val="18"/>
              </w:rPr>
              <w:t>0,987</w:t>
            </w:r>
          </w:p>
        </w:tc>
        <w:tc>
          <w:tcPr>
            <w:cnfStyle w:val="000010000000" w:firstRow="0" w:lastRow="0" w:firstColumn="0" w:lastColumn="0" w:oddVBand="1" w:evenVBand="0" w:oddHBand="0" w:evenHBand="0" w:firstRowFirstColumn="0" w:firstRowLastColumn="0" w:lastRowFirstColumn="0" w:lastRowLastColumn="0"/>
            <w:tcW w:w="798" w:type="dxa"/>
          </w:tcPr>
          <w:p w14:paraId="41619213" w14:textId="77777777" w:rsidR="00DF1252" w:rsidRPr="00052ECE" w:rsidRDefault="00DF1252" w:rsidP="004E6E34">
            <w:pPr>
              <w:pStyle w:val="DZVir"/>
              <w:jc w:val="right"/>
              <w:rPr>
                <w:sz w:val="18"/>
                <w:szCs w:val="18"/>
              </w:rPr>
            </w:pPr>
            <w:r w:rsidRPr="00052ECE">
              <w:rPr>
                <w:sz w:val="18"/>
                <w:szCs w:val="18"/>
              </w:rPr>
              <w:t>1,012</w:t>
            </w:r>
          </w:p>
        </w:tc>
        <w:tc>
          <w:tcPr>
            <w:cnfStyle w:val="000001000000" w:firstRow="0" w:lastRow="0" w:firstColumn="0" w:lastColumn="0" w:oddVBand="0" w:evenVBand="1" w:oddHBand="0" w:evenHBand="0" w:firstRowFirstColumn="0" w:firstRowLastColumn="0" w:lastRowFirstColumn="0" w:lastRowLastColumn="0"/>
            <w:tcW w:w="799" w:type="dxa"/>
          </w:tcPr>
          <w:p w14:paraId="572DAB0F" w14:textId="77777777" w:rsidR="00DF1252" w:rsidRPr="00052ECE" w:rsidRDefault="00DF1252" w:rsidP="004E6E34">
            <w:pPr>
              <w:pStyle w:val="DZVir"/>
              <w:jc w:val="right"/>
              <w:rPr>
                <w:sz w:val="18"/>
                <w:szCs w:val="18"/>
              </w:rPr>
            </w:pPr>
            <w:r>
              <w:rPr>
                <w:sz w:val="18"/>
                <w:szCs w:val="18"/>
              </w:rPr>
              <w:t>1,052</w:t>
            </w:r>
          </w:p>
        </w:tc>
        <w:tc>
          <w:tcPr>
            <w:cnfStyle w:val="000010000000" w:firstRow="0" w:lastRow="0" w:firstColumn="0" w:lastColumn="0" w:oddVBand="1" w:evenVBand="0" w:oddHBand="0" w:evenHBand="0" w:firstRowFirstColumn="0" w:firstRowLastColumn="0" w:lastRowFirstColumn="0" w:lastRowLastColumn="0"/>
            <w:tcW w:w="799" w:type="dxa"/>
          </w:tcPr>
          <w:p w14:paraId="0E083538" w14:textId="77777777" w:rsidR="00DF1252" w:rsidRPr="00052ECE" w:rsidRDefault="00DF1252" w:rsidP="004E6E34">
            <w:pPr>
              <w:pStyle w:val="DZVir"/>
              <w:jc w:val="right"/>
              <w:rPr>
                <w:sz w:val="18"/>
                <w:szCs w:val="18"/>
              </w:rPr>
            </w:pPr>
            <w:r>
              <w:rPr>
                <w:sz w:val="18"/>
                <w:szCs w:val="18"/>
              </w:rPr>
              <w:t>0,945</w:t>
            </w:r>
          </w:p>
        </w:tc>
        <w:tc>
          <w:tcPr>
            <w:cnfStyle w:val="000100000000" w:firstRow="0" w:lastRow="0" w:firstColumn="0" w:lastColumn="1" w:oddVBand="0" w:evenVBand="0" w:oddHBand="0" w:evenHBand="0" w:firstRowFirstColumn="0" w:firstRowLastColumn="0" w:lastRowFirstColumn="0" w:lastRowLastColumn="0"/>
            <w:tcW w:w="799" w:type="dxa"/>
          </w:tcPr>
          <w:p w14:paraId="6BEE65DB" w14:textId="77777777" w:rsidR="00DF1252" w:rsidRDefault="00DF1252" w:rsidP="004E6E34">
            <w:pPr>
              <w:pStyle w:val="DZVir"/>
              <w:jc w:val="right"/>
              <w:rPr>
                <w:sz w:val="18"/>
                <w:szCs w:val="18"/>
              </w:rPr>
            </w:pPr>
            <w:r>
              <w:rPr>
                <w:sz w:val="18"/>
                <w:szCs w:val="18"/>
              </w:rPr>
              <w:t>1,043</w:t>
            </w:r>
          </w:p>
        </w:tc>
      </w:tr>
      <w:tr w:rsidR="00DF1252" w:rsidRPr="00052ECE" w14:paraId="722D8AFB"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9070" w:type="dxa"/>
            <w:gridSpan w:val="7"/>
          </w:tcPr>
          <w:p w14:paraId="5E154CBB" w14:textId="77777777" w:rsidR="00DF1252" w:rsidRPr="00052ECE" w:rsidRDefault="00DF1252" w:rsidP="001F3514">
            <w:pPr>
              <w:pStyle w:val="DZVir"/>
              <w:spacing w:before="0"/>
              <w:jc w:val="left"/>
              <w:rPr>
                <w:b/>
                <w:bCs/>
                <w:sz w:val="18"/>
                <w:szCs w:val="18"/>
                <w:lang w:val="x-none"/>
              </w:rPr>
            </w:pPr>
            <w:r w:rsidRPr="00052ECE">
              <w:rPr>
                <w:b/>
                <w:bCs/>
                <w:sz w:val="18"/>
                <w:szCs w:val="18"/>
                <w:lang w:val="x-none"/>
              </w:rPr>
              <w:t>DONOSNOST</w:t>
            </w:r>
          </w:p>
        </w:tc>
      </w:tr>
      <w:tr w:rsidR="00DF1252" w:rsidRPr="00052ECE" w14:paraId="6BA9A50F"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tcPr>
          <w:p w14:paraId="5839B259" w14:textId="77777777" w:rsidR="00DF1252" w:rsidRPr="00052ECE" w:rsidRDefault="00DF1252" w:rsidP="001F3514">
            <w:pPr>
              <w:pStyle w:val="DZVir"/>
              <w:spacing w:before="0"/>
              <w:jc w:val="left"/>
              <w:rPr>
                <w:sz w:val="18"/>
                <w:szCs w:val="18"/>
                <w:lang w:val="x-none"/>
              </w:rPr>
            </w:pPr>
            <w:r w:rsidRPr="00052ECE">
              <w:rPr>
                <w:sz w:val="18"/>
                <w:szCs w:val="18"/>
                <w:lang w:val="x-none"/>
              </w:rPr>
              <w:t>Donosnost sredstev (v</w:t>
            </w:r>
            <w:r>
              <w:rPr>
                <w:sz w:val="18"/>
                <w:szCs w:val="18"/>
                <w:lang w:val="x-none"/>
              </w:rPr>
              <w:t> %</w:t>
            </w:r>
            <w:r w:rsidRPr="00052ECE">
              <w:rPr>
                <w:sz w:val="18"/>
                <w:szCs w:val="18"/>
                <w:lang w:val="x-none"/>
              </w:rPr>
              <w:t>)</w:t>
            </w:r>
          </w:p>
        </w:tc>
        <w:tc>
          <w:tcPr>
            <w:cnfStyle w:val="000010000000" w:firstRow="0" w:lastRow="0" w:firstColumn="0" w:lastColumn="0" w:oddVBand="1" w:evenVBand="0" w:oddHBand="0" w:evenHBand="0" w:firstRowFirstColumn="0" w:firstRowLastColumn="0" w:lastRowFirstColumn="0" w:lastRowLastColumn="0"/>
            <w:tcW w:w="797" w:type="dxa"/>
          </w:tcPr>
          <w:p w14:paraId="387BE137" w14:textId="77777777" w:rsidR="00DF1252" w:rsidRPr="00052ECE" w:rsidRDefault="00DF1252" w:rsidP="004E6E34">
            <w:pPr>
              <w:pStyle w:val="DZVir"/>
              <w:jc w:val="right"/>
              <w:rPr>
                <w:sz w:val="18"/>
                <w:szCs w:val="18"/>
              </w:rPr>
            </w:pPr>
            <w:r w:rsidRPr="00052ECE">
              <w:rPr>
                <w:sz w:val="18"/>
                <w:szCs w:val="18"/>
              </w:rPr>
              <w:t>-1,3</w:t>
            </w:r>
          </w:p>
        </w:tc>
        <w:tc>
          <w:tcPr>
            <w:cnfStyle w:val="000001000000" w:firstRow="0" w:lastRow="0" w:firstColumn="0" w:lastColumn="0" w:oddVBand="0" w:evenVBand="1" w:oddHBand="0" w:evenHBand="0" w:firstRowFirstColumn="0" w:firstRowLastColumn="0" w:lastRowFirstColumn="0" w:lastRowLastColumn="0"/>
            <w:tcW w:w="799" w:type="dxa"/>
          </w:tcPr>
          <w:p w14:paraId="037BCF81" w14:textId="77777777" w:rsidR="00DF1252" w:rsidRPr="00052ECE" w:rsidRDefault="00DF1252" w:rsidP="004E6E34">
            <w:pPr>
              <w:pStyle w:val="DZVir"/>
              <w:jc w:val="right"/>
              <w:rPr>
                <w:sz w:val="18"/>
                <w:szCs w:val="18"/>
              </w:rPr>
            </w:pPr>
            <w:r w:rsidRPr="00052ECE">
              <w:rPr>
                <w:sz w:val="18"/>
                <w:szCs w:val="18"/>
              </w:rPr>
              <w:t>-2,4</w:t>
            </w:r>
          </w:p>
        </w:tc>
        <w:tc>
          <w:tcPr>
            <w:cnfStyle w:val="000010000000" w:firstRow="0" w:lastRow="0" w:firstColumn="0" w:lastColumn="0" w:oddVBand="1" w:evenVBand="0" w:oddHBand="0" w:evenHBand="0" w:firstRowFirstColumn="0" w:firstRowLastColumn="0" w:lastRowFirstColumn="0" w:lastRowLastColumn="0"/>
            <w:tcW w:w="798" w:type="dxa"/>
          </w:tcPr>
          <w:p w14:paraId="3FD43725" w14:textId="77777777" w:rsidR="00DF1252" w:rsidRPr="00052ECE" w:rsidRDefault="00DF1252" w:rsidP="004E6E34">
            <w:pPr>
              <w:pStyle w:val="DZVir"/>
              <w:jc w:val="right"/>
              <w:rPr>
                <w:sz w:val="18"/>
                <w:szCs w:val="18"/>
              </w:rPr>
            </w:pPr>
            <w:r w:rsidRPr="00052ECE">
              <w:rPr>
                <w:sz w:val="18"/>
                <w:szCs w:val="18"/>
              </w:rPr>
              <w:t>0,0</w:t>
            </w:r>
          </w:p>
        </w:tc>
        <w:tc>
          <w:tcPr>
            <w:cnfStyle w:val="000001000000" w:firstRow="0" w:lastRow="0" w:firstColumn="0" w:lastColumn="0" w:oddVBand="0" w:evenVBand="1" w:oddHBand="0" w:evenHBand="0" w:firstRowFirstColumn="0" w:firstRowLastColumn="0" w:lastRowFirstColumn="0" w:lastRowLastColumn="0"/>
            <w:tcW w:w="799" w:type="dxa"/>
          </w:tcPr>
          <w:p w14:paraId="4B545185" w14:textId="77777777" w:rsidR="00DF1252" w:rsidRPr="00052ECE" w:rsidRDefault="00DF1252" w:rsidP="004E6E34">
            <w:pPr>
              <w:pStyle w:val="DZVir"/>
              <w:jc w:val="right"/>
              <w:rPr>
                <w:sz w:val="18"/>
                <w:szCs w:val="18"/>
              </w:rPr>
            </w:pPr>
            <w:r>
              <w:rPr>
                <w:sz w:val="18"/>
                <w:szCs w:val="18"/>
              </w:rPr>
              <w:t>2,5</w:t>
            </w:r>
          </w:p>
        </w:tc>
        <w:tc>
          <w:tcPr>
            <w:cnfStyle w:val="000010000000" w:firstRow="0" w:lastRow="0" w:firstColumn="0" w:lastColumn="0" w:oddVBand="1" w:evenVBand="0" w:oddHBand="0" w:evenHBand="0" w:firstRowFirstColumn="0" w:firstRowLastColumn="0" w:lastRowFirstColumn="0" w:lastRowLastColumn="0"/>
            <w:tcW w:w="799" w:type="dxa"/>
          </w:tcPr>
          <w:p w14:paraId="7CC8354D" w14:textId="77777777" w:rsidR="00DF1252" w:rsidRPr="00052ECE" w:rsidRDefault="00DF1252" w:rsidP="004E6E34">
            <w:pPr>
              <w:pStyle w:val="DZVir"/>
              <w:jc w:val="right"/>
              <w:rPr>
                <w:sz w:val="18"/>
                <w:szCs w:val="18"/>
              </w:rPr>
            </w:pPr>
            <w:r>
              <w:rPr>
                <w:sz w:val="18"/>
                <w:szCs w:val="18"/>
              </w:rPr>
              <w:t>-3,0</w:t>
            </w:r>
          </w:p>
        </w:tc>
        <w:tc>
          <w:tcPr>
            <w:cnfStyle w:val="000100000000" w:firstRow="0" w:lastRow="0" w:firstColumn="0" w:lastColumn="1" w:oddVBand="0" w:evenVBand="0" w:oddHBand="0" w:evenHBand="0" w:firstRowFirstColumn="0" w:firstRowLastColumn="0" w:lastRowFirstColumn="0" w:lastRowLastColumn="0"/>
            <w:tcW w:w="799" w:type="dxa"/>
          </w:tcPr>
          <w:p w14:paraId="27B1D0F2" w14:textId="77777777" w:rsidR="00DF1252" w:rsidRDefault="00DF1252" w:rsidP="004E6E34">
            <w:pPr>
              <w:pStyle w:val="DZVir"/>
              <w:jc w:val="right"/>
              <w:rPr>
                <w:sz w:val="18"/>
                <w:szCs w:val="18"/>
              </w:rPr>
            </w:pPr>
            <w:r>
              <w:rPr>
                <w:sz w:val="18"/>
                <w:szCs w:val="18"/>
              </w:rPr>
              <w:t>1,6</w:t>
            </w:r>
          </w:p>
        </w:tc>
      </w:tr>
      <w:tr w:rsidR="00DF1252" w:rsidRPr="00052ECE" w14:paraId="01892270"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tcPr>
          <w:p w14:paraId="662E25C9" w14:textId="77777777" w:rsidR="00DF1252" w:rsidRPr="00052ECE" w:rsidRDefault="00DF1252" w:rsidP="001F3514">
            <w:pPr>
              <w:pStyle w:val="DZVir"/>
              <w:spacing w:before="0"/>
              <w:jc w:val="left"/>
              <w:rPr>
                <w:sz w:val="18"/>
                <w:szCs w:val="18"/>
                <w:lang w:val="x-none"/>
              </w:rPr>
            </w:pPr>
            <w:r w:rsidRPr="00052ECE">
              <w:rPr>
                <w:sz w:val="18"/>
                <w:szCs w:val="18"/>
                <w:lang w:val="x-none"/>
              </w:rPr>
              <w:t>Donosnost prihodkov (v</w:t>
            </w:r>
            <w:r>
              <w:rPr>
                <w:sz w:val="18"/>
                <w:szCs w:val="18"/>
                <w:lang w:val="x-none"/>
              </w:rPr>
              <w:t> %</w:t>
            </w:r>
            <w:r w:rsidRPr="00052ECE">
              <w:rPr>
                <w:sz w:val="18"/>
                <w:szCs w:val="18"/>
                <w:lang w:val="x-none"/>
              </w:rPr>
              <w:t>)</w:t>
            </w:r>
          </w:p>
        </w:tc>
        <w:tc>
          <w:tcPr>
            <w:cnfStyle w:val="000010000000" w:firstRow="0" w:lastRow="0" w:firstColumn="0" w:lastColumn="0" w:oddVBand="1" w:evenVBand="0" w:oddHBand="0" w:evenHBand="0" w:firstRowFirstColumn="0" w:firstRowLastColumn="0" w:lastRowFirstColumn="0" w:lastRowLastColumn="0"/>
            <w:tcW w:w="797" w:type="dxa"/>
          </w:tcPr>
          <w:p w14:paraId="136C7B3F" w14:textId="77777777" w:rsidR="00DF1252" w:rsidRPr="00052ECE" w:rsidRDefault="00DF1252" w:rsidP="004E6E34">
            <w:pPr>
              <w:pStyle w:val="DZVir"/>
              <w:jc w:val="right"/>
              <w:rPr>
                <w:sz w:val="18"/>
                <w:szCs w:val="18"/>
              </w:rPr>
            </w:pPr>
            <w:r w:rsidRPr="00052ECE">
              <w:rPr>
                <w:sz w:val="18"/>
                <w:szCs w:val="18"/>
              </w:rPr>
              <w:t>-2,4</w:t>
            </w:r>
          </w:p>
        </w:tc>
        <w:tc>
          <w:tcPr>
            <w:cnfStyle w:val="000001000000" w:firstRow="0" w:lastRow="0" w:firstColumn="0" w:lastColumn="0" w:oddVBand="0" w:evenVBand="1" w:oddHBand="0" w:evenHBand="0" w:firstRowFirstColumn="0" w:firstRowLastColumn="0" w:lastRowFirstColumn="0" w:lastRowLastColumn="0"/>
            <w:tcW w:w="799" w:type="dxa"/>
          </w:tcPr>
          <w:p w14:paraId="43C0D097" w14:textId="77777777" w:rsidR="00DF1252" w:rsidRPr="00052ECE" w:rsidRDefault="00DF1252" w:rsidP="004E6E34">
            <w:pPr>
              <w:pStyle w:val="DZVir"/>
              <w:jc w:val="right"/>
              <w:rPr>
                <w:sz w:val="18"/>
                <w:szCs w:val="18"/>
              </w:rPr>
            </w:pPr>
            <w:r w:rsidRPr="00052ECE">
              <w:rPr>
                <w:sz w:val="18"/>
                <w:szCs w:val="18"/>
              </w:rPr>
              <w:t>-5,6</w:t>
            </w:r>
          </w:p>
        </w:tc>
        <w:tc>
          <w:tcPr>
            <w:cnfStyle w:val="000010000000" w:firstRow="0" w:lastRow="0" w:firstColumn="0" w:lastColumn="0" w:oddVBand="1" w:evenVBand="0" w:oddHBand="0" w:evenHBand="0" w:firstRowFirstColumn="0" w:firstRowLastColumn="0" w:lastRowFirstColumn="0" w:lastRowLastColumn="0"/>
            <w:tcW w:w="798" w:type="dxa"/>
          </w:tcPr>
          <w:p w14:paraId="570F0D3E" w14:textId="77777777" w:rsidR="00DF1252" w:rsidRPr="00052ECE" w:rsidRDefault="00DF1252" w:rsidP="004E6E34">
            <w:pPr>
              <w:pStyle w:val="DZVir"/>
              <w:jc w:val="right"/>
              <w:rPr>
                <w:sz w:val="18"/>
                <w:szCs w:val="18"/>
              </w:rPr>
            </w:pPr>
            <w:r w:rsidRPr="00052ECE">
              <w:rPr>
                <w:sz w:val="18"/>
                <w:szCs w:val="18"/>
              </w:rPr>
              <w:t>0,0</w:t>
            </w:r>
          </w:p>
        </w:tc>
        <w:tc>
          <w:tcPr>
            <w:cnfStyle w:val="000001000000" w:firstRow="0" w:lastRow="0" w:firstColumn="0" w:lastColumn="0" w:oddVBand="0" w:evenVBand="1" w:oddHBand="0" w:evenHBand="0" w:firstRowFirstColumn="0" w:firstRowLastColumn="0" w:lastRowFirstColumn="0" w:lastRowLastColumn="0"/>
            <w:tcW w:w="799" w:type="dxa"/>
          </w:tcPr>
          <w:p w14:paraId="777BDBF0" w14:textId="77777777" w:rsidR="00DF1252" w:rsidRPr="00052ECE" w:rsidRDefault="00DF1252" w:rsidP="004E6E34">
            <w:pPr>
              <w:pStyle w:val="DZVir"/>
              <w:jc w:val="right"/>
              <w:rPr>
                <w:sz w:val="18"/>
                <w:szCs w:val="18"/>
              </w:rPr>
            </w:pPr>
            <w:r>
              <w:rPr>
                <w:sz w:val="18"/>
                <w:szCs w:val="18"/>
              </w:rPr>
              <w:t>3,6</w:t>
            </w:r>
          </w:p>
        </w:tc>
        <w:tc>
          <w:tcPr>
            <w:cnfStyle w:val="000010000000" w:firstRow="0" w:lastRow="0" w:firstColumn="0" w:lastColumn="0" w:oddVBand="1" w:evenVBand="0" w:oddHBand="0" w:evenHBand="0" w:firstRowFirstColumn="0" w:firstRowLastColumn="0" w:lastRowFirstColumn="0" w:lastRowLastColumn="0"/>
            <w:tcW w:w="799" w:type="dxa"/>
          </w:tcPr>
          <w:p w14:paraId="65B16CEA" w14:textId="77777777" w:rsidR="00DF1252" w:rsidRPr="00052ECE" w:rsidRDefault="00DF1252" w:rsidP="004E6E34">
            <w:pPr>
              <w:pStyle w:val="DZVir"/>
              <w:jc w:val="right"/>
              <w:rPr>
                <w:sz w:val="18"/>
                <w:szCs w:val="18"/>
              </w:rPr>
            </w:pPr>
            <w:r>
              <w:rPr>
                <w:sz w:val="18"/>
                <w:szCs w:val="18"/>
              </w:rPr>
              <w:t>-6,7</w:t>
            </w:r>
          </w:p>
        </w:tc>
        <w:tc>
          <w:tcPr>
            <w:cnfStyle w:val="000100000000" w:firstRow="0" w:lastRow="0" w:firstColumn="0" w:lastColumn="1" w:oddVBand="0" w:evenVBand="0" w:oddHBand="0" w:evenHBand="0" w:firstRowFirstColumn="0" w:firstRowLastColumn="0" w:lastRowFirstColumn="0" w:lastRowLastColumn="0"/>
            <w:tcW w:w="799" w:type="dxa"/>
          </w:tcPr>
          <w:p w14:paraId="62AC280B" w14:textId="77777777" w:rsidR="00DF1252" w:rsidRDefault="00DF1252" w:rsidP="004E6E34">
            <w:pPr>
              <w:pStyle w:val="DZVir"/>
              <w:jc w:val="right"/>
              <w:rPr>
                <w:sz w:val="18"/>
                <w:szCs w:val="18"/>
              </w:rPr>
            </w:pPr>
            <w:r>
              <w:rPr>
                <w:sz w:val="18"/>
                <w:szCs w:val="18"/>
              </w:rPr>
              <w:t>2,9</w:t>
            </w:r>
          </w:p>
        </w:tc>
      </w:tr>
      <w:tr w:rsidR="00DF1252" w:rsidRPr="00052ECE" w14:paraId="27838916"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9070" w:type="dxa"/>
            <w:gridSpan w:val="7"/>
          </w:tcPr>
          <w:p w14:paraId="04FAE082" w14:textId="77777777" w:rsidR="00DF1252" w:rsidRPr="00052ECE" w:rsidRDefault="00DF1252" w:rsidP="001F3514">
            <w:pPr>
              <w:pStyle w:val="DZVir"/>
              <w:spacing w:before="0"/>
              <w:jc w:val="left"/>
              <w:rPr>
                <w:b/>
                <w:bCs/>
                <w:sz w:val="18"/>
                <w:szCs w:val="18"/>
                <w:lang w:val="x-none"/>
              </w:rPr>
            </w:pPr>
            <w:r w:rsidRPr="00052ECE">
              <w:rPr>
                <w:b/>
                <w:bCs/>
                <w:sz w:val="18"/>
                <w:szCs w:val="18"/>
                <w:lang w:val="x-none"/>
              </w:rPr>
              <w:t>PRODUKTIVNOST</w:t>
            </w:r>
          </w:p>
        </w:tc>
      </w:tr>
      <w:tr w:rsidR="00DF1252" w:rsidRPr="00052ECE" w14:paraId="3FE0831B"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shd w:val="clear" w:color="auto" w:fill="auto"/>
          </w:tcPr>
          <w:p w14:paraId="7C2ED641" w14:textId="77777777" w:rsidR="00DF1252" w:rsidRPr="001225FB" w:rsidRDefault="00DF1252" w:rsidP="001F3514">
            <w:pPr>
              <w:pStyle w:val="DZVir"/>
              <w:spacing w:before="0"/>
              <w:jc w:val="left"/>
              <w:rPr>
                <w:sz w:val="18"/>
                <w:szCs w:val="18"/>
              </w:rPr>
            </w:pPr>
            <w:r w:rsidRPr="001225FB">
              <w:rPr>
                <w:sz w:val="18"/>
                <w:szCs w:val="18"/>
                <w:lang w:val="x-none"/>
              </w:rPr>
              <w:t>Dodana vrednost/zaposlenega (v EUR</w:t>
            </w:r>
            <w:r w:rsidRPr="001225FB">
              <w:rPr>
                <w:sz w:val="18"/>
                <w:szCs w:val="18"/>
              </w:rPr>
              <w:t>)</w:t>
            </w:r>
          </w:p>
        </w:tc>
        <w:tc>
          <w:tcPr>
            <w:cnfStyle w:val="000010000000" w:firstRow="0" w:lastRow="0" w:firstColumn="0" w:lastColumn="0" w:oddVBand="1" w:evenVBand="0" w:oddHBand="0" w:evenHBand="0" w:firstRowFirstColumn="0" w:firstRowLastColumn="0" w:lastRowFirstColumn="0" w:lastRowLastColumn="0"/>
            <w:tcW w:w="797" w:type="dxa"/>
            <w:shd w:val="clear" w:color="auto" w:fill="auto"/>
          </w:tcPr>
          <w:p w14:paraId="2BDE848C" w14:textId="77777777" w:rsidR="00DF1252" w:rsidRPr="001225FB" w:rsidRDefault="00DF1252" w:rsidP="004E6E34">
            <w:pPr>
              <w:pStyle w:val="DZVir"/>
              <w:jc w:val="right"/>
              <w:rPr>
                <w:sz w:val="18"/>
                <w:szCs w:val="18"/>
              </w:rPr>
            </w:pPr>
            <w:r w:rsidRPr="001225FB">
              <w:rPr>
                <w:sz w:val="18"/>
                <w:szCs w:val="18"/>
              </w:rPr>
              <w:t>24.068</w:t>
            </w:r>
          </w:p>
        </w:tc>
        <w:tc>
          <w:tcPr>
            <w:cnfStyle w:val="000001000000" w:firstRow="0" w:lastRow="0" w:firstColumn="0" w:lastColumn="0" w:oddVBand="0" w:evenVBand="1" w:oddHBand="0" w:evenHBand="0" w:firstRowFirstColumn="0" w:firstRowLastColumn="0" w:lastRowFirstColumn="0" w:lastRowLastColumn="0"/>
            <w:tcW w:w="799" w:type="dxa"/>
            <w:shd w:val="clear" w:color="auto" w:fill="auto"/>
          </w:tcPr>
          <w:p w14:paraId="128FB392" w14:textId="77777777" w:rsidR="00DF1252" w:rsidRPr="001225FB" w:rsidRDefault="00DF1252" w:rsidP="004E6E34">
            <w:pPr>
              <w:pStyle w:val="DZVir"/>
              <w:jc w:val="right"/>
              <w:rPr>
                <w:sz w:val="18"/>
                <w:szCs w:val="18"/>
              </w:rPr>
            </w:pPr>
            <w:r w:rsidRPr="001225FB">
              <w:rPr>
                <w:sz w:val="18"/>
                <w:szCs w:val="18"/>
              </w:rPr>
              <w:t>23.679</w:t>
            </w:r>
          </w:p>
        </w:tc>
        <w:tc>
          <w:tcPr>
            <w:cnfStyle w:val="000010000000" w:firstRow="0" w:lastRow="0" w:firstColumn="0" w:lastColumn="0" w:oddVBand="1" w:evenVBand="0" w:oddHBand="0" w:evenHBand="0" w:firstRowFirstColumn="0" w:firstRowLastColumn="0" w:lastRowFirstColumn="0" w:lastRowLastColumn="0"/>
            <w:tcW w:w="798" w:type="dxa"/>
            <w:shd w:val="clear" w:color="auto" w:fill="auto"/>
          </w:tcPr>
          <w:p w14:paraId="2DE8B12C" w14:textId="77777777" w:rsidR="00DF1252" w:rsidRPr="001225FB" w:rsidRDefault="00DF1252" w:rsidP="004E6E34">
            <w:pPr>
              <w:pStyle w:val="DZVir"/>
              <w:jc w:val="right"/>
              <w:rPr>
                <w:sz w:val="18"/>
                <w:szCs w:val="18"/>
              </w:rPr>
            </w:pPr>
            <w:r w:rsidRPr="001225FB">
              <w:rPr>
                <w:sz w:val="18"/>
                <w:szCs w:val="18"/>
              </w:rPr>
              <w:t>26.630</w:t>
            </w:r>
          </w:p>
        </w:tc>
        <w:tc>
          <w:tcPr>
            <w:cnfStyle w:val="000001000000" w:firstRow="0" w:lastRow="0" w:firstColumn="0" w:lastColumn="0" w:oddVBand="0" w:evenVBand="1" w:oddHBand="0" w:evenHBand="0" w:firstRowFirstColumn="0" w:firstRowLastColumn="0" w:lastRowFirstColumn="0" w:lastRowLastColumn="0"/>
            <w:tcW w:w="799" w:type="dxa"/>
            <w:shd w:val="clear" w:color="auto" w:fill="auto"/>
          </w:tcPr>
          <w:p w14:paraId="52E1A340" w14:textId="77777777" w:rsidR="00DF1252" w:rsidRPr="001225FB" w:rsidRDefault="00DF1252" w:rsidP="004E6E34">
            <w:pPr>
              <w:pStyle w:val="DZVir"/>
              <w:jc w:val="right"/>
              <w:rPr>
                <w:sz w:val="18"/>
                <w:szCs w:val="18"/>
              </w:rPr>
            </w:pPr>
            <w:r w:rsidRPr="001225FB">
              <w:rPr>
                <w:sz w:val="18"/>
                <w:szCs w:val="18"/>
              </w:rPr>
              <w:t>30.351</w:t>
            </w:r>
          </w:p>
        </w:tc>
        <w:tc>
          <w:tcPr>
            <w:cnfStyle w:val="000010000000" w:firstRow="0" w:lastRow="0" w:firstColumn="0" w:lastColumn="0" w:oddVBand="1" w:evenVBand="0" w:oddHBand="0" w:evenHBand="0" w:firstRowFirstColumn="0" w:firstRowLastColumn="0" w:lastRowFirstColumn="0" w:lastRowLastColumn="0"/>
            <w:tcW w:w="799" w:type="dxa"/>
            <w:shd w:val="clear" w:color="auto" w:fill="auto"/>
          </w:tcPr>
          <w:p w14:paraId="3540A5EB" w14:textId="77777777" w:rsidR="00DF1252" w:rsidRPr="001225FB" w:rsidRDefault="00DF1252" w:rsidP="004E6E34">
            <w:pPr>
              <w:pStyle w:val="DZVir"/>
              <w:jc w:val="right"/>
              <w:rPr>
                <w:sz w:val="18"/>
                <w:szCs w:val="18"/>
              </w:rPr>
            </w:pPr>
            <w:r w:rsidRPr="001225FB">
              <w:rPr>
                <w:sz w:val="18"/>
                <w:szCs w:val="18"/>
              </w:rPr>
              <w:t>23.812</w:t>
            </w:r>
          </w:p>
        </w:tc>
        <w:tc>
          <w:tcPr>
            <w:cnfStyle w:val="000100000000" w:firstRow="0" w:lastRow="0" w:firstColumn="0" w:lastColumn="1" w:oddVBand="0" w:evenVBand="0" w:oddHBand="0" w:evenHBand="0" w:firstRowFirstColumn="0" w:firstRowLastColumn="0" w:lastRowFirstColumn="0" w:lastRowLastColumn="0"/>
            <w:tcW w:w="799" w:type="dxa"/>
            <w:shd w:val="clear" w:color="auto" w:fill="auto"/>
          </w:tcPr>
          <w:p w14:paraId="0C29EFC8" w14:textId="77777777" w:rsidR="00DF1252" w:rsidRPr="001225FB" w:rsidRDefault="00DF1252" w:rsidP="004E6E34">
            <w:pPr>
              <w:pStyle w:val="DZVir"/>
              <w:jc w:val="right"/>
              <w:rPr>
                <w:sz w:val="18"/>
                <w:szCs w:val="18"/>
              </w:rPr>
            </w:pPr>
            <w:r w:rsidRPr="001225FB">
              <w:rPr>
                <w:sz w:val="18"/>
                <w:szCs w:val="18"/>
              </w:rPr>
              <w:t>32.500</w:t>
            </w:r>
          </w:p>
        </w:tc>
      </w:tr>
      <w:tr w:rsidR="00DF1252" w:rsidRPr="001225FB" w14:paraId="618CFC2A"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shd w:val="clear" w:color="auto" w:fill="auto"/>
          </w:tcPr>
          <w:p w14:paraId="2312662C" w14:textId="77777777" w:rsidR="00DF1252" w:rsidRPr="0027161B" w:rsidRDefault="00DF1252" w:rsidP="001F3514">
            <w:pPr>
              <w:pStyle w:val="DZVir"/>
              <w:spacing w:before="0"/>
              <w:jc w:val="left"/>
              <w:rPr>
                <w:sz w:val="18"/>
                <w:szCs w:val="18"/>
              </w:rPr>
            </w:pPr>
            <w:r w:rsidRPr="0027161B">
              <w:rPr>
                <w:sz w:val="18"/>
                <w:szCs w:val="18"/>
              </w:rPr>
              <w:t>Dodana vrednost (brez subvencij)/zaposlenega (v EUR)</w:t>
            </w:r>
          </w:p>
        </w:tc>
        <w:tc>
          <w:tcPr>
            <w:cnfStyle w:val="000010000000" w:firstRow="0" w:lastRow="0" w:firstColumn="0" w:lastColumn="0" w:oddVBand="1" w:evenVBand="0" w:oddHBand="0" w:evenHBand="0" w:firstRowFirstColumn="0" w:firstRowLastColumn="0" w:lastRowFirstColumn="0" w:lastRowLastColumn="0"/>
            <w:tcW w:w="797" w:type="dxa"/>
            <w:shd w:val="clear" w:color="auto" w:fill="auto"/>
          </w:tcPr>
          <w:p w14:paraId="13E664C7" w14:textId="77777777" w:rsidR="00DF1252" w:rsidRPr="0027161B" w:rsidRDefault="00DF1252" w:rsidP="004E6E34">
            <w:pPr>
              <w:pStyle w:val="DZVir"/>
              <w:jc w:val="right"/>
              <w:rPr>
                <w:sz w:val="18"/>
                <w:szCs w:val="18"/>
              </w:rPr>
            </w:pPr>
          </w:p>
        </w:tc>
        <w:tc>
          <w:tcPr>
            <w:cnfStyle w:val="000001000000" w:firstRow="0" w:lastRow="0" w:firstColumn="0" w:lastColumn="0" w:oddVBand="0" w:evenVBand="1" w:oddHBand="0" w:evenHBand="0" w:firstRowFirstColumn="0" w:firstRowLastColumn="0" w:lastRowFirstColumn="0" w:lastRowLastColumn="0"/>
            <w:tcW w:w="799" w:type="dxa"/>
            <w:shd w:val="clear" w:color="auto" w:fill="auto"/>
          </w:tcPr>
          <w:p w14:paraId="08B4E204" w14:textId="77777777" w:rsidR="00DF1252" w:rsidRPr="0027161B" w:rsidRDefault="00DF1252" w:rsidP="004E6E34">
            <w:pPr>
              <w:pStyle w:val="DZVir"/>
              <w:jc w:val="right"/>
              <w:rPr>
                <w:sz w:val="18"/>
                <w:szCs w:val="18"/>
              </w:rPr>
            </w:pPr>
          </w:p>
        </w:tc>
        <w:tc>
          <w:tcPr>
            <w:cnfStyle w:val="000010000000" w:firstRow="0" w:lastRow="0" w:firstColumn="0" w:lastColumn="0" w:oddVBand="1" w:evenVBand="0" w:oddHBand="0" w:evenHBand="0" w:firstRowFirstColumn="0" w:firstRowLastColumn="0" w:lastRowFirstColumn="0" w:lastRowLastColumn="0"/>
            <w:tcW w:w="798" w:type="dxa"/>
            <w:shd w:val="clear" w:color="auto" w:fill="auto"/>
          </w:tcPr>
          <w:p w14:paraId="1E4F5E04" w14:textId="77777777" w:rsidR="00DF1252" w:rsidRPr="0027161B" w:rsidRDefault="00DF1252" w:rsidP="004E6E34">
            <w:pPr>
              <w:pStyle w:val="DZVir"/>
              <w:jc w:val="right"/>
              <w:rPr>
                <w:sz w:val="18"/>
                <w:szCs w:val="18"/>
              </w:rPr>
            </w:pPr>
          </w:p>
        </w:tc>
        <w:tc>
          <w:tcPr>
            <w:cnfStyle w:val="000001000000" w:firstRow="0" w:lastRow="0" w:firstColumn="0" w:lastColumn="0" w:oddVBand="0" w:evenVBand="1" w:oddHBand="0" w:evenHBand="0" w:firstRowFirstColumn="0" w:firstRowLastColumn="0" w:lastRowFirstColumn="0" w:lastRowLastColumn="0"/>
            <w:tcW w:w="799" w:type="dxa"/>
            <w:shd w:val="clear" w:color="auto" w:fill="auto"/>
          </w:tcPr>
          <w:p w14:paraId="65D67985" w14:textId="77777777" w:rsidR="00DF1252" w:rsidRPr="0027161B" w:rsidRDefault="00DF1252" w:rsidP="004E6E34">
            <w:pPr>
              <w:pStyle w:val="DZVir"/>
              <w:jc w:val="right"/>
              <w:rPr>
                <w:sz w:val="18"/>
                <w:szCs w:val="18"/>
              </w:rPr>
            </w:pPr>
            <w:r w:rsidRPr="0027161B">
              <w:rPr>
                <w:sz w:val="18"/>
                <w:szCs w:val="18"/>
              </w:rPr>
              <w:t>30.057</w:t>
            </w:r>
          </w:p>
        </w:tc>
        <w:tc>
          <w:tcPr>
            <w:cnfStyle w:val="000010000000" w:firstRow="0" w:lastRow="0" w:firstColumn="0" w:lastColumn="0" w:oddVBand="1" w:evenVBand="0" w:oddHBand="0" w:evenHBand="0" w:firstRowFirstColumn="0" w:firstRowLastColumn="0" w:lastRowFirstColumn="0" w:lastRowLastColumn="0"/>
            <w:tcW w:w="799" w:type="dxa"/>
            <w:shd w:val="clear" w:color="auto" w:fill="auto"/>
          </w:tcPr>
          <w:p w14:paraId="7000DAC0" w14:textId="77777777" w:rsidR="00DF1252" w:rsidRPr="0027161B" w:rsidRDefault="00DF1252" w:rsidP="004E6E34">
            <w:pPr>
              <w:pStyle w:val="DZVir"/>
              <w:jc w:val="right"/>
              <w:rPr>
                <w:sz w:val="18"/>
                <w:szCs w:val="18"/>
              </w:rPr>
            </w:pPr>
            <w:r w:rsidRPr="0027161B">
              <w:rPr>
                <w:sz w:val="18"/>
                <w:szCs w:val="18"/>
              </w:rPr>
              <w:t>19.139</w:t>
            </w:r>
          </w:p>
        </w:tc>
        <w:tc>
          <w:tcPr>
            <w:cnfStyle w:val="000100000000" w:firstRow="0" w:lastRow="0" w:firstColumn="0" w:lastColumn="1" w:oddVBand="0" w:evenVBand="0" w:oddHBand="0" w:evenHBand="0" w:firstRowFirstColumn="0" w:firstRowLastColumn="0" w:lastRowFirstColumn="0" w:lastRowLastColumn="0"/>
            <w:tcW w:w="799" w:type="dxa"/>
            <w:shd w:val="clear" w:color="auto" w:fill="auto"/>
          </w:tcPr>
          <w:p w14:paraId="6BD4E61E" w14:textId="77777777" w:rsidR="00DF1252" w:rsidRPr="0027161B" w:rsidRDefault="00DF1252" w:rsidP="004E6E34">
            <w:pPr>
              <w:pStyle w:val="DZVir"/>
              <w:jc w:val="right"/>
              <w:rPr>
                <w:sz w:val="18"/>
                <w:szCs w:val="18"/>
              </w:rPr>
            </w:pPr>
            <w:r w:rsidRPr="0027161B">
              <w:rPr>
                <w:sz w:val="18"/>
                <w:szCs w:val="18"/>
              </w:rPr>
              <w:t>25.937</w:t>
            </w:r>
          </w:p>
        </w:tc>
      </w:tr>
      <w:tr w:rsidR="00DF1252" w:rsidRPr="00052ECE" w14:paraId="7E7F6CDD"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9070" w:type="dxa"/>
            <w:gridSpan w:val="7"/>
          </w:tcPr>
          <w:p w14:paraId="78B2CD6B" w14:textId="77777777" w:rsidR="00DF1252" w:rsidRPr="00052ECE" w:rsidRDefault="00DF1252" w:rsidP="001F3514">
            <w:pPr>
              <w:pStyle w:val="DZVir"/>
              <w:spacing w:before="0"/>
              <w:jc w:val="left"/>
              <w:rPr>
                <w:b/>
                <w:bCs/>
                <w:sz w:val="18"/>
                <w:szCs w:val="18"/>
                <w:lang w:val="x-none"/>
              </w:rPr>
            </w:pPr>
            <w:r w:rsidRPr="00052ECE">
              <w:rPr>
                <w:b/>
                <w:bCs/>
                <w:sz w:val="18"/>
                <w:szCs w:val="18"/>
                <w:lang w:val="x-none"/>
              </w:rPr>
              <w:t>STROŠKI DELA</w:t>
            </w:r>
          </w:p>
        </w:tc>
      </w:tr>
      <w:tr w:rsidR="00DF1252" w:rsidRPr="00052ECE" w14:paraId="6C5F94A6"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tcPr>
          <w:p w14:paraId="7980692C" w14:textId="77777777" w:rsidR="00DF1252" w:rsidRPr="00052ECE" w:rsidRDefault="00DF1252" w:rsidP="001F3514">
            <w:pPr>
              <w:pStyle w:val="DZVir"/>
              <w:spacing w:before="0"/>
              <w:jc w:val="left"/>
              <w:rPr>
                <w:sz w:val="18"/>
                <w:szCs w:val="18"/>
                <w:lang w:val="x-none"/>
              </w:rPr>
            </w:pPr>
            <w:r w:rsidRPr="00052ECE">
              <w:rPr>
                <w:sz w:val="18"/>
                <w:szCs w:val="18"/>
                <w:lang w:val="x-none"/>
              </w:rPr>
              <w:t>Stroški dela/zaposlenega (v EUR)</w:t>
            </w:r>
          </w:p>
        </w:tc>
        <w:tc>
          <w:tcPr>
            <w:cnfStyle w:val="000010000000" w:firstRow="0" w:lastRow="0" w:firstColumn="0" w:lastColumn="0" w:oddVBand="1" w:evenVBand="0" w:oddHBand="0" w:evenHBand="0" w:firstRowFirstColumn="0" w:firstRowLastColumn="0" w:lastRowFirstColumn="0" w:lastRowLastColumn="0"/>
            <w:tcW w:w="797" w:type="dxa"/>
          </w:tcPr>
          <w:p w14:paraId="4E4FA5CF" w14:textId="77777777" w:rsidR="00DF1252" w:rsidRPr="00052ECE" w:rsidRDefault="00DF1252" w:rsidP="004E6E34">
            <w:pPr>
              <w:pStyle w:val="DZVir"/>
              <w:jc w:val="right"/>
              <w:rPr>
                <w:sz w:val="18"/>
                <w:szCs w:val="18"/>
              </w:rPr>
            </w:pPr>
            <w:r w:rsidRPr="00052ECE">
              <w:rPr>
                <w:sz w:val="18"/>
                <w:szCs w:val="18"/>
              </w:rPr>
              <w:t>16.990</w:t>
            </w:r>
          </w:p>
        </w:tc>
        <w:tc>
          <w:tcPr>
            <w:cnfStyle w:val="000001000000" w:firstRow="0" w:lastRow="0" w:firstColumn="0" w:lastColumn="0" w:oddVBand="0" w:evenVBand="1" w:oddHBand="0" w:evenHBand="0" w:firstRowFirstColumn="0" w:firstRowLastColumn="0" w:lastRowFirstColumn="0" w:lastRowLastColumn="0"/>
            <w:tcW w:w="799" w:type="dxa"/>
          </w:tcPr>
          <w:p w14:paraId="6098D488" w14:textId="77777777" w:rsidR="00DF1252" w:rsidRPr="00052ECE" w:rsidRDefault="00DF1252" w:rsidP="004E6E34">
            <w:pPr>
              <w:pStyle w:val="DZVir"/>
              <w:jc w:val="right"/>
              <w:rPr>
                <w:sz w:val="18"/>
                <w:szCs w:val="18"/>
              </w:rPr>
            </w:pPr>
            <w:r w:rsidRPr="00052ECE">
              <w:rPr>
                <w:sz w:val="18"/>
                <w:szCs w:val="18"/>
              </w:rPr>
              <w:t>17.927</w:t>
            </w:r>
          </w:p>
        </w:tc>
        <w:tc>
          <w:tcPr>
            <w:cnfStyle w:val="000010000000" w:firstRow="0" w:lastRow="0" w:firstColumn="0" w:lastColumn="0" w:oddVBand="1" w:evenVBand="0" w:oddHBand="0" w:evenHBand="0" w:firstRowFirstColumn="0" w:firstRowLastColumn="0" w:lastRowFirstColumn="0" w:lastRowLastColumn="0"/>
            <w:tcW w:w="798" w:type="dxa"/>
          </w:tcPr>
          <w:p w14:paraId="621E598B" w14:textId="77777777" w:rsidR="00DF1252" w:rsidRPr="00052ECE" w:rsidRDefault="00DF1252" w:rsidP="004E6E34">
            <w:pPr>
              <w:pStyle w:val="DZVir"/>
              <w:jc w:val="right"/>
              <w:rPr>
                <w:sz w:val="18"/>
                <w:szCs w:val="18"/>
              </w:rPr>
            </w:pPr>
            <w:r w:rsidRPr="00052ECE">
              <w:rPr>
                <w:sz w:val="18"/>
                <w:szCs w:val="18"/>
              </w:rPr>
              <w:t>18.804</w:t>
            </w:r>
          </w:p>
        </w:tc>
        <w:tc>
          <w:tcPr>
            <w:cnfStyle w:val="000001000000" w:firstRow="0" w:lastRow="0" w:firstColumn="0" w:lastColumn="0" w:oddVBand="0" w:evenVBand="1" w:oddHBand="0" w:evenHBand="0" w:firstRowFirstColumn="0" w:firstRowLastColumn="0" w:lastRowFirstColumn="0" w:lastRowLastColumn="0"/>
            <w:tcW w:w="799" w:type="dxa"/>
          </w:tcPr>
          <w:p w14:paraId="415E182A" w14:textId="77777777" w:rsidR="00DF1252" w:rsidRPr="00052ECE" w:rsidRDefault="00DF1252" w:rsidP="004E6E34">
            <w:pPr>
              <w:pStyle w:val="DZVir"/>
              <w:jc w:val="right"/>
              <w:rPr>
                <w:sz w:val="18"/>
                <w:szCs w:val="18"/>
              </w:rPr>
            </w:pPr>
            <w:r>
              <w:rPr>
                <w:sz w:val="18"/>
                <w:szCs w:val="18"/>
              </w:rPr>
              <w:t>21.323</w:t>
            </w:r>
          </w:p>
        </w:tc>
        <w:tc>
          <w:tcPr>
            <w:cnfStyle w:val="000010000000" w:firstRow="0" w:lastRow="0" w:firstColumn="0" w:lastColumn="0" w:oddVBand="1" w:evenVBand="0" w:oddHBand="0" w:evenHBand="0" w:firstRowFirstColumn="0" w:firstRowLastColumn="0" w:lastRowFirstColumn="0" w:lastRowLastColumn="0"/>
            <w:tcW w:w="799" w:type="dxa"/>
          </w:tcPr>
          <w:p w14:paraId="51D1E7F6" w14:textId="77777777" w:rsidR="00DF1252" w:rsidRPr="00052ECE" w:rsidRDefault="00DF1252" w:rsidP="004E6E34">
            <w:pPr>
              <w:pStyle w:val="DZVir"/>
              <w:jc w:val="right"/>
              <w:rPr>
                <w:sz w:val="18"/>
                <w:szCs w:val="18"/>
              </w:rPr>
            </w:pPr>
            <w:r>
              <w:rPr>
                <w:sz w:val="18"/>
                <w:szCs w:val="18"/>
              </w:rPr>
              <w:t>20.970</w:t>
            </w:r>
          </w:p>
        </w:tc>
        <w:tc>
          <w:tcPr>
            <w:cnfStyle w:val="000100000000" w:firstRow="0" w:lastRow="0" w:firstColumn="0" w:lastColumn="1" w:oddVBand="0" w:evenVBand="0" w:oddHBand="0" w:evenHBand="0" w:firstRowFirstColumn="0" w:firstRowLastColumn="0" w:lastRowFirstColumn="0" w:lastRowLastColumn="0"/>
            <w:tcW w:w="799" w:type="dxa"/>
          </w:tcPr>
          <w:p w14:paraId="7CBCA700" w14:textId="77777777" w:rsidR="00DF1252" w:rsidRDefault="00DF1252" w:rsidP="004E6E34">
            <w:pPr>
              <w:pStyle w:val="DZVir"/>
              <w:jc w:val="right"/>
              <w:rPr>
                <w:sz w:val="18"/>
                <w:szCs w:val="18"/>
              </w:rPr>
            </w:pPr>
            <w:r>
              <w:rPr>
                <w:sz w:val="18"/>
                <w:szCs w:val="18"/>
              </w:rPr>
              <w:t>22.890</w:t>
            </w:r>
          </w:p>
        </w:tc>
      </w:tr>
      <w:tr w:rsidR="00DF1252" w:rsidRPr="00052ECE" w14:paraId="0BBA18DB"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tcPr>
          <w:p w14:paraId="29D682A4" w14:textId="77777777" w:rsidR="00DF1252" w:rsidRPr="00052ECE" w:rsidRDefault="00DF1252" w:rsidP="001F3514">
            <w:pPr>
              <w:pStyle w:val="DZVir"/>
              <w:spacing w:before="0"/>
              <w:jc w:val="left"/>
              <w:rPr>
                <w:sz w:val="18"/>
                <w:szCs w:val="18"/>
                <w:lang w:val="x-none"/>
              </w:rPr>
            </w:pPr>
            <w:r w:rsidRPr="00052ECE">
              <w:rPr>
                <w:sz w:val="18"/>
                <w:szCs w:val="18"/>
                <w:lang w:val="x-none"/>
              </w:rPr>
              <w:t>Delež stroškov dela v dodani vrednosti (v</w:t>
            </w:r>
            <w:r>
              <w:rPr>
                <w:sz w:val="18"/>
                <w:szCs w:val="18"/>
                <w:lang w:val="x-none"/>
              </w:rPr>
              <w:t> %</w:t>
            </w:r>
            <w:r w:rsidRPr="00052ECE">
              <w:rPr>
                <w:sz w:val="18"/>
                <w:szCs w:val="18"/>
                <w:lang w:val="x-none"/>
              </w:rPr>
              <w:t>)</w:t>
            </w:r>
          </w:p>
        </w:tc>
        <w:tc>
          <w:tcPr>
            <w:cnfStyle w:val="000010000000" w:firstRow="0" w:lastRow="0" w:firstColumn="0" w:lastColumn="0" w:oddVBand="1" w:evenVBand="0" w:oddHBand="0" w:evenHBand="0" w:firstRowFirstColumn="0" w:firstRowLastColumn="0" w:lastRowFirstColumn="0" w:lastRowLastColumn="0"/>
            <w:tcW w:w="797" w:type="dxa"/>
          </w:tcPr>
          <w:p w14:paraId="255E9B6E" w14:textId="77777777" w:rsidR="00DF1252" w:rsidRPr="00052ECE" w:rsidRDefault="00DF1252" w:rsidP="004E6E34">
            <w:pPr>
              <w:pStyle w:val="DZVir"/>
              <w:jc w:val="right"/>
              <w:rPr>
                <w:sz w:val="18"/>
                <w:szCs w:val="18"/>
              </w:rPr>
            </w:pPr>
            <w:r w:rsidRPr="00052ECE">
              <w:rPr>
                <w:sz w:val="18"/>
                <w:szCs w:val="18"/>
              </w:rPr>
              <w:t>70,6</w:t>
            </w:r>
          </w:p>
        </w:tc>
        <w:tc>
          <w:tcPr>
            <w:cnfStyle w:val="000001000000" w:firstRow="0" w:lastRow="0" w:firstColumn="0" w:lastColumn="0" w:oddVBand="0" w:evenVBand="1" w:oddHBand="0" w:evenHBand="0" w:firstRowFirstColumn="0" w:firstRowLastColumn="0" w:lastRowFirstColumn="0" w:lastRowLastColumn="0"/>
            <w:tcW w:w="799" w:type="dxa"/>
          </w:tcPr>
          <w:p w14:paraId="397D9A3C" w14:textId="77777777" w:rsidR="00DF1252" w:rsidRPr="00052ECE" w:rsidRDefault="00DF1252" w:rsidP="004E6E34">
            <w:pPr>
              <w:pStyle w:val="DZVir"/>
              <w:jc w:val="right"/>
              <w:rPr>
                <w:sz w:val="18"/>
                <w:szCs w:val="18"/>
              </w:rPr>
            </w:pPr>
            <w:r w:rsidRPr="00052ECE">
              <w:rPr>
                <w:sz w:val="18"/>
                <w:szCs w:val="18"/>
              </w:rPr>
              <w:t>75,7</w:t>
            </w:r>
          </w:p>
        </w:tc>
        <w:tc>
          <w:tcPr>
            <w:cnfStyle w:val="000010000000" w:firstRow="0" w:lastRow="0" w:firstColumn="0" w:lastColumn="0" w:oddVBand="1" w:evenVBand="0" w:oddHBand="0" w:evenHBand="0" w:firstRowFirstColumn="0" w:firstRowLastColumn="0" w:lastRowFirstColumn="0" w:lastRowLastColumn="0"/>
            <w:tcW w:w="798" w:type="dxa"/>
          </w:tcPr>
          <w:p w14:paraId="2292D062" w14:textId="77777777" w:rsidR="00DF1252" w:rsidRPr="00052ECE" w:rsidRDefault="00DF1252" w:rsidP="004E6E34">
            <w:pPr>
              <w:pStyle w:val="DZVir"/>
              <w:jc w:val="right"/>
              <w:rPr>
                <w:sz w:val="18"/>
                <w:szCs w:val="18"/>
              </w:rPr>
            </w:pPr>
            <w:r w:rsidRPr="00052ECE">
              <w:rPr>
                <w:sz w:val="18"/>
                <w:szCs w:val="18"/>
              </w:rPr>
              <w:t>70,6</w:t>
            </w:r>
          </w:p>
        </w:tc>
        <w:tc>
          <w:tcPr>
            <w:cnfStyle w:val="000001000000" w:firstRow="0" w:lastRow="0" w:firstColumn="0" w:lastColumn="0" w:oddVBand="0" w:evenVBand="1" w:oddHBand="0" w:evenHBand="0" w:firstRowFirstColumn="0" w:firstRowLastColumn="0" w:lastRowFirstColumn="0" w:lastRowLastColumn="0"/>
            <w:tcW w:w="799" w:type="dxa"/>
          </w:tcPr>
          <w:p w14:paraId="7550F83F" w14:textId="77777777" w:rsidR="00DF1252" w:rsidRPr="00052ECE" w:rsidRDefault="00DF1252" w:rsidP="004E6E34">
            <w:pPr>
              <w:pStyle w:val="DZVir"/>
              <w:jc w:val="right"/>
              <w:rPr>
                <w:sz w:val="18"/>
                <w:szCs w:val="18"/>
              </w:rPr>
            </w:pPr>
            <w:r>
              <w:rPr>
                <w:sz w:val="18"/>
                <w:szCs w:val="18"/>
              </w:rPr>
              <w:t>70,3</w:t>
            </w:r>
          </w:p>
        </w:tc>
        <w:tc>
          <w:tcPr>
            <w:cnfStyle w:val="000010000000" w:firstRow="0" w:lastRow="0" w:firstColumn="0" w:lastColumn="0" w:oddVBand="1" w:evenVBand="0" w:oddHBand="0" w:evenHBand="0" w:firstRowFirstColumn="0" w:firstRowLastColumn="0" w:lastRowFirstColumn="0" w:lastRowLastColumn="0"/>
            <w:tcW w:w="799" w:type="dxa"/>
          </w:tcPr>
          <w:p w14:paraId="3E506F04" w14:textId="77777777" w:rsidR="00DF1252" w:rsidRPr="00052ECE" w:rsidRDefault="00DF1252" w:rsidP="004E6E34">
            <w:pPr>
              <w:pStyle w:val="DZVir"/>
              <w:jc w:val="right"/>
              <w:rPr>
                <w:sz w:val="18"/>
                <w:szCs w:val="18"/>
              </w:rPr>
            </w:pPr>
            <w:r>
              <w:rPr>
                <w:sz w:val="18"/>
                <w:szCs w:val="18"/>
              </w:rPr>
              <w:t>88,1</w:t>
            </w:r>
          </w:p>
        </w:tc>
        <w:tc>
          <w:tcPr>
            <w:cnfStyle w:val="000100000000" w:firstRow="0" w:lastRow="0" w:firstColumn="0" w:lastColumn="1" w:oddVBand="0" w:evenVBand="0" w:oddHBand="0" w:evenHBand="0" w:firstRowFirstColumn="0" w:firstRowLastColumn="0" w:lastRowFirstColumn="0" w:lastRowLastColumn="0"/>
            <w:tcW w:w="799" w:type="dxa"/>
          </w:tcPr>
          <w:p w14:paraId="2EBFB61C" w14:textId="77777777" w:rsidR="00DF1252" w:rsidRDefault="00DF1252" w:rsidP="004E6E34">
            <w:pPr>
              <w:pStyle w:val="DZVir"/>
              <w:jc w:val="right"/>
              <w:rPr>
                <w:sz w:val="18"/>
                <w:szCs w:val="18"/>
              </w:rPr>
            </w:pPr>
            <w:r>
              <w:rPr>
                <w:sz w:val="18"/>
                <w:szCs w:val="18"/>
              </w:rPr>
              <w:t>70,4</w:t>
            </w:r>
          </w:p>
        </w:tc>
      </w:tr>
      <w:tr w:rsidR="00DF1252" w:rsidRPr="00052ECE" w14:paraId="3E440745"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9070" w:type="dxa"/>
            <w:gridSpan w:val="7"/>
          </w:tcPr>
          <w:p w14:paraId="7D584460" w14:textId="77777777" w:rsidR="00DF1252" w:rsidRPr="00052ECE" w:rsidRDefault="00DF1252" w:rsidP="001F3514">
            <w:pPr>
              <w:pStyle w:val="DZVir"/>
              <w:spacing w:before="0"/>
              <w:jc w:val="left"/>
              <w:rPr>
                <w:b/>
                <w:bCs/>
                <w:sz w:val="18"/>
                <w:szCs w:val="18"/>
                <w:lang w:val="x-none"/>
              </w:rPr>
            </w:pPr>
            <w:r w:rsidRPr="00052ECE">
              <w:rPr>
                <w:b/>
                <w:bCs/>
                <w:sz w:val="18"/>
                <w:szCs w:val="18"/>
                <w:lang w:val="x-none"/>
              </w:rPr>
              <w:t>FINANCIRANJE IN PLAČILNA SPOSOBNOST</w:t>
            </w:r>
          </w:p>
        </w:tc>
      </w:tr>
      <w:tr w:rsidR="00DF1252" w:rsidRPr="00052ECE" w14:paraId="67B8C0A9"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tcPr>
          <w:p w14:paraId="52D7A739" w14:textId="77777777" w:rsidR="00DF1252" w:rsidRPr="00052ECE" w:rsidRDefault="00DF1252" w:rsidP="001F3514">
            <w:pPr>
              <w:pStyle w:val="DZVir"/>
              <w:spacing w:before="0"/>
              <w:jc w:val="left"/>
              <w:rPr>
                <w:sz w:val="18"/>
                <w:szCs w:val="18"/>
                <w:lang w:val="x-none"/>
              </w:rPr>
            </w:pPr>
            <w:r w:rsidRPr="00052ECE">
              <w:rPr>
                <w:sz w:val="18"/>
                <w:szCs w:val="18"/>
                <w:lang w:val="x-none"/>
              </w:rPr>
              <w:t>Delež dolga v virih sredstev (v</w:t>
            </w:r>
            <w:r>
              <w:rPr>
                <w:sz w:val="18"/>
                <w:szCs w:val="18"/>
                <w:lang w:val="x-none"/>
              </w:rPr>
              <w:t> %</w:t>
            </w:r>
            <w:r w:rsidRPr="00052ECE">
              <w:rPr>
                <w:sz w:val="18"/>
                <w:szCs w:val="18"/>
                <w:lang w:val="x-none"/>
              </w:rPr>
              <w:t>)</w:t>
            </w:r>
          </w:p>
        </w:tc>
        <w:tc>
          <w:tcPr>
            <w:cnfStyle w:val="000010000000" w:firstRow="0" w:lastRow="0" w:firstColumn="0" w:lastColumn="0" w:oddVBand="1" w:evenVBand="0" w:oddHBand="0" w:evenHBand="0" w:firstRowFirstColumn="0" w:firstRowLastColumn="0" w:lastRowFirstColumn="0" w:lastRowLastColumn="0"/>
            <w:tcW w:w="797" w:type="dxa"/>
          </w:tcPr>
          <w:p w14:paraId="363728A6" w14:textId="77777777" w:rsidR="00DF1252" w:rsidRPr="00052ECE" w:rsidRDefault="00DF1252" w:rsidP="004E6E34">
            <w:pPr>
              <w:pStyle w:val="DZVir"/>
              <w:jc w:val="right"/>
              <w:rPr>
                <w:sz w:val="18"/>
                <w:szCs w:val="18"/>
              </w:rPr>
            </w:pPr>
            <w:r w:rsidRPr="00052ECE">
              <w:rPr>
                <w:sz w:val="18"/>
                <w:szCs w:val="18"/>
              </w:rPr>
              <w:t>58,0</w:t>
            </w:r>
          </w:p>
        </w:tc>
        <w:tc>
          <w:tcPr>
            <w:cnfStyle w:val="000001000000" w:firstRow="0" w:lastRow="0" w:firstColumn="0" w:lastColumn="0" w:oddVBand="0" w:evenVBand="1" w:oddHBand="0" w:evenHBand="0" w:firstRowFirstColumn="0" w:firstRowLastColumn="0" w:lastRowFirstColumn="0" w:lastRowLastColumn="0"/>
            <w:tcW w:w="799" w:type="dxa"/>
          </w:tcPr>
          <w:p w14:paraId="7D1F3434" w14:textId="77777777" w:rsidR="00DF1252" w:rsidRPr="00052ECE" w:rsidRDefault="00DF1252" w:rsidP="004E6E34">
            <w:pPr>
              <w:pStyle w:val="DZVir"/>
              <w:jc w:val="right"/>
              <w:rPr>
                <w:sz w:val="18"/>
                <w:szCs w:val="18"/>
              </w:rPr>
            </w:pPr>
            <w:r w:rsidRPr="00052ECE">
              <w:rPr>
                <w:sz w:val="18"/>
                <w:szCs w:val="18"/>
              </w:rPr>
              <w:t>63,6</w:t>
            </w:r>
          </w:p>
        </w:tc>
        <w:tc>
          <w:tcPr>
            <w:cnfStyle w:val="000010000000" w:firstRow="0" w:lastRow="0" w:firstColumn="0" w:lastColumn="0" w:oddVBand="1" w:evenVBand="0" w:oddHBand="0" w:evenHBand="0" w:firstRowFirstColumn="0" w:firstRowLastColumn="0" w:lastRowFirstColumn="0" w:lastRowLastColumn="0"/>
            <w:tcW w:w="798" w:type="dxa"/>
          </w:tcPr>
          <w:p w14:paraId="3122AF2B" w14:textId="77777777" w:rsidR="00DF1252" w:rsidRPr="00052ECE" w:rsidRDefault="00DF1252" w:rsidP="004E6E34">
            <w:pPr>
              <w:pStyle w:val="DZVir"/>
              <w:jc w:val="right"/>
              <w:rPr>
                <w:sz w:val="18"/>
                <w:szCs w:val="18"/>
              </w:rPr>
            </w:pPr>
            <w:r w:rsidRPr="00052ECE">
              <w:rPr>
                <w:sz w:val="18"/>
                <w:szCs w:val="18"/>
              </w:rPr>
              <w:t>61,0</w:t>
            </w:r>
          </w:p>
        </w:tc>
        <w:tc>
          <w:tcPr>
            <w:cnfStyle w:val="000001000000" w:firstRow="0" w:lastRow="0" w:firstColumn="0" w:lastColumn="0" w:oddVBand="0" w:evenVBand="1" w:oddHBand="0" w:evenHBand="0" w:firstRowFirstColumn="0" w:firstRowLastColumn="0" w:lastRowFirstColumn="0" w:lastRowLastColumn="0"/>
            <w:tcW w:w="799" w:type="dxa"/>
          </w:tcPr>
          <w:p w14:paraId="1AA6DD44" w14:textId="77777777" w:rsidR="00DF1252" w:rsidRPr="00052ECE" w:rsidRDefault="00DF1252" w:rsidP="004E6E34">
            <w:pPr>
              <w:pStyle w:val="DZVir"/>
              <w:jc w:val="right"/>
              <w:rPr>
                <w:sz w:val="18"/>
                <w:szCs w:val="18"/>
              </w:rPr>
            </w:pPr>
            <w:r>
              <w:rPr>
                <w:sz w:val="18"/>
                <w:szCs w:val="18"/>
              </w:rPr>
              <w:t>54,3</w:t>
            </w:r>
          </w:p>
        </w:tc>
        <w:tc>
          <w:tcPr>
            <w:cnfStyle w:val="000010000000" w:firstRow="0" w:lastRow="0" w:firstColumn="0" w:lastColumn="0" w:oddVBand="1" w:evenVBand="0" w:oddHBand="0" w:evenHBand="0" w:firstRowFirstColumn="0" w:firstRowLastColumn="0" w:lastRowFirstColumn="0" w:lastRowLastColumn="0"/>
            <w:tcW w:w="799" w:type="dxa"/>
          </w:tcPr>
          <w:p w14:paraId="0E83289D" w14:textId="77777777" w:rsidR="00DF1252" w:rsidRPr="00052ECE" w:rsidRDefault="00DF1252" w:rsidP="004E6E34">
            <w:pPr>
              <w:pStyle w:val="DZVir"/>
              <w:jc w:val="right"/>
              <w:rPr>
                <w:sz w:val="18"/>
                <w:szCs w:val="18"/>
              </w:rPr>
            </w:pPr>
            <w:r>
              <w:rPr>
                <w:sz w:val="18"/>
                <w:szCs w:val="18"/>
              </w:rPr>
              <w:t>57,1</w:t>
            </w:r>
          </w:p>
        </w:tc>
        <w:tc>
          <w:tcPr>
            <w:cnfStyle w:val="000100000000" w:firstRow="0" w:lastRow="0" w:firstColumn="0" w:lastColumn="1" w:oddVBand="0" w:evenVBand="0" w:oddHBand="0" w:evenHBand="0" w:firstRowFirstColumn="0" w:firstRowLastColumn="0" w:lastRowFirstColumn="0" w:lastRowLastColumn="0"/>
            <w:tcW w:w="799" w:type="dxa"/>
          </w:tcPr>
          <w:p w14:paraId="58B9B745" w14:textId="77777777" w:rsidR="00DF1252" w:rsidRDefault="00DF1252" w:rsidP="004E6E34">
            <w:pPr>
              <w:pStyle w:val="DZVir"/>
              <w:jc w:val="right"/>
              <w:rPr>
                <w:sz w:val="18"/>
                <w:szCs w:val="18"/>
              </w:rPr>
            </w:pPr>
            <w:r>
              <w:rPr>
                <w:sz w:val="18"/>
                <w:szCs w:val="18"/>
              </w:rPr>
              <w:t>57,9</w:t>
            </w:r>
          </w:p>
        </w:tc>
      </w:tr>
      <w:tr w:rsidR="00DF1252" w:rsidRPr="00052ECE" w14:paraId="20ADB139"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tcPr>
          <w:p w14:paraId="35C3F121" w14:textId="77777777" w:rsidR="00DF1252" w:rsidRPr="00052ECE" w:rsidRDefault="00DF1252" w:rsidP="001F3514">
            <w:pPr>
              <w:pStyle w:val="DZVir"/>
              <w:spacing w:before="0"/>
              <w:jc w:val="left"/>
              <w:rPr>
                <w:sz w:val="18"/>
                <w:szCs w:val="18"/>
                <w:lang w:val="x-none"/>
              </w:rPr>
            </w:pPr>
            <w:r w:rsidRPr="00052ECE">
              <w:rPr>
                <w:sz w:val="18"/>
                <w:szCs w:val="18"/>
                <w:lang w:val="x-none"/>
              </w:rPr>
              <w:t>Delež kratk. obveznosti v virih sredstev (v</w:t>
            </w:r>
            <w:r>
              <w:rPr>
                <w:sz w:val="18"/>
                <w:szCs w:val="18"/>
                <w:lang w:val="x-none"/>
              </w:rPr>
              <w:t> %</w:t>
            </w:r>
            <w:r w:rsidRPr="00052ECE">
              <w:rPr>
                <w:sz w:val="18"/>
                <w:szCs w:val="18"/>
                <w:lang w:val="x-none"/>
              </w:rPr>
              <w:t>)</w:t>
            </w:r>
          </w:p>
        </w:tc>
        <w:tc>
          <w:tcPr>
            <w:cnfStyle w:val="000010000000" w:firstRow="0" w:lastRow="0" w:firstColumn="0" w:lastColumn="0" w:oddVBand="1" w:evenVBand="0" w:oddHBand="0" w:evenHBand="0" w:firstRowFirstColumn="0" w:firstRowLastColumn="0" w:lastRowFirstColumn="0" w:lastRowLastColumn="0"/>
            <w:tcW w:w="797" w:type="dxa"/>
          </w:tcPr>
          <w:p w14:paraId="390661BF" w14:textId="77777777" w:rsidR="00DF1252" w:rsidRPr="00052ECE" w:rsidRDefault="00DF1252" w:rsidP="004E6E34">
            <w:pPr>
              <w:pStyle w:val="DZVir"/>
              <w:jc w:val="right"/>
              <w:rPr>
                <w:sz w:val="18"/>
                <w:szCs w:val="18"/>
              </w:rPr>
            </w:pPr>
            <w:r w:rsidRPr="00052ECE">
              <w:rPr>
                <w:sz w:val="18"/>
                <w:szCs w:val="18"/>
              </w:rPr>
              <w:t>26,4</w:t>
            </w:r>
          </w:p>
        </w:tc>
        <w:tc>
          <w:tcPr>
            <w:cnfStyle w:val="000001000000" w:firstRow="0" w:lastRow="0" w:firstColumn="0" w:lastColumn="0" w:oddVBand="0" w:evenVBand="1" w:oddHBand="0" w:evenHBand="0" w:firstRowFirstColumn="0" w:firstRowLastColumn="0" w:lastRowFirstColumn="0" w:lastRowLastColumn="0"/>
            <w:tcW w:w="799" w:type="dxa"/>
          </w:tcPr>
          <w:p w14:paraId="44E09F4C" w14:textId="77777777" w:rsidR="00DF1252" w:rsidRPr="00052ECE" w:rsidRDefault="00DF1252" w:rsidP="004E6E34">
            <w:pPr>
              <w:pStyle w:val="DZVir"/>
              <w:jc w:val="right"/>
              <w:rPr>
                <w:sz w:val="18"/>
                <w:szCs w:val="18"/>
              </w:rPr>
            </w:pPr>
            <w:r w:rsidRPr="00052ECE">
              <w:rPr>
                <w:sz w:val="18"/>
                <w:szCs w:val="18"/>
              </w:rPr>
              <w:t>30,1</w:t>
            </w:r>
          </w:p>
        </w:tc>
        <w:tc>
          <w:tcPr>
            <w:cnfStyle w:val="000010000000" w:firstRow="0" w:lastRow="0" w:firstColumn="0" w:lastColumn="0" w:oddVBand="1" w:evenVBand="0" w:oddHBand="0" w:evenHBand="0" w:firstRowFirstColumn="0" w:firstRowLastColumn="0" w:lastRowFirstColumn="0" w:lastRowLastColumn="0"/>
            <w:tcW w:w="798" w:type="dxa"/>
          </w:tcPr>
          <w:p w14:paraId="784C0850" w14:textId="77777777" w:rsidR="00DF1252" w:rsidRPr="00052ECE" w:rsidRDefault="00DF1252" w:rsidP="004E6E34">
            <w:pPr>
              <w:pStyle w:val="DZVir"/>
              <w:jc w:val="right"/>
              <w:rPr>
                <w:sz w:val="18"/>
                <w:szCs w:val="18"/>
              </w:rPr>
            </w:pPr>
            <w:r w:rsidRPr="00052ECE">
              <w:rPr>
                <w:sz w:val="18"/>
                <w:szCs w:val="18"/>
              </w:rPr>
              <w:t>29,3</w:t>
            </w:r>
          </w:p>
        </w:tc>
        <w:tc>
          <w:tcPr>
            <w:cnfStyle w:val="000001000000" w:firstRow="0" w:lastRow="0" w:firstColumn="0" w:lastColumn="0" w:oddVBand="0" w:evenVBand="1" w:oddHBand="0" w:evenHBand="0" w:firstRowFirstColumn="0" w:firstRowLastColumn="0" w:lastRowFirstColumn="0" w:lastRowLastColumn="0"/>
            <w:tcW w:w="799" w:type="dxa"/>
          </w:tcPr>
          <w:p w14:paraId="17E7DFDF" w14:textId="77777777" w:rsidR="00DF1252" w:rsidRPr="00052ECE" w:rsidRDefault="00DF1252" w:rsidP="004E6E34">
            <w:pPr>
              <w:pStyle w:val="DZVir"/>
              <w:jc w:val="right"/>
              <w:rPr>
                <w:sz w:val="18"/>
                <w:szCs w:val="18"/>
              </w:rPr>
            </w:pPr>
            <w:r>
              <w:rPr>
                <w:sz w:val="18"/>
                <w:szCs w:val="18"/>
              </w:rPr>
              <w:t>21,9</w:t>
            </w:r>
          </w:p>
        </w:tc>
        <w:tc>
          <w:tcPr>
            <w:cnfStyle w:val="000010000000" w:firstRow="0" w:lastRow="0" w:firstColumn="0" w:lastColumn="0" w:oddVBand="1" w:evenVBand="0" w:oddHBand="0" w:evenHBand="0" w:firstRowFirstColumn="0" w:firstRowLastColumn="0" w:lastRowFirstColumn="0" w:lastRowLastColumn="0"/>
            <w:tcW w:w="799" w:type="dxa"/>
          </w:tcPr>
          <w:p w14:paraId="35843CC3" w14:textId="77777777" w:rsidR="00DF1252" w:rsidRPr="00052ECE" w:rsidRDefault="00DF1252" w:rsidP="004E6E34">
            <w:pPr>
              <w:pStyle w:val="DZVir"/>
              <w:jc w:val="right"/>
              <w:rPr>
                <w:sz w:val="18"/>
                <w:szCs w:val="18"/>
              </w:rPr>
            </w:pPr>
            <w:r>
              <w:rPr>
                <w:sz w:val="18"/>
                <w:szCs w:val="18"/>
              </w:rPr>
              <w:t>20,4</w:t>
            </w:r>
          </w:p>
        </w:tc>
        <w:tc>
          <w:tcPr>
            <w:cnfStyle w:val="000100000000" w:firstRow="0" w:lastRow="0" w:firstColumn="0" w:lastColumn="1" w:oddVBand="0" w:evenVBand="0" w:oddHBand="0" w:evenHBand="0" w:firstRowFirstColumn="0" w:firstRowLastColumn="0" w:lastRowFirstColumn="0" w:lastRowLastColumn="0"/>
            <w:tcW w:w="799" w:type="dxa"/>
          </w:tcPr>
          <w:p w14:paraId="2D1BDB02" w14:textId="77777777" w:rsidR="00DF1252" w:rsidRDefault="00DF1252" w:rsidP="004E6E34">
            <w:pPr>
              <w:pStyle w:val="DZVir"/>
              <w:jc w:val="right"/>
              <w:rPr>
                <w:sz w:val="18"/>
                <w:szCs w:val="18"/>
              </w:rPr>
            </w:pPr>
            <w:r>
              <w:rPr>
                <w:sz w:val="18"/>
                <w:szCs w:val="18"/>
              </w:rPr>
              <w:t>22,1</w:t>
            </w:r>
          </w:p>
        </w:tc>
      </w:tr>
      <w:tr w:rsidR="00DF1252" w:rsidRPr="00052ECE" w14:paraId="35D9536C"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tcPr>
          <w:p w14:paraId="427494D9" w14:textId="77777777" w:rsidR="00DF1252" w:rsidRPr="00052ECE" w:rsidRDefault="00DF1252" w:rsidP="001F3514">
            <w:pPr>
              <w:pStyle w:val="DZVir"/>
              <w:spacing w:before="0"/>
              <w:jc w:val="left"/>
              <w:rPr>
                <w:sz w:val="18"/>
                <w:szCs w:val="18"/>
                <w:lang w:val="x-none"/>
              </w:rPr>
            </w:pPr>
            <w:r w:rsidRPr="00052ECE">
              <w:rPr>
                <w:sz w:val="18"/>
                <w:szCs w:val="18"/>
                <w:lang w:val="x-none"/>
              </w:rPr>
              <w:t>Kapitalska pokritost dolg. sredstev (v</w:t>
            </w:r>
            <w:r>
              <w:rPr>
                <w:sz w:val="18"/>
                <w:szCs w:val="18"/>
                <w:lang w:val="x-none"/>
              </w:rPr>
              <w:t> %</w:t>
            </w:r>
            <w:r w:rsidRPr="00052ECE">
              <w:rPr>
                <w:sz w:val="18"/>
                <w:szCs w:val="18"/>
                <w:lang w:val="x-none"/>
              </w:rPr>
              <w:t>)</w:t>
            </w:r>
          </w:p>
        </w:tc>
        <w:tc>
          <w:tcPr>
            <w:cnfStyle w:val="000010000000" w:firstRow="0" w:lastRow="0" w:firstColumn="0" w:lastColumn="0" w:oddVBand="1" w:evenVBand="0" w:oddHBand="0" w:evenHBand="0" w:firstRowFirstColumn="0" w:firstRowLastColumn="0" w:lastRowFirstColumn="0" w:lastRowLastColumn="0"/>
            <w:tcW w:w="797" w:type="dxa"/>
          </w:tcPr>
          <w:p w14:paraId="0D7F2B11" w14:textId="77777777" w:rsidR="00DF1252" w:rsidRPr="00052ECE" w:rsidRDefault="00DF1252" w:rsidP="004E6E34">
            <w:pPr>
              <w:pStyle w:val="DZVir"/>
              <w:jc w:val="right"/>
              <w:rPr>
                <w:sz w:val="18"/>
                <w:szCs w:val="18"/>
              </w:rPr>
            </w:pPr>
            <w:r w:rsidRPr="00052ECE">
              <w:rPr>
                <w:sz w:val="18"/>
                <w:szCs w:val="18"/>
              </w:rPr>
              <w:t>50,6</w:t>
            </w:r>
          </w:p>
        </w:tc>
        <w:tc>
          <w:tcPr>
            <w:cnfStyle w:val="000001000000" w:firstRow="0" w:lastRow="0" w:firstColumn="0" w:lastColumn="0" w:oddVBand="0" w:evenVBand="1" w:oddHBand="0" w:evenHBand="0" w:firstRowFirstColumn="0" w:firstRowLastColumn="0" w:lastRowFirstColumn="0" w:lastRowLastColumn="0"/>
            <w:tcW w:w="799" w:type="dxa"/>
          </w:tcPr>
          <w:p w14:paraId="62A3E3AC" w14:textId="77777777" w:rsidR="00DF1252" w:rsidRPr="00052ECE" w:rsidRDefault="00DF1252" w:rsidP="004E6E34">
            <w:pPr>
              <w:pStyle w:val="DZVir"/>
              <w:jc w:val="right"/>
              <w:rPr>
                <w:sz w:val="18"/>
                <w:szCs w:val="18"/>
              </w:rPr>
            </w:pPr>
            <w:r w:rsidRPr="00052ECE">
              <w:rPr>
                <w:sz w:val="18"/>
                <w:szCs w:val="18"/>
              </w:rPr>
              <w:t>42,3</w:t>
            </w:r>
          </w:p>
        </w:tc>
        <w:tc>
          <w:tcPr>
            <w:cnfStyle w:val="000010000000" w:firstRow="0" w:lastRow="0" w:firstColumn="0" w:lastColumn="0" w:oddVBand="1" w:evenVBand="0" w:oddHBand="0" w:evenHBand="0" w:firstRowFirstColumn="0" w:firstRowLastColumn="0" w:lastRowFirstColumn="0" w:lastRowLastColumn="0"/>
            <w:tcW w:w="798" w:type="dxa"/>
          </w:tcPr>
          <w:p w14:paraId="446215AD" w14:textId="77777777" w:rsidR="00DF1252" w:rsidRPr="00052ECE" w:rsidRDefault="00DF1252" w:rsidP="004E6E34">
            <w:pPr>
              <w:pStyle w:val="DZVir"/>
              <w:jc w:val="right"/>
              <w:rPr>
                <w:sz w:val="18"/>
                <w:szCs w:val="18"/>
              </w:rPr>
            </w:pPr>
            <w:r w:rsidRPr="00052ECE">
              <w:rPr>
                <w:sz w:val="18"/>
                <w:szCs w:val="18"/>
              </w:rPr>
              <w:t>46,9</w:t>
            </w:r>
          </w:p>
        </w:tc>
        <w:tc>
          <w:tcPr>
            <w:cnfStyle w:val="000001000000" w:firstRow="0" w:lastRow="0" w:firstColumn="0" w:lastColumn="0" w:oddVBand="0" w:evenVBand="1" w:oddHBand="0" w:evenHBand="0" w:firstRowFirstColumn="0" w:firstRowLastColumn="0" w:lastRowFirstColumn="0" w:lastRowLastColumn="0"/>
            <w:tcW w:w="799" w:type="dxa"/>
          </w:tcPr>
          <w:p w14:paraId="01E65FAC" w14:textId="77777777" w:rsidR="00DF1252" w:rsidRPr="00052ECE" w:rsidRDefault="00DF1252" w:rsidP="004E6E34">
            <w:pPr>
              <w:pStyle w:val="DZVir"/>
              <w:jc w:val="right"/>
              <w:rPr>
                <w:sz w:val="18"/>
                <w:szCs w:val="18"/>
              </w:rPr>
            </w:pPr>
            <w:r>
              <w:rPr>
                <w:sz w:val="18"/>
                <w:szCs w:val="18"/>
              </w:rPr>
              <w:t>56,7</w:t>
            </w:r>
          </w:p>
        </w:tc>
        <w:tc>
          <w:tcPr>
            <w:cnfStyle w:val="000010000000" w:firstRow="0" w:lastRow="0" w:firstColumn="0" w:lastColumn="0" w:oddVBand="1" w:evenVBand="0" w:oddHBand="0" w:evenHBand="0" w:firstRowFirstColumn="0" w:firstRowLastColumn="0" w:lastRowFirstColumn="0" w:lastRowLastColumn="0"/>
            <w:tcW w:w="799" w:type="dxa"/>
          </w:tcPr>
          <w:p w14:paraId="7DF10A72" w14:textId="77777777" w:rsidR="00DF1252" w:rsidRPr="00052ECE" w:rsidRDefault="00DF1252" w:rsidP="004E6E34">
            <w:pPr>
              <w:pStyle w:val="DZVir"/>
              <w:jc w:val="right"/>
              <w:rPr>
                <w:sz w:val="18"/>
                <w:szCs w:val="18"/>
              </w:rPr>
            </w:pPr>
            <w:r>
              <w:rPr>
                <w:sz w:val="18"/>
                <w:szCs w:val="18"/>
              </w:rPr>
              <w:t>51,8</w:t>
            </w:r>
          </w:p>
        </w:tc>
        <w:tc>
          <w:tcPr>
            <w:cnfStyle w:val="000100000000" w:firstRow="0" w:lastRow="0" w:firstColumn="0" w:lastColumn="1" w:oddVBand="0" w:evenVBand="0" w:oddHBand="0" w:evenHBand="0" w:firstRowFirstColumn="0" w:firstRowLastColumn="0" w:lastRowFirstColumn="0" w:lastRowLastColumn="0"/>
            <w:tcW w:w="799" w:type="dxa"/>
          </w:tcPr>
          <w:p w14:paraId="232AA3C4" w14:textId="77777777" w:rsidR="00DF1252" w:rsidRDefault="00DF1252" w:rsidP="004E6E34">
            <w:pPr>
              <w:pStyle w:val="DZVir"/>
              <w:jc w:val="right"/>
              <w:rPr>
                <w:sz w:val="18"/>
                <w:szCs w:val="18"/>
              </w:rPr>
            </w:pPr>
            <w:r>
              <w:rPr>
                <w:sz w:val="18"/>
                <w:szCs w:val="18"/>
              </w:rPr>
              <w:t>53,2</w:t>
            </w:r>
          </w:p>
        </w:tc>
      </w:tr>
      <w:tr w:rsidR="00DF1252" w:rsidRPr="00052ECE" w14:paraId="78EDDF8D"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tcPr>
          <w:p w14:paraId="6D621911" w14:textId="77777777" w:rsidR="00DF1252" w:rsidRPr="00052ECE" w:rsidRDefault="00DF1252" w:rsidP="001F3514">
            <w:pPr>
              <w:pStyle w:val="DZVir"/>
              <w:spacing w:before="0"/>
              <w:jc w:val="left"/>
              <w:rPr>
                <w:sz w:val="18"/>
                <w:szCs w:val="18"/>
                <w:lang w:val="x-none"/>
              </w:rPr>
            </w:pPr>
            <w:r w:rsidRPr="00052ECE">
              <w:rPr>
                <w:sz w:val="18"/>
                <w:szCs w:val="18"/>
                <w:lang w:val="x-none"/>
              </w:rPr>
              <w:t>Dolg. pokritost dolg. sredstev in zalog (v</w:t>
            </w:r>
            <w:r>
              <w:rPr>
                <w:sz w:val="18"/>
                <w:szCs w:val="18"/>
                <w:lang w:val="x-none"/>
              </w:rPr>
              <w:t> %</w:t>
            </w:r>
            <w:r w:rsidRPr="00052ECE">
              <w:rPr>
                <w:sz w:val="18"/>
                <w:szCs w:val="18"/>
                <w:lang w:val="x-none"/>
              </w:rPr>
              <w:t>)</w:t>
            </w:r>
          </w:p>
        </w:tc>
        <w:tc>
          <w:tcPr>
            <w:cnfStyle w:val="000010000000" w:firstRow="0" w:lastRow="0" w:firstColumn="0" w:lastColumn="0" w:oddVBand="1" w:evenVBand="0" w:oddHBand="0" w:evenHBand="0" w:firstRowFirstColumn="0" w:firstRowLastColumn="0" w:lastRowFirstColumn="0" w:lastRowLastColumn="0"/>
            <w:tcW w:w="797" w:type="dxa"/>
          </w:tcPr>
          <w:p w14:paraId="6768A246" w14:textId="77777777" w:rsidR="00DF1252" w:rsidRPr="00052ECE" w:rsidRDefault="00DF1252" w:rsidP="004E6E34">
            <w:pPr>
              <w:pStyle w:val="DZVir"/>
              <w:jc w:val="right"/>
              <w:rPr>
                <w:sz w:val="18"/>
                <w:szCs w:val="18"/>
              </w:rPr>
            </w:pPr>
            <w:r w:rsidRPr="00052ECE">
              <w:rPr>
                <w:sz w:val="18"/>
                <w:szCs w:val="18"/>
              </w:rPr>
              <w:t>86,2</w:t>
            </w:r>
          </w:p>
        </w:tc>
        <w:tc>
          <w:tcPr>
            <w:cnfStyle w:val="000001000000" w:firstRow="0" w:lastRow="0" w:firstColumn="0" w:lastColumn="0" w:oddVBand="0" w:evenVBand="1" w:oddHBand="0" w:evenHBand="0" w:firstRowFirstColumn="0" w:firstRowLastColumn="0" w:lastRowFirstColumn="0" w:lastRowLastColumn="0"/>
            <w:tcW w:w="799" w:type="dxa"/>
          </w:tcPr>
          <w:p w14:paraId="3426566F" w14:textId="77777777" w:rsidR="00DF1252" w:rsidRPr="00052ECE" w:rsidRDefault="00DF1252" w:rsidP="004E6E34">
            <w:pPr>
              <w:pStyle w:val="DZVir"/>
              <w:jc w:val="right"/>
              <w:rPr>
                <w:sz w:val="18"/>
                <w:szCs w:val="18"/>
              </w:rPr>
            </w:pPr>
            <w:r w:rsidRPr="00052ECE">
              <w:rPr>
                <w:sz w:val="18"/>
                <w:szCs w:val="18"/>
              </w:rPr>
              <w:t>79,5</w:t>
            </w:r>
          </w:p>
        </w:tc>
        <w:tc>
          <w:tcPr>
            <w:cnfStyle w:val="000010000000" w:firstRow="0" w:lastRow="0" w:firstColumn="0" w:lastColumn="0" w:oddVBand="1" w:evenVBand="0" w:oddHBand="0" w:evenHBand="0" w:firstRowFirstColumn="0" w:firstRowLastColumn="0" w:lastRowFirstColumn="0" w:lastRowLastColumn="0"/>
            <w:tcW w:w="798" w:type="dxa"/>
          </w:tcPr>
          <w:p w14:paraId="3DCEB598" w14:textId="77777777" w:rsidR="00DF1252" w:rsidRPr="00052ECE" w:rsidRDefault="00DF1252" w:rsidP="004E6E34">
            <w:pPr>
              <w:pStyle w:val="DZVir"/>
              <w:jc w:val="right"/>
              <w:rPr>
                <w:sz w:val="18"/>
                <w:szCs w:val="18"/>
              </w:rPr>
            </w:pPr>
            <w:r w:rsidRPr="00052ECE">
              <w:rPr>
                <w:sz w:val="18"/>
                <w:szCs w:val="18"/>
              </w:rPr>
              <w:t>83,3</w:t>
            </w:r>
          </w:p>
        </w:tc>
        <w:tc>
          <w:tcPr>
            <w:cnfStyle w:val="000001000000" w:firstRow="0" w:lastRow="0" w:firstColumn="0" w:lastColumn="0" w:oddVBand="0" w:evenVBand="1" w:oddHBand="0" w:evenHBand="0" w:firstRowFirstColumn="0" w:firstRowLastColumn="0" w:lastRowFirstColumn="0" w:lastRowLastColumn="0"/>
            <w:tcW w:w="799" w:type="dxa"/>
          </w:tcPr>
          <w:p w14:paraId="3E1956D2" w14:textId="77777777" w:rsidR="00DF1252" w:rsidRPr="00052ECE" w:rsidRDefault="00DF1252" w:rsidP="004E6E34">
            <w:pPr>
              <w:pStyle w:val="DZVir"/>
              <w:jc w:val="right"/>
              <w:rPr>
                <w:sz w:val="18"/>
                <w:szCs w:val="18"/>
              </w:rPr>
            </w:pPr>
            <w:r>
              <w:rPr>
                <w:sz w:val="18"/>
                <w:szCs w:val="18"/>
              </w:rPr>
              <w:t>94,8</w:t>
            </w:r>
          </w:p>
        </w:tc>
        <w:tc>
          <w:tcPr>
            <w:cnfStyle w:val="000010000000" w:firstRow="0" w:lastRow="0" w:firstColumn="0" w:lastColumn="0" w:oddVBand="1" w:evenVBand="0" w:oddHBand="0" w:evenHBand="0" w:firstRowFirstColumn="0" w:firstRowLastColumn="0" w:lastRowFirstColumn="0" w:lastRowLastColumn="0"/>
            <w:tcW w:w="799" w:type="dxa"/>
          </w:tcPr>
          <w:p w14:paraId="6D247E84" w14:textId="77777777" w:rsidR="00DF1252" w:rsidRPr="00052ECE" w:rsidRDefault="00DF1252" w:rsidP="004E6E34">
            <w:pPr>
              <w:pStyle w:val="DZVir"/>
              <w:jc w:val="right"/>
              <w:rPr>
                <w:sz w:val="18"/>
                <w:szCs w:val="18"/>
              </w:rPr>
            </w:pPr>
            <w:r>
              <w:rPr>
                <w:sz w:val="18"/>
                <w:szCs w:val="18"/>
              </w:rPr>
              <w:t>94,2</w:t>
            </w:r>
          </w:p>
        </w:tc>
        <w:tc>
          <w:tcPr>
            <w:cnfStyle w:val="000100000000" w:firstRow="0" w:lastRow="0" w:firstColumn="0" w:lastColumn="1" w:oddVBand="0" w:evenVBand="0" w:oddHBand="0" w:evenHBand="0" w:firstRowFirstColumn="0" w:firstRowLastColumn="0" w:lastRowFirstColumn="0" w:lastRowLastColumn="0"/>
            <w:tcW w:w="799" w:type="dxa"/>
          </w:tcPr>
          <w:p w14:paraId="2C16920E" w14:textId="77777777" w:rsidR="00DF1252" w:rsidRDefault="00DF1252" w:rsidP="004E6E34">
            <w:pPr>
              <w:pStyle w:val="DZVir"/>
              <w:jc w:val="right"/>
              <w:rPr>
                <w:sz w:val="18"/>
                <w:szCs w:val="18"/>
              </w:rPr>
            </w:pPr>
            <w:r>
              <w:rPr>
                <w:sz w:val="18"/>
                <w:szCs w:val="18"/>
              </w:rPr>
              <w:t>95,8</w:t>
            </w:r>
          </w:p>
        </w:tc>
      </w:tr>
      <w:tr w:rsidR="00DF1252" w:rsidRPr="00052ECE" w14:paraId="766BF6F6"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9070" w:type="dxa"/>
            <w:gridSpan w:val="7"/>
          </w:tcPr>
          <w:p w14:paraId="58A61477" w14:textId="77777777" w:rsidR="00DF1252" w:rsidRPr="00052ECE" w:rsidRDefault="00DF1252" w:rsidP="001F3514">
            <w:pPr>
              <w:pStyle w:val="DZVir"/>
              <w:spacing w:before="0"/>
              <w:jc w:val="left"/>
              <w:rPr>
                <w:b/>
                <w:bCs/>
                <w:sz w:val="18"/>
                <w:szCs w:val="18"/>
                <w:lang w:val="x-none"/>
              </w:rPr>
            </w:pPr>
            <w:r w:rsidRPr="00052ECE">
              <w:rPr>
                <w:b/>
                <w:bCs/>
                <w:sz w:val="18"/>
                <w:szCs w:val="18"/>
                <w:lang w:val="x-none"/>
              </w:rPr>
              <w:t>IZVOZNA USMERJENOST</w:t>
            </w:r>
          </w:p>
        </w:tc>
      </w:tr>
      <w:tr w:rsidR="00DF1252" w:rsidRPr="00052ECE" w14:paraId="1550008B"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tcPr>
          <w:p w14:paraId="26EE447D" w14:textId="77777777" w:rsidR="00DF1252" w:rsidRPr="00052ECE" w:rsidRDefault="00DF1252" w:rsidP="001F3514">
            <w:pPr>
              <w:pStyle w:val="DZVir"/>
              <w:spacing w:before="0"/>
              <w:jc w:val="left"/>
              <w:rPr>
                <w:sz w:val="18"/>
                <w:szCs w:val="18"/>
                <w:lang w:val="x-none"/>
              </w:rPr>
            </w:pPr>
            <w:r w:rsidRPr="00052ECE">
              <w:rPr>
                <w:sz w:val="18"/>
                <w:szCs w:val="18"/>
                <w:lang w:val="x-none"/>
              </w:rPr>
              <w:t>Delež čistih prihodkov od prodaje na tujem trgu (v</w:t>
            </w:r>
            <w:r>
              <w:rPr>
                <w:sz w:val="18"/>
                <w:szCs w:val="18"/>
                <w:lang w:val="x-none"/>
              </w:rPr>
              <w:t> %</w:t>
            </w:r>
            <w:r w:rsidRPr="00052ECE">
              <w:rPr>
                <w:sz w:val="18"/>
                <w:szCs w:val="18"/>
                <w:lang w:val="x-none"/>
              </w:rPr>
              <w:t>)</w:t>
            </w:r>
          </w:p>
        </w:tc>
        <w:tc>
          <w:tcPr>
            <w:cnfStyle w:val="000010000000" w:firstRow="0" w:lastRow="0" w:firstColumn="0" w:lastColumn="0" w:oddVBand="1" w:evenVBand="0" w:oddHBand="0" w:evenHBand="0" w:firstRowFirstColumn="0" w:firstRowLastColumn="0" w:lastRowFirstColumn="0" w:lastRowLastColumn="0"/>
            <w:tcW w:w="797" w:type="dxa"/>
          </w:tcPr>
          <w:p w14:paraId="1DC63279" w14:textId="77777777" w:rsidR="00DF1252" w:rsidRPr="00052ECE" w:rsidRDefault="00DF1252" w:rsidP="004E6E34">
            <w:pPr>
              <w:pStyle w:val="DZVir"/>
              <w:jc w:val="right"/>
              <w:rPr>
                <w:sz w:val="18"/>
                <w:szCs w:val="18"/>
              </w:rPr>
            </w:pPr>
            <w:r w:rsidRPr="00052ECE">
              <w:rPr>
                <w:sz w:val="18"/>
                <w:szCs w:val="18"/>
              </w:rPr>
              <w:t>4,4</w:t>
            </w:r>
          </w:p>
        </w:tc>
        <w:tc>
          <w:tcPr>
            <w:cnfStyle w:val="000001000000" w:firstRow="0" w:lastRow="0" w:firstColumn="0" w:lastColumn="0" w:oddVBand="0" w:evenVBand="1" w:oddHBand="0" w:evenHBand="0" w:firstRowFirstColumn="0" w:firstRowLastColumn="0" w:lastRowFirstColumn="0" w:lastRowLastColumn="0"/>
            <w:tcW w:w="799" w:type="dxa"/>
          </w:tcPr>
          <w:p w14:paraId="578B153C" w14:textId="77777777" w:rsidR="00DF1252" w:rsidRPr="00052ECE" w:rsidRDefault="00DF1252" w:rsidP="004E6E34">
            <w:pPr>
              <w:pStyle w:val="DZVir"/>
              <w:jc w:val="right"/>
              <w:rPr>
                <w:sz w:val="18"/>
                <w:szCs w:val="18"/>
              </w:rPr>
            </w:pPr>
            <w:r w:rsidRPr="00052ECE">
              <w:rPr>
                <w:sz w:val="18"/>
                <w:szCs w:val="18"/>
              </w:rPr>
              <w:t>3,4</w:t>
            </w:r>
          </w:p>
        </w:tc>
        <w:tc>
          <w:tcPr>
            <w:cnfStyle w:val="000010000000" w:firstRow="0" w:lastRow="0" w:firstColumn="0" w:lastColumn="0" w:oddVBand="1" w:evenVBand="0" w:oddHBand="0" w:evenHBand="0" w:firstRowFirstColumn="0" w:firstRowLastColumn="0" w:lastRowFirstColumn="0" w:lastRowLastColumn="0"/>
            <w:tcW w:w="798" w:type="dxa"/>
          </w:tcPr>
          <w:p w14:paraId="0DBA915E" w14:textId="77777777" w:rsidR="00DF1252" w:rsidRPr="00052ECE" w:rsidRDefault="00DF1252" w:rsidP="004E6E34">
            <w:pPr>
              <w:pStyle w:val="DZVir"/>
              <w:jc w:val="right"/>
              <w:rPr>
                <w:sz w:val="18"/>
                <w:szCs w:val="18"/>
              </w:rPr>
            </w:pPr>
            <w:r w:rsidRPr="00052ECE">
              <w:rPr>
                <w:sz w:val="18"/>
                <w:szCs w:val="18"/>
              </w:rPr>
              <w:t>3,0</w:t>
            </w:r>
          </w:p>
        </w:tc>
        <w:tc>
          <w:tcPr>
            <w:cnfStyle w:val="000001000000" w:firstRow="0" w:lastRow="0" w:firstColumn="0" w:lastColumn="0" w:oddVBand="0" w:evenVBand="1" w:oddHBand="0" w:evenHBand="0" w:firstRowFirstColumn="0" w:firstRowLastColumn="0" w:lastRowFirstColumn="0" w:lastRowLastColumn="0"/>
            <w:tcW w:w="799" w:type="dxa"/>
          </w:tcPr>
          <w:p w14:paraId="49676C35" w14:textId="77777777" w:rsidR="00DF1252" w:rsidRPr="00052ECE" w:rsidRDefault="00DF1252" w:rsidP="004E6E34">
            <w:pPr>
              <w:pStyle w:val="DZVir"/>
              <w:jc w:val="right"/>
              <w:rPr>
                <w:sz w:val="18"/>
                <w:szCs w:val="18"/>
              </w:rPr>
            </w:pPr>
            <w:r>
              <w:rPr>
                <w:sz w:val="18"/>
                <w:szCs w:val="18"/>
              </w:rPr>
              <w:t>2,5</w:t>
            </w:r>
          </w:p>
        </w:tc>
        <w:tc>
          <w:tcPr>
            <w:cnfStyle w:val="000010000000" w:firstRow="0" w:lastRow="0" w:firstColumn="0" w:lastColumn="0" w:oddVBand="1" w:evenVBand="0" w:oddHBand="0" w:evenHBand="0" w:firstRowFirstColumn="0" w:firstRowLastColumn="0" w:lastRowFirstColumn="0" w:lastRowLastColumn="0"/>
            <w:tcW w:w="799" w:type="dxa"/>
          </w:tcPr>
          <w:p w14:paraId="1FAF1BC7" w14:textId="77777777" w:rsidR="00DF1252" w:rsidRPr="00052ECE" w:rsidRDefault="00DF1252" w:rsidP="004E6E34">
            <w:pPr>
              <w:pStyle w:val="DZVir"/>
              <w:jc w:val="right"/>
              <w:rPr>
                <w:sz w:val="18"/>
                <w:szCs w:val="18"/>
              </w:rPr>
            </w:pPr>
            <w:r>
              <w:rPr>
                <w:sz w:val="18"/>
                <w:szCs w:val="18"/>
              </w:rPr>
              <w:t>1,8</w:t>
            </w:r>
          </w:p>
        </w:tc>
        <w:tc>
          <w:tcPr>
            <w:cnfStyle w:val="000100000000" w:firstRow="0" w:lastRow="0" w:firstColumn="0" w:lastColumn="1" w:oddVBand="0" w:evenVBand="0" w:oddHBand="0" w:evenHBand="0" w:firstRowFirstColumn="0" w:firstRowLastColumn="0" w:lastRowFirstColumn="0" w:lastRowLastColumn="0"/>
            <w:tcW w:w="799" w:type="dxa"/>
          </w:tcPr>
          <w:p w14:paraId="1BC951B3" w14:textId="77777777" w:rsidR="00DF1252" w:rsidRDefault="00DF1252" w:rsidP="004E6E34">
            <w:pPr>
              <w:pStyle w:val="DZVir"/>
              <w:jc w:val="right"/>
              <w:rPr>
                <w:sz w:val="18"/>
                <w:szCs w:val="18"/>
              </w:rPr>
            </w:pPr>
            <w:r>
              <w:rPr>
                <w:sz w:val="18"/>
                <w:szCs w:val="18"/>
              </w:rPr>
              <w:t>2,4</w:t>
            </w:r>
          </w:p>
        </w:tc>
      </w:tr>
      <w:tr w:rsidR="00DF1252" w:rsidRPr="00052ECE" w14:paraId="3E7BF323"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9070" w:type="dxa"/>
            <w:gridSpan w:val="7"/>
          </w:tcPr>
          <w:p w14:paraId="39319708" w14:textId="77777777" w:rsidR="00DF1252" w:rsidRPr="00052ECE" w:rsidRDefault="00DF1252" w:rsidP="001F3514">
            <w:pPr>
              <w:pStyle w:val="DZVir"/>
              <w:spacing w:before="0"/>
              <w:jc w:val="left"/>
              <w:rPr>
                <w:b/>
                <w:bCs/>
                <w:sz w:val="18"/>
                <w:szCs w:val="18"/>
                <w:lang w:val="x-none"/>
              </w:rPr>
            </w:pPr>
            <w:r w:rsidRPr="00052ECE">
              <w:rPr>
                <w:b/>
                <w:bCs/>
                <w:sz w:val="18"/>
                <w:szCs w:val="18"/>
                <w:lang w:val="x-none"/>
              </w:rPr>
              <w:t>STRUKTURA SREDSTEV</w:t>
            </w:r>
          </w:p>
        </w:tc>
      </w:tr>
      <w:tr w:rsidR="00DF1252" w:rsidRPr="00052ECE" w14:paraId="6F101CD0"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tcPr>
          <w:p w14:paraId="342B4867" w14:textId="77777777" w:rsidR="00DF1252" w:rsidRPr="00052ECE" w:rsidRDefault="00DF1252" w:rsidP="001F3514">
            <w:pPr>
              <w:pStyle w:val="DZVir"/>
              <w:spacing w:before="0"/>
              <w:jc w:val="left"/>
              <w:rPr>
                <w:sz w:val="18"/>
                <w:szCs w:val="18"/>
                <w:lang w:val="x-none"/>
              </w:rPr>
            </w:pPr>
            <w:r w:rsidRPr="00052ECE">
              <w:rPr>
                <w:sz w:val="18"/>
                <w:szCs w:val="18"/>
                <w:lang w:val="x-none"/>
              </w:rPr>
              <w:t>Delež dolg. sredstev v sredstvih (v</w:t>
            </w:r>
            <w:r>
              <w:rPr>
                <w:sz w:val="18"/>
                <w:szCs w:val="18"/>
                <w:lang w:val="x-none"/>
              </w:rPr>
              <w:t> %</w:t>
            </w:r>
            <w:r w:rsidRPr="00052ECE">
              <w:rPr>
                <w:sz w:val="18"/>
                <w:szCs w:val="18"/>
                <w:lang w:val="x-none"/>
              </w:rPr>
              <w:t>)</w:t>
            </w:r>
          </w:p>
        </w:tc>
        <w:tc>
          <w:tcPr>
            <w:cnfStyle w:val="000010000000" w:firstRow="0" w:lastRow="0" w:firstColumn="0" w:lastColumn="0" w:oddVBand="1" w:evenVBand="0" w:oddHBand="0" w:evenHBand="0" w:firstRowFirstColumn="0" w:firstRowLastColumn="0" w:lastRowFirstColumn="0" w:lastRowLastColumn="0"/>
            <w:tcW w:w="797" w:type="dxa"/>
          </w:tcPr>
          <w:p w14:paraId="7B856437" w14:textId="77777777" w:rsidR="00DF1252" w:rsidRPr="00052ECE" w:rsidRDefault="00DF1252" w:rsidP="004E6E34">
            <w:pPr>
              <w:pStyle w:val="DZVir"/>
              <w:jc w:val="right"/>
              <w:rPr>
                <w:sz w:val="18"/>
                <w:szCs w:val="18"/>
              </w:rPr>
            </w:pPr>
            <w:r w:rsidRPr="00052ECE">
              <w:rPr>
                <w:sz w:val="18"/>
                <w:szCs w:val="18"/>
              </w:rPr>
              <w:t>83,0</w:t>
            </w:r>
          </w:p>
        </w:tc>
        <w:tc>
          <w:tcPr>
            <w:cnfStyle w:val="000001000000" w:firstRow="0" w:lastRow="0" w:firstColumn="0" w:lastColumn="0" w:oddVBand="0" w:evenVBand="1" w:oddHBand="0" w:evenHBand="0" w:firstRowFirstColumn="0" w:firstRowLastColumn="0" w:lastRowFirstColumn="0" w:lastRowLastColumn="0"/>
            <w:tcW w:w="799" w:type="dxa"/>
          </w:tcPr>
          <w:p w14:paraId="47629927" w14:textId="77777777" w:rsidR="00DF1252" w:rsidRPr="00052ECE" w:rsidRDefault="00DF1252" w:rsidP="004E6E34">
            <w:pPr>
              <w:pStyle w:val="DZVir"/>
              <w:jc w:val="right"/>
              <w:rPr>
                <w:sz w:val="18"/>
                <w:szCs w:val="18"/>
              </w:rPr>
            </w:pPr>
            <w:r w:rsidRPr="00052ECE">
              <w:rPr>
                <w:sz w:val="18"/>
                <w:szCs w:val="18"/>
              </w:rPr>
              <w:t>86,0</w:t>
            </w:r>
          </w:p>
        </w:tc>
        <w:tc>
          <w:tcPr>
            <w:cnfStyle w:val="000010000000" w:firstRow="0" w:lastRow="0" w:firstColumn="0" w:lastColumn="0" w:oddVBand="1" w:evenVBand="0" w:oddHBand="0" w:evenHBand="0" w:firstRowFirstColumn="0" w:firstRowLastColumn="0" w:lastRowFirstColumn="0" w:lastRowLastColumn="0"/>
            <w:tcW w:w="798" w:type="dxa"/>
          </w:tcPr>
          <w:p w14:paraId="2C9A3AB8" w14:textId="77777777" w:rsidR="00DF1252" w:rsidRPr="00052ECE" w:rsidRDefault="00DF1252" w:rsidP="004E6E34">
            <w:pPr>
              <w:pStyle w:val="DZVir"/>
              <w:jc w:val="right"/>
              <w:rPr>
                <w:sz w:val="18"/>
                <w:szCs w:val="18"/>
              </w:rPr>
            </w:pPr>
            <w:r w:rsidRPr="00052ECE">
              <w:rPr>
                <w:sz w:val="18"/>
                <w:szCs w:val="18"/>
              </w:rPr>
              <w:t>83,1</w:t>
            </w:r>
          </w:p>
        </w:tc>
        <w:tc>
          <w:tcPr>
            <w:cnfStyle w:val="000001000000" w:firstRow="0" w:lastRow="0" w:firstColumn="0" w:lastColumn="0" w:oddVBand="0" w:evenVBand="1" w:oddHBand="0" w:evenHBand="0" w:firstRowFirstColumn="0" w:firstRowLastColumn="0" w:lastRowFirstColumn="0" w:lastRowLastColumn="0"/>
            <w:tcW w:w="799" w:type="dxa"/>
          </w:tcPr>
          <w:p w14:paraId="33CB7E9C" w14:textId="77777777" w:rsidR="00DF1252" w:rsidRPr="00052ECE" w:rsidRDefault="00DF1252" w:rsidP="004E6E34">
            <w:pPr>
              <w:pStyle w:val="DZVir"/>
              <w:jc w:val="right"/>
              <w:rPr>
                <w:sz w:val="18"/>
                <w:szCs w:val="18"/>
              </w:rPr>
            </w:pPr>
            <w:r>
              <w:rPr>
                <w:sz w:val="18"/>
                <w:szCs w:val="18"/>
              </w:rPr>
              <w:t>80,6</w:t>
            </w:r>
          </w:p>
        </w:tc>
        <w:tc>
          <w:tcPr>
            <w:cnfStyle w:val="000010000000" w:firstRow="0" w:lastRow="0" w:firstColumn="0" w:lastColumn="0" w:oddVBand="1" w:evenVBand="0" w:oddHBand="0" w:evenHBand="0" w:firstRowFirstColumn="0" w:firstRowLastColumn="0" w:lastRowFirstColumn="0" w:lastRowLastColumn="0"/>
            <w:tcW w:w="799" w:type="dxa"/>
          </w:tcPr>
          <w:p w14:paraId="20C4F161" w14:textId="77777777" w:rsidR="00DF1252" w:rsidRPr="00052ECE" w:rsidRDefault="00DF1252" w:rsidP="004E6E34">
            <w:pPr>
              <w:pStyle w:val="DZVir"/>
              <w:jc w:val="right"/>
              <w:rPr>
                <w:sz w:val="18"/>
                <w:szCs w:val="18"/>
              </w:rPr>
            </w:pPr>
            <w:r>
              <w:rPr>
                <w:sz w:val="18"/>
                <w:szCs w:val="18"/>
              </w:rPr>
              <w:t>82,9</w:t>
            </w:r>
          </w:p>
        </w:tc>
        <w:tc>
          <w:tcPr>
            <w:cnfStyle w:val="000100000000" w:firstRow="0" w:lastRow="0" w:firstColumn="0" w:lastColumn="1" w:oddVBand="0" w:evenVBand="0" w:oddHBand="0" w:evenHBand="0" w:firstRowFirstColumn="0" w:firstRowLastColumn="0" w:lastRowFirstColumn="0" w:lastRowLastColumn="0"/>
            <w:tcW w:w="799" w:type="dxa"/>
          </w:tcPr>
          <w:p w14:paraId="3E6CCD63" w14:textId="77777777" w:rsidR="00DF1252" w:rsidRDefault="00DF1252" w:rsidP="004E6E34">
            <w:pPr>
              <w:pStyle w:val="DZVir"/>
              <w:jc w:val="right"/>
              <w:rPr>
                <w:sz w:val="18"/>
                <w:szCs w:val="18"/>
              </w:rPr>
            </w:pPr>
            <w:r>
              <w:rPr>
                <w:sz w:val="18"/>
                <w:szCs w:val="18"/>
              </w:rPr>
              <w:t>79,1</w:t>
            </w:r>
          </w:p>
        </w:tc>
      </w:tr>
      <w:tr w:rsidR="00DF1252" w:rsidRPr="00052ECE" w14:paraId="3BDE4CE3" w14:textId="77777777" w:rsidTr="001F3514">
        <w:trPr>
          <w:trHeight w:val="283"/>
        </w:trPr>
        <w:tc>
          <w:tcPr>
            <w:cnfStyle w:val="001000000000" w:firstRow="0" w:lastRow="0" w:firstColumn="1" w:lastColumn="0" w:oddVBand="0" w:evenVBand="0" w:oddHBand="0" w:evenHBand="0" w:firstRowFirstColumn="0" w:firstRowLastColumn="0" w:lastRowFirstColumn="0" w:lastRowLastColumn="0"/>
            <w:tcW w:w="4279" w:type="dxa"/>
          </w:tcPr>
          <w:p w14:paraId="582E4D33" w14:textId="6405A43C" w:rsidR="00DF1252" w:rsidRPr="00052ECE" w:rsidRDefault="00DF1252" w:rsidP="001F3514">
            <w:pPr>
              <w:pStyle w:val="DZVir"/>
              <w:spacing w:before="0"/>
              <w:jc w:val="left"/>
              <w:rPr>
                <w:sz w:val="18"/>
                <w:szCs w:val="18"/>
                <w:lang w:val="x-none"/>
              </w:rPr>
            </w:pPr>
            <w:r w:rsidRPr="00052ECE">
              <w:rPr>
                <w:sz w:val="18"/>
                <w:szCs w:val="18"/>
                <w:lang w:val="x-none"/>
              </w:rPr>
              <w:t xml:space="preserve">Delež strojev in naprav ter druge opreme in </w:t>
            </w:r>
            <w:r w:rsidR="001F3514">
              <w:rPr>
                <w:sz w:val="18"/>
                <w:szCs w:val="18"/>
                <w:lang w:val="x-none"/>
              </w:rPr>
              <w:br/>
            </w:r>
            <w:r w:rsidRPr="00052ECE">
              <w:rPr>
                <w:sz w:val="18"/>
                <w:szCs w:val="18"/>
                <w:lang w:val="x-none"/>
              </w:rPr>
              <w:t>naprav v dolg</w:t>
            </w:r>
            <w:r w:rsidRPr="00052ECE">
              <w:rPr>
                <w:sz w:val="18"/>
                <w:szCs w:val="18"/>
              </w:rPr>
              <w:t>oročnih</w:t>
            </w:r>
            <w:r w:rsidRPr="00052ECE">
              <w:rPr>
                <w:sz w:val="18"/>
                <w:szCs w:val="18"/>
                <w:lang w:val="x-none"/>
              </w:rPr>
              <w:t xml:space="preserve"> sredstvih (v</w:t>
            </w:r>
            <w:r>
              <w:rPr>
                <w:sz w:val="18"/>
                <w:szCs w:val="18"/>
                <w:lang w:val="x-none"/>
              </w:rPr>
              <w:t> %</w:t>
            </w:r>
            <w:r w:rsidRPr="00052ECE">
              <w:rPr>
                <w:sz w:val="18"/>
                <w:szCs w:val="18"/>
                <w:lang w:val="x-none"/>
              </w:rPr>
              <w:t>)</w:t>
            </w:r>
          </w:p>
        </w:tc>
        <w:tc>
          <w:tcPr>
            <w:cnfStyle w:val="000010000000" w:firstRow="0" w:lastRow="0" w:firstColumn="0" w:lastColumn="0" w:oddVBand="1" w:evenVBand="0" w:oddHBand="0" w:evenHBand="0" w:firstRowFirstColumn="0" w:firstRowLastColumn="0" w:lastRowFirstColumn="0" w:lastRowLastColumn="0"/>
            <w:tcW w:w="797" w:type="dxa"/>
          </w:tcPr>
          <w:p w14:paraId="03547E44" w14:textId="77777777" w:rsidR="00DF1252" w:rsidRPr="00052ECE" w:rsidRDefault="00DF1252" w:rsidP="004E6E34">
            <w:pPr>
              <w:pStyle w:val="DZVir"/>
              <w:jc w:val="right"/>
              <w:rPr>
                <w:sz w:val="18"/>
                <w:szCs w:val="18"/>
              </w:rPr>
            </w:pPr>
            <w:r w:rsidRPr="00052ECE">
              <w:rPr>
                <w:sz w:val="18"/>
                <w:szCs w:val="18"/>
              </w:rPr>
              <w:t>10,0</w:t>
            </w:r>
          </w:p>
        </w:tc>
        <w:tc>
          <w:tcPr>
            <w:cnfStyle w:val="000001000000" w:firstRow="0" w:lastRow="0" w:firstColumn="0" w:lastColumn="0" w:oddVBand="0" w:evenVBand="1" w:oddHBand="0" w:evenHBand="0" w:firstRowFirstColumn="0" w:firstRowLastColumn="0" w:lastRowFirstColumn="0" w:lastRowLastColumn="0"/>
            <w:tcW w:w="799" w:type="dxa"/>
          </w:tcPr>
          <w:p w14:paraId="5B7C96EC" w14:textId="77777777" w:rsidR="00DF1252" w:rsidRPr="00052ECE" w:rsidRDefault="00DF1252" w:rsidP="004E6E34">
            <w:pPr>
              <w:pStyle w:val="DZVir"/>
              <w:jc w:val="right"/>
              <w:rPr>
                <w:sz w:val="18"/>
                <w:szCs w:val="18"/>
              </w:rPr>
            </w:pPr>
            <w:r w:rsidRPr="00052ECE">
              <w:rPr>
                <w:sz w:val="18"/>
                <w:szCs w:val="18"/>
              </w:rPr>
              <w:t>8,9</w:t>
            </w:r>
          </w:p>
        </w:tc>
        <w:tc>
          <w:tcPr>
            <w:cnfStyle w:val="000010000000" w:firstRow="0" w:lastRow="0" w:firstColumn="0" w:lastColumn="0" w:oddVBand="1" w:evenVBand="0" w:oddHBand="0" w:evenHBand="0" w:firstRowFirstColumn="0" w:firstRowLastColumn="0" w:lastRowFirstColumn="0" w:lastRowLastColumn="0"/>
            <w:tcW w:w="798" w:type="dxa"/>
          </w:tcPr>
          <w:p w14:paraId="55B6B99F" w14:textId="77777777" w:rsidR="00DF1252" w:rsidRPr="00052ECE" w:rsidRDefault="00DF1252" w:rsidP="004E6E34">
            <w:pPr>
              <w:pStyle w:val="DZVir"/>
              <w:jc w:val="right"/>
              <w:rPr>
                <w:sz w:val="18"/>
                <w:szCs w:val="18"/>
              </w:rPr>
            </w:pPr>
            <w:r w:rsidRPr="00052ECE">
              <w:rPr>
                <w:sz w:val="18"/>
                <w:szCs w:val="18"/>
              </w:rPr>
              <w:t>8,4</w:t>
            </w:r>
          </w:p>
        </w:tc>
        <w:tc>
          <w:tcPr>
            <w:cnfStyle w:val="000001000000" w:firstRow="0" w:lastRow="0" w:firstColumn="0" w:lastColumn="0" w:oddVBand="0" w:evenVBand="1" w:oddHBand="0" w:evenHBand="0" w:firstRowFirstColumn="0" w:firstRowLastColumn="0" w:lastRowFirstColumn="0" w:lastRowLastColumn="0"/>
            <w:tcW w:w="799" w:type="dxa"/>
          </w:tcPr>
          <w:p w14:paraId="5DFBEA18" w14:textId="77777777" w:rsidR="00DF1252" w:rsidRPr="00052ECE" w:rsidRDefault="00DF1252" w:rsidP="004E6E34">
            <w:pPr>
              <w:pStyle w:val="DZVir"/>
              <w:jc w:val="right"/>
              <w:rPr>
                <w:sz w:val="18"/>
                <w:szCs w:val="18"/>
              </w:rPr>
            </w:pPr>
            <w:r>
              <w:rPr>
                <w:sz w:val="18"/>
                <w:szCs w:val="18"/>
              </w:rPr>
              <w:t>9,7</w:t>
            </w:r>
          </w:p>
        </w:tc>
        <w:tc>
          <w:tcPr>
            <w:cnfStyle w:val="000010000000" w:firstRow="0" w:lastRow="0" w:firstColumn="0" w:lastColumn="0" w:oddVBand="1" w:evenVBand="0" w:oddHBand="0" w:evenHBand="0" w:firstRowFirstColumn="0" w:firstRowLastColumn="0" w:lastRowFirstColumn="0" w:lastRowLastColumn="0"/>
            <w:tcW w:w="799" w:type="dxa"/>
          </w:tcPr>
          <w:p w14:paraId="245072B0" w14:textId="77777777" w:rsidR="00DF1252" w:rsidRPr="00052ECE" w:rsidRDefault="00DF1252" w:rsidP="004E6E34">
            <w:pPr>
              <w:pStyle w:val="DZVir"/>
              <w:jc w:val="right"/>
              <w:rPr>
                <w:sz w:val="18"/>
                <w:szCs w:val="18"/>
              </w:rPr>
            </w:pPr>
            <w:r>
              <w:rPr>
                <w:sz w:val="18"/>
                <w:szCs w:val="18"/>
              </w:rPr>
              <w:t>9,4</w:t>
            </w:r>
          </w:p>
        </w:tc>
        <w:tc>
          <w:tcPr>
            <w:cnfStyle w:val="000100000000" w:firstRow="0" w:lastRow="0" w:firstColumn="0" w:lastColumn="1" w:oddVBand="0" w:evenVBand="0" w:oddHBand="0" w:evenHBand="0" w:firstRowFirstColumn="0" w:firstRowLastColumn="0" w:lastRowFirstColumn="0" w:lastRowLastColumn="0"/>
            <w:tcW w:w="799" w:type="dxa"/>
          </w:tcPr>
          <w:p w14:paraId="3D4C86DB" w14:textId="77777777" w:rsidR="00DF1252" w:rsidRDefault="00DF1252" w:rsidP="004E6E34">
            <w:pPr>
              <w:pStyle w:val="DZVir"/>
              <w:jc w:val="right"/>
              <w:rPr>
                <w:sz w:val="18"/>
                <w:szCs w:val="18"/>
              </w:rPr>
            </w:pPr>
            <w:r>
              <w:rPr>
                <w:sz w:val="18"/>
                <w:szCs w:val="18"/>
              </w:rPr>
              <w:t>9,8</w:t>
            </w:r>
          </w:p>
        </w:tc>
      </w:tr>
    </w:tbl>
    <w:p w14:paraId="432EEA1E" w14:textId="77777777" w:rsidR="003E7931" w:rsidRDefault="003E7931" w:rsidP="003E7931">
      <w:pPr>
        <w:pStyle w:val="VirUMAR"/>
      </w:pPr>
      <w:r w:rsidRPr="008F6BED">
        <w:t xml:space="preserve">Vir podatkov: </w:t>
      </w:r>
      <w:r>
        <w:fldChar w:fldCharType="begin"/>
      </w:r>
      <w:r>
        <w:instrText xml:space="preserve"> ADDIN ZOTERO_ITEM CSL_CITATION {"citationID":"JW2lcBQk","properties":{"formattedCitation":"(AJPES,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2022)</w:t>
      </w:r>
      <w:r>
        <w:fldChar w:fldCharType="end"/>
      </w:r>
      <w:r w:rsidRPr="008F6BED">
        <w:t>, lastni izračuni.</w:t>
      </w:r>
    </w:p>
    <w:p w14:paraId="033407FC" w14:textId="52458B4F" w:rsidR="003E7931" w:rsidRDefault="00DF1252" w:rsidP="003E7931">
      <w:pPr>
        <w:pStyle w:val="VirUMAR"/>
        <w:rPr>
          <w:rStyle w:val="DZBesediloChar"/>
          <w:noProof/>
        </w:rPr>
      </w:pPr>
      <w:r w:rsidRPr="008137B9">
        <w:rPr>
          <w:rStyle w:val="DZBesediloChar"/>
          <w:noProof/>
        </w:rPr>
        <w:t xml:space="preserve">Opombe: </w:t>
      </w:r>
      <w:r w:rsidRPr="008137B9">
        <w:rPr>
          <w:rStyle w:val="DZBesediloChar"/>
          <w:noProof/>
          <w:vertAlign w:val="superscript"/>
        </w:rPr>
        <w:t>1</w:t>
      </w:r>
      <w:r w:rsidRPr="008137B9">
        <w:rPr>
          <w:rStyle w:val="DZBesediloChar"/>
          <w:noProof/>
        </w:rPr>
        <w:t xml:space="preserve"> Podatki o številu zaposlenih pomenijo povprečno število zaposlen</w:t>
      </w:r>
      <w:r>
        <w:rPr>
          <w:rStyle w:val="DZBesediloChar"/>
          <w:noProof/>
        </w:rPr>
        <w:t>ih</w:t>
      </w:r>
      <w:r w:rsidRPr="008137B9">
        <w:rPr>
          <w:rStyle w:val="DZBesediloChar"/>
          <w:noProof/>
        </w:rPr>
        <w:t xml:space="preserve"> na podlagi delovnih ur v obračunskem obdobju in se zato razlikujejo od podatkov o številu zaposlenih, ki jih objavlja SURS. </w:t>
      </w:r>
      <w:r w:rsidRPr="008137B9">
        <w:rPr>
          <w:rStyle w:val="DZBesediloChar"/>
          <w:noProof/>
          <w:vertAlign w:val="superscript"/>
        </w:rPr>
        <w:t>2</w:t>
      </w:r>
      <w:r w:rsidRPr="008137B9">
        <w:rPr>
          <w:rStyle w:val="DZBesediloChar"/>
          <w:noProof/>
        </w:rPr>
        <w:t xml:space="preserve"> Razlika med čistim dobičkom in izgubo obračunskega obdobja.</w:t>
      </w:r>
    </w:p>
    <w:p w14:paraId="50FE3EAC" w14:textId="77777777" w:rsidR="001F3514" w:rsidRDefault="001F3514" w:rsidP="003E7931">
      <w:pPr>
        <w:pStyle w:val="VirUMAR"/>
        <w:rPr>
          <w:noProof/>
        </w:rPr>
      </w:pPr>
    </w:p>
    <w:tbl>
      <w:tblPr>
        <w:tblStyle w:val="UMARokvir2"/>
        <w:tblW w:w="0" w:type="auto"/>
        <w:tblCellMar>
          <w:top w:w="142" w:type="dxa"/>
          <w:bottom w:w="170" w:type="dxa"/>
        </w:tblCellMar>
        <w:tblLook w:val="04A0" w:firstRow="1" w:lastRow="0" w:firstColumn="1" w:lastColumn="0" w:noHBand="0" w:noVBand="1"/>
      </w:tblPr>
      <w:tblGrid>
        <w:gridCol w:w="9060"/>
      </w:tblGrid>
      <w:tr w:rsidR="005861FF" w:rsidRPr="00C32468" w14:paraId="5C0727D0" w14:textId="77777777" w:rsidTr="001F3514">
        <w:tc>
          <w:tcPr>
            <w:tcW w:w="9060" w:type="dxa"/>
          </w:tcPr>
          <w:bookmarkEnd w:id="7"/>
          <w:p w14:paraId="629F671E" w14:textId="77777777" w:rsidR="005861FF" w:rsidRDefault="005861FF" w:rsidP="000E1806">
            <w:pPr>
              <w:tabs>
                <w:tab w:val="right" w:leader="dot" w:pos="9070"/>
              </w:tabs>
              <w:spacing w:before="100" w:after="100" w:line="257" w:lineRule="auto"/>
              <w:contextualSpacing/>
              <w:jc w:val="both"/>
              <w:rPr>
                <w:rFonts w:ascii="Myriad Pro" w:hAnsi="Myriad Pro"/>
                <w:b/>
                <w:bCs/>
                <w:noProof/>
                <w:spacing w:val="-6"/>
                <w:sz w:val="20"/>
                <w:szCs w:val="20"/>
              </w:rPr>
            </w:pPr>
            <w:r w:rsidRPr="00C32468">
              <w:rPr>
                <w:rFonts w:ascii="Myriad Pro" w:hAnsi="Myriad Pro"/>
                <w:b/>
                <w:bCs/>
                <w:noProof/>
                <w:spacing w:val="-6"/>
                <w:sz w:val="20"/>
                <w:szCs w:val="20"/>
              </w:rPr>
              <w:t xml:space="preserve">Okvir </w:t>
            </w:r>
            <w:r w:rsidRPr="00C32468">
              <w:rPr>
                <w:rFonts w:ascii="Myriad Pro" w:hAnsi="Myriad Pro"/>
                <w:b/>
                <w:bCs/>
                <w:noProof/>
                <w:spacing w:val="-6"/>
                <w:sz w:val="20"/>
                <w:szCs w:val="20"/>
              </w:rPr>
              <w:fldChar w:fldCharType="begin"/>
            </w:r>
            <w:r w:rsidRPr="00C32468">
              <w:rPr>
                <w:rFonts w:ascii="Myriad Pro" w:hAnsi="Myriad Pro"/>
                <w:b/>
                <w:bCs/>
                <w:noProof/>
                <w:spacing w:val="-6"/>
                <w:sz w:val="20"/>
                <w:szCs w:val="20"/>
              </w:rPr>
              <w:instrText xml:space="preserve"> SEQ Okvir \* ARABIC </w:instrText>
            </w:r>
            <w:r w:rsidRPr="00C32468">
              <w:rPr>
                <w:rFonts w:ascii="Myriad Pro" w:hAnsi="Myriad Pro"/>
                <w:b/>
                <w:bCs/>
                <w:noProof/>
                <w:spacing w:val="-6"/>
                <w:sz w:val="20"/>
                <w:szCs w:val="20"/>
              </w:rPr>
              <w:fldChar w:fldCharType="separate"/>
            </w:r>
            <w:r>
              <w:rPr>
                <w:rFonts w:ascii="Myriad Pro" w:hAnsi="Myriad Pro"/>
                <w:b/>
                <w:bCs/>
                <w:noProof/>
                <w:spacing w:val="-6"/>
                <w:sz w:val="20"/>
                <w:szCs w:val="20"/>
              </w:rPr>
              <w:t>3</w:t>
            </w:r>
            <w:r w:rsidRPr="00C32468">
              <w:rPr>
                <w:rFonts w:ascii="Myriad Pro" w:hAnsi="Myriad Pro"/>
                <w:b/>
                <w:bCs/>
                <w:noProof/>
                <w:spacing w:val="-6"/>
                <w:sz w:val="20"/>
                <w:szCs w:val="20"/>
              </w:rPr>
              <w:fldChar w:fldCharType="end"/>
            </w:r>
            <w:r w:rsidRPr="00C32468">
              <w:rPr>
                <w:rFonts w:ascii="Myriad Pro" w:hAnsi="Myriad Pro"/>
                <w:b/>
                <w:bCs/>
                <w:noProof/>
                <w:spacing w:val="-6"/>
                <w:sz w:val="20"/>
                <w:szCs w:val="20"/>
              </w:rPr>
              <w:t xml:space="preserve">: Poslovanje </w:t>
            </w:r>
            <w:r>
              <w:rPr>
                <w:rFonts w:ascii="Myriad Pro" w:hAnsi="Myriad Pro"/>
                <w:b/>
                <w:bCs/>
                <w:noProof/>
                <w:spacing w:val="-6"/>
                <w:sz w:val="20"/>
                <w:szCs w:val="20"/>
              </w:rPr>
              <w:t xml:space="preserve">samostojnih </w:t>
            </w:r>
            <w:r w:rsidRPr="00C32468">
              <w:rPr>
                <w:rFonts w:ascii="Myriad Pro" w:hAnsi="Myriad Pro"/>
                <w:b/>
                <w:bCs/>
                <w:noProof/>
                <w:spacing w:val="-6"/>
                <w:sz w:val="20"/>
                <w:szCs w:val="20"/>
              </w:rPr>
              <w:t>podjetnikov v gostinstvu</w:t>
            </w:r>
          </w:p>
          <w:p w14:paraId="1843DC9E" w14:textId="77777777" w:rsidR="005861FF" w:rsidRPr="00C32468" w:rsidRDefault="005861FF" w:rsidP="000E1806">
            <w:pPr>
              <w:tabs>
                <w:tab w:val="right" w:leader="dot" w:pos="9070"/>
              </w:tabs>
              <w:spacing w:before="100" w:after="100" w:line="257" w:lineRule="auto"/>
              <w:contextualSpacing/>
              <w:jc w:val="both"/>
              <w:rPr>
                <w:rFonts w:ascii="Myriad Pro" w:hAnsi="Myriad Pro"/>
                <w:b/>
                <w:bCs/>
                <w:noProof/>
                <w:spacing w:val="-6"/>
                <w:sz w:val="20"/>
                <w:szCs w:val="20"/>
              </w:rPr>
            </w:pPr>
          </w:p>
          <w:p w14:paraId="7E735064" w14:textId="77777777" w:rsidR="005861FF" w:rsidRPr="00C32468" w:rsidRDefault="005861FF" w:rsidP="000E1806">
            <w:pPr>
              <w:spacing w:after="0" w:line="288" w:lineRule="auto"/>
              <w:jc w:val="both"/>
              <w:rPr>
                <w:rFonts w:ascii="Myriad Pro" w:hAnsi="Myriad Pro"/>
                <w:sz w:val="20"/>
                <w:lang w:val="it-IT"/>
              </w:rPr>
            </w:pPr>
            <w:r w:rsidRPr="00C32468">
              <w:rPr>
                <w:rFonts w:ascii="Myriad Pro" w:hAnsi="Myriad Pro"/>
                <w:sz w:val="20"/>
              </w:rPr>
              <w:t>Pomemben del dodane vrednosti dejavnosti gostinstva poleg gospodarskih družb ustvarijo samostojni podjetniki</w:t>
            </w:r>
            <w:r w:rsidRPr="00C32468">
              <w:rPr>
                <w:rFonts w:ascii="Myriad Pro" w:hAnsi="Myriad Pro"/>
                <w:sz w:val="20"/>
                <w:vertAlign w:val="superscript"/>
                <w:lang w:val="en-US"/>
              </w:rPr>
              <w:footnoteReference w:id="16"/>
            </w:r>
            <w:r w:rsidRPr="00C32468">
              <w:rPr>
                <w:rFonts w:ascii="Myriad Pro" w:hAnsi="Myriad Pro"/>
                <w:sz w:val="20"/>
              </w:rPr>
              <w:t xml:space="preserve">, in sicer okoli 20 % skupne gostinske dodane vrednosti. </w:t>
            </w:r>
            <w:r w:rsidRPr="00C32468">
              <w:rPr>
                <w:rFonts w:ascii="Myriad Pro" w:hAnsi="Myriad Pro"/>
                <w:sz w:val="20"/>
                <w:lang w:val="it-IT"/>
              </w:rPr>
              <w:t xml:space="preserve">Največ, več kot 88 %, jih je leta 2021 poslovalo v dejavnosti strežbe jedi in pijač. </w:t>
            </w:r>
          </w:p>
          <w:p w14:paraId="28E018F8" w14:textId="77777777" w:rsidR="005861FF" w:rsidRPr="00C32468" w:rsidRDefault="005861FF" w:rsidP="000E1806">
            <w:pPr>
              <w:spacing w:after="0" w:line="288" w:lineRule="auto"/>
              <w:jc w:val="both"/>
              <w:rPr>
                <w:rFonts w:ascii="Myriad Pro" w:hAnsi="Myriad Pro"/>
                <w:sz w:val="20"/>
                <w:lang w:val="it-IT"/>
              </w:rPr>
            </w:pPr>
          </w:p>
          <w:p w14:paraId="382AB9B0" w14:textId="77777777" w:rsidR="005861FF" w:rsidRDefault="005861FF" w:rsidP="000E1806">
            <w:pPr>
              <w:spacing w:after="0" w:line="288" w:lineRule="auto"/>
              <w:jc w:val="both"/>
              <w:rPr>
                <w:rFonts w:ascii="Myriad Pro" w:hAnsi="Myriad Pro"/>
                <w:sz w:val="20"/>
                <w:lang w:val="it-IT"/>
              </w:rPr>
            </w:pPr>
            <w:r w:rsidRPr="00C32468">
              <w:rPr>
                <w:rFonts w:ascii="Myriad Pro" w:hAnsi="Myriad Pro"/>
                <w:b/>
                <w:sz w:val="20"/>
                <w:lang w:val="it-IT"/>
              </w:rPr>
              <w:t xml:space="preserve">Število </w:t>
            </w:r>
            <w:r>
              <w:rPr>
                <w:rFonts w:ascii="Myriad Pro" w:hAnsi="Myriad Pro"/>
                <w:b/>
                <w:sz w:val="20"/>
                <w:lang w:val="it-IT"/>
              </w:rPr>
              <w:t xml:space="preserve">samostojnih </w:t>
            </w:r>
            <w:r w:rsidRPr="00C32468">
              <w:rPr>
                <w:rFonts w:ascii="Myriad Pro" w:hAnsi="Myriad Pro"/>
                <w:b/>
                <w:sz w:val="20"/>
                <w:lang w:val="it-IT"/>
              </w:rPr>
              <w:t>podjetnikov, ki delujejo v gostinstvu</w:t>
            </w:r>
            <w:r>
              <w:rPr>
                <w:rFonts w:ascii="Myriad Pro" w:hAnsi="Myriad Pro"/>
                <w:b/>
                <w:sz w:val="20"/>
                <w:lang w:val="it-IT"/>
              </w:rPr>
              <w:t>,</w:t>
            </w:r>
            <w:r w:rsidRPr="00C32468">
              <w:rPr>
                <w:rFonts w:ascii="Myriad Pro" w:hAnsi="Myriad Pro"/>
                <w:b/>
                <w:sz w:val="20"/>
                <w:lang w:val="it-IT"/>
              </w:rPr>
              <w:t xml:space="preserve"> se je</w:t>
            </w:r>
            <w:r>
              <w:rPr>
                <w:rFonts w:ascii="Myriad Pro" w:hAnsi="Myriad Pro"/>
                <w:b/>
                <w:sz w:val="20"/>
                <w:lang w:val="it-IT"/>
              </w:rPr>
              <w:t>,</w:t>
            </w:r>
            <w:r w:rsidRPr="00C32468">
              <w:rPr>
                <w:rFonts w:ascii="Myriad Pro" w:hAnsi="Myriad Pro"/>
                <w:b/>
                <w:sz w:val="20"/>
                <w:lang w:val="it-IT"/>
              </w:rPr>
              <w:t xml:space="preserve"> po zmanjševanju do leta 2020, v letu 2021 nekoliko povečalo.</w:t>
            </w:r>
            <w:r w:rsidRPr="00C32468">
              <w:rPr>
                <w:rFonts w:ascii="Myriad Pro" w:hAnsi="Myriad Pro"/>
                <w:sz w:val="20"/>
                <w:lang w:val="it-IT"/>
              </w:rPr>
              <w:t xml:space="preserve"> Število zaposlenih pri njih, ki se je do epidemije povečevalo, pa se je drugo leto zapored zmanjšalo. Dodana vrednost, na višino katere so podobno kot pri gospodarskih družbah vplivale subvencije za ohranjanje delovnih mest</w:t>
            </w:r>
            <w:r>
              <w:rPr>
                <w:rFonts w:ascii="Myriad Pro" w:hAnsi="Myriad Pro"/>
                <w:sz w:val="20"/>
                <w:lang w:val="it-IT"/>
              </w:rPr>
              <w:t>,</w:t>
            </w:r>
            <w:r w:rsidRPr="00C32468">
              <w:rPr>
                <w:rFonts w:ascii="Myriad Pro" w:hAnsi="Myriad Pro"/>
                <w:sz w:val="20"/>
                <w:lang w:val="it-IT"/>
              </w:rPr>
              <w:t xml:space="preserve"> se je</w:t>
            </w:r>
            <w:r>
              <w:rPr>
                <w:rFonts w:ascii="Myriad Pro" w:hAnsi="Myriad Pro"/>
                <w:sz w:val="20"/>
                <w:lang w:val="it-IT"/>
              </w:rPr>
              <w:t>,</w:t>
            </w:r>
            <w:r w:rsidRPr="00C32468">
              <w:rPr>
                <w:rFonts w:ascii="Myriad Pro" w:hAnsi="Myriad Pro"/>
                <w:sz w:val="20"/>
                <w:lang w:val="it-IT"/>
              </w:rPr>
              <w:t xml:space="preserve"> po zmanjšanju v letu 2020, leta 2021 ponovno okrepila. Brez upoštevanja subvencij je dodana vrednost še močno zaostajala za dodano vrednostjo iz leta 2019. Povečala </w:t>
            </w:r>
            <w:r>
              <w:rPr>
                <w:rFonts w:ascii="Myriad Pro" w:hAnsi="Myriad Pro"/>
                <w:sz w:val="20"/>
                <w:lang w:val="it-IT"/>
              </w:rPr>
              <w:t xml:space="preserve">sta </w:t>
            </w:r>
            <w:r w:rsidRPr="00C32468">
              <w:rPr>
                <w:rFonts w:ascii="Myriad Pro" w:hAnsi="Myriad Pro"/>
                <w:sz w:val="20"/>
                <w:lang w:val="it-IT"/>
              </w:rPr>
              <w:t xml:space="preserve">se tudi produktivnost dela in podjetnikov dohodek, kar je bila predvsem posledica višjega neto podjetnikovega dohodka iz poslovanja, na katerega je vplivalo tudi unovčevanje bonov. </w:t>
            </w:r>
          </w:p>
          <w:p w14:paraId="5A225560" w14:textId="77777777" w:rsidR="005861FF" w:rsidRDefault="005861FF" w:rsidP="000E1806">
            <w:pPr>
              <w:spacing w:after="0" w:line="288" w:lineRule="auto"/>
              <w:jc w:val="both"/>
              <w:rPr>
                <w:rFonts w:ascii="Myriad Pro" w:hAnsi="Myriad Pro"/>
                <w:sz w:val="20"/>
                <w:lang w:val="it-IT"/>
              </w:rPr>
            </w:pPr>
          </w:p>
          <w:p w14:paraId="723225CE" w14:textId="77777777" w:rsidR="005861FF" w:rsidRPr="00C32468" w:rsidRDefault="005861FF" w:rsidP="000E1806">
            <w:pPr>
              <w:tabs>
                <w:tab w:val="right" w:leader="dot" w:pos="9070"/>
              </w:tabs>
              <w:spacing w:before="100" w:after="100" w:line="257" w:lineRule="auto"/>
              <w:contextualSpacing/>
              <w:jc w:val="both"/>
              <w:rPr>
                <w:rFonts w:ascii="Myriad Pro" w:hAnsi="Myriad Pro"/>
                <w:b/>
                <w:bCs/>
                <w:noProof/>
                <w:spacing w:val="-6"/>
                <w:sz w:val="20"/>
                <w:szCs w:val="20"/>
              </w:rPr>
            </w:pPr>
            <w:r w:rsidRPr="00C32468">
              <w:rPr>
                <w:rFonts w:ascii="Myriad Pro" w:hAnsi="Myriad Pro"/>
                <w:b/>
                <w:bCs/>
                <w:noProof/>
                <w:spacing w:val="-6"/>
                <w:sz w:val="20"/>
                <w:szCs w:val="20"/>
              </w:rPr>
              <w:t xml:space="preserve">Tabela </w:t>
            </w:r>
            <w:r w:rsidRPr="00C32468">
              <w:rPr>
                <w:rFonts w:ascii="Myriad Pro" w:hAnsi="Myriad Pro"/>
                <w:b/>
                <w:bCs/>
                <w:noProof/>
                <w:spacing w:val="-6"/>
                <w:sz w:val="20"/>
                <w:szCs w:val="20"/>
              </w:rPr>
              <w:fldChar w:fldCharType="begin"/>
            </w:r>
            <w:r w:rsidRPr="00C32468">
              <w:rPr>
                <w:rFonts w:ascii="Myriad Pro" w:hAnsi="Myriad Pro"/>
                <w:b/>
                <w:bCs/>
                <w:noProof/>
                <w:spacing w:val="-6"/>
                <w:sz w:val="20"/>
                <w:szCs w:val="20"/>
              </w:rPr>
              <w:instrText xml:space="preserve"> SEQ Tabela \* ARABIC </w:instrText>
            </w:r>
            <w:r w:rsidRPr="00C32468">
              <w:rPr>
                <w:rFonts w:ascii="Myriad Pro" w:hAnsi="Myriad Pro"/>
                <w:b/>
                <w:bCs/>
                <w:noProof/>
                <w:spacing w:val="-6"/>
                <w:sz w:val="20"/>
                <w:szCs w:val="20"/>
              </w:rPr>
              <w:fldChar w:fldCharType="separate"/>
            </w:r>
            <w:r w:rsidRPr="00C32468">
              <w:rPr>
                <w:rFonts w:ascii="Myriad Pro" w:hAnsi="Myriad Pro"/>
                <w:b/>
                <w:bCs/>
                <w:noProof/>
                <w:spacing w:val="-6"/>
                <w:sz w:val="20"/>
                <w:szCs w:val="20"/>
              </w:rPr>
              <w:t>3</w:t>
            </w:r>
            <w:r w:rsidRPr="00C32468">
              <w:rPr>
                <w:rFonts w:ascii="Myriad Pro" w:hAnsi="Myriad Pro"/>
                <w:b/>
                <w:bCs/>
                <w:noProof/>
                <w:spacing w:val="-6"/>
                <w:sz w:val="20"/>
                <w:szCs w:val="20"/>
              </w:rPr>
              <w:fldChar w:fldCharType="end"/>
            </w:r>
            <w:r w:rsidRPr="00C32468">
              <w:rPr>
                <w:rFonts w:ascii="Myriad Pro" w:hAnsi="Myriad Pro"/>
                <w:b/>
                <w:bCs/>
                <w:noProof/>
                <w:spacing w:val="-6"/>
                <w:sz w:val="20"/>
                <w:szCs w:val="20"/>
              </w:rPr>
              <w:t>: Izbrani kazalniki poslovanja samostojnih podjetnikov v gostinstvu v izbranih letih</w:t>
            </w:r>
          </w:p>
          <w:tbl>
            <w:tblPr>
              <w:tblStyle w:val="Tabelasvetlamrea"/>
              <w:tblW w:w="5000" w:type="pct"/>
              <w:tblCellMar>
                <w:left w:w="0" w:type="dxa"/>
              </w:tblCellMar>
              <w:tblLook w:val="0000" w:firstRow="0" w:lastRow="0" w:firstColumn="0" w:lastColumn="0" w:noHBand="0" w:noVBand="0"/>
            </w:tblPr>
            <w:tblGrid>
              <w:gridCol w:w="4064"/>
              <w:gridCol w:w="776"/>
              <w:gridCol w:w="776"/>
              <w:gridCol w:w="776"/>
              <w:gridCol w:w="776"/>
              <w:gridCol w:w="776"/>
              <w:gridCol w:w="776"/>
            </w:tblGrid>
            <w:tr w:rsidR="005861FF" w:rsidRPr="00C32468" w14:paraId="439B4EFD" w14:textId="77777777" w:rsidTr="001F3514">
              <w:trPr>
                <w:trHeight w:val="292"/>
              </w:trPr>
              <w:tc>
                <w:tcPr>
                  <w:cnfStyle w:val="000010000000" w:firstRow="0" w:lastRow="0" w:firstColumn="0" w:lastColumn="0" w:oddVBand="1" w:evenVBand="0" w:oddHBand="0" w:evenHBand="0" w:firstRowFirstColumn="0" w:firstRowLastColumn="0" w:lastRowFirstColumn="0" w:lastRowLastColumn="0"/>
                  <w:tcW w:w="2330" w:type="pct"/>
                  <w:shd w:val="clear" w:color="auto" w:fill="BFBFBF" w:themeFill="background1" w:themeFillShade="BF"/>
                </w:tcPr>
                <w:p w14:paraId="08E13930" w14:textId="77777777" w:rsidR="005861FF" w:rsidRPr="00C32468" w:rsidRDefault="005861FF" w:rsidP="001F3514">
                  <w:pPr>
                    <w:spacing w:before="10" w:after="10" w:line="220" w:lineRule="atLeast"/>
                    <w:jc w:val="left"/>
                    <w:rPr>
                      <w:rFonts w:ascii="Myriad Pro" w:hAnsi="Myriad Pro" w:cs="Calibri"/>
                      <w:bCs/>
                      <w:sz w:val="18"/>
                      <w:szCs w:val="18"/>
                      <w:lang w:val="it-IT"/>
                    </w:rPr>
                  </w:pPr>
                </w:p>
              </w:tc>
              <w:tc>
                <w:tcPr>
                  <w:cnfStyle w:val="000001000000" w:firstRow="0" w:lastRow="0" w:firstColumn="0" w:lastColumn="0" w:oddVBand="0" w:evenVBand="1" w:oddHBand="0" w:evenHBand="0" w:firstRowFirstColumn="0" w:firstRowLastColumn="0" w:lastRowFirstColumn="0" w:lastRowLastColumn="0"/>
                  <w:tcW w:w="445" w:type="pct"/>
                  <w:shd w:val="clear" w:color="auto" w:fill="BFBFBF" w:themeFill="background1" w:themeFillShade="BF"/>
                </w:tcPr>
                <w:p w14:paraId="435BA8E6" w14:textId="77777777" w:rsidR="005861FF" w:rsidRPr="00C32468" w:rsidRDefault="005861FF" w:rsidP="000E1806">
                  <w:pPr>
                    <w:spacing w:before="10" w:after="10" w:line="220" w:lineRule="atLeast"/>
                    <w:rPr>
                      <w:rFonts w:ascii="Myriad Pro" w:hAnsi="Myriad Pro" w:cs="Calibri"/>
                      <w:b/>
                      <w:bCs/>
                      <w:sz w:val="18"/>
                      <w:szCs w:val="18"/>
                      <w:lang w:val="en-US"/>
                    </w:rPr>
                  </w:pPr>
                  <w:r w:rsidRPr="00C32468">
                    <w:rPr>
                      <w:rFonts w:ascii="Myriad Pro" w:hAnsi="Myriad Pro" w:cs="Calibri"/>
                      <w:b/>
                      <w:bCs/>
                      <w:sz w:val="18"/>
                      <w:szCs w:val="18"/>
                      <w:lang w:val="en-US"/>
                    </w:rPr>
                    <w:t>2008</w:t>
                  </w:r>
                </w:p>
              </w:tc>
              <w:tc>
                <w:tcPr>
                  <w:cnfStyle w:val="000010000000" w:firstRow="0" w:lastRow="0" w:firstColumn="0" w:lastColumn="0" w:oddVBand="1" w:evenVBand="0" w:oddHBand="0" w:evenHBand="0" w:firstRowFirstColumn="0" w:firstRowLastColumn="0" w:lastRowFirstColumn="0" w:lastRowLastColumn="0"/>
                  <w:tcW w:w="445" w:type="pct"/>
                  <w:shd w:val="clear" w:color="auto" w:fill="BFBFBF" w:themeFill="background1" w:themeFillShade="BF"/>
                </w:tcPr>
                <w:p w14:paraId="2E6B5DD1" w14:textId="77777777" w:rsidR="005861FF" w:rsidRPr="00C32468" w:rsidRDefault="005861FF" w:rsidP="000E1806">
                  <w:pPr>
                    <w:spacing w:before="10" w:after="10" w:line="220" w:lineRule="atLeast"/>
                    <w:rPr>
                      <w:rFonts w:ascii="Myriad Pro" w:hAnsi="Myriad Pro" w:cs="Calibri"/>
                      <w:b/>
                      <w:bCs/>
                      <w:sz w:val="18"/>
                      <w:szCs w:val="18"/>
                      <w:lang w:val="en-US"/>
                    </w:rPr>
                  </w:pPr>
                  <w:r w:rsidRPr="00C32468">
                    <w:rPr>
                      <w:rFonts w:ascii="Myriad Pro" w:hAnsi="Myriad Pro" w:cs="Calibri"/>
                      <w:b/>
                      <w:bCs/>
                      <w:sz w:val="18"/>
                      <w:szCs w:val="18"/>
                      <w:lang w:val="en-US"/>
                    </w:rPr>
                    <w:t>2010</w:t>
                  </w:r>
                </w:p>
              </w:tc>
              <w:tc>
                <w:tcPr>
                  <w:cnfStyle w:val="000001000000" w:firstRow="0" w:lastRow="0" w:firstColumn="0" w:lastColumn="0" w:oddVBand="0" w:evenVBand="1" w:oddHBand="0" w:evenHBand="0" w:firstRowFirstColumn="0" w:firstRowLastColumn="0" w:lastRowFirstColumn="0" w:lastRowLastColumn="0"/>
                  <w:tcW w:w="445" w:type="pct"/>
                  <w:shd w:val="clear" w:color="auto" w:fill="BFBFBF" w:themeFill="background1" w:themeFillShade="BF"/>
                </w:tcPr>
                <w:p w14:paraId="67FAE1BB" w14:textId="77777777" w:rsidR="005861FF" w:rsidRPr="00C32468" w:rsidRDefault="005861FF" w:rsidP="000E1806">
                  <w:pPr>
                    <w:spacing w:before="10" w:after="10" w:line="220" w:lineRule="atLeast"/>
                    <w:rPr>
                      <w:rFonts w:ascii="Myriad Pro" w:hAnsi="Myriad Pro" w:cs="Calibri"/>
                      <w:b/>
                      <w:bCs/>
                      <w:sz w:val="18"/>
                      <w:szCs w:val="18"/>
                      <w:lang w:val="en-US"/>
                    </w:rPr>
                  </w:pPr>
                  <w:r w:rsidRPr="00C32468">
                    <w:rPr>
                      <w:rFonts w:ascii="Myriad Pro" w:hAnsi="Myriad Pro" w:cs="Calibri"/>
                      <w:b/>
                      <w:bCs/>
                      <w:sz w:val="18"/>
                      <w:szCs w:val="18"/>
                      <w:lang w:val="en-US"/>
                    </w:rPr>
                    <w:t>2015</w:t>
                  </w:r>
                </w:p>
              </w:tc>
              <w:tc>
                <w:tcPr>
                  <w:cnfStyle w:val="000010000000" w:firstRow="0" w:lastRow="0" w:firstColumn="0" w:lastColumn="0" w:oddVBand="1" w:evenVBand="0" w:oddHBand="0" w:evenHBand="0" w:firstRowFirstColumn="0" w:firstRowLastColumn="0" w:lastRowFirstColumn="0" w:lastRowLastColumn="0"/>
                  <w:tcW w:w="445" w:type="pct"/>
                  <w:shd w:val="clear" w:color="auto" w:fill="BFBFBF" w:themeFill="background1" w:themeFillShade="BF"/>
                </w:tcPr>
                <w:p w14:paraId="1EB2B5BA" w14:textId="77777777" w:rsidR="005861FF" w:rsidRPr="00C32468" w:rsidRDefault="005861FF" w:rsidP="000E1806">
                  <w:pPr>
                    <w:spacing w:before="10" w:after="10" w:line="220" w:lineRule="atLeast"/>
                    <w:rPr>
                      <w:rFonts w:ascii="Myriad Pro" w:hAnsi="Myriad Pro" w:cs="Calibri"/>
                      <w:b/>
                      <w:bCs/>
                      <w:sz w:val="18"/>
                      <w:szCs w:val="18"/>
                      <w:lang w:val="en-US"/>
                    </w:rPr>
                  </w:pPr>
                  <w:r w:rsidRPr="00C32468">
                    <w:rPr>
                      <w:rFonts w:ascii="Myriad Pro" w:hAnsi="Myriad Pro" w:cs="Calibri"/>
                      <w:b/>
                      <w:bCs/>
                      <w:sz w:val="18"/>
                      <w:szCs w:val="18"/>
                      <w:lang w:val="en-US"/>
                    </w:rPr>
                    <w:t>2019</w:t>
                  </w:r>
                </w:p>
              </w:tc>
              <w:tc>
                <w:tcPr>
                  <w:cnfStyle w:val="000001000000" w:firstRow="0" w:lastRow="0" w:firstColumn="0" w:lastColumn="0" w:oddVBand="0" w:evenVBand="1" w:oddHBand="0" w:evenHBand="0" w:firstRowFirstColumn="0" w:firstRowLastColumn="0" w:lastRowFirstColumn="0" w:lastRowLastColumn="0"/>
                  <w:tcW w:w="445" w:type="pct"/>
                  <w:shd w:val="clear" w:color="auto" w:fill="BFBFBF" w:themeFill="background1" w:themeFillShade="BF"/>
                </w:tcPr>
                <w:p w14:paraId="48F25E89" w14:textId="77777777" w:rsidR="005861FF" w:rsidRPr="00C32468" w:rsidRDefault="005861FF" w:rsidP="000E1806">
                  <w:pPr>
                    <w:spacing w:before="10" w:after="10" w:line="220" w:lineRule="atLeast"/>
                    <w:rPr>
                      <w:rFonts w:ascii="Myriad Pro" w:hAnsi="Myriad Pro" w:cs="Calibri"/>
                      <w:b/>
                      <w:bCs/>
                      <w:sz w:val="18"/>
                      <w:szCs w:val="18"/>
                      <w:lang w:val="en-US"/>
                    </w:rPr>
                  </w:pPr>
                  <w:r w:rsidRPr="00C32468">
                    <w:rPr>
                      <w:rFonts w:ascii="Myriad Pro" w:hAnsi="Myriad Pro" w:cs="Calibri"/>
                      <w:b/>
                      <w:bCs/>
                      <w:sz w:val="18"/>
                      <w:szCs w:val="18"/>
                      <w:lang w:val="en-US"/>
                    </w:rPr>
                    <w:t>2020</w:t>
                  </w:r>
                </w:p>
              </w:tc>
              <w:tc>
                <w:tcPr>
                  <w:cnfStyle w:val="000010000000" w:firstRow="0" w:lastRow="0" w:firstColumn="0" w:lastColumn="0" w:oddVBand="1" w:evenVBand="0" w:oddHBand="0" w:evenHBand="0" w:firstRowFirstColumn="0" w:firstRowLastColumn="0" w:lastRowFirstColumn="0" w:lastRowLastColumn="0"/>
                  <w:tcW w:w="446" w:type="pct"/>
                  <w:shd w:val="clear" w:color="auto" w:fill="BFBFBF" w:themeFill="background1" w:themeFillShade="BF"/>
                </w:tcPr>
                <w:p w14:paraId="15218FEE" w14:textId="77777777" w:rsidR="005861FF" w:rsidRPr="00C32468" w:rsidRDefault="005861FF" w:rsidP="000E1806">
                  <w:pPr>
                    <w:spacing w:before="10" w:after="10" w:line="220" w:lineRule="atLeast"/>
                    <w:rPr>
                      <w:rFonts w:ascii="Myriad Pro" w:hAnsi="Myriad Pro" w:cs="Calibri"/>
                      <w:b/>
                      <w:bCs/>
                      <w:sz w:val="18"/>
                      <w:szCs w:val="18"/>
                      <w:lang w:val="en-US"/>
                    </w:rPr>
                  </w:pPr>
                  <w:r w:rsidRPr="00C32468">
                    <w:rPr>
                      <w:rFonts w:ascii="Myriad Pro" w:hAnsi="Myriad Pro" w:cs="Calibri"/>
                      <w:b/>
                      <w:bCs/>
                      <w:sz w:val="18"/>
                      <w:szCs w:val="18"/>
                      <w:lang w:val="en-US"/>
                    </w:rPr>
                    <w:t>2021</w:t>
                  </w:r>
                </w:p>
              </w:tc>
            </w:tr>
            <w:tr w:rsidR="005861FF" w:rsidRPr="00C32468" w14:paraId="4645835B" w14:textId="77777777" w:rsidTr="001F3514">
              <w:trPr>
                <w:trHeight w:val="293"/>
              </w:trPr>
              <w:tc>
                <w:tcPr>
                  <w:cnfStyle w:val="000010000000" w:firstRow="0" w:lastRow="0" w:firstColumn="0" w:lastColumn="0" w:oddVBand="1" w:evenVBand="0" w:oddHBand="0" w:evenHBand="0" w:firstRowFirstColumn="0" w:firstRowLastColumn="0" w:lastRowFirstColumn="0" w:lastRowLastColumn="0"/>
                  <w:tcW w:w="2330" w:type="pct"/>
                </w:tcPr>
                <w:p w14:paraId="38321C39" w14:textId="77777777" w:rsidR="005861FF" w:rsidRPr="00C32468" w:rsidRDefault="005861FF" w:rsidP="001F3514">
                  <w:pPr>
                    <w:spacing w:before="10" w:after="10" w:line="220" w:lineRule="atLeast"/>
                    <w:jc w:val="left"/>
                    <w:rPr>
                      <w:rFonts w:ascii="Myriad Pro" w:hAnsi="Myriad Pro" w:cs="Calibri"/>
                      <w:bCs/>
                      <w:sz w:val="18"/>
                      <w:szCs w:val="18"/>
                      <w:lang w:val="en-US"/>
                    </w:rPr>
                  </w:pPr>
                  <w:r w:rsidRPr="00C32468">
                    <w:rPr>
                      <w:rFonts w:ascii="Myriad Pro" w:hAnsi="Myriad Pro" w:cs="Calibri"/>
                      <w:bCs/>
                      <w:sz w:val="18"/>
                      <w:szCs w:val="18"/>
                      <w:lang w:val="en-US"/>
                    </w:rPr>
                    <w:t>Število podjetnikov</w:t>
                  </w:r>
                </w:p>
              </w:tc>
              <w:tc>
                <w:tcPr>
                  <w:cnfStyle w:val="000001000000" w:firstRow="0" w:lastRow="0" w:firstColumn="0" w:lastColumn="0" w:oddVBand="0" w:evenVBand="1" w:oddHBand="0" w:evenHBand="0" w:firstRowFirstColumn="0" w:firstRowLastColumn="0" w:lastRowFirstColumn="0" w:lastRowLastColumn="0"/>
                  <w:tcW w:w="445" w:type="pct"/>
                </w:tcPr>
                <w:p w14:paraId="75718827"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4.902</w:t>
                  </w:r>
                </w:p>
              </w:tc>
              <w:tc>
                <w:tcPr>
                  <w:cnfStyle w:val="000010000000" w:firstRow="0" w:lastRow="0" w:firstColumn="0" w:lastColumn="0" w:oddVBand="1" w:evenVBand="0" w:oddHBand="0" w:evenHBand="0" w:firstRowFirstColumn="0" w:firstRowLastColumn="0" w:lastRowFirstColumn="0" w:lastRowLastColumn="0"/>
                  <w:tcW w:w="445" w:type="pct"/>
                </w:tcPr>
                <w:p w14:paraId="1F812B05"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5.084</w:t>
                  </w:r>
                </w:p>
              </w:tc>
              <w:tc>
                <w:tcPr>
                  <w:cnfStyle w:val="000001000000" w:firstRow="0" w:lastRow="0" w:firstColumn="0" w:lastColumn="0" w:oddVBand="0" w:evenVBand="1" w:oddHBand="0" w:evenHBand="0" w:firstRowFirstColumn="0" w:firstRowLastColumn="0" w:lastRowFirstColumn="0" w:lastRowLastColumn="0"/>
                  <w:tcW w:w="445" w:type="pct"/>
                </w:tcPr>
                <w:p w14:paraId="395C1331"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4.720</w:t>
                  </w:r>
                </w:p>
              </w:tc>
              <w:tc>
                <w:tcPr>
                  <w:cnfStyle w:val="000010000000" w:firstRow="0" w:lastRow="0" w:firstColumn="0" w:lastColumn="0" w:oddVBand="1" w:evenVBand="0" w:oddHBand="0" w:evenHBand="0" w:firstRowFirstColumn="0" w:firstRowLastColumn="0" w:lastRowFirstColumn="0" w:lastRowLastColumn="0"/>
                  <w:tcW w:w="445" w:type="pct"/>
                </w:tcPr>
                <w:p w14:paraId="1C59175E"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4.168</w:t>
                  </w:r>
                </w:p>
              </w:tc>
              <w:tc>
                <w:tcPr>
                  <w:cnfStyle w:val="000001000000" w:firstRow="0" w:lastRow="0" w:firstColumn="0" w:lastColumn="0" w:oddVBand="0" w:evenVBand="1" w:oddHBand="0" w:evenHBand="0" w:firstRowFirstColumn="0" w:firstRowLastColumn="0" w:lastRowFirstColumn="0" w:lastRowLastColumn="0"/>
                  <w:tcW w:w="445" w:type="pct"/>
                </w:tcPr>
                <w:p w14:paraId="20E23F73"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4.098</w:t>
                  </w:r>
                </w:p>
              </w:tc>
              <w:tc>
                <w:tcPr>
                  <w:cnfStyle w:val="000010000000" w:firstRow="0" w:lastRow="0" w:firstColumn="0" w:lastColumn="0" w:oddVBand="1" w:evenVBand="0" w:oddHBand="0" w:evenHBand="0" w:firstRowFirstColumn="0" w:firstRowLastColumn="0" w:lastRowFirstColumn="0" w:lastRowLastColumn="0"/>
                  <w:tcW w:w="446" w:type="pct"/>
                </w:tcPr>
                <w:p w14:paraId="22A8F180"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4</w:t>
                  </w:r>
                  <w:r w:rsidRPr="00C32468">
                    <w:rPr>
                      <w:rFonts w:ascii="Myriad Pro" w:hAnsi="Myriad Pro" w:cs="Calibri"/>
                      <w:sz w:val="18"/>
                      <w:szCs w:val="18"/>
                      <w:lang w:val="en-US"/>
                    </w:rPr>
                    <w:t>.325</w:t>
                  </w:r>
                </w:p>
              </w:tc>
            </w:tr>
            <w:tr w:rsidR="005861FF" w:rsidRPr="00C32468" w14:paraId="3B5CEB91" w14:textId="77777777" w:rsidTr="001F3514">
              <w:trPr>
                <w:trHeight w:val="293"/>
              </w:trPr>
              <w:tc>
                <w:tcPr>
                  <w:cnfStyle w:val="000010000000" w:firstRow="0" w:lastRow="0" w:firstColumn="0" w:lastColumn="0" w:oddVBand="1" w:evenVBand="0" w:oddHBand="0" w:evenHBand="0" w:firstRowFirstColumn="0" w:firstRowLastColumn="0" w:lastRowFirstColumn="0" w:lastRowLastColumn="0"/>
                  <w:tcW w:w="2330" w:type="pct"/>
                </w:tcPr>
                <w:p w14:paraId="73CD1B50" w14:textId="77777777" w:rsidR="005861FF" w:rsidRPr="00C32468" w:rsidRDefault="005861FF" w:rsidP="001F3514">
                  <w:pPr>
                    <w:spacing w:before="10" w:after="10" w:line="220" w:lineRule="atLeast"/>
                    <w:jc w:val="left"/>
                    <w:rPr>
                      <w:rFonts w:ascii="Myriad Pro" w:hAnsi="Myriad Pro" w:cs="Calibri"/>
                      <w:bCs/>
                      <w:sz w:val="18"/>
                      <w:szCs w:val="18"/>
                      <w:lang w:val="en-US"/>
                    </w:rPr>
                  </w:pPr>
                  <w:r w:rsidRPr="00C32468">
                    <w:rPr>
                      <w:rFonts w:ascii="Myriad Pro" w:hAnsi="Myriad Pro" w:cs="Calibri"/>
                      <w:bCs/>
                      <w:sz w:val="18"/>
                      <w:szCs w:val="18"/>
                      <w:lang w:val="en-US"/>
                    </w:rPr>
                    <w:t>Število zaposlenih</w:t>
                  </w:r>
                  <w:r w:rsidRPr="00C32468">
                    <w:rPr>
                      <w:rFonts w:ascii="Myriad Pro" w:hAnsi="Myriad Pro" w:cs="Calibri"/>
                      <w:bCs/>
                      <w:sz w:val="18"/>
                      <w:szCs w:val="18"/>
                      <w:vertAlign w:val="superscript"/>
                      <w:lang w:val="en-US"/>
                    </w:rPr>
                    <w:t>1</w:t>
                  </w:r>
                  <w:r w:rsidRPr="00C32468">
                    <w:rPr>
                      <w:rFonts w:ascii="Myriad Pro" w:hAnsi="Myriad Pro" w:cs="Calibri"/>
                      <w:bCs/>
                      <w:sz w:val="18"/>
                      <w:szCs w:val="18"/>
                      <w:lang w:val="en-US"/>
                    </w:rPr>
                    <w:t xml:space="preserve"> </w:t>
                  </w:r>
                </w:p>
              </w:tc>
              <w:tc>
                <w:tcPr>
                  <w:cnfStyle w:val="000001000000" w:firstRow="0" w:lastRow="0" w:firstColumn="0" w:lastColumn="0" w:oddVBand="0" w:evenVBand="1" w:oddHBand="0" w:evenHBand="0" w:firstRowFirstColumn="0" w:firstRowLastColumn="0" w:lastRowFirstColumn="0" w:lastRowLastColumn="0"/>
                  <w:tcW w:w="445" w:type="pct"/>
                </w:tcPr>
                <w:p w14:paraId="1E9DC36D"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7.681</w:t>
                  </w:r>
                </w:p>
              </w:tc>
              <w:tc>
                <w:tcPr>
                  <w:cnfStyle w:val="000010000000" w:firstRow="0" w:lastRow="0" w:firstColumn="0" w:lastColumn="0" w:oddVBand="1" w:evenVBand="0" w:oddHBand="0" w:evenHBand="0" w:firstRowFirstColumn="0" w:firstRowLastColumn="0" w:lastRowFirstColumn="0" w:lastRowLastColumn="0"/>
                  <w:tcW w:w="445" w:type="pct"/>
                </w:tcPr>
                <w:p w14:paraId="255EEDB6"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6.962</w:t>
                  </w:r>
                </w:p>
              </w:tc>
              <w:tc>
                <w:tcPr>
                  <w:cnfStyle w:val="000001000000" w:firstRow="0" w:lastRow="0" w:firstColumn="0" w:lastColumn="0" w:oddVBand="0" w:evenVBand="1" w:oddHBand="0" w:evenHBand="0" w:firstRowFirstColumn="0" w:firstRowLastColumn="0" w:lastRowFirstColumn="0" w:lastRowLastColumn="0"/>
                  <w:tcW w:w="445" w:type="pct"/>
                </w:tcPr>
                <w:p w14:paraId="45D23309"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5.897</w:t>
                  </w:r>
                </w:p>
              </w:tc>
              <w:tc>
                <w:tcPr>
                  <w:cnfStyle w:val="000010000000" w:firstRow="0" w:lastRow="0" w:firstColumn="0" w:lastColumn="0" w:oddVBand="1" w:evenVBand="0" w:oddHBand="0" w:evenHBand="0" w:firstRowFirstColumn="0" w:firstRowLastColumn="0" w:lastRowFirstColumn="0" w:lastRowLastColumn="0"/>
                  <w:tcW w:w="445" w:type="pct"/>
                </w:tcPr>
                <w:p w14:paraId="2BFCCAE5"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6.669</w:t>
                  </w:r>
                </w:p>
              </w:tc>
              <w:tc>
                <w:tcPr>
                  <w:cnfStyle w:val="000001000000" w:firstRow="0" w:lastRow="0" w:firstColumn="0" w:lastColumn="0" w:oddVBand="0" w:evenVBand="1" w:oddHBand="0" w:evenHBand="0" w:firstRowFirstColumn="0" w:firstRowLastColumn="0" w:lastRowFirstColumn="0" w:lastRowLastColumn="0"/>
                  <w:tcW w:w="445" w:type="pct"/>
                </w:tcPr>
                <w:p w14:paraId="1C0078E1"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6.153</w:t>
                  </w:r>
                </w:p>
              </w:tc>
              <w:tc>
                <w:tcPr>
                  <w:cnfStyle w:val="000010000000" w:firstRow="0" w:lastRow="0" w:firstColumn="0" w:lastColumn="0" w:oddVBand="1" w:evenVBand="0" w:oddHBand="0" w:evenHBand="0" w:firstRowFirstColumn="0" w:firstRowLastColumn="0" w:lastRowFirstColumn="0" w:lastRowLastColumn="0"/>
                  <w:tcW w:w="446" w:type="pct"/>
                </w:tcPr>
                <w:p w14:paraId="592A005E"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6</w:t>
                  </w:r>
                  <w:r w:rsidRPr="00C32468">
                    <w:rPr>
                      <w:rFonts w:ascii="Myriad Pro" w:hAnsi="Myriad Pro" w:cs="Calibri"/>
                      <w:sz w:val="18"/>
                      <w:szCs w:val="18"/>
                      <w:lang w:val="en-US"/>
                    </w:rPr>
                    <w:t>.095</w:t>
                  </w:r>
                </w:p>
              </w:tc>
            </w:tr>
            <w:tr w:rsidR="005861FF" w:rsidRPr="00C32468" w14:paraId="528C389B" w14:textId="77777777" w:rsidTr="001F3514">
              <w:trPr>
                <w:trHeight w:val="293"/>
              </w:trPr>
              <w:tc>
                <w:tcPr>
                  <w:cnfStyle w:val="000010000000" w:firstRow="0" w:lastRow="0" w:firstColumn="0" w:lastColumn="0" w:oddVBand="1" w:evenVBand="0" w:oddHBand="0" w:evenHBand="0" w:firstRowFirstColumn="0" w:firstRowLastColumn="0" w:lastRowFirstColumn="0" w:lastRowLastColumn="0"/>
                  <w:tcW w:w="2330" w:type="pct"/>
                </w:tcPr>
                <w:p w14:paraId="76C5F636" w14:textId="77777777" w:rsidR="005861FF" w:rsidRPr="00E555FC" w:rsidRDefault="005861FF" w:rsidP="001F3514">
                  <w:pPr>
                    <w:spacing w:before="10" w:after="10" w:line="220" w:lineRule="atLeast"/>
                    <w:jc w:val="left"/>
                    <w:rPr>
                      <w:rFonts w:ascii="Myriad Pro" w:hAnsi="Myriad Pro" w:cs="Calibri"/>
                      <w:bCs/>
                      <w:sz w:val="18"/>
                      <w:szCs w:val="18"/>
                    </w:rPr>
                  </w:pPr>
                  <w:r w:rsidRPr="00E555FC">
                    <w:rPr>
                      <w:rFonts w:ascii="Myriad Pro" w:hAnsi="Myriad Pro" w:cs="Calibri"/>
                      <w:bCs/>
                      <w:sz w:val="18"/>
                      <w:szCs w:val="18"/>
                    </w:rPr>
                    <w:t xml:space="preserve">Delež dejavnosti v </w:t>
                  </w:r>
                  <w:r w:rsidRPr="00E555FC">
                    <w:rPr>
                      <w:rFonts w:ascii="Myriad Pro" w:hAnsi="Myriad Pro" w:cs="Calibri"/>
                      <w:bCs/>
                      <w:noProof/>
                      <w:sz w:val="18"/>
                      <w:szCs w:val="18"/>
                    </w:rPr>
                    <w:t>zaposl. vseh</w:t>
                  </w:r>
                  <w:r w:rsidRPr="00E555FC">
                    <w:rPr>
                      <w:rFonts w:ascii="Myriad Pro" w:hAnsi="Myriad Pro" w:cs="Calibri"/>
                      <w:bCs/>
                      <w:sz w:val="18"/>
                      <w:szCs w:val="18"/>
                    </w:rPr>
                    <w:t xml:space="preserve"> podjetnikov</w:t>
                  </w:r>
                </w:p>
              </w:tc>
              <w:tc>
                <w:tcPr>
                  <w:cnfStyle w:val="000001000000" w:firstRow="0" w:lastRow="0" w:firstColumn="0" w:lastColumn="0" w:oddVBand="0" w:evenVBand="1" w:oddHBand="0" w:evenHBand="0" w:firstRowFirstColumn="0" w:firstRowLastColumn="0" w:lastRowFirstColumn="0" w:lastRowLastColumn="0"/>
                  <w:tcW w:w="445" w:type="pct"/>
                </w:tcPr>
                <w:p w14:paraId="23835BF9"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12,3</w:t>
                  </w:r>
                </w:p>
              </w:tc>
              <w:tc>
                <w:tcPr>
                  <w:cnfStyle w:val="000010000000" w:firstRow="0" w:lastRow="0" w:firstColumn="0" w:lastColumn="0" w:oddVBand="1" w:evenVBand="0" w:oddHBand="0" w:evenHBand="0" w:firstRowFirstColumn="0" w:firstRowLastColumn="0" w:lastRowFirstColumn="0" w:lastRowLastColumn="0"/>
                  <w:tcW w:w="445" w:type="pct"/>
                </w:tcPr>
                <w:p w14:paraId="016C17BB"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13,8</w:t>
                  </w:r>
                </w:p>
              </w:tc>
              <w:tc>
                <w:tcPr>
                  <w:cnfStyle w:val="000001000000" w:firstRow="0" w:lastRow="0" w:firstColumn="0" w:lastColumn="0" w:oddVBand="0" w:evenVBand="1" w:oddHBand="0" w:evenHBand="0" w:firstRowFirstColumn="0" w:firstRowLastColumn="0" w:lastRowFirstColumn="0" w:lastRowLastColumn="0"/>
                  <w:tcW w:w="445" w:type="pct"/>
                </w:tcPr>
                <w:p w14:paraId="2AD72439"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14,4</w:t>
                  </w:r>
                </w:p>
              </w:tc>
              <w:tc>
                <w:tcPr>
                  <w:cnfStyle w:val="000010000000" w:firstRow="0" w:lastRow="0" w:firstColumn="0" w:lastColumn="0" w:oddVBand="1" w:evenVBand="0" w:oddHBand="0" w:evenHBand="0" w:firstRowFirstColumn="0" w:firstRowLastColumn="0" w:lastRowFirstColumn="0" w:lastRowLastColumn="0"/>
                  <w:tcW w:w="445" w:type="pct"/>
                </w:tcPr>
                <w:p w14:paraId="1A955688"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15,1</w:t>
                  </w:r>
                </w:p>
              </w:tc>
              <w:tc>
                <w:tcPr>
                  <w:cnfStyle w:val="000001000000" w:firstRow="0" w:lastRow="0" w:firstColumn="0" w:lastColumn="0" w:oddVBand="0" w:evenVBand="1" w:oddHBand="0" w:evenHBand="0" w:firstRowFirstColumn="0" w:firstRowLastColumn="0" w:lastRowFirstColumn="0" w:lastRowLastColumn="0"/>
                  <w:tcW w:w="445" w:type="pct"/>
                </w:tcPr>
                <w:p w14:paraId="6E256ABF"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14,7</w:t>
                  </w:r>
                </w:p>
              </w:tc>
              <w:tc>
                <w:tcPr>
                  <w:cnfStyle w:val="000010000000" w:firstRow="0" w:lastRow="0" w:firstColumn="0" w:lastColumn="0" w:oddVBand="1" w:evenVBand="0" w:oddHBand="0" w:evenHBand="0" w:firstRowFirstColumn="0" w:firstRowLastColumn="0" w:lastRowFirstColumn="0" w:lastRowLastColumn="0"/>
                  <w:tcW w:w="446" w:type="pct"/>
                </w:tcPr>
                <w:p w14:paraId="2C7D0096"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15,0</w:t>
                  </w:r>
                </w:p>
              </w:tc>
            </w:tr>
            <w:tr w:rsidR="005861FF" w:rsidRPr="00C32468" w14:paraId="32FE136C" w14:textId="77777777" w:rsidTr="001F3514">
              <w:trPr>
                <w:trHeight w:val="293"/>
              </w:trPr>
              <w:tc>
                <w:tcPr>
                  <w:cnfStyle w:val="000010000000" w:firstRow="0" w:lastRow="0" w:firstColumn="0" w:lastColumn="0" w:oddVBand="1" w:evenVBand="0" w:oddHBand="0" w:evenHBand="0" w:firstRowFirstColumn="0" w:firstRowLastColumn="0" w:lastRowFirstColumn="0" w:lastRowLastColumn="0"/>
                  <w:tcW w:w="2330" w:type="pct"/>
                </w:tcPr>
                <w:p w14:paraId="68648266" w14:textId="77777777" w:rsidR="005861FF" w:rsidRPr="00C32468" w:rsidRDefault="005861FF" w:rsidP="001F3514">
                  <w:pPr>
                    <w:spacing w:before="10" w:after="10" w:line="220" w:lineRule="atLeast"/>
                    <w:jc w:val="left"/>
                    <w:rPr>
                      <w:rFonts w:ascii="Myriad Pro" w:hAnsi="Myriad Pro" w:cs="Calibri"/>
                      <w:bCs/>
                      <w:sz w:val="18"/>
                      <w:szCs w:val="18"/>
                      <w:lang w:val="it-IT"/>
                    </w:rPr>
                  </w:pPr>
                  <w:r w:rsidRPr="00C32468">
                    <w:rPr>
                      <w:rFonts w:ascii="Myriad Pro" w:hAnsi="Myriad Pro" w:cs="Calibri"/>
                      <w:bCs/>
                      <w:sz w:val="18"/>
                      <w:szCs w:val="18"/>
                      <w:lang w:val="it-IT"/>
                    </w:rPr>
                    <w:t>Neto dodana vrednost/</w:t>
                  </w:r>
                  <w:r w:rsidRPr="00C32468">
                    <w:rPr>
                      <w:rFonts w:ascii="Myriad Pro" w:hAnsi="Myriad Pro" w:cs="Calibri"/>
                      <w:bCs/>
                      <w:noProof/>
                      <w:sz w:val="18"/>
                      <w:szCs w:val="18"/>
                      <w:lang w:val="it-IT"/>
                    </w:rPr>
                    <w:t>zap. (v</w:t>
                  </w:r>
                  <w:r w:rsidRPr="00C32468">
                    <w:rPr>
                      <w:rFonts w:ascii="Myriad Pro" w:hAnsi="Myriad Pro" w:cs="Calibri"/>
                      <w:bCs/>
                      <w:sz w:val="18"/>
                      <w:szCs w:val="18"/>
                      <w:lang w:val="it-IT"/>
                    </w:rPr>
                    <w:t xml:space="preserve"> EUR)</w:t>
                  </w:r>
                </w:p>
              </w:tc>
              <w:tc>
                <w:tcPr>
                  <w:cnfStyle w:val="000001000000" w:firstRow="0" w:lastRow="0" w:firstColumn="0" w:lastColumn="0" w:oddVBand="0" w:evenVBand="1" w:oddHBand="0" w:evenHBand="0" w:firstRowFirstColumn="0" w:firstRowLastColumn="0" w:lastRowFirstColumn="0" w:lastRowLastColumn="0"/>
                  <w:tcW w:w="445" w:type="pct"/>
                </w:tcPr>
                <w:p w14:paraId="72EB7910"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17.641</w:t>
                  </w:r>
                </w:p>
              </w:tc>
              <w:tc>
                <w:tcPr>
                  <w:cnfStyle w:val="000010000000" w:firstRow="0" w:lastRow="0" w:firstColumn="0" w:lastColumn="0" w:oddVBand="1" w:evenVBand="0" w:oddHBand="0" w:evenHBand="0" w:firstRowFirstColumn="0" w:firstRowLastColumn="0" w:lastRowFirstColumn="0" w:lastRowLastColumn="0"/>
                  <w:tcW w:w="445" w:type="pct"/>
                </w:tcPr>
                <w:p w14:paraId="4E905E3C"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17.805</w:t>
                  </w:r>
                </w:p>
              </w:tc>
              <w:tc>
                <w:tcPr>
                  <w:cnfStyle w:val="000001000000" w:firstRow="0" w:lastRow="0" w:firstColumn="0" w:lastColumn="0" w:oddVBand="0" w:evenVBand="1" w:oddHBand="0" w:evenHBand="0" w:firstRowFirstColumn="0" w:firstRowLastColumn="0" w:lastRowFirstColumn="0" w:lastRowLastColumn="0"/>
                  <w:tcW w:w="445" w:type="pct"/>
                </w:tcPr>
                <w:p w14:paraId="137C14B8"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21.726</w:t>
                  </w:r>
                </w:p>
              </w:tc>
              <w:tc>
                <w:tcPr>
                  <w:cnfStyle w:val="000010000000" w:firstRow="0" w:lastRow="0" w:firstColumn="0" w:lastColumn="0" w:oddVBand="1" w:evenVBand="0" w:oddHBand="0" w:evenHBand="0" w:firstRowFirstColumn="0" w:firstRowLastColumn="0" w:lastRowFirstColumn="0" w:lastRowLastColumn="0"/>
                  <w:tcW w:w="445" w:type="pct"/>
                </w:tcPr>
                <w:p w14:paraId="1A33800F"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24.022</w:t>
                  </w:r>
                </w:p>
              </w:tc>
              <w:tc>
                <w:tcPr>
                  <w:cnfStyle w:val="000001000000" w:firstRow="0" w:lastRow="0" w:firstColumn="0" w:lastColumn="0" w:oddVBand="0" w:evenVBand="1" w:oddHBand="0" w:evenHBand="0" w:firstRowFirstColumn="0" w:firstRowLastColumn="0" w:lastRowFirstColumn="0" w:lastRowLastColumn="0"/>
                  <w:tcW w:w="445" w:type="pct"/>
                </w:tcPr>
                <w:p w14:paraId="44C46F2E"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21.241</w:t>
                  </w:r>
                </w:p>
              </w:tc>
              <w:tc>
                <w:tcPr>
                  <w:cnfStyle w:val="000010000000" w:firstRow="0" w:lastRow="0" w:firstColumn="0" w:lastColumn="0" w:oddVBand="1" w:evenVBand="0" w:oddHBand="0" w:evenHBand="0" w:firstRowFirstColumn="0" w:firstRowLastColumn="0" w:lastRowFirstColumn="0" w:lastRowLastColumn="0"/>
                  <w:tcW w:w="446" w:type="pct"/>
                </w:tcPr>
                <w:p w14:paraId="3EEA063C"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2</w:t>
                  </w:r>
                  <w:r w:rsidRPr="00C32468">
                    <w:rPr>
                      <w:rFonts w:ascii="Myriad Pro" w:hAnsi="Myriad Pro" w:cs="Calibri"/>
                      <w:sz w:val="18"/>
                      <w:szCs w:val="18"/>
                      <w:lang w:val="en-US"/>
                    </w:rPr>
                    <w:t>7.180</w:t>
                  </w:r>
                </w:p>
              </w:tc>
            </w:tr>
            <w:tr w:rsidR="005861FF" w:rsidRPr="00C32468" w14:paraId="0D4A52F1" w14:textId="77777777" w:rsidTr="001F3514">
              <w:trPr>
                <w:trHeight w:val="293"/>
              </w:trPr>
              <w:tc>
                <w:tcPr>
                  <w:cnfStyle w:val="000010000000" w:firstRow="0" w:lastRow="0" w:firstColumn="0" w:lastColumn="0" w:oddVBand="1" w:evenVBand="0" w:oddHBand="0" w:evenHBand="0" w:firstRowFirstColumn="0" w:firstRowLastColumn="0" w:lastRowFirstColumn="0" w:lastRowLastColumn="0"/>
                  <w:tcW w:w="2330" w:type="pct"/>
                </w:tcPr>
                <w:p w14:paraId="583BF817" w14:textId="77777777" w:rsidR="005861FF" w:rsidRPr="000E5732" w:rsidRDefault="005861FF" w:rsidP="001F3514">
                  <w:pPr>
                    <w:spacing w:before="10" w:after="10" w:line="220" w:lineRule="atLeast"/>
                    <w:jc w:val="left"/>
                    <w:rPr>
                      <w:rFonts w:ascii="Myriad Pro" w:hAnsi="Myriad Pro" w:cs="Calibri"/>
                      <w:bCs/>
                      <w:sz w:val="18"/>
                      <w:szCs w:val="18"/>
                    </w:rPr>
                  </w:pPr>
                  <w:r w:rsidRPr="000E5732">
                    <w:rPr>
                      <w:rFonts w:ascii="Myriad Pro" w:hAnsi="Myriad Pro" w:cs="Calibri"/>
                      <w:bCs/>
                      <w:sz w:val="18"/>
                      <w:szCs w:val="18"/>
                    </w:rPr>
                    <w:t>Neto dodana vrednost (brez subvencij)/zap. (v EUR)</w:t>
                  </w:r>
                </w:p>
              </w:tc>
              <w:tc>
                <w:tcPr>
                  <w:cnfStyle w:val="000001000000" w:firstRow="0" w:lastRow="0" w:firstColumn="0" w:lastColumn="0" w:oddVBand="0" w:evenVBand="1" w:oddHBand="0" w:evenHBand="0" w:firstRowFirstColumn="0" w:firstRowLastColumn="0" w:lastRowFirstColumn="0" w:lastRowLastColumn="0"/>
                  <w:tcW w:w="445" w:type="pct"/>
                </w:tcPr>
                <w:p w14:paraId="0FA96CBD" w14:textId="77777777" w:rsidR="005861FF" w:rsidRPr="000E5732" w:rsidRDefault="005861FF" w:rsidP="000E1806">
                  <w:pPr>
                    <w:spacing w:before="10" w:after="10" w:line="220" w:lineRule="atLeast"/>
                    <w:rPr>
                      <w:rFonts w:ascii="Myriad Pro" w:hAnsi="Myriad Pro" w:cs="Calibri"/>
                      <w:bCs/>
                      <w:sz w:val="18"/>
                      <w:szCs w:val="18"/>
                    </w:rPr>
                  </w:pPr>
                </w:p>
              </w:tc>
              <w:tc>
                <w:tcPr>
                  <w:cnfStyle w:val="000010000000" w:firstRow="0" w:lastRow="0" w:firstColumn="0" w:lastColumn="0" w:oddVBand="1" w:evenVBand="0" w:oddHBand="0" w:evenHBand="0" w:firstRowFirstColumn="0" w:firstRowLastColumn="0" w:lastRowFirstColumn="0" w:lastRowLastColumn="0"/>
                  <w:tcW w:w="445" w:type="pct"/>
                </w:tcPr>
                <w:p w14:paraId="71BD5517" w14:textId="77777777" w:rsidR="005861FF" w:rsidRPr="000E5732" w:rsidRDefault="005861FF" w:rsidP="000E1806">
                  <w:pPr>
                    <w:spacing w:before="10" w:after="10" w:line="220" w:lineRule="atLeast"/>
                    <w:rPr>
                      <w:rFonts w:ascii="Myriad Pro" w:hAnsi="Myriad Pro" w:cs="Calibri"/>
                      <w:bCs/>
                      <w:sz w:val="18"/>
                      <w:szCs w:val="18"/>
                    </w:rPr>
                  </w:pPr>
                </w:p>
              </w:tc>
              <w:tc>
                <w:tcPr>
                  <w:cnfStyle w:val="000001000000" w:firstRow="0" w:lastRow="0" w:firstColumn="0" w:lastColumn="0" w:oddVBand="0" w:evenVBand="1" w:oddHBand="0" w:evenHBand="0" w:firstRowFirstColumn="0" w:firstRowLastColumn="0" w:lastRowFirstColumn="0" w:lastRowLastColumn="0"/>
                  <w:tcW w:w="445" w:type="pct"/>
                </w:tcPr>
                <w:p w14:paraId="077649AC" w14:textId="77777777" w:rsidR="005861FF" w:rsidRPr="000E5732" w:rsidRDefault="005861FF" w:rsidP="000E1806">
                  <w:pPr>
                    <w:spacing w:before="10" w:after="10" w:line="220" w:lineRule="atLeast"/>
                    <w:rPr>
                      <w:rFonts w:ascii="Myriad Pro" w:hAnsi="Myriad Pro" w:cs="Calibri"/>
                      <w:bCs/>
                      <w:sz w:val="18"/>
                      <w:szCs w:val="18"/>
                    </w:rPr>
                  </w:pPr>
                </w:p>
              </w:tc>
              <w:tc>
                <w:tcPr>
                  <w:cnfStyle w:val="000010000000" w:firstRow="0" w:lastRow="0" w:firstColumn="0" w:lastColumn="0" w:oddVBand="1" w:evenVBand="0" w:oddHBand="0" w:evenHBand="0" w:firstRowFirstColumn="0" w:firstRowLastColumn="0" w:lastRowFirstColumn="0" w:lastRowLastColumn="0"/>
                  <w:tcW w:w="445" w:type="pct"/>
                </w:tcPr>
                <w:p w14:paraId="5FF4F7C4"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23.706</w:t>
                  </w:r>
                </w:p>
              </w:tc>
              <w:tc>
                <w:tcPr>
                  <w:cnfStyle w:val="000001000000" w:firstRow="0" w:lastRow="0" w:firstColumn="0" w:lastColumn="0" w:oddVBand="0" w:evenVBand="1" w:oddHBand="0" w:evenHBand="0" w:firstRowFirstColumn="0" w:firstRowLastColumn="0" w:lastRowFirstColumn="0" w:lastRowLastColumn="0"/>
                  <w:tcW w:w="445" w:type="pct"/>
                </w:tcPr>
                <w:p w14:paraId="53D20174"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14.301</w:t>
                  </w:r>
                </w:p>
              </w:tc>
              <w:tc>
                <w:tcPr>
                  <w:cnfStyle w:val="000010000000" w:firstRow="0" w:lastRow="0" w:firstColumn="0" w:lastColumn="0" w:oddVBand="1" w:evenVBand="0" w:oddHBand="0" w:evenHBand="0" w:firstRowFirstColumn="0" w:firstRowLastColumn="0" w:lastRowFirstColumn="0" w:lastRowLastColumn="0"/>
                  <w:tcW w:w="446" w:type="pct"/>
                </w:tcPr>
                <w:p w14:paraId="3A8EA485"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17.460</w:t>
                  </w:r>
                </w:p>
              </w:tc>
            </w:tr>
            <w:tr w:rsidR="005861FF" w:rsidRPr="00C32468" w14:paraId="4C3B36AA" w14:textId="77777777" w:rsidTr="001F3514">
              <w:trPr>
                <w:trHeight w:val="293"/>
              </w:trPr>
              <w:tc>
                <w:tcPr>
                  <w:cnfStyle w:val="000010000000" w:firstRow="0" w:lastRow="0" w:firstColumn="0" w:lastColumn="0" w:oddVBand="1" w:evenVBand="0" w:oddHBand="0" w:evenHBand="0" w:firstRowFirstColumn="0" w:firstRowLastColumn="0" w:lastRowFirstColumn="0" w:lastRowLastColumn="0"/>
                  <w:tcW w:w="2330" w:type="pct"/>
                </w:tcPr>
                <w:p w14:paraId="775CAC1B" w14:textId="77777777" w:rsidR="005861FF" w:rsidRPr="00E555FC" w:rsidRDefault="005861FF" w:rsidP="001F3514">
                  <w:pPr>
                    <w:spacing w:before="10" w:after="10" w:line="220" w:lineRule="atLeast"/>
                    <w:jc w:val="left"/>
                    <w:rPr>
                      <w:rFonts w:ascii="Myriad Pro" w:hAnsi="Myriad Pro" w:cs="Calibri"/>
                      <w:bCs/>
                      <w:sz w:val="18"/>
                      <w:szCs w:val="18"/>
                    </w:rPr>
                  </w:pPr>
                  <w:r w:rsidRPr="00E555FC">
                    <w:rPr>
                      <w:rFonts w:ascii="Myriad Pro" w:hAnsi="Myriad Pro" w:cs="Calibri"/>
                      <w:bCs/>
                      <w:sz w:val="18"/>
                      <w:szCs w:val="18"/>
                    </w:rPr>
                    <w:t>Delež v dodani vrednosti vseh podjetnikov</w:t>
                  </w:r>
                </w:p>
              </w:tc>
              <w:tc>
                <w:tcPr>
                  <w:cnfStyle w:val="000001000000" w:firstRow="0" w:lastRow="0" w:firstColumn="0" w:lastColumn="0" w:oddVBand="0" w:evenVBand="1" w:oddHBand="0" w:evenHBand="0" w:firstRowFirstColumn="0" w:firstRowLastColumn="0" w:lastRowFirstColumn="0" w:lastRowLastColumn="0"/>
                  <w:tcW w:w="445" w:type="pct"/>
                </w:tcPr>
                <w:p w14:paraId="39438FBB"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8,0</w:t>
                  </w:r>
                </w:p>
              </w:tc>
              <w:tc>
                <w:tcPr>
                  <w:cnfStyle w:val="000010000000" w:firstRow="0" w:lastRow="0" w:firstColumn="0" w:lastColumn="0" w:oddVBand="1" w:evenVBand="0" w:oddHBand="0" w:evenHBand="0" w:firstRowFirstColumn="0" w:firstRowLastColumn="0" w:lastRowFirstColumn="0" w:lastRowLastColumn="0"/>
                  <w:tcW w:w="445" w:type="pct"/>
                </w:tcPr>
                <w:p w14:paraId="6FEDBF97"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9,2</w:t>
                  </w:r>
                </w:p>
              </w:tc>
              <w:tc>
                <w:tcPr>
                  <w:cnfStyle w:val="000001000000" w:firstRow="0" w:lastRow="0" w:firstColumn="0" w:lastColumn="0" w:oddVBand="0" w:evenVBand="1" w:oddHBand="0" w:evenHBand="0" w:firstRowFirstColumn="0" w:firstRowLastColumn="0" w:lastRowFirstColumn="0" w:lastRowLastColumn="0"/>
                  <w:tcW w:w="445" w:type="pct"/>
                </w:tcPr>
                <w:p w14:paraId="0EDBE8B6"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10,0</w:t>
                  </w:r>
                </w:p>
              </w:tc>
              <w:tc>
                <w:tcPr>
                  <w:cnfStyle w:val="000010000000" w:firstRow="0" w:lastRow="0" w:firstColumn="0" w:lastColumn="0" w:oddVBand="1" w:evenVBand="0" w:oddHBand="0" w:evenHBand="0" w:firstRowFirstColumn="0" w:firstRowLastColumn="0" w:lastRowFirstColumn="0" w:lastRowLastColumn="0"/>
                  <w:tcW w:w="445" w:type="pct"/>
                </w:tcPr>
                <w:p w14:paraId="257B547A"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10,7</w:t>
                  </w:r>
                </w:p>
              </w:tc>
              <w:tc>
                <w:tcPr>
                  <w:cnfStyle w:val="000001000000" w:firstRow="0" w:lastRow="0" w:firstColumn="0" w:lastColumn="0" w:oddVBand="0" w:evenVBand="1" w:oddHBand="0" w:evenHBand="0" w:firstRowFirstColumn="0" w:firstRowLastColumn="0" w:lastRowFirstColumn="0" w:lastRowLastColumn="0"/>
                  <w:tcW w:w="445" w:type="pct"/>
                </w:tcPr>
                <w:p w14:paraId="0764954E"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9,1</w:t>
                  </w:r>
                </w:p>
              </w:tc>
              <w:tc>
                <w:tcPr>
                  <w:cnfStyle w:val="000010000000" w:firstRow="0" w:lastRow="0" w:firstColumn="0" w:lastColumn="0" w:oddVBand="1" w:evenVBand="0" w:oddHBand="0" w:evenHBand="0" w:firstRowFirstColumn="0" w:firstRowLastColumn="0" w:lastRowFirstColumn="0" w:lastRowLastColumn="0"/>
                  <w:tcW w:w="446" w:type="pct"/>
                </w:tcPr>
                <w:p w14:paraId="38C081AA" w14:textId="77777777" w:rsidR="005861FF" w:rsidRPr="00C32468" w:rsidRDefault="005861FF" w:rsidP="000E1806">
                  <w:pPr>
                    <w:spacing w:before="10" w:after="10" w:line="220" w:lineRule="atLeast"/>
                    <w:rPr>
                      <w:rFonts w:ascii="Myriad Pro" w:hAnsi="Myriad Pro" w:cs="Calibri"/>
                      <w:bCs/>
                      <w:sz w:val="18"/>
                      <w:szCs w:val="18"/>
                      <w:lang w:val="en-US"/>
                    </w:rPr>
                  </w:pPr>
                  <w:r w:rsidRPr="00C32468">
                    <w:rPr>
                      <w:rFonts w:ascii="Myriad Pro" w:hAnsi="Myriad Pro" w:cs="Calibri"/>
                      <w:bCs/>
                      <w:sz w:val="18"/>
                      <w:szCs w:val="18"/>
                      <w:lang w:val="en-US"/>
                    </w:rPr>
                    <w:t>1</w:t>
                  </w:r>
                  <w:r w:rsidRPr="00C32468">
                    <w:rPr>
                      <w:rFonts w:ascii="Myriad Pro" w:hAnsi="Myriad Pro" w:cs="Calibri"/>
                      <w:sz w:val="18"/>
                      <w:szCs w:val="18"/>
                      <w:lang w:val="en-US"/>
                    </w:rPr>
                    <w:t>0,7</w:t>
                  </w:r>
                </w:p>
              </w:tc>
            </w:tr>
            <w:tr w:rsidR="005861FF" w:rsidRPr="00C32468" w14:paraId="60218C29" w14:textId="77777777" w:rsidTr="001F3514">
              <w:trPr>
                <w:trHeight w:val="293"/>
              </w:trPr>
              <w:tc>
                <w:tcPr>
                  <w:cnfStyle w:val="000010000000" w:firstRow="0" w:lastRow="0" w:firstColumn="0" w:lastColumn="0" w:oddVBand="1" w:evenVBand="0" w:oddHBand="0" w:evenHBand="0" w:firstRowFirstColumn="0" w:firstRowLastColumn="0" w:lastRowFirstColumn="0" w:lastRowLastColumn="0"/>
                  <w:tcW w:w="2330" w:type="pct"/>
                </w:tcPr>
                <w:p w14:paraId="16AD04C8" w14:textId="77777777" w:rsidR="005861FF" w:rsidRPr="00E555FC" w:rsidRDefault="005861FF" w:rsidP="001F3514">
                  <w:pPr>
                    <w:spacing w:before="10" w:after="10" w:line="220" w:lineRule="atLeast"/>
                    <w:jc w:val="left"/>
                    <w:rPr>
                      <w:rFonts w:ascii="Myriad Pro" w:hAnsi="Myriad Pro" w:cs="Calibri"/>
                      <w:bCs/>
                      <w:sz w:val="18"/>
                      <w:szCs w:val="18"/>
                    </w:rPr>
                  </w:pPr>
                  <w:r w:rsidRPr="00E555FC">
                    <w:rPr>
                      <w:rFonts w:ascii="Myriad Pro" w:hAnsi="Myriad Pro" w:cs="Calibri"/>
                      <w:bCs/>
                      <w:sz w:val="18"/>
                      <w:szCs w:val="18"/>
                    </w:rPr>
                    <w:t>Neto</w:t>
                  </w:r>
                  <w:r w:rsidRPr="00E555FC">
                    <w:rPr>
                      <w:rFonts w:ascii="Myriad Pro" w:hAnsi="Myriad Pro" w:cs="Calibri"/>
                      <w:bCs/>
                      <w:sz w:val="18"/>
                      <w:szCs w:val="18"/>
                      <w:vertAlign w:val="superscript"/>
                    </w:rPr>
                    <w:t>2</w:t>
                  </w:r>
                  <w:r w:rsidRPr="00E555FC">
                    <w:rPr>
                      <w:rFonts w:ascii="Myriad Pro" w:hAnsi="Myriad Pro" w:cs="Calibri"/>
                      <w:bCs/>
                      <w:sz w:val="18"/>
                      <w:szCs w:val="18"/>
                    </w:rPr>
                    <w:t xml:space="preserve"> podjetnikov dohodek (v tisoč EUR)</w:t>
                  </w:r>
                </w:p>
              </w:tc>
              <w:tc>
                <w:tcPr>
                  <w:cnfStyle w:val="000001000000" w:firstRow="0" w:lastRow="0" w:firstColumn="0" w:lastColumn="0" w:oddVBand="0" w:evenVBand="1" w:oddHBand="0" w:evenHBand="0" w:firstRowFirstColumn="0" w:firstRowLastColumn="0" w:lastRowFirstColumn="0" w:lastRowLastColumn="0"/>
                  <w:tcW w:w="445" w:type="pct"/>
                </w:tcPr>
                <w:p w14:paraId="069D2B26" w14:textId="77777777" w:rsidR="005861FF" w:rsidRPr="00E555FC" w:rsidRDefault="005861FF" w:rsidP="000E1806">
                  <w:pPr>
                    <w:spacing w:before="10" w:after="10" w:line="220" w:lineRule="atLeast"/>
                    <w:rPr>
                      <w:rFonts w:ascii="Myriad Pro" w:hAnsi="Myriad Pro" w:cs="Calibri"/>
                      <w:bCs/>
                      <w:sz w:val="18"/>
                      <w:szCs w:val="18"/>
                    </w:rPr>
                  </w:pPr>
                  <w:r w:rsidRPr="00E555FC">
                    <w:rPr>
                      <w:rFonts w:ascii="Myriad Pro" w:hAnsi="Myriad Pro" w:cs="Calibri"/>
                      <w:bCs/>
                      <w:sz w:val="18"/>
                      <w:szCs w:val="18"/>
                    </w:rPr>
                    <w:t>20.130</w:t>
                  </w:r>
                </w:p>
              </w:tc>
              <w:tc>
                <w:tcPr>
                  <w:cnfStyle w:val="000010000000" w:firstRow="0" w:lastRow="0" w:firstColumn="0" w:lastColumn="0" w:oddVBand="1" w:evenVBand="0" w:oddHBand="0" w:evenHBand="0" w:firstRowFirstColumn="0" w:firstRowLastColumn="0" w:lastRowFirstColumn="0" w:lastRowLastColumn="0"/>
                  <w:tcW w:w="445" w:type="pct"/>
                </w:tcPr>
                <w:p w14:paraId="568D1703" w14:textId="77777777" w:rsidR="005861FF" w:rsidRPr="00E555FC" w:rsidRDefault="005861FF" w:rsidP="000E1806">
                  <w:pPr>
                    <w:spacing w:before="10" w:after="10" w:line="220" w:lineRule="atLeast"/>
                    <w:rPr>
                      <w:rFonts w:ascii="Myriad Pro" w:hAnsi="Myriad Pro" w:cs="Calibri"/>
                      <w:bCs/>
                      <w:sz w:val="18"/>
                      <w:szCs w:val="18"/>
                    </w:rPr>
                  </w:pPr>
                  <w:r w:rsidRPr="00E555FC">
                    <w:rPr>
                      <w:rFonts w:ascii="Myriad Pro" w:hAnsi="Myriad Pro" w:cs="Calibri"/>
                      <w:bCs/>
                      <w:sz w:val="18"/>
                      <w:szCs w:val="18"/>
                    </w:rPr>
                    <w:t>10.535</w:t>
                  </w:r>
                </w:p>
              </w:tc>
              <w:tc>
                <w:tcPr>
                  <w:cnfStyle w:val="000001000000" w:firstRow="0" w:lastRow="0" w:firstColumn="0" w:lastColumn="0" w:oddVBand="0" w:evenVBand="1" w:oddHBand="0" w:evenHBand="0" w:firstRowFirstColumn="0" w:firstRowLastColumn="0" w:lastRowFirstColumn="0" w:lastRowLastColumn="0"/>
                  <w:tcW w:w="445" w:type="pct"/>
                </w:tcPr>
                <w:p w14:paraId="7DB8AF7E" w14:textId="77777777" w:rsidR="005861FF" w:rsidRPr="00E555FC" w:rsidRDefault="005861FF" w:rsidP="000E1806">
                  <w:pPr>
                    <w:spacing w:before="10" w:after="10" w:line="220" w:lineRule="atLeast"/>
                    <w:rPr>
                      <w:rFonts w:ascii="Myriad Pro" w:hAnsi="Myriad Pro" w:cs="Calibri"/>
                      <w:bCs/>
                      <w:sz w:val="18"/>
                      <w:szCs w:val="18"/>
                    </w:rPr>
                  </w:pPr>
                  <w:r w:rsidRPr="00E555FC">
                    <w:rPr>
                      <w:rFonts w:ascii="Myriad Pro" w:hAnsi="Myriad Pro" w:cs="Calibri"/>
                      <w:bCs/>
                      <w:sz w:val="18"/>
                      <w:szCs w:val="18"/>
                    </w:rPr>
                    <w:t>21,974</w:t>
                  </w:r>
                </w:p>
              </w:tc>
              <w:tc>
                <w:tcPr>
                  <w:cnfStyle w:val="000010000000" w:firstRow="0" w:lastRow="0" w:firstColumn="0" w:lastColumn="0" w:oddVBand="1" w:evenVBand="0" w:oddHBand="0" w:evenHBand="0" w:firstRowFirstColumn="0" w:firstRowLastColumn="0" w:lastRowFirstColumn="0" w:lastRowLastColumn="0"/>
                  <w:tcW w:w="445" w:type="pct"/>
                </w:tcPr>
                <w:p w14:paraId="31317A12" w14:textId="77777777" w:rsidR="005861FF" w:rsidRPr="00E555FC" w:rsidRDefault="005861FF" w:rsidP="000E1806">
                  <w:pPr>
                    <w:spacing w:before="10" w:after="10" w:line="220" w:lineRule="atLeast"/>
                    <w:rPr>
                      <w:rFonts w:ascii="Myriad Pro" w:hAnsi="Myriad Pro" w:cs="Calibri"/>
                      <w:bCs/>
                      <w:sz w:val="18"/>
                      <w:szCs w:val="18"/>
                    </w:rPr>
                  </w:pPr>
                  <w:r w:rsidRPr="00E555FC">
                    <w:rPr>
                      <w:rFonts w:ascii="Myriad Pro" w:hAnsi="Myriad Pro" w:cs="Calibri"/>
                      <w:bCs/>
                      <w:sz w:val="18"/>
                      <w:szCs w:val="18"/>
                    </w:rPr>
                    <w:t>25.882</w:t>
                  </w:r>
                </w:p>
              </w:tc>
              <w:tc>
                <w:tcPr>
                  <w:cnfStyle w:val="000001000000" w:firstRow="0" w:lastRow="0" w:firstColumn="0" w:lastColumn="0" w:oddVBand="0" w:evenVBand="1" w:oddHBand="0" w:evenHBand="0" w:firstRowFirstColumn="0" w:firstRowLastColumn="0" w:lastRowFirstColumn="0" w:lastRowLastColumn="0"/>
                  <w:tcW w:w="445" w:type="pct"/>
                </w:tcPr>
                <w:p w14:paraId="5224E3C6" w14:textId="77777777" w:rsidR="005861FF" w:rsidRPr="00E555FC" w:rsidRDefault="005861FF" w:rsidP="000E1806">
                  <w:pPr>
                    <w:spacing w:before="10" w:after="10" w:line="220" w:lineRule="atLeast"/>
                    <w:rPr>
                      <w:rFonts w:ascii="Myriad Pro" w:hAnsi="Myriad Pro" w:cs="Calibri"/>
                      <w:bCs/>
                      <w:sz w:val="18"/>
                      <w:szCs w:val="18"/>
                    </w:rPr>
                  </w:pPr>
                  <w:r w:rsidRPr="00E555FC">
                    <w:rPr>
                      <w:rFonts w:ascii="Myriad Pro" w:hAnsi="Myriad Pro" w:cs="Calibri"/>
                      <w:bCs/>
                      <w:sz w:val="18"/>
                      <w:szCs w:val="18"/>
                    </w:rPr>
                    <w:t>8.347</w:t>
                  </w:r>
                </w:p>
              </w:tc>
              <w:tc>
                <w:tcPr>
                  <w:cnfStyle w:val="000010000000" w:firstRow="0" w:lastRow="0" w:firstColumn="0" w:lastColumn="0" w:oddVBand="1" w:evenVBand="0" w:oddHBand="0" w:evenHBand="0" w:firstRowFirstColumn="0" w:firstRowLastColumn="0" w:lastRowFirstColumn="0" w:lastRowLastColumn="0"/>
                  <w:tcW w:w="446" w:type="pct"/>
                </w:tcPr>
                <w:p w14:paraId="6C42F799" w14:textId="77777777" w:rsidR="005861FF" w:rsidRPr="00E555FC" w:rsidRDefault="005861FF" w:rsidP="000E1806">
                  <w:pPr>
                    <w:spacing w:before="10" w:after="10" w:line="220" w:lineRule="atLeast"/>
                    <w:rPr>
                      <w:rFonts w:ascii="Myriad Pro" w:hAnsi="Myriad Pro" w:cs="Calibri"/>
                      <w:bCs/>
                      <w:sz w:val="18"/>
                      <w:szCs w:val="18"/>
                    </w:rPr>
                  </w:pPr>
                  <w:r w:rsidRPr="00E555FC">
                    <w:rPr>
                      <w:rFonts w:ascii="Myriad Pro" w:hAnsi="Myriad Pro" w:cs="Calibri"/>
                      <w:bCs/>
                      <w:sz w:val="18"/>
                      <w:szCs w:val="18"/>
                    </w:rPr>
                    <w:t>3</w:t>
                  </w:r>
                  <w:r w:rsidRPr="00E555FC">
                    <w:rPr>
                      <w:rFonts w:ascii="Myriad Pro" w:hAnsi="Myriad Pro" w:cs="Calibri"/>
                      <w:sz w:val="18"/>
                      <w:szCs w:val="18"/>
                    </w:rPr>
                    <w:t>3.655</w:t>
                  </w:r>
                </w:p>
              </w:tc>
            </w:tr>
            <w:tr w:rsidR="005861FF" w:rsidRPr="00C32468" w14:paraId="31D38F45" w14:textId="77777777" w:rsidTr="001F3514">
              <w:trPr>
                <w:trHeight w:val="293"/>
              </w:trPr>
              <w:tc>
                <w:tcPr>
                  <w:cnfStyle w:val="000010000000" w:firstRow="0" w:lastRow="0" w:firstColumn="0" w:lastColumn="0" w:oddVBand="1" w:evenVBand="0" w:oddHBand="0" w:evenHBand="0" w:firstRowFirstColumn="0" w:firstRowLastColumn="0" w:lastRowFirstColumn="0" w:lastRowLastColumn="0"/>
                  <w:tcW w:w="2330" w:type="pct"/>
                </w:tcPr>
                <w:p w14:paraId="020AEA2C" w14:textId="77777777" w:rsidR="005861FF" w:rsidRPr="00E555FC" w:rsidRDefault="005861FF" w:rsidP="001F3514">
                  <w:pPr>
                    <w:spacing w:before="10" w:after="10" w:line="220" w:lineRule="atLeast"/>
                    <w:jc w:val="left"/>
                    <w:rPr>
                      <w:rFonts w:ascii="Myriad Pro" w:hAnsi="Myriad Pro" w:cs="Calibri"/>
                      <w:bCs/>
                      <w:sz w:val="18"/>
                      <w:szCs w:val="18"/>
                    </w:rPr>
                  </w:pPr>
                  <w:r w:rsidRPr="00E555FC">
                    <w:rPr>
                      <w:rFonts w:ascii="Myriad Pro" w:hAnsi="Myriad Pro" w:cs="Calibri"/>
                      <w:bCs/>
                      <w:sz w:val="18"/>
                      <w:szCs w:val="18"/>
                    </w:rPr>
                    <w:t>Gospodarnost poslovanja</w:t>
                  </w:r>
                </w:p>
              </w:tc>
              <w:tc>
                <w:tcPr>
                  <w:cnfStyle w:val="000001000000" w:firstRow="0" w:lastRow="0" w:firstColumn="0" w:lastColumn="0" w:oddVBand="0" w:evenVBand="1" w:oddHBand="0" w:evenHBand="0" w:firstRowFirstColumn="0" w:firstRowLastColumn="0" w:lastRowFirstColumn="0" w:lastRowLastColumn="0"/>
                  <w:tcW w:w="445" w:type="pct"/>
                </w:tcPr>
                <w:p w14:paraId="77C65553" w14:textId="77777777" w:rsidR="005861FF" w:rsidRPr="00E555FC" w:rsidRDefault="005861FF" w:rsidP="000E1806">
                  <w:pPr>
                    <w:spacing w:before="10" w:after="10" w:line="220" w:lineRule="atLeast"/>
                    <w:rPr>
                      <w:rFonts w:ascii="Myriad Pro" w:hAnsi="Myriad Pro" w:cs="Calibri"/>
                      <w:bCs/>
                      <w:sz w:val="18"/>
                      <w:szCs w:val="18"/>
                    </w:rPr>
                  </w:pPr>
                  <w:r w:rsidRPr="00E555FC">
                    <w:rPr>
                      <w:rFonts w:ascii="Myriad Pro" w:hAnsi="Myriad Pro" w:cs="Calibri"/>
                      <w:bCs/>
                      <w:sz w:val="18"/>
                      <w:szCs w:val="18"/>
                    </w:rPr>
                    <w:t>1,059</w:t>
                  </w:r>
                </w:p>
              </w:tc>
              <w:tc>
                <w:tcPr>
                  <w:cnfStyle w:val="000010000000" w:firstRow="0" w:lastRow="0" w:firstColumn="0" w:lastColumn="0" w:oddVBand="1" w:evenVBand="0" w:oddHBand="0" w:evenHBand="0" w:firstRowFirstColumn="0" w:firstRowLastColumn="0" w:lastRowFirstColumn="0" w:lastRowLastColumn="0"/>
                  <w:tcW w:w="445" w:type="pct"/>
                </w:tcPr>
                <w:p w14:paraId="0EC44BF7" w14:textId="77777777" w:rsidR="005861FF" w:rsidRPr="00E555FC" w:rsidRDefault="005861FF" w:rsidP="000E1806">
                  <w:pPr>
                    <w:spacing w:before="10" w:after="10" w:line="220" w:lineRule="atLeast"/>
                    <w:rPr>
                      <w:rFonts w:ascii="Myriad Pro" w:hAnsi="Myriad Pro" w:cs="Calibri"/>
                      <w:bCs/>
                      <w:sz w:val="18"/>
                      <w:szCs w:val="18"/>
                    </w:rPr>
                  </w:pPr>
                  <w:r w:rsidRPr="00E555FC">
                    <w:rPr>
                      <w:rFonts w:ascii="Myriad Pro" w:hAnsi="Myriad Pro" w:cs="Calibri"/>
                      <w:bCs/>
                      <w:sz w:val="18"/>
                      <w:szCs w:val="18"/>
                    </w:rPr>
                    <w:t>1,031</w:t>
                  </w:r>
                </w:p>
              </w:tc>
              <w:tc>
                <w:tcPr>
                  <w:cnfStyle w:val="000001000000" w:firstRow="0" w:lastRow="0" w:firstColumn="0" w:lastColumn="0" w:oddVBand="0" w:evenVBand="1" w:oddHBand="0" w:evenHBand="0" w:firstRowFirstColumn="0" w:firstRowLastColumn="0" w:lastRowFirstColumn="0" w:lastRowLastColumn="0"/>
                  <w:tcW w:w="445" w:type="pct"/>
                </w:tcPr>
                <w:p w14:paraId="1BA3020C" w14:textId="77777777" w:rsidR="005861FF" w:rsidRPr="00E555FC" w:rsidRDefault="005861FF" w:rsidP="000E1806">
                  <w:pPr>
                    <w:spacing w:before="10" w:after="10" w:line="220" w:lineRule="atLeast"/>
                    <w:rPr>
                      <w:rFonts w:ascii="Myriad Pro" w:hAnsi="Myriad Pro" w:cs="Calibri"/>
                      <w:bCs/>
                      <w:sz w:val="18"/>
                      <w:szCs w:val="18"/>
                    </w:rPr>
                  </w:pPr>
                  <w:r w:rsidRPr="00E555FC">
                    <w:rPr>
                      <w:rFonts w:ascii="Myriad Pro" w:hAnsi="Myriad Pro" w:cs="Calibri"/>
                      <w:bCs/>
                      <w:sz w:val="18"/>
                      <w:szCs w:val="18"/>
                    </w:rPr>
                    <w:t>1,056</w:t>
                  </w:r>
                </w:p>
              </w:tc>
              <w:tc>
                <w:tcPr>
                  <w:cnfStyle w:val="000010000000" w:firstRow="0" w:lastRow="0" w:firstColumn="0" w:lastColumn="0" w:oddVBand="1" w:evenVBand="0" w:oddHBand="0" w:evenHBand="0" w:firstRowFirstColumn="0" w:firstRowLastColumn="0" w:lastRowFirstColumn="0" w:lastRowLastColumn="0"/>
                  <w:tcW w:w="445" w:type="pct"/>
                </w:tcPr>
                <w:p w14:paraId="57924C7E" w14:textId="77777777" w:rsidR="005861FF" w:rsidRPr="00E555FC" w:rsidRDefault="005861FF" w:rsidP="000E1806">
                  <w:pPr>
                    <w:spacing w:before="10" w:after="10" w:line="220" w:lineRule="atLeast"/>
                    <w:rPr>
                      <w:rFonts w:ascii="Myriad Pro" w:hAnsi="Myriad Pro" w:cs="Calibri"/>
                      <w:bCs/>
                      <w:sz w:val="18"/>
                      <w:szCs w:val="18"/>
                    </w:rPr>
                  </w:pPr>
                  <w:r w:rsidRPr="00E555FC">
                    <w:rPr>
                      <w:rFonts w:ascii="Myriad Pro" w:hAnsi="Myriad Pro" w:cs="Calibri"/>
                      <w:bCs/>
                      <w:sz w:val="18"/>
                      <w:szCs w:val="18"/>
                    </w:rPr>
                    <w:t>1,054</w:t>
                  </w:r>
                </w:p>
              </w:tc>
              <w:tc>
                <w:tcPr>
                  <w:cnfStyle w:val="000001000000" w:firstRow="0" w:lastRow="0" w:firstColumn="0" w:lastColumn="0" w:oddVBand="0" w:evenVBand="1" w:oddHBand="0" w:evenHBand="0" w:firstRowFirstColumn="0" w:firstRowLastColumn="0" w:lastRowFirstColumn="0" w:lastRowLastColumn="0"/>
                  <w:tcW w:w="445" w:type="pct"/>
                </w:tcPr>
                <w:p w14:paraId="228D5837" w14:textId="77777777" w:rsidR="005861FF" w:rsidRPr="00E555FC" w:rsidRDefault="005861FF" w:rsidP="000E1806">
                  <w:pPr>
                    <w:spacing w:before="10" w:after="10" w:line="220" w:lineRule="atLeast"/>
                    <w:rPr>
                      <w:rFonts w:ascii="Myriad Pro" w:hAnsi="Myriad Pro" w:cs="Calibri"/>
                      <w:bCs/>
                      <w:sz w:val="18"/>
                      <w:szCs w:val="18"/>
                    </w:rPr>
                  </w:pPr>
                  <w:r w:rsidRPr="00E555FC">
                    <w:rPr>
                      <w:rFonts w:ascii="Myriad Pro" w:hAnsi="Myriad Pro" w:cs="Calibri"/>
                      <w:bCs/>
                      <w:sz w:val="18"/>
                      <w:szCs w:val="18"/>
                    </w:rPr>
                    <w:t>1,014</w:t>
                  </w:r>
                </w:p>
              </w:tc>
              <w:tc>
                <w:tcPr>
                  <w:cnfStyle w:val="000010000000" w:firstRow="0" w:lastRow="0" w:firstColumn="0" w:lastColumn="0" w:oddVBand="1" w:evenVBand="0" w:oddHBand="0" w:evenHBand="0" w:firstRowFirstColumn="0" w:firstRowLastColumn="0" w:lastRowFirstColumn="0" w:lastRowLastColumn="0"/>
                  <w:tcW w:w="446" w:type="pct"/>
                </w:tcPr>
                <w:p w14:paraId="237DF2AD" w14:textId="77777777" w:rsidR="005861FF" w:rsidRPr="00E555FC" w:rsidRDefault="005861FF" w:rsidP="000E1806">
                  <w:pPr>
                    <w:spacing w:before="10" w:after="10" w:line="220" w:lineRule="atLeast"/>
                    <w:rPr>
                      <w:rFonts w:ascii="Myriad Pro" w:hAnsi="Myriad Pro" w:cs="Calibri"/>
                      <w:bCs/>
                      <w:sz w:val="18"/>
                      <w:szCs w:val="18"/>
                    </w:rPr>
                  </w:pPr>
                  <w:r w:rsidRPr="00E555FC">
                    <w:rPr>
                      <w:rFonts w:ascii="Myriad Pro" w:hAnsi="Myriad Pro" w:cs="Calibri"/>
                      <w:bCs/>
                      <w:sz w:val="18"/>
                      <w:szCs w:val="18"/>
                    </w:rPr>
                    <w:t>1</w:t>
                  </w:r>
                  <w:r w:rsidRPr="00E555FC">
                    <w:rPr>
                      <w:rFonts w:ascii="Myriad Pro" w:hAnsi="Myriad Pro" w:cs="Calibri"/>
                      <w:sz w:val="18"/>
                      <w:szCs w:val="18"/>
                    </w:rPr>
                    <w:t>,064</w:t>
                  </w:r>
                </w:p>
              </w:tc>
            </w:tr>
          </w:tbl>
          <w:p w14:paraId="1C2C1B4B" w14:textId="77777777" w:rsidR="005861FF" w:rsidRPr="00E555FC" w:rsidRDefault="005861FF" w:rsidP="000E1806">
            <w:pPr>
              <w:spacing w:before="40" w:after="0" w:line="240" w:lineRule="auto"/>
              <w:jc w:val="both"/>
              <w:rPr>
                <w:rFonts w:ascii="Myriad Pro" w:hAnsi="Myriad Pro"/>
                <w:sz w:val="16"/>
              </w:rPr>
            </w:pPr>
            <w:r w:rsidRPr="00E555FC">
              <w:rPr>
                <w:rFonts w:ascii="Myriad Pro" w:hAnsi="Myriad Pro"/>
                <w:sz w:val="16"/>
              </w:rPr>
              <w:t xml:space="preserve">Vir podatkov: </w:t>
            </w:r>
            <w:r w:rsidRPr="00231C02">
              <w:rPr>
                <w:rFonts w:ascii="Myriad Pro" w:hAnsi="Myriad Pro"/>
                <w:sz w:val="16"/>
              </w:rPr>
              <w:fldChar w:fldCharType="begin"/>
            </w:r>
            <w:r>
              <w:rPr>
                <w:rFonts w:ascii="Myriad Pro" w:hAnsi="Myriad Pro"/>
                <w:sz w:val="16"/>
              </w:rPr>
              <w:instrText xml:space="preserve"> ADDIN ZOTERO_ITEM CSL_CITATION {"citationID":"BHUF4ua5","properties":{"formattedCitation":"(AJPES,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rsidRPr="00231C02">
              <w:rPr>
                <w:rFonts w:ascii="Myriad Pro" w:hAnsi="Myriad Pro"/>
                <w:sz w:val="16"/>
              </w:rPr>
              <w:fldChar w:fldCharType="separate"/>
            </w:r>
            <w:r w:rsidRPr="00231C02">
              <w:rPr>
                <w:rFonts w:ascii="Myriad Pro" w:hAnsi="Myriad Pro"/>
                <w:sz w:val="16"/>
              </w:rPr>
              <w:t>AJPES (2022)</w:t>
            </w:r>
            <w:r w:rsidRPr="00231C02">
              <w:rPr>
                <w:rFonts w:ascii="Myriad Pro" w:hAnsi="Myriad Pro"/>
                <w:sz w:val="16"/>
              </w:rPr>
              <w:fldChar w:fldCharType="end"/>
            </w:r>
            <w:r w:rsidRPr="00231C02">
              <w:rPr>
                <w:rFonts w:ascii="Myriad Pro" w:hAnsi="Myriad Pro"/>
                <w:sz w:val="16"/>
              </w:rPr>
              <w:t>,</w:t>
            </w:r>
            <w:r>
              <w:rPr>
                <w:rFonts w:ascii="Myriad Pro" w:hAnsi="Myriad Pro"/>
                <w:sz w:val="16"/>
              </w:rPr>
              <w:t xml:space="preserve"> </w:t>
            </w:r>
            <w:r w:rsidRPr="00E555FC">
              <w:rPr>
                <w:rFonts w:ascii="Myriad Pro" w:hAnsi="Myriad Pro"/>
                <w:sz w:val="16"/>
              </w:rPr>
              <w:t xml:space="preserve">lastni izračuni. </w:t>
            </w:r>
          </w:p>
          <w:p w14:paraId="5375749A" w14:textId="524069B5" w:rsidR="005861FF" w:rsidRPr="00E555FC" w:rsidRDefault="005861FF" w:rsidP="000E1806">
            <w:pPr>
              <w:spacing w:before="40" w:after="0" w:line="240" w:lineRule="auto"/>
              <w:jc w:val="both"/>
              <w:rPr>
                <w:rFonts w:ascii="Myriad Pro" w:hAnsi="Myriad Pro"/>
                <w:sz w:val="16"/>
              </w:rPr>
            </w:pPr>
            <w:r w:rsidRPr="00E555FC">
              <w:rPr>
                <w:rFonts w:ascii="Myriad Pro" w:hAnsi="Myriad Pro"/>
                <w:sz w:val="16"/>
              </w:rPr>
              <w:t xml:space="preserve">Opombe: </w:t>
            </w:r>
            <w:r w:rsidRPr="00E555FC">
              <w:rPr>
                <w:rFonts w:ascii="Myriad Pro" w:hAnsi="Myriad Pro"/>
                <w:sz w:val="16"/>
                <w:vertAlign w:val="superscript"/>
              </w:rPr>
              <w:t>1</w:t>
            </w:r>
            <w:r w:rsidRPr="00E555FC">
              <w:rPr>
                <w:rFonts w:ascii="Myriad Pro" w:hAnsi="Myriad Pro"/>
                <w:sz w:val="16"/>
              </w:rPr>
              <w:t xml:space="preserve"> Podatki o številu zaposlenih pomenijo povprečno število zaposlenih na podlagi delovnih ur v obračunskem obdobju in se zato razlikujejo od podatkov o številu zaposlenih, ki jih objavlja SURS. </w:t>
            </w:r>
            <w:r w:rsidRPr="00E555FC">
              <w:rPr>
                <w:rFonts w:ascii="Myriad Pro" w:hAnsi="Myriad Pro"/>
                <w:sz w:val="16"/>
                <w:vertAlign w:val="superscript"/>
              </w:rPr>
              <w:t>2</w:t>
            </w:r>
            <w:r w:rsidRPr="00E555FC">
              <w:rPr>
                <w:rFonts w:ascii="Myriad Pro" w:hAnsi="Myriad Pro"/>
                <w:sz w:val="16"/>
              </w:rPr>
              <w:t xml:space="preserve"> Razlika med prihodki in odhodki obračunskega obdobja oz. podjetnikov dohodek, zmanjšan za negativni poslovni izid.</w:t>
            </w:r>
          </w:p>
        </w:tc>
      </w:tr>
    </w:tbl>
    <w:p w14:paraId="46DE8BA1" w14:textId="77777777" w:rsidR="005861FF" w:rsidRDefault="005861FF" w:rsidP="003F6FED">
      <w:pPr>
        <w:pStyle w:val="BesediloUMAR"/>
        <w:rPr>
          <w:b/>
        </w:rPr>
      </w:pPr>
    </w:p>
    <w:p w14:paraId="224549BE" w14:textId="4EC06B3B" w:rsidR="003F6FED" w:rsidRDefault="003F6FED" w:rsidP="003F6FED">
      <w:pPr>
        <w:pStyle w:val="BesediloUMAR"/>
      </w:pPr>
      <w:r w:rsidRPr="009B6F9F">
        <w:rPr>
          <w:b/>
        </w:rPr>
        <w:t>Gostinske družbe so leta 2021 drugo leto zapored povečale zadolženost.</w:t>
      </w:r>
      <w:r w:rsidRPr="009B6F9F">
        <w:t xml:space="preserve"> Dolg gostinskih družb se je, po zmanjševanju v obdobju 2015–2019, v letih 2020 in 2021 povečal in leta 2021 znašal 57,9 % virov sredstev. Leta 2020 so zadolženost povečale družbe obeh oddelkov, leta 2021 pa se je še povečala pri družbah oddelka nastanitvenih dejavnosti,pri družbah</w:t>
      </w:r>
      <w:r w:rsidR="00747FE2">
        <w:t xml:space="preserve"> z dejavnostjo</w:t>
      </w:r>
      <w:r w:rsidRPr="009B6F9F">
        <w:t xml:space="preserve"> strež</w:t>
      </w:r>
      <w:r w:rsidR="00747FE2">
        <w:t>be</w:t>
      </w:r>
      <w:r w:rsidRPr="009B6F9F">
        <w:t xml:space="preserve"> jedi in pijač</w:t>
      </w:r>
      <w:r w:rsidR="00747FE2">
        <w:t xml:space="preserve"> pa se je</w:t>
      </w:r>
      <w:r w:rsidRPr="009B6F9F">
        <w:t xml:space="preserve"> zmanjšala, a bila še vedno višja kot pred epidemijo. Ob povečanju kapitala se je družbam obeh oddelkov nekoliko izboljšala kapitalska pokritost sredstev.</w:t>
      </w:r>
    </w:p>
    <w:p w14:paraId="7D3E3E1A" w14:textId="1ADC2577" w:rsidR="003E2BD8" w:rsidRPr="00C32468" w:rsidRDefault="003E2BD8" w:rsidP="003E2BD8">
      <w:pPr>
        <w:pStyle w:val="Napis"/>
        <w:rPr>
          <w:spacing w:val="-6"/>
        </w:rPr>
      </w:pPr>
      <w:r w:rsidRPr="00355D96">
        <w:lastRenderedPageBreak/>
        <w:t xml:space="preserve">Slika </w:t>
      </w:r>
      <w:r w:rsidRPr="00355D96">
        <w:fldChar w:fldCharType="begin"/>
      </w:r>
      <w:r w:rsidRPr="00355D96">
        <w:instrText xml:space="preserve"> SEQ Slika \* ARABIC </w:instrText>
      </w:r>
      <w:r w:rsidRPr="00355D96">
        <w:fldChar w:fldCharType="separate"/>
      </w:r>
      <w:r w:rsidR="00154CF7">
        <w:t>7</w:t>
      </w:r>
      <w:r w:rsidRPr="00355D96">
        <w:fldChar w:fldCharType="end"/>
      </w:r>
      <w:r w:rsidRPr="00355D96">
        <w:rPr>
          <w:rStyle w:val="DZBesediloChar"/>
          <w:szCs w:val="20"/>
        </w:rPr>
        <w:t xml:space="preserve">: </w:t>
      </w:r>
      <w:r w:rsidRPr="00C32468">
        <w:rPr>
          <w:spacing w:val="-6"/>
          <w:szCs w:val="22"/>
        </w:rPr>
        <w:t xml:space="preserve">Zadolženost gostinskih družb se je leta 2020 in 2021, po izboljšanju v obdobju </w:t>
      </w:r>
      <w:r w:rsidRPr="00C32468">
        <w:rPr>
          <w:spacing w:val="-6"/>
        </w:rPr>
        <w:t>2015–2019, močno</w:t>
      </w:r>
      <w:r w:rsidRPr="00C32468">
        <w:rPr>
          <w:spacing w:val="-6"/>
          <w:szCs w:val="22"/>
        </w:rPr>
        <w:t xml:space="preserve"> poslabšala</w:t>
      </w:r>
    </w:p>
    <w:p w14:paraId="57E15B76" w14:textId="5C707E08" w:rsidR="003E2BD8" w:rsidRDefault="00505A76" w:rsidP="003E2BD8">
      <w:pPr>
        <w:pStyle w:val="Napis"/>
        <w:rPr>
          <w:rStyle w:val="DZBesediloChar"/>
          <w:szCs w:val="20"/>
        </w:rPr>
      </w:pPr>
      <w:r w:rsidRPr="00505A76">
        <w:rPr>
          <w:rStyle w:val="DZBesediloChar"/>
          <w:szCs w:val="20"/>
        </w:rPr>
        <w:drawing>
          <wp:inline distT="0" distB="0" distL="0" distR="0" wp14:anchorId="60FC756F" wp14:editId="5EBE8954">
            <wp:extent cx="5759450" cy="21725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2172505"/>
                    </a:xfrm>
                    <a:prstGeom prst="rect">
                      <a:avLst/>
                    </a:prstGeom>
                    <a:noFill/>
                    <a:ln>
                      <a:noFill/>
                    </a:ln>
                  </pic:spPr>
                </pic:pic>
              </a:graphicData>
            </a:graphic>
          </wp:inline>
        </w:drawing>
      </w:r>
      <w:r w:rsidR="003E2BD8" w:rsidRPr="00355D96">
        <w:rPr>
          <w:rStyle w:val="DZBesediloChar"/>
          <w:szCs w:val="20"/>
        </w:rPr>
        <w:t xml:space="preserve"> </w:t>
      </w:r>
    </w:p>
    <w:p w14:paraId="7B7EACFC" w14:textId="57AF39AD" w:rsidR="003E2BD8" w:rsidRDefault="003E2BD8" w:rsidP="003E2BD8">
      <w:pPr>
        <w:pStyle w:val="VirUMAR"/>
      </w:pPr>
      <w:r w:rsidRPr="008F6BED">
        <w:t xml:space="preserve">Vir podatkov: </w:t>
      </w:r>
      <w:r>
        <w:fldChar w:fldCharType="begin"/>
      </w:r>
      <w:r w:rsidR="008D3565">
        <w:instrText xml:space="preserve"> ADDIN ZOTERO_ITEM CSL_CITATION {"citationID":"FhFPzOUW","properties":{"formattedCitation":"(AJPES,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7309C9">
        <w:t xml:space="preserve">AJPES </w:t>
      </w:r>
      <w:r>
        <w:t>(</w:t>
      </w:r>
      <w:r w:rsidRPr="007309C9">
        <w:t>2022)</w:t>
      </w:r>
      <w:r>
        <w:fldChar w:fldCharType="end"/>
      </w:r>
      <w:r w:rsidRPr="008F6BED">
        <w:t>, lastni izračuni.</w:t>
      </w:r>
    </w:p>
    <w:p w14:paraId="5B1705A8" w14:textId="317D6AFA" w:rsidR="003F6FED" w:rsidRDefault="003F6FED" w:rsidP="009B6F9F">
      <w:pPr>
        <w:pStyle w:val="BesediloUMAR"/>
        <w:rPr>
          <w:szCs w:val="20"/>
        </w:rPr>
      </w:pPr>
    </w:p>
    <w:p w14:paraId="40A3E271" w14:textId="2657848C" w:rsidR="000E5732" w:rsidRPr="005861FF" w:rsidRDefault="000E5732" w:rsidP="005861FF">
      <w:pPr>
        <w:spacing w:after="0" w:line="240" w:lineRule="auto"/>
        <w:rPr>
          <w:rFonts w:ascii="Myriad Pro" w:hAnsi="Myriad Pro"/>
          <w:sz w:val="20"/>
          <w:szCs w:val="20"/>
        </w:rPr>
      </w:pPr>
      <w:r>
        <w:rPr>
          <w:szCs w:val="20"/>
        </w:rPr>
        <w:br w:type="page"/>
      </w:r>
    </w:p>
    <w:p w14:paraId="2CFDFBA4" w14:textId="361C396E" w:rsidR="00C32468" w:rsidRDefault="00C32468" w:rsidP="00C32468">
      <w:pPr>
        <w:pStyle w:val="Naslov1"/>
      </w:pPr>
      <w:bookmarkStart w:id="11" w:name="_Toc528327260"/>
      <w:r>
        <w:lastRenderedPageBreak/>
        <w:t xml:space="preserve">Poslovanje </w:t>
      </w:r>
      <w:r w:rsidR="000A47F8">
        <w:t xml:space="preserve">gostinskih podjetij </w:t>
      </w:r>
      <w:r>
        <w:t xml:space="preserve">v letu 2022 </w:t>
      </w:r>
    </w:p>
    <w:p w14:paraId="60E71B3B" w14:textId="6BE9DCC7" w:rsidR="00CE2BF4" w:rsidRPr="00C32468" w:rsidRDefault="00C32468" w:rsidP="00C32468">
      <w:pPr>
        <w:pStyle w:val="BesediloUMAR"/>
      </w:pPr>
      <w:r w:rsidRPr="00C32468">
        <w:rPr>
          <w:b/>
        </w:rPr>
        <w:t>Okrevanje aktivnosti v gostinstvu se je v</w:t>
      </w:r>
      <w:r w:rsidR="006F5542">
        <w:rPr>
          <w:b/>
        </w:rPr>
        <w:t xml:space="preserve"> letu</w:t>
      </w:r>
      <w:r w:rsidRPr="00C32468">
        <w:rPr>
          <w:b/>
        </w:rPr>
        <w:t xml:space="preserve"> 2022 nadaljevalo, kar je bilo posledica </w:t>
      </w:r>
      <w:r w:rsidR="006F5542">
        <w:rPr>
          <w:b/>
        </w:rPr>
        <w:t>nadaljnje rasti</w:t>
      </w:r>
      <w:r w:rsidR="006F5542" w:rsidRPr="00C32468">
        <w:rPr>
          <w:b/>
        </w:rPr>
        <w:t xml:space="preserve"> </w:t>
      </w:r>
      <w:r w:rsidR="006F5542">
        <w:rPr>
          <w:b/>
        </w:rPr>
        <w:t xml:space="preserve">tako </w:t>
      </w:r>
      <w:r w:rsidRPr="00C32468">
        <w:rPr>
          <w:b/>
        </w:rPr>
        <w:t xml:space="preserve">potrošnje domačih turistov in domačega prebivalstva </w:t>
      </w:r>
      <w:r w:rsidR="006F5542">
        <w:rPr>
          <w:b/>
        </w:rPr>
        <w:t>kot</w:t>
      </w:r>
      <w:r w:rsidRPr="00C32468">
        <w:rPr>
          <w:b/>
        </w:rPr>
        <w:t xml:space="preserve"> tujih turistov.</w:t>
      </w:r>
      <w:r>
        <w:t xml:space="preserve"> </w:t>
      </w:r>
      <w:r w:rsidRPr="00AB7AA9">
        <w:t xml:space="preserve">Po močnem upadu v letu 2020 se je aktivnost </w:t>
      </w:r>
      <w:r>
        <w:t>v gostinstvu</w:t>
      </w:r>
      <w:r w:rsidRPr="00AB7AA9">
        <w:t xml:space="preserve"> v letu 2021 okrepila, a še ni dosegla ravni iz leta 2019. Do močnejšega okrevanja je prišlo v letu 2022, na kar je vplivala višja potrošnja domačih turistov in izletnikov (tudi v povezavi z unovčevanjem bonov) in povratek tujih turistov. Rast prenočitev domačih turistov se je sicer po izteku unovčevanja turističnih bonov</w:t>
      </w:r>
      <w:r>
        <w:t xml:space="preserve"> </w:t>
      </w:r>
      <w:r w:rsidRPr="00AB7AA9">
        <w:t xml:space="preserve">in bonov, ki jih je bilo mogoče koristiti v bolj prizadetih dejavnostih turizma, gostinstva, športa in kulture (oboji </w:t>
      </w:r>
      <w:r w:rsidR="006F5542">
        <w:t>so veljali</w:t>
      </w:r>
      <w:r w:rsidRPr="00AB7AA9">
        <w:t xml:space="preserve"> do junija 2022)</w:t>
      </w:r>
      <w:r w:rsidR="006F5542">
        <w:t>,</w:t>
      </w:r>
      <w:r w:rsidRPr="00AB7AA9">
        <w:t xml:space="preserve"> </w:t>
      </w:r>
      <w:r>
        <w:t>prekinila</w:t>
      </w:r>
      <w:r w:rsidRPr="00AB7AA9">
        <w:t xml:space="preserve">, kljub temu pa so bile prenočitve domačih turistov v </w:t>
      </w:r>
      <w:r>
        <w:t>desetih</w:t>
      </w:r>
      <w:r w:rsidRPr="00AB7AA9">
        <w:t xml:space="preserve"> mesecih leta 2022 za </w:t>
      </w:r>
      <w:r>
        <w:t>28 %</w:t>
      </w:r>
      <w:r w:rsidRPr="00AB7AA9">
        <w:t xml:space="preserve"> večje kot v enakem obdobju 2019. Čez poletje</w:t>
      </w:r>
      <w:r>
        <w:t xml:space="preserve"> oz. v tretjem četrtletju 202</w:t>
      </w:r>
      <w:r w:rsidRPr="00AB7AA9">
        <w:t>2 so tudi prenočitve tujih turistov prvič po epidemiji dosegle število prenočitev iz istega meseca leta 2019, skupno</w:t>
      </w:r>
      <w:r w:rsidRPr="001C22AB">
        <w:rPr>
          <w:rFonts w:ascii="Arial" w:hAnsi="Arial" w:cs="Arial"/>
          <w:color w:val="000000"/>
          <w:szCs w:val="20"/>
        </w:rPr>
        <w:t xml:space="preserve"> </w:t>
      </w:r>
      <w:r w:rsidRPr="00AB7AA9">
        <w:t xml:space="preserve">število prenočitev tujih turistov </w:t>
      </w:r>
      <w:r w:rsidR="006F5542">
        <w:t xml:space="preserve">pa je </w:t>
      </w:r>
      <w:r w:rsidRPr="00AB7AA9">
        <w:t xml:space="preserve">v </w:t>
      </w:r>
      <w:r>
        <w:t xml:space="preserve">desetih </w:t>
      </w:r>
      <w:r w:rsidRPr="00AB7AA9">
        <w:t>mesecih še za dobro desetino zaostaja</w:t>
      </w:r>
      <w:r>
        <w:t>lo</w:t>
      </w:r>
      <w:r w:rsidRPr="00AB7AA9">
        <w:t xml:space="preserve"> za prenočitvami iz </w:t>
      </w:r>
      <w:r>
        <w:t>deset</w:t>
      </w:r>
      <w:r w:rsidRPr="00AB7AA9">
        <w:t xml:space="preserve">ih mesecev leta 2019. Pri tujih turistih </w:t>
      </w:r>
      <w:r>
        <w:t xml:space="preserve">smo </w:t>
      </w:r>
      <w:r w:rsidRPr="00AB7AA9">
        <w:t>rast prenočitev čez poletje beleži</w:t>
      </w:r>
      <w:r>
        <w:t>li</w:t>
      </w:r>
      <w:r w:rsidRPr="00AB7AA9">
        <w:t xml:space="preserve"> predvsem pri evropskih turistih, prenočitve turistov iz bolj oddaljenih </w:t>
      </w:r>
      <w:r w:rsidR="00A438CC">
        <w:t>delov sveta</w:t>
      </w:r>
      <w:r w:rsidRPr="00AB7AA9">
        <w:t xml:space="preserve"> (Azija, ZDA, Avstralija</w:t>
      </w:r>
      <w:r w:rsidR="009A27C6">
        <w:t xml:space="preserve"> </w:t>
      </w:r>
      <w:r w:rsidRPr="00AB7AA9">
        <w:t>... ) in</w:t>
      </w:r>
      <w:r w:rsidRPr="001C22AB">
        <w:rPr>
          <w:rFonts w:ascii="Arial" w:hAnsi="Arial" w:cs="Arial"/>
          <w:color w:val="000000"/>
          <w:szCs w:val="20"/>
        </w:rPr>
        <w:t xml:space="preserve"> </w:t>
      </w:r>
      <w:r w:rsidRPr="00AB7AA9">
        <w:t>Rusije pa še močno zaostajajo za številom iz leta 2019.</w:t>
      </w:r>
      <w:r>
        <w:t xml:space="preserve"> </w:t>
      </w:r>
    </w:p>
    <w:p w14:paraId="3ACD68BC" w14:textId="717D36EE" w:rsidR="00C32468" w:rsidRPr="00C32468" w:rsidRDefault="00C32468" w:rsidP="00C32468">
      <w:pPr>
        <w:pStyle w:val="Napis"/>
        <w:rPr>
          <w:spacing w:val="-6"/>
        </w:rPr>
      </w:pPr>
      <w:r w:rsidRPr="00C32468">
        <w:rPr>
          <w:spacing w:val="-6"/>
          <w:szCs w:val="22"/>
        </w:rPr>
        <w:t xml:space="preserve">Slika </w:t>
      </w:r>
      <w:r w:rsidRPr="00C32468">
        <w:rPr>
          <w:spacing w:val="-6"/>
          <w:szCs w:val="22"/>
        </w:rPr>
        <w:fldChar w:fldCharType="begin"/>
      </w:r>
      <w:r w:rsidRPr="00C32468">
        <w:rPr>
          <w:spacing w:val="-6"/>
          <w:szCs w:val="22"/>
        </w:rPr>
        <w:instrText xml:space="preserve"> SEQ Slika \* ARABIC </w:instrText>
      </w:r>
      <w:r w:rsidRPr="00C32468">
        <w:rPr>
          <w:spacing w:val="-6"/>
          <w:szCs w:val="22"/>
        </w:rPr>
        <w:fldChar w:fldCharType="separate"/>
      </w:r>
      <w:r w:rsidR="00BC3FBB">
        <w:rPr>
          <w:spacing w:val="-6"/>
          <w:szCs w:val="22"/>
        </w:rPr>
        <w:t>8</w:t>
      </w:r>
      <w:r w:rsidRPr="00C32468">
        <w:rPr>
          <w:spacing w:val="-6"/>
          <w:szCs w:val="22"/>
        </w:rPr>
        <w:fldChar w:fldCharType="end"/>
      </w:r>
      <w:r w:rsidRPr="00C32468">
        <w:rPr>
          <w:spacing w:val="-6"/>
          <w:szCs w:val="22"/>
        </w:rPr>
        <w:t xml:space="preserve">: </w:t>
      </w:r>
      <w:r w:rsidRPr="00C32468">
        <w:rPr>
          <w:spacing w:val="-6"/>
        </w:rPr>
        <w:t>Število prenočitev turistov iz evropskih držav se je letos skupaj v desetih mesecih že približalo rekordnim iz desetih mesecev leta 2019</w:t>
      </w:r>
    </w:p>
    <w:p w14:paraId="2834F71E" w14:textId="156E7562" w:rsidR="00C32468" w:rsidRDefault="00505A76" w:rsidP="00C32468">
      <w:pPr>
        <w:pStyle w:val="BesediloUMAR"/>
      </w:pPr>
      <w:r w:rsidRPr="00505A76">
        <w:rPr>
          <w:noProof/>
        </w:rPr>
        <w:drawing>
          <wp:inline distT="0" distB="0" distL="0" distR="0" wp14:anchorId="604B77A9" wp14:editId="509726A5">
            <wp:extent cx="5759450" cy="2075477"/>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2075477"/>
                    </a:xfrm>
                    <a:prstGeom prst="rect">
                      <a:avLst/>
                    </a:prstGeom>
                    <a:noFill/>
                    <a:ln>
                      <a:noFill/>
                    </a:ln>
                  </pic:spPr>
                </pic:pic>
              </a:graphicData>
            </a:graphic>
          </wp:inline>
        </w:drawing>
      </w:r>
    </w:p>
    <w:p w14:paraId="4AEB842C" w14:textId="0FB0C649" w:rsidR="00C32468" w:rsidRPr="00C32468" w:rsidRDefault="00C32468" w:rsidP="00C32468">
      <w:pPr>
        <w:pStyle w:val="VirUMAR"/>
      </w:pPr>
      <w:r w:rsidRPr="00C32468">
        <w:t xml:space="preserve">Vir podatkov: </w:t>
      </w:r>
      <w:r w:rsidR="00231C02">
        <w:fldChar w:fldCharType="begin"/>
      </w:r>
      <w:r w:rsidR="00A75146">
        <w:instrText xml:space="preserve"> ADDIN ZOTERO_ITEM CSL_CITATION {"citationID":"xQY4Z3ew","properties":{"formattedCitation":"(SURS, 2022)","plainCitation":"(SURS, 2022)","dontUpdate":true,"noteIndex":0},"citationItems":[{"id":1805,"uris":["http://zotero.org/users/8372339/items/QZ8I7YHY"],"uri":["http://zotero.org/users/8372339/items/QZ8I7YHY"],"itemData":{"id":1805,"type":"report","event-place":"Ljubljana","language":"sl","publisher":"Statistični urad RS","publisher-place":"Ljubljana","title":"Podatkovna baza","URL":"https://pxweb.stat.si/SiStatData","author":[{"family":"SURS","given":""}],"accessed":{"date-parts":[["2022",2,11]]},"issued":{"date-parts":[["2022"]]}}}],"schema":"https://github.com/citation-style-language/schema/raw/master/csl-citation.json"} </w:instrText>
      </w:r>
      <w:r w:rsidR="00231C02">
        <w:fldChar w:fldCharType="separate"/>
      </w:r>
      <w:r w:rsidR="00231C02" w:rsidRPr="00231C02">
        <w:t>SURS</w:t>
      </w:r>
      <w:r w:rsidR="00231C02">
        <w:t xml:space="preserve"> (</w:t>
      </w:r>
      <w:r w:rsidR="00231C02" w:rsidRPr="00231C02">
        <w:t>2022)</w:t>
      </w:r>
      <w:r w:rsidR="00231C02">
        <w:fldChar w:fldCharType="end"/>
      </w:r>
      <w:r w:rsidR="00231C02" w:rsidRPr="00826FB9">
        <w:rPr>
          <w:rStyle w:val="DZBesediloChar"/>
        </w:rPr>
        <w:t>,</w:t>
      </w:r>
      <w:r w:rsidRPr="00C32468">
        <w:t xml:space="preserve"> lastni izračuni.</w:t>
      </w:r>
    </w:p>
    <w:p w14:paraId="59D9C46D" w14:textId="78F07FCB" w:rsidR="00C32468" w:rsidRDefault="00C32468" w:rsidP="00C32468">
      <w:pPr>
        <w:spacing w:after="0" w:line="240" w:lineRule="auto"/>
        <w:rPr>
          <w:rFonts w:ascii="Myriad Pro" w:hAnsi="Myriad Pro"/>
          <w:b/>
          <w:sz w:val="20"/>
        </w:rPr>
      </w:pPr>
    </w:p>
    <w:p w14:paraId="3D638EA6" w14:textId="05C7A267" w:rsidR="00C32468" w:rsidRDefault="00C32468" w:rsidP="005B4339">
      <w:pPr>
        <w:pStyle w:val="BesediloUMAR"/>
      </w:pPr>
      <w:r w:rsidRPr="005B4339">
        <w:rPr>
          <w:b/>
        </w:rPr>
        <w:t>Nadaljevanje okrevanja v gostinstvu v letošnjem letu se je odrazilo tudi v rasti prihodka in vrednosti davčno potrjenih računov v gostinstvu.</w:t>
      </w:r>
      <w:r w:rsidRPr="005B4339">
        <w:t xml:space="preserve"> Realni prihodek v gostinstvu je bil v devetih mesecih medletno večji za 66 % in za 9 % večji od prihodka v devetih mesecih leta 2019. Dobre rezultate potrjujejo tudi podatki o davčnih blagajnah, po katerih je bil prihodek v enajstih mesecih leta 2022 medletno </w:t>
      </w:r>
      <w:r w:rsidR="003A1B66">
        <w:t xml:space="preserve">nominalno </w:t>
      </w:r>
      <w:r w:rsidRPr="005B4339">
        <w:t xml:space="preserve">večji </w:t>
      </w:r>
      <w:r w:rsidRPr="001626E2">
        <w:t xml:space="preserve">za </w:t>
      </w:r>
      <w:r w:rsidR="001626E2" w:rsidRPr="001626E2">
        <w:t>54 </w:t>
      </w:r>
      <w:r w:rsidRPr="001626E2">
        <w:t xml:space="preserve">% in za </w:t>
      </w:r>
      <w:r w:rsidR="001626E2" w:rsidRPr="001626E2">
        <w:t>20 </w:t>
      </w:r>
      <w:r w:rsidRPr="001626E2">
        <w:t>% večji</w:t>
      </w:r>
      <w:r w:rsidRPr="005B4339">
        <w:t xml:space="preserve"> od prihodka v enajstih mesecih leta 2019.</w:t>
      </w:r>
      <w:r w:rsidR="003A1B66">
        <w:t xml:space="preserve"> Medletne rasti prodaje po podatkih davčnih blagajn so se od septembra krepile zaradi nižje lanske osnove. Sredi lanskega septemb</w:t>
      </w:r>
      <w:r w:rsidR="008D3565">
        <w:t>r</w:t>
      </w:r>
      <w:r w:rsidR="003A1B66">
        <w:t xml:space="preserve">a je bil namreč pogoj PCT razširjen na uporabnike večine storitev, </w:t>
      </w:r>
      <w:r w:rsidR="003A1B66">
        <w:rPr>
          <w:rFonts w:eastAsia="Myriad Pro" w:cs="Myriad Pro"/>
          <w:color w:val="000000" w:themeColor="text1"/>
          <w:lang w:val="sl"/>
        </w:rPr>
        <w:t xml:space="preserve">lani novembra pa so se ukrepi za zamejitev širjenja covida-19 še zaostrili. Tako je bil omejen odpiralni čas gostinskih obratov, obratovanje diskotek in gostinskih lokalov, ki nudijo glasbo ni bilo dovoljeno, omejeno je bilo zbiranje ljudi, pogoj PCT je bilo </w:t>
      </w:r>
      <w:r w:rsidR="00AF11E8">
        <w:rPr>
          <w:rFonts w:eastAsia="Myriad Pro" w:cs="Myriad Pro"/>
          <w:color w:val="000000" w:themeColor="text1"/>
          <w:lang w:val="sl"/>
        </w:rPr>
        <w:t>treba</w:t>
      </w:r>
      <w:r w:rsidR="003A1B66">
        <w:rPr>
          <w:rFonts w:eastAsia="Myriad Pro" w:cs="Myriad Pro"/>
          <w:color w:val="000000" w:themeColor="text1"/>
          <w:lang w:val="sl"/>
        </w:rPr>
        <w:t xml:space="preserve"> izkazati z veljavnim osebnim dokumentom itd.</w:t>
      </w:r>
    </w:p>
    <w:p w14:paraId="3C895728" w14:textId="6F0E9325" w:rsidR="005B4339" w:rsidRPr="00C32468" w:rsidRDefault="005B4339" w:rsidP="005B4339">
      <w:pPr>
        <w:pStyle w:val="Napis"/>
        <w:rPr>
          <w:spacing w:val="-6"/>
        </w:rPr>
      </w:pPr>
      <w:r w:rsidRPr="00C32468">
        <w:rPr>
          <w:spacing w:val="-6"/>
          <w:szCs w:val="22"/>
        </w:rPr>
        <w:lastRenderedPageBreak/>
        <w:t xml:space="preserve">Slika </w:t>
      </w:r>
      <w:r w:rsidRPr="00C32468">
        <w:rPr>
          <w:spacing w:val="-6"/>
          <w:szCs w:val="22"/>
        </w:rPr>
        <w:fldChar w:fldCharType="begin"/>
      </w:r>
      <w:r w:rsidRPr="00C32468">
        <w:rPr>
          <w:spacing w:val="-6"/>
          <w:szCs w:val="22"/>
        </w:rPr>
        <w:instrText xml:space="preserve"> SEQ Slika \* ARABIC </w:instrText>
      </w:r>
      <w:r w:rsidRPr="00C32468">
        <w:rPr>
          <w:spacing w:val="-6"/>
          <w:szCs w:val="22"/>
        </w:rPr>
        <w:fldChar w:fldCharType="separate"/>
      </w:r>
      <w:r w:rsidR="00BC3FBB">
        <w:rPr>
          <w:spacing w:val="-6"/>
          <w:szCs w:val="22"/>
        </w:rPr>
        <w:t>9</w:t>
      </w:r>
      <w:r w:rsidRPr="00C32468">
        <w:rPr>
          <w:spacing w:val="-6"/>
          <w:szCs w:val="22"/>
        </w:rPr>
        <w:fldChar w:fldCharType="end"/>
      </w:r>
      <w:r w:rsidRPr="00C32468">
        <w:rPr>
          <w:spacing w:val="-6"/>
          <w:szCs w:val="22"/>
        </w:rPr>
        <w:t xml:space="preserve">: </w:t>
      </w:r>
      <w:r w:rsidR="00C158D7">
        <w:rPr>
          <w:spacing w:val="-6"/>
          <w:szCs w:val="22"/>
        </w:rPr>
        <w:t>M</w:t>
      </w:r>
      <w:r w:rsidR="003A1B66">
        <w:rPr>
          <w:spacing w:val="-6"/>
          <w:szCs w:val="22"/>
        </w:rPr>
        <w:t>edletne rasti prodaje v gostinst</w:t>
      </w:r>
      <w:r w:rsidR="00C158D7">
        <w:rPr>
          <w:spacing w:val="-6"/>
          <w:szCs w:val="22"/>
        </w:rPr>
        <w:t>v</w:t>
      </w:r>
      <w:r w:rsidR="003A1B66">
        <w:rPr>
          <w:spacing w:val="-6"/>
          <w:szCs w:val="22"/>
        </w:rPr>
        <w:t>u so se proti koncu leta</w:t>
      </w:r>
      <w:r w:rsidR="002A1416">
        <w:rPr>
          <w:spacing w:val="-6"/>
          <w:szCs w:val="22"/>
        </w:rPr>
        <w:t xml:space="preserve"> 2022</w:t>
      </w:r>
      <w:r w:rsidR="003A1B66">
        <w:rPr>
          <w:spacing w:val="-6"/>
          <w:szCs w:val="22"/>
        </w:rPr>
        <w:t xml:space="preserve"> zaradi nižje lanske osnove nekoliko okrepil</w:t>
      </w:r>
      <w:r w:rsidR="00C158D7">
        <w:rPr>
          <w:spacing w:val="-6"/>
          <w:szCs w:val="22"/>
        </w:rPr>
        <w:t>e</w:t>
      </w:r>
    </w:p>
    <w:p w14:paraId="34ED05C0" w14:textId="6F95E019" w:rsidR="005B4339" w:rsidRDefault="00505A76" w:rsidP="005B4339">
      <w:pPr>
        <w:pStyle w:val="BesediloUMAR"/>
      </w:pPr>
      <w:r w:rsidRPr="00505A76">
        <w:rPr>
          <w:noProof/>
        </w:rPr>
        <w:drawing>
          <wp:inline distT="0" distB="0" distL="0" distR="0" wp14:anchorId="6C946552" wp14:editId="3BA6C5C0">
            <wp:extent cx="5759450" cy="21725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2172505"/>
                    </a:xfrm>
                    <a:prstGeom prst="rect">
                      <a:avLst/>
                    </a:prstGeom>
                    <a:noFill/>
                    <a:ln>
                      <a:noFill/>
                    </a:ln>
                  </pic:spPr>
                </pic:pic>
              </a:graphicData>
            </a:graphic>
          </wp:inline>
        </w:drawing>
      </w:r>
    </w:p>
    <w:p w14:paraId="11E01BA0" w14:textId="25CE950A" w:rsidR="005B4339" w:rsidRPr="00C32468" w:rsidRDefault="005B4339" w:rsidP="005B4339">
      <w:pPr>
        <w:pStyle w:val="VirUMAR"/>
      </w:pPr>
      <w:r w:rsidRPr="00C32468">
        <w:t>Vir podatkov:</w:t>
      </w:r>
      <w:r w:rsidR="00A75146">
        <w:t xml:space="preserve"> </w:t>
      </w:r>
      <w:r w:rsidR="00A75146">
        <w:fldChar w:fldCharType="begin"/>
      </w:r>
      <w:r w:rsidR="00062573">
        <w:instrText xml:space="preserve"> ADDIN ZOTERO_ITEM CSL_CITATION {"citationID":"gVpBKNro","properties":{"formattedCitation":"(FURS, 2022)","plainCitation":"(FURS, 2022)","dontUpdate":true,"noteIndex":0},"citationItems":[{"id":1822,"uris":["http://zotero.org/users/8372339/items/DNSWSHVV"],"uri":["http://zotero.org/users/8372339/items/DNSWSHVV"],"itemData":{"id":1822,"type":"report","event-place":"Ljubljana","genre":"Interni podatki","publisher":"Finančna uprava Republike Slovenije","publisher-place":"Ljubljana","title":"Podatki o  vrednosti davčno potrjenih računov","author":[{"family":"FURS","given":""}],"issued":{"date-parts":[["2022",11]]}}}],"schema":"https://github.com/citation-style-language/schema/raw/master/csl-citation.json"} </w:instrText>
      </w:r>
      <w:r w:rsidR="00A75146">
        <w:fldChar w:fldCharType="separate"/>
      </w:r>
      <w:r w:rsidR="00A75146" w:rsidRPr="00A75146">
        <w:t>FURS</w:t>
      </w:r>
      <w:r w:rsidR="00A75146">
        <w:t xml:space="preserve"> (</w:t>
      </w:r>
      <w:r w:rsidR="00A75146" w:rsidRPr="00A75146">
        <w:t>2022)</w:t>
      </w:r>
      <w:r w:rsidR="00A75146">
        <w:fldChar w:fldCharType="end"/>
      </w:r>
      <w:r w:rsidRPr="00C32468">
        <w:t xml:space="preserve">, </w:t>
      </w:r>
      <w:r w:rsidR="00A75146">
        <w:fldChar w:fldCharType="begin"/>
      </w:r>
      <w:r w:rsidR="00062573">
        <w:instrText xml:space="preserve"> ADDIN ZOTERO_ITEM CSL_CITATION {"citationID":"vy4ITfIV","properties":{"formattedCitation":"(SURS, 2022)","plainCitation":"(SURS, 2022)","dontUpdate":true,"noteIndex":0},"citationItems":[{"id":1805,"uris":["http://zotero.org/users/8372339/items/QZ8I7YHY"],"uri":["http://zotero.org/users/8372339/items/QZ8I7YHY"],"itemData":{"id":1805,"type":"report","event-place":"Ljubljana","language":"sl","publisher":"Statistični urad RS","publisher-place":"Ljubljana","title":"Podatkovna baza","URL":"https://pxweb.stat.si/SiStatData","author":[{"family":"SURS","given":""}],"accessed":{"date-parts":[["2022",2,11]]},"issued":{"date-parts":[["2022"]]}}}],"schema":"https://github.com/citation-style-language/schema/raw/master/csl-citation.json"} </w:instrText>
      </w:r>
      <w:r w:rsidR="00A75146">
        <w:fldChar w:fldCharType="separate"/>
      </w:r>
      <w:r w:rsidR="00A75146" w:rsidRPr="00A75146">
        <w:t xml:space="preserve">SURS </w:t>
      </w:r>
      <w:r w:rsidR="00A75146">
        <w:t>(</w:t>
      </w:r>
      <w:r w:rsidR="00A75146" w:rsidRPr="00A75146">
        <w:t>2022)</w:t>
      </w:r>
      <w:r w:rsidR="00A75146">
        <w:fldChar w:fldCharType="end"/>
      </w:r>
      <w:r w:rsidR="00A75146">
        <w:t xml:space="preserve">, </w:t>
      </w:r>
      <w:r w:rsidRPr="00C32468">
        <w:t>lastni izračuni.</w:t>
      </w:r>
    </w:p>
    <w:p w14:paraId="121CA70D" w14:textId="77777777" w:rsidR="005B4339" w:rsidRPr="005B4339" w:rsidRDefault="005B4339" w:rsidP="005B4339">
      <w:pPr>
        <w:pStyle w:val="BesediloUMAR"/>
      </w:pPr>
    </w:p>
    <w:bookmarkEnd w:id="11"/>
    <w:p w14:paraId="2FDA5010" w14:textId="77777777" w:rsidR="008F6BED" w:rsidRDefault="008F6BED" w:rsidP="008F6BED">
      <w:pPr>
        <w:pStyle w:val="Naslov1"/>
      </w:pPr>
      <w:r>
        <w:lastRenderedPageBreak/>
        <w:t xml:space="preserve">Zaključek </w:t>
      </w:r>
    </w:p>
    <w:p w14:paraId="653E4C94" w14:textId="69E8C496" w:rsidR="001908FD" w:rsidRPr="008A7286" w:rsidRDefault="008A7286" w:rsidP="005B4339">
      <w:pPr>
        <w:pStyle w:val="BesediloUMAR"/>
      </w:pPr>
      <w:r w:rsidRPr="008A7286">
        <w:t>Gostinske družbe so zaradi zaprtja obratov in omejitev pri poslovanju v letu 2020 močno poslabšale</w:t>
      </w:r>
      <w:r w:rsidR="00761B26">
        <w:t xml:space="preserve"> poslovne rezultate</w:t>
      </w:r>
      <w:r w:rsidRPr="008A7286">
        <w:t xml:space="preserve">. </w:t>
      </w:r>
      <w:r w:rsidR="00761B26">
        <w:t>Negativni vpliv epidemije so ublažili</w:t>
      </w:r>
      <w:r w:rsidRPr="008A7286">
        <w:t xml:space="preserve"> ukrepi vlade za ohranjanje delovnih mest in omejitev negativnih posledic epidemije za prebivalstvo in gospodarstvo ter za pospešitev okrevanja. Poslovanje se je naslednje leto izboljšalo, tako da so gostinske družbe leto 2021 zaključile z neto čistim dobičkom, ki pa je bil </w:t>
      </w:r>
      <w:r w:rsidR="00761B26">
        <w:t xml:space="preserve">še </w:t>
      </w:r>
      <w:r w:rsidRPr="008A7286">
        <w:t>manjši kot leta 2019. Izboljšanje je bil</w:t>
      </w:r>
      <w:r w:rsidR="00D4614C">
        <w:t>o</w:t>
      </w:r>
      <w:r w:rsidRPr="008A7286">
        <w:t xml:space="preserve"> posledica večjega trošenja domačih turistov in domačega prebivalstva</w:t>
      </w:r>
      <w:r w:rsidR="008473AE">
        <w:t xml:space="preserve"> ob rahljanju ukrepov za omejevanje epidemije</w:t>
      </w:r>
      <w:r w:rsidR="00A30A66">
        <w:t>,</w:t>
      </w:r>
      <w:r w:rsidR="00D4614C">
        <w:t xml:space="preserve"> podprto z ohranitvi</w:t>
      </w:r>
      <w:r w:rsidR="00A30A66">
        <w:t>j</w:t>
      </w:r>
      <w:r w:rsidR="00D4614C">
        <w:t xml:space="preserve">o razmeroma ugodne dohodkovne situacije med epidemijo </w:t>
      </w:r>
      <w:r w:rsidR="00A30A66">
        <w:t>in</w:t>
      </w:r>
      <w:r w:rsidR="00D4614C">
        <w:t xml:space="preserve"> dodatno</w:t>
      </w:r>
      <w:r w:rsidRPr="008A7286">
        <w:t xml:space="preserve"> spodbujeno z unovčevanj</w:t>
      </w:r>
      <w:r w:rsidR="00A30A66">
        <w:t>em</w:t>
      </w:r>
      <w:r w:rsidRPr="008A7286">
        <w:t xml:space="preserve"> turističnih bonov in bonov, ki jih je bilo mogoče koristiti v bolj prizadetih dejavnostih turizma, gostinstva, športa in kulture. Povečal se je tudi obisk tujih turistov, ki pa je še močno zaostajal za </w:t>
      </w:r>
      <w:r w:rsidR="008473AE">
        <w:t>tistim</w:t>
      </w:r>
      <w:r w:rsidR="008473AE" w:rsidRPr="008A7286">
        <w:t xml:space="preserve"> </w:t>
      </w:r>
      <w:r w:rsidRPr="008A7286">
        <w:t xml:space="preserve">iz leta 2019. Ob boljšem osnovnem poslovanju se je leta 2021 izboljšala tudi donosnost in gospodarnost, zadolženost gostinskih družb pa je ostala visoka. Še nekoliko boljše rezultate gostinske družbe dosegajo v letu 2022, ko je število prenočitev tujih turistov v glavni sezoni že doseglo predepidemične rekordne ravni, na večji prihodek pa je vplivalo tudi unovčevanje obeh vrst bonov. </w:t>
      </w:r>
      <w:r w:rsidR="001908FD" w:rsidRPr="008A7286">
        <w:br w:type="page"/>
      </w:r>
    </w:p>
    <w:p w14:paraId="220CC7A6" w14:textId="77777777" w:rsidR="001908FD" w:rsidRDefault="001908FD" w:rsidP="001908FD">
      <w:pPr>
        <w:pStyle w:val="Naslov3"/>
        <w:numPr>
          <w:ilvl w:val="0"/>
          <w:numId w:val="0"/>
        </w:numPr>
      </w:pPr>
      <w:bookmarkStart w:id="12" w:name="_Hlk109113743"/>
      <w:r>
        <w:lastRenderedPageBreak/>
        <w:t>Literatura in viri</w:t>
      </w:r>
      <w:r w:rsidR="005A6C05">
        <w:t xml:space="preserve"> </w:t>
      </w:r>
    </w:p>
    <w:bookmarkEnd w:id="12"/>
    <w:p w14:paraId="2B799950" w14:textId="77777777" w:rsidR="00B25714" w:rsidRPr="001F3514" w:rsidRDefault="00DF7697" w:rsidP="001F3514">
      <w:pPr>
        <w:pStyle w:val="Bibliografija"/>
        <w:spacing w:after="80" w:line="288" w:lineRule="auto"/>
        <w:ind w:left="284" w:hanging="284"/>
        <w:rPr>
          <w:rFonts w:ascii="Myriad Pro" w:hAnsi="Myriad Pro"/>
          <w:sz w:val="20"/>
        </w:rPr>
      </w:pPr>
      <w:r w:rsidRPr="001F3514">
        <w:fldChar w:fldCharType="begin"/>
      </w:r>
      <w:r w:rsidR="00B25714" w:rsidRPr="001F3514">
        <w:instrText xml:space="preserve"> ADDIN ZOTERO_BIBL {"uncited":[],"omitted":[],"custom":[]} CSL_BIBLIOGRAPHY </w:instrText>
      </w:r>
      <w:r w:rsidRPr="001F3514">
        <w:fldChar w:fldCharType="separate"/>
      </w:r>
      <w:r w:rsidR="00B25714" w:rsidRPr="001F3514">
        <w:rPr>
          <w:rFonts w:ascii="Myriad Pro" w:hAnsi="Myriad Pro"/>
          <w:sz w:val="20"/>
        </w:rPr>
        <w:t>AJPES. (2022). Statistični podatki iz bilance stanja in izkaza poslovnega izida za gospodarske družbe in samostojne podjetnike. Ljubljana: Agencija Republike Slovenije za javnopravne evidence in storitve.</w:t>
      </w:r>
    </w:p>
    <w:p w14:paraId="72FB6023" w14:textId="77777777" w:rsidR="00B25714" w:rsidRPr="001F3514" w:rsidRDefault="00B25714" w:rsidP="001F3514">
      <w:pPr>
        <w:pStyle w:val="Bibliografija"/>
        <w:spacing w:after="80" w:line="288" w:lineRule="auto"/>
        <w:ind w:left="284" w:hanging="284"/>
        <w:rPr>
          <w:rFonts w:ascii="Myriad Pro" w:hAnsi="Myriad Pro"/>
          <w:sz w:val="20"/>
        </w:rPr>
      </w:pPr>
      <w:r w:rsidRPr="001F3514">
        <w:rPr>
          <w:rFonts w:ascii="Myriad Pro" w:hAnsi="Myriad Pro"/>
          <w:sz w:val="20"/>
        </w:rPr>
        <w:t>DURS. (2014). Boj proti sivi ekonomiji dvignil prihodke iz naslova DDV za 96 milijonov evrov. Ljubljana: Davčna uprava Republike Slovenije. Pridobljeno s http://www.protisiviekonomiji.si/novica/article/46974/</w:t>
      </w:r>
    </w:p>
    <w:p w14:paraId="30A402E5" w14:textId="77777777" w:rsidR="00B25714" w:rsidRPr="001F3514" w:rsidRDefault="00B25714" w:rsidP="001F3514">
      <w:pPr>
        <w:pStyle w:val="Bibliografija"/>
        <w:spacing w:after="80" w:line="288" w:lineRule="auto"/>
        <w:ind w:left="284" w:hanging="284"/>
        <w:rPr>
          <w:rFonts w:ascii="Myriad Pro" w:hAnsi="Myriad Pro"/>
          <w:sz w:val="20"/>
        </w:rPr>
      </w:pPr>
      <w:r w:rsidRPr="001F3514">
        <w:rPr>
          <w:rFonts w:ascii="Myriad Pro" w:hAnsi="Myriad Pro"/>
          <w:sz w:val="20"/>
        </w:rPr>
        <w:t>FURS. (2017). Poročilo o učinkih uvedbe sistema davčnega potrjevanja računov v RS v letu 2016. Ljubljana: Finančna uprava Republike Slovenije. Pridobljeno s http://www.fu.gov.si/fileadmin/Internet/Medijsko_sredisce/2017/Porocilo_o_ucinkih_uvedbe_sistema_davcnega_potrjevanja_racunov_v_Republiki_Sloveniji_v_letu_2016.pdf</w:t>
      </w:r>
    </w:p>
    <w:p w14:paraId="1F0FDF7D" w14:textId="21CAB00C" w:rsidR="00B25714" w:rsidRPr="001F3514" w:rsidRDefault="00B25714" w:rsidP="001F3514">
      <w:pPr>
        <w:pStyle w:val="Bibliografija"/>
        <w:spacing w:after="80" w:line="288" w:lineRule="auto"/>
        <w:ind w:left="284" w:hanging="284"/>
        <w:rPr>
          <w:rFonts w:ascii="Myriad Pro" w:hAnsi="Myriad Pro"/>
          <w:sz w:val="20"/>
        </w:rPr>
      </w:pPr>
      <w:r w:rsidRPr="001F3514">
        <w:rPr>
          <w:rFonts w:ascii="Myriad Pro" w:hAnsi="Myriad Pro"/>
          <w:sz w:val="20"/>
        </w:rPr>
        <w:t>FURS. (2022). Podatki o vrednosti davčno potrjenih računov [interni podatki]. Ljubljana: Finančna uprava Republike Slovenije.</w:t>
      </w:r>
    </w:p>
    <w:p w14:paraId="3EFD7F26" w14:textId="77777777" w:rsidR="00B25714" w:rsidRPr="001F3514" w:rsidRDefault="00B25714" w:rsidP="001F3514">
      <w:pPr>
        <w:pStyle w:val="Bibliografija"/>
        <w:spacing w:after="80" w:line="288" w:lineRule="auto"/>
        <w:ind w:left="284" w:hanging="284"/>
        <w:rPr>
          <w:rFonts w:ascii="Myriad Pro" w:hAnsi="Myriad Pro"/>
          <w:sz w:val="20"/>
        </w:rPr>
      </w:pPr>
      <w:r w:rsidRPr="001F3514">
        <w:rPr>
          <w:rFonts w:ascii="Myriad Pro" w:hAnsi="Myriad Pro"/>
          <w:sz w:val="20"/>
        </w:rPr>
        <w:t>MF. (2022). Odhodki državnega proračuna za blaženje posledic covid-19 [interni podatki]. Ljubljana: Ministrstvo za finance.</w:t>
      </w:r>
    </w:p>
    <w:p w14:paraId="1E03AC40" w14:textId="77777777" w:rsidR="00B25714" w:rsidRPr="001F3514" w:rsidRDefault="00B25714" w:rsidP="001F3514">
      <w:pPr>
        <w:pStyle w:val="Bibliografija"/>
        <w:spacing w:after="80" w:line="288" w:lineRule="auto"/>
        <w:ind w:left="284" w:hanging="284"/>
        <w:rPr>
          <w:rFonts w:ascii="Myriad Pro" w:hAnsi="Myriad Pro"/>
          <w:sz w:val="20"/>
        </w:rPr>
      </w:pPr>
      <w:r w:rsidRPr="001F3514">
        <w:rPr>
          <w:rFonts w:ascii="Myriad Pro" w:hAnsi="Myriad Pro"/>
          <w:sz w:val="20"/>
        </w:rPr>
        <w:t>SURS. (2022). Podatkovna baza. Ljubljana: Statistični urad RS. Pridobljeno s https://pxweb.stat.si/SiStatData</w:t>
      </w:r>
    </w:p>
    <w:p w14:paraId="0DF3C5C1" w14:textId="77777777" w:rsidR="00B25714" w:rsidRPr="001F3514" w:rsidRDefault="00B25714" w:rsidP="001F3514">
      <w:pPr>
        <w:pStyle w:val="Bibliografija"/>
        <w:spacing w:after="80" w:line="288" w:lineRule="auto"/>
        <w:ind w:left="284" w:hanging="284"/>
        <w:rPr>
          <w:rFonts w:ascii="Myriad Pro" w:hAnsi="Myriad Pro"/>
          <w:sz w:val="20"/>
        </w:rPr>
      </w:pPr>
      <w:r w:rsidRPr="001F3514">
        <w:rPr>
          <w:rFonts w:ascii="Myriad Pro" w:hAnsi="Myriad Pro"/>
          <w:sz w:val="20"/>
        </w:rPr>
        <w:t>UMAR. (2021a). Jesenska napoved gospodarskih gibanj 2021. Ljubljana: Urad RS za makroekonomske analize in razvoj. Pridobljeno s https://www.umar.gov.si/fileadmin/user_upload/napovedi/jesen/2021/JNGG_2021_splet.pdf</w:t>
      </w:r>
    </w:p>
    <w:p w14:paraId="5BF640EC" w14:textId="77777777" w:rsidR="00B25714" w:rsidRPr="001F3514" w:rsidRDefault="00B25714" w:rsidP="001F3514">
      <w:pPr>
        <w:pStyle w:val="Bibliografija"/>
        <w:spacing w:after="80" w:line="288" w:lineRule="auto"/>
        <w:ind w:left="284" w:hanging="284"/>
        <w:rPr>
          <w:rFonts w:ascii="Myriad Pro" w:hAnsi="Myriad Pro"/>
          <w:sz w:val="20"/>
        </w:rPr>
      </w:pPr>
      <w:r w:rsidRPr="001F3514">
        <w:rPr>
          <w:rFonts w:ascii="Myriad Pro" w:hAnsi="Myriad Pro"/>
          <w:sz w:val="20"/>
        </w:rPr>
        <w:t>UMAR. (2021b). Pomladanska napoved gospodarskih gibanj 2021. Ljubljana: Urad RS za makroekonomske analize in razvoj. Pridobljeno s https://www.umar.gov.si/fileadmin/user_upload/napovedi/pomlad/pomladanska_2021/Pomladanska_napoved_2021-splet_01.pdf</w:t>
      </w:r>
    </w:p>
    <w:p w14:paraId="11258656" w14:textId="77777777" w:rsidR="00B25714" w:rsidRPr="001F3514" w:rsidRDefault="00B25714" w:rsidP="001F3514">
      <w:pPr>
        <w:pStyle w:val="Bibliografija"/>
        <w:spacing w:after="80" w:line="288" w:lineRule="auto"/>
        <w:ind w:left="284" w:hanging="284"/>
        <w:rPr>
          <w:rFonts w:ascii="Myriad Pro" w:hAnsi="Myriad Pro"/>
          <w:sz w:val="20"/>
        </w:rPr>
      </w:pPr>
      <w:r w:rsidRPr="001F3514">
        <w:rPr>
          <w:rFonts w:ascii="Myriad Pro" w:hAnsi="Myriad Pro"/>
          <w:sz w:val="20"/>
        </w:rPr>
        <w:t>UMAR. (2022). Poročilo o produktivnosti 2021. Ljubljana: Urad RS za makroekonomske analize in razvoj. Pridobljeno s https://www.umar.gov.si/publikacije/porocilo-o-produktivnosti/</w:t>
      </w:r>
    </w:p>
    <w:p w14:paraId="679F5A98" w14:textId="77777777" w:rsidR="00B25714" w:rsidRPr="001F3514" w:rsidRDefault="00B25714" w:rsidP="001F3514">
      <w:pPr>
        <w:pStyle w:val="Bibliografija"/>
        <w:spacing w:after="80" w:line="288" w:lineRule="auto"/>
        <w:ind w:left="284" w:hanging="284"/>
        <w:rPr>
          <w:rFonts w:ascii="Myriad Pro" w:hAnsi="Myriad Pro"/>
          <w:sz w:val="20"/>
        </w:rPr>
      </w:pPr>
      <w:r w:rsidRPr="001F3514">
        <w:rPr>
          <w:rFonts w:ascii="Myriad Pro" w:hAnsi="Myriad Pro"/>
          <w:sz w:val="20"/>
        </w:rPr>
        <w:t>Vlada RS. (b. d.). Ukrepi za zajezitev širjenja okužb. Pridobljeno 30. 8. 2021 s https://www.gov.si/teme/koronavirus-sars-cov-2/ukrepi-za-zajezitev-sirjenja-okuzb/</w:t>
      </w:r>
    </w:p>
    <w:p w14:paraId="676372C0" w14:textId="77777777" w:rsidR="00B25714" w:rsidRPr="001F3514" w:rsidRDefault="00B25714" w:rsidP="001F3514">
      <w:pPr>
        <w:pStyle w:val="Bibliografija"/>
        <w:spacing w:after="80" w:line="288" w:lineRule="auto"/>
        <w:ind w:left="284" w:hanging="284"/>
        <w:rPr>
          <w:rFonts w:ascii="Myriad Pro" w:hAnsi="Myriad Pro"/>
          <w:sz w:val="20"/>
        </w:rPr>
      </w:pPr>
      <w:r w:rsidRPr="001F3514">
        <w:rPr>
          <w:rFonts w:ascii="Myriad Pro" w:hAnsi="Myriad Pro"/>
          <w:sz w:val="20"/>
        </w:rPr>
        <w:t>ZRSZ. (2021). Delodajalci vključeni v interventne ukrepe [interni podatki]. Ljubljana: Zavod RS za zaposlovanje.</w:t>
      </w:r>
    </w:p>
    <w:p w14:paraId="5F53E4C6" w14:textId="6D36216A" w:rsidR="001908FD" w:rsidRDefault="00DF7697" w:rsidP="001F3514">
      <w:pPr>
        <w:pStyle w:val="BesediloUMAR"/>
        <w:spacing w:after="80"/>
        <w:ind w:left="284" w:hanging="284"/>
      </w:pPr>
      <w:r w:rsidRPr="001F3514">
        <w:fldChar w:fldCharType="end"/>
      </w:r>
    </w:p>
    <w:p w14:paraId="699234C2" w14:textId="77777777" w:rsidR="00A75146" w:rsidRDefault="00A75146" w:rsidP="001F3514">
      <w:pPr>
        <w:spacing w:after="80" w:line="360" w:lineRule="auto"/>
        <w:rPr>
          <w:rFonts w:ascii="Myriad Pro" w:hAnsi="Myriad Pro" w:cs="Arial"/>
          <w:b/>
          <w:bCs/>
          <w:color w:val="9E001A" w:themeColor="accent1"/>
          <w:sz w:val="24"/>
          <w:szCs w:val="26"/>
        </w:rPr>
      </w:pPr>
      <w:bookmarkStart w:id="13" w:name="_Toc90552431"/>
      <w:r>
        <w:br w:type="page"/>
      </w:r>
    </w:p>
    <w:p w14:paraId="4CCD1179" w14:textId="5E61D0C0" w:rsidR="004F2D70" w:rsidRPr="004F2D70" w:rsidRDefault="004F2D70" w:rsidP="004F2D70">
      <w:pPr>
        <w:pStyle w:val="Naslov3"/>
        <w:numPr>
          <w:ilvl w:val="0"/>
          <w:numId w:val="0"/>
        </w:numPr>
      </w:pPr>
      <w:r w:rsidRPr="004F2D70">
        <w:t>Priloga: Opredelitev kazalnikov, uporabljenih v analizi poslovanja gospodarskih družb</w:t>
      </w:r>
      <w:bookmarkEnd w:id="13"/>
    </w:p>
    <w:p w14:paraId="72243C80" w14:textId="77777777" w:rsidR="004F2D70" w:rsidRPr="004F2D70" w:rsidRDefault="004F2D70" w:rsidP="004F2D70">
      <w:pPr>
        <w:spacing w:after="0" w:line="288" w:lineRule="auto"/>
        <w:jc w:val="both"/>
        <w:rPr>
          <w:rFonts w:ascii="Myriad Pro" w:hAnsi="Myriad Pro"/>
          <w:sz w:val="20"/>
        </w:rPr>
      </w:pPr>
    </w:p>
    <w:p w14:paraId="7331E9C4" w14:textId="77777777" w:rsidR="004F2D70" w:rsidRPr="004F2D70" w:rsidRDefault="004F2D70" w:rsidP="004F2D70">
      <w:pPr>
        <w:pStyle w:val="BesediloUMAR"/>
      </w:pPr>
      <w:r w:rsidRPr="004F2D70">
        <w:t>KAZALNIKA VELIKOSTI</w:t>
      </w:r>
    </w:p>
    <w:p w14:paraId="5CE1FA5D" w14:textId="77777777" w:rsidR="004F2D70" w:rsidRPr="004F2D70" w:rsidRDefault="004F2D70" w:rsidP="004F2D70">
      <w:pPr>
        <w:pStyle w:val="BesediloUMAR"/>
        <w:rPr>
          <w:b/>
        </w:rPr>
      </w:pPr>
      <w:r w:rsidRPr="004F2D70">
        <w:rPr>
          <w:b/>
        </w:rPr>
        <w:t xml:space="preserve">Sredstva na podjetje </w:t>
      </w:r>
    </w:p>
    <w:p w14:paraId="644EACDB" w14:textId="77777777" w:rsidR="004F2D70" w:rsidRPr="004F2D70" w:rsidRDefault="004F2D70" w:rsidP="004F2D70">
      <w:pPr>
        <w:pStyle w:val="BesediloUMAR"/>
      </w:pPr>
      <w:r w:rsidRPr="004F2D70">
        <w:t>001/število podjetij</w:t>
      </w:r>
    </w:p>
    <w:p w14:paraId="394A3D0D" w14:textId="77777777" w:rsidR="004F2D70" w:rsidRPr="004F2D70" w:rsidRDefault="004F2D70" w:rsidP="004F2D70">
      <w:pPr>
        <w:pStyle w:val="BesediloUMAR"/>
        <w:rPr>
          <w:b/>
        </w:rPr>
      </w:pPr>
      <w:r w:rsidRPr="004F2D70">
        <w:rPr>
          <w:b/>
        </w:rPr>
        <w:t xml:space="preserve">Število zaposlenih na podjetje </w:t>
      </w:r>
    </w:p>
    <w:p w14:paraId="70150059" w14:textId="77777777" w:rsidR="004F2D70" w:rsidRPr="004F2D70" w:rsidRDefault="004F2D70" w:rsidP="004F2D70">
      <w:pPr>
        <w:pStyle w:val="BesediloUMAR"/>
      </w:pPr>
      <w:r w:rsidRPr="004F2D70">
        <w:t>188/število podjetij</w:t>
      </w:r>
    </w:p>
    <w:p w14:paraId="70BB545C" w14:textId="77777777" w:rsidR="004F2D70" w:rsidRPr="004F2D70" w:rsidRDefault="004F2D70" w:rsidP="004F2D70">
      <w:pPr>
        <w:pStyle w:val="BesediloUMAR"/>
      </w:pPr>
    </w:p>
    <w:p w14:paraId="5DA03B57" w14:textId="77777777" w:rsidR="004F2D70" w:rsidRPr="004F2D70" w:rsidRDefault="004F2D70" w:rsidP="004F2D70">
      <w:pPr>
        <w:pStyle w:val="BesediloUMAR"/>
      </w:pPr>
      <w:r w:rsidRPr="004F2D70">
        <w:t>KAZALNIK OPREMLJENOSTI DELA S SREDSTVI</w:t>
      </w:r>
    </w:p>
    <w:p w14:paraId="6711646D" w14:textId="77777777" w:rsidR="004F2D70" w:rsidRPr="004F2D70" w:rsidRDefault="004F2D70" w:rsidP="004F2D70">
      <w:pPr>
        <w:pStyle w:val="BesediloUMAR"/>
        <w:rPr>
          <w:b/>
        </w:rPr>
      </w:pPr>
      <w:r w:rsidRPr="004F2D70">
        <w:rPr>
          <w:b/>
        </w:rPr>
        <w:t>Povprečna* sredstva na zaposlenega</w:t>
      </w:r>
    </w:p>
    <w:p w14:paraId="2146920D" w14:textId="77777777" w:rsidR="004F2D70" w:rsidRPr="004F2D70" w:rsidRDefault="004F2D70" w:rsidP="004F2D70">
      <w:pPr>
        <w:pStyle w:val="BesediloUMAR"/>
      </w:pPr>
      <w:r w:rsidRPr="004F2D70">
        <w:t>((001</w:t>
      </w:r>
      <w:r w:rsidRPr="004F2D70">
        <w:rPr>
          <w:vertAlign w:val="subscript"/>
        </w:rPr>
        <w:t>1</w:t>
      </w:r>
      <w:r w:rsidRPr="004F2D70">
        <w:t xml:space="preserve"> + 001</w:t>
      </w:r>
      <w:r w:rsidRPr="004F2D70">
        <w:rPr>
          <w:vertAlign w:val="subscript"/>
        </w:rPr>
        <w:t>0</w:t>
      </w:r>
      <w:r w:rsidRPr="004F2D70">
        <w:t>)/2)/188</w:t>
      </w:r>
    </w:p>
    <w:p w14:paraId="2B5DB824" w14:textId="77777777" w:rsidR="004F2D70" w:rsidRPr="004F2D70" w:rsidRDefault="004F2D70" w:rsidP="004F2D70">
      <w:pPr>
        <w:pStyle w:val="BesediloUMAR"/>
      </w:pPr>
    </w:p>
    <w:p w14:paraId="456E187E" w14:textId="77777777" w:rsidR="004F2D70" w:rsidRPr="004F2D70" w:rsidRDefault="004F2D70" w:rsidP="004F2D70">
      <w:pPr>
        <w:pStyle w:val="BesediloUMAR"/>
      </w:pPr>
      <w:r w:rsidRPr="004F2D70">
        <w:t>KAZALNIK GOSPODARNOSTI</w:t>
      </w:r>
    </w:p>
    <w:p w14:paraId="2BAE6454" w14:textId="77777777" w:rsidR="004F2D70" w:rsidRPr="004F2D70" w:rsidRDefault="004F2D70" w:rsidP="004F2D70">
      <w:pPr>
        <w:pStyle w:val="BesediloUMAR"/>
        <w:rPr>
          <w:b/>
        </w:rPr>
      </w:pPr>
      <w:r w:rsidRPr="004F2D70">
        <w:rPr>
          <w:b/>
        </w:rPr>
        <w:t xml:space="preserve">Gospodarnost poslovanja = poslovni prihodki/poslovni odhodki </w:t>
      </w:r>
    </w:p>
    <w:p w14:paraId="5C4BBA17" w14:textId="77777777" w:rsidR="004F2D70" w:rsidRPr="004F2D70" w:rsidRDefault="004F2D70" w:rsidP="004F2D70">
      <w:pPr>
        <w:pStyle w:val="BesediloUMAR"/>
      </w:pPr>
      <w:r w:rsidRPr="004F2D70">
        <w:t>(126/127)</w:t>
      </w:r>
    </w:p>
    <w:p w14:paraId="602EDA72" w14:textId="77777777" w:rsidR="004F2D70" w:rsidRPr="004F2D70" w:rsidRDefault="004F2D70" w:rsidP="004F2D70">
      <w:pPr>
        <w:pStyle w:val="BesediloUMAR"/>
      </w:pPr>
    </w:p>
    <w:p w14:paraId="007F3C4E" w14:textId="77777777" w:rsidR="004F2D70" w:rsidRPr="004F2D70" w:rsidRDefault="004F2D70" w:rsidP="004F2D70">
      <w:pPr>
        <w:pStyle w:val="BesediloUMAR"/>
      </w:pPr>
      <w:r w:rsidRPr="004F2D70">
        <w:t>KAZALNIKI DONOSNOSTI</w:t>
      </w:r>
    </w:p>
    <w:p w14:paraId="2C393D9A" w14:textId="77777777" w:rsidR="004F2D70" w:rsidRPr="004F2D70" w:rsidRDefault="004F2D70" w:rsidP="004F2D70">
      <w:pPr>
        <w:pStyle w:val="BesediloUMAR"/>
        <w:rPr>
          <w:b/>
        </w:rPr>
      </w:pPr>
      <w:r w:rsidRPr="004F2D70">
        <w:rPr>
          <w:b/>
        </w:rPr>
        <w:t>Donosnost sredstev = neto čisti dobiček (izguba) obračunskega obdobja/povprečna* sredstva</w:t>
      </w:r>
    </w:p>
    <w:p w14:paraId="2AFCF871" w14:textId="77777777" w:rsidR="004F2D70" w:rsidRPr="004F2D70" w:rsidRDefault="004F2D70" w:rsidP="004F2D70">
      <w:pPr>
        <w:pStyle w:val="BesediloUMAR"/>
      </w:pPr>
      <w:r w:rsidRPr="004F2D70">
        <w:t>(186–187)/((001</w:t>
      </w:r>
      <w:r w:rsidRPr="004F2D70">
        <w:rPr>
          <w:vertAlign w:val="subscript"/>
        </w:rPr>
        <w:t>1</w:t>
      </w:r>
      <w:r w:rsidRPr="004F2D70">
        <w:t xml:space="preserve"> + 001</w:t>
      </w:r>
      <w:r w:rsidRPr="004F2D70">
        <w:rPr>
          <w:vertAlign w:val="subscript"/>
        </w:rPr>
        <w:t>0</w:t>
      </w:r>
      <w:r w:rsidRPr="004F2D70">
        <w:t xml:space="preserve">)/2) </w:t>
      </w:r>
    </w:p>
    <w:p w14:paraId="45D3CE92" w14:textId="77777777" w:rsidR="004F2D70" w:rsidRPr="004F2D70" w:rsidRDefault="004F2D70" w:rsidP="004F2D70">
      <w:pPr>
        <w:pStyle w:val="BesediloUMAR"/>
        <w:rPr>
          <w:b/>
        </w:rPr>
      </w:pPr>
      <w:r w:rsidRPr="004F2D70">
        <w:rPr>
          <w:b/>
        </w:rPr>
        <w:t>Donosnost prihodkov = neto čisti dobiček (izguba) obračunskega obdobja/celotni prihodki</w:t>
      </w:r>
    </w:p>
    <w:p w14:paraId="69A88C1E" w14:textId="77777777" w:rsidR="004F2D70" w:rsidRPr="004F2D70" w:rsidRDefault="004F2D70" w:rsidP="004F2D70">
      <w:pPr>
        <w:pStyle w:val="BesediloUMAR"/>
      </w:pPr>
      <w:r w:rsidRPr="004F2D70">
        <w:t>(186–187)/(126 + 153 + 178)</w:t>
      </w:r>
    </w:p>
    <w:p w14:paraId="02145197" w14:textId="77777777" w:rsidR="004F2D70" w:rsidRPr="004F2D70" w:rsidRDefault="004F2D70" w:rsidP="004F2D70">
      <w:pPr>
        <w:pStyle w:val="BesediloUMAR"/>
        <w:rPr>
          <w:b/>
        </w:rPr>
      </w:pPr>
      <w:r w:rsidRPr="004F2D70">
        <w:rPr>
          <w:b/>
        </w:rPr>
        <w:t>Donosnost kapitala = neto čisti dobiček (izguba) obračunskega obdobja/povprečni* kapital</w:t>
      </w:r>
    </w:p>
    <w:p w14:paraId="608AB68A" w14:textId="77777777" w:rsidR="004F2D70" w:rsidRPr="004F2D70" w:rsidRDefault="004F2D70" w:rsidP="004F2D70">
      <w:pPr>
        <w:pStyle w:val="BesediloUMAR"/>
      </w:pPr>
      <w:r w:rsidRPr="004F2D70">
        <w:t>(186–187)/((056</w:t>
      </w:r>
      <w:r w:rsidRPr="004F2D70">
        <w:rPr>
          <w:vertAlign w:val="subscript"/>
        </w:rPr>
        <w:t>1</w:t>
      </w:r>
      <w:r w:rsidRPr="004F2D70">
        <w:t xml:space="preserve"> + 056</w:t>
      </w:r>
      <w:r w:rsidRPr="004F2D70">
        <w:rPr>
          <w:vertAlign w:val="subscript"/>
        </w:rPr>
        <w:t>0</w:t>
      </w:r>
      <w:r w:rsidRPr="004F2D70">
        <w:t>)/2)</w:t>
      </w:r>
    </w:p>
    <w:p w14:paraId="4489BE2D" w14:textId="77777777" w:rsidR="004F2D70" w:rsidRPr="004F2D70" w:rsidRDefault="004F2D70" w:rsidP="004F2D70">
      <w:pPr>
        <w:pStyle w:val="BesediloUMAR"/>
      </w:pPr>
    </w:p>
    <w:p w14:paraId="7351A05B" w14:textId="77777777" w:rsidR="004F2D70" w:rsidRPr="004F2D70" w:rsidRDefault="004F2D70" w:rsidP="004F2D70">
      <w:pPr>
        <w:pStyle w:val="BesediloUMAR"/>
      </w:pPr>
      <w:r w:rsidRPr="004F2D70">
        <w:t>KAZALNIK PRODUKTIVNOSTI</w:t>
      </w:r>
    </w:p>
    <w:p w14:paraId="1D81C55C" w14:textId="77777777" w:rsidR="004F2D70" w:rsidRPr="004F2D70" w:rsidRDefault="004F2D70" w:rsidP="004F2D70">
      <w:pPr>
        <w:pStyle w:val="BesediloUMAR"/>
        <w:rPr>
          <w:b/>
        </w:rPr>
      </w:pPr>
      <w:r w:rsidRPr="004F2D70">
        <w:rPr>
          <w:b/>
        </w:rPr>
        <w:t xml:space="preserve">Dodana vrednost na zaposlenega </w:t>
      </w:r>
    </w:p>
    <w:p w14:paraId="167D2F78" w14:textId="77777777" w:rsidR="004F2D70" w:rsidRPr="004F2D70" w:rsidRDefault="004F2D70" w:rsidP="004F2D70">
      <w:pPr>
        <w:pStyle w:val="BesediloUMAR"/>
      </w:pPr>
      <w:r w:rsidRPr="004F2D70">
        <w:t xml:space="preserve">(126–128–148)/188 </w:t>
      </w:r>
    </w:p>
    <w:p w14:paraId="5B92C84A" w14:textId="77777777" w:rsidR="004F2D70" w:rsidRPr="004F2D70" w:rsidRDefault="004F2D70" w:rsidP="004F2D70">
      <w:pPr>
        <w:pStyle w:val="BesediloUMAR"/>
      </w:pPr>
    </w:p>
    <w:p w14:paraId="291A937B" w14:textId="77777777" w:rsidR="004F2D70" w:rsidRPr="004F2D70" w:rsidRDefault="004F2D70" w:rsidP="004F2D70">
      <w:pPr>
        <w:pStyle w:val="BesediloUMAR"/>
      </w:pPr>
      <w:r w:rsidRPr="004F2D70">
        <w:t>KAZALNIKA STROŠKOV DELA</w:t>
      </w:r>
    </w:p>
    <w:p w14:paraId="7B988BEE" w14:textId="77777777" w:rsidR="004F2D70" w:rsidRPr="004F2D70" w:rsidRDefault="004F2D70" w:rsidP="004F2D70">
      <w:pPr>
        <w:pStyle w:val="BesediloUMAR"/>
        <w:rPr>
          <w:b/>
        </w:rPr>
      </w:pPr>
      <w:r w:rsidRPr="004F2D70">
        <w:rPr>
          <w:b/>
        </w:rPr>
        <w:t xml:space="preserve">Stroški dela na zaposlenega </w:t>
      </w:r>
    </w:p>
    <w:p w14:paraId="263D16C9" w14:textId="77777777" w:rsidR="004F2D70" w:rsidRPr="004F2D70" w:rsidRDefault="004F2D70" w:rsidP="004F2D70">
      <w:pPr>
        <w:pStyle w:val="BesediloUMAR"/>
      </w:pPr>
      <w:r w:rsidRPr="004F2D70">
        <w:t>(139/188)</w:t>
      </w:r>
    </w:p>
    <w:p w14:paraId="109FD119" w14:textId="77777777" w:rsidR="004F2D70" w:rsidRPr="004F2D70" w:rsidRDefault="004F2D70" w:rsidP="004F2D70">
      <w:pPr>
        <w:pStyle w:val="BesediloUMAR"/>
        <w:rPr>
          <w:b/>
        </w:rPr>
      </w:pPr>
      <w:r w:rsidRPr="004F2D70">
        <w:rPr>
          <w:b/>
        </w:rPr>
        <w:t>Delež stroškov dela v dodani vrednosti</w:t>
      </w:r>
    </w:p>
    <w:p w14:paraId="5E2568C6" w14:textId="77777777" w:rsidR="004F2D70" w:rsidRPr="004F2D70" w:rsidRDefault="004F2D70" w:rsidP="004F2D70">
      <w:pPr>
        <w:pStyle w:val="BesediloUMAR"/>
      </w:pPr>
      <w:r w:rsidRPr="004F2D70">
        <w:t>(139/(126–128–148))</w:t>
      </w:r>
    </w:p>
    <w:p w14:paraId="5C3152B6" w14:textId="77777777" w:rsidR="004F2D70" w:rsidRPr="004F2D70" w:rsidRDefault="004F2D70" w:rsidP="004F2D70">
      <w:pPr>
        <w:pStyle w:val="BesediloUMAR"/>
      </w:pPr>
    </w:p>
    <w:p w14:paraId="6B3F07B3" w14:textId="77777777" w:rsidR="004F2D70" w:rsidRPr="004F2D70" w:rsidRDefault="004F2D70" w:rsidP="004F2D70">
      <w:pPr>
        <w:pStyle w:val="BesediloUMAR"/>
      </w:pPr>
      <w:r w:rsidRPr="004F2D70">
        <w:t>KAZALNIKI FINANCIRANJA IN PLAČILNE SPOSOBNOSTI</w:t>
      </w:r>
    </w:p>
    <w:p w14:paraId="6C175A55" w14:textId="77777777" w:rsidR="004F2D70" w:rsidRPr="004F2D70" w:rsidRDefault="004F2D70" w:rsidP="004F2D70">
      <w:pPr>
        <w:pStyle w:val="BesediloUMAR"/>
        <w:rPr>
          <w:b/>
        </w:rPr>
      </w:pPr>
      <w:r w:rsidRPr="004F2D70">
        <w:rPr>
          <w:b/>
        </w:rPr>
        <w:t>Delež dolga (kratkoročne in dolgoročne finančne ter poslovne obveznosti, rezervacije in pasivne časovne razmejitve) v virih sredstev</w:t>
      </w:r>
    </w:p>
    <w:p w14:paraId="56F155E7" w14:textId="77777777" w:rsidR="004F2D70" w:rsidRPr="004F2D70" w:rsidRDefault="004F2D70" w:rsidP="004F2D70">
      <w:pPr>
        <w:pStyle w:val="BesediloUMAR"/>
      </w:pPr>
      <w:r w:rsidRPr="004F2D70">
        <w:t>((072 + 075 + 085 + 095)/055)</w:t>
      </w:r>
    </w:p>
    <w:p w14:paraId="037975D5" w14:textId="77777777" w:rsidR="004F2D70" w:rsidRPr="004F2D70" w:rsidRDefault="004F2D70" w:rsidP="004F2D70">
      <w:pPr>
        <w:pStyle w:val="BesediloUMAR"/>
        <w:rPr>
          <w:b/>
        </w:rPr>
      </w:pPr>
      <w:r w:rsidRPr="004F2D70">
        <w:rPr>
          <w:b/>
        </w:rPr>
        <w:t xml:space="preserve">Delež kratkoročnih obveznosti (s pasivnimi časovnimi razmejitvami) v virih sredstev </w:t>
      </w:r>
    </w:p>
    <w:p w14:paraId="65AA29F8" w14:textId="77777777" w:rsidR="004F2D70" w:rsidRPr="004F2D70" w:rsidRDefault="004F2D70" w:rsidP="004F2D70">
      <w:pPr>
        <w:pStyle w:val="BesediloUMAR"/>
      </w:pPr>
      <w:r w:rsidRPr="004F2D70">
        <w:t>((085 + 095)/055)</w:t>
      </w:r>
    </w:p>
    <w:p w14:paraId="4C18F4C5" w14:textId="77777777" w:rsidR="004F2D70" w:rsidRPr="004F2D70" w:rsidRDefault="004F2D70" w:rsidP="004F2D70">
      <w:pPr>
        <w:pStyle w:val="BesediloUMAR"/>
        <w:rPr>
          <w:b/>
        </w:rPr>
      </w:pPr>
      <w:r w:rsidRPr="004F2D70">
        <w:rPr>
          <w:b/>
        </w:rPr>
        <w:t>Kapitalska pokritost dolgoročnih sredstev</w:t>
      </w:r>
    </w:p>
    <w:p w14:paraId="7473160F" w14:textId="77777777" w:rsidR="004F2D70" w:rsidRPr="004F2D70" w:rsidRDefault="004F2D70" w:rsidP="004F2D70">
      <w:pPr>
        <w:pStyle w:val="BesediloUMAR"/>
      </w:pPr>
      <w:r w:rsidRPr="004F2D70">
        <w:t>(056/002)</w:t>
      </w:r>
    </w:p>
    <w:p w14:paraId="7E223E3F" w14:textId="77777777" w:rsidR="004F2D70" w:rsidRPr="004F2D70" w:rsidRDefault="004F2D70" w:rsidP="004F2D70">
      <w:pPr>
        <w:pStyle w:val="BesediloUMAR"/>
        <w:rPr>
          <w:b/>
        </w:rPr>
      </w:pPr>
      <w:r w:rsidRPr="004F2D70">
        <w:rPr>
          <w:b/>
        </w:rPr>
        <w:t>Dolgoročna pokritost dolgoročnih sredstev in zalog</w:t>
      </w:r>
    </w:p>
    <w:p w14:paraId="02BB0062" w14:textId="77777777" w:rsidR="004F2D70" w:rsidRPr="004F2D70" w:rsidRDefault="004F2D70" w:rsidP="004F2D70">
      <w:pPr>
        <w:pStyle w:val="BesediloUMAR"/>
      </w:pPr>
      <w:r w:rsidRPr="004F2D70">
        <w:t>(056 + 072 + 075)/(002 + 034)</w:t>
      </w:r>
    </w:p>
    <w:p w14:paraId="5B0A6F11" w14:textId="77777777" w:rsidR="004F2D70" w:rsidRDefault="004F2D70" w:rsidP="004F2D70">
      <w:pPr>
        <w:pStyle w:val="BesediloUMAR"/>
      </w:pPr>
    </w:p>
    <w:p w14:paraId="3A53B340" w14:textId="77777777" w:rsidR="004F2D70" w:rsidRDefault="004F2D70" w:rsidP="004F2D70">
      <w:pPr>
        <w:pStyle w:val="BesediloUMAR"/>
      </w:pPr>
    </w:p>
    <w:p w14:paraId="38106116" w14:textId="77777777" w:rsidR="004F2D70" w:rsidRPr="004F2D70" w:rsidRDefault="004F2D70" w:rsidP="004F2D70">
      <w:pPr>
        <w:pStyle w:val="BesediloUMAR"/>
      </w:pPr>
    </w:p>
    <w:p w14:paraId="676963BA" w14:textId="77777777" w:rsidR="004F2D70" w:rsidRPr="004F2D70" w:rsidRDefault="004F2D70" w:rsidP="004F2D70">
      <w:pPr>
        <w:pStyle w:val="BesediloUMAR"/>
      </w:pPr>
      <w:r w:rsidRPr="004F2D70">
        <w:lastRenderedPageBreak/>
        <w:t>KAZALNIK IZVOZNE USMERJENOSTI</w:t>
      </w:r>
    </w:p>
    <w:p w14:paraId="5123D580" w14:textId="77777777" w:rsidR="004F2D70" w:rsidRPr="004F2D70" w:rsidRDefault="004F2D70" w:rsidP="004F2D70">
      <w:pPr>
        <w:pStyle w:val="BesediloUMAR"/>
        <w:rPr>
          <w:b/>
        </w:rPr>
      </w:pPr>
      <w:r w:rsidRPr="004F2D70">
        <w:rPr>
          <w:b/>
        </w:rPr>
        <w:t xml:space="preserve">Delež čistih prihodkov od prodaje na tujem trgu v celotnih čistih prihodkih od prodaje </w:t>
      </w:r>
    </w:p>
    <w:p w14:paraId="66C25DCC" w14:textId="77777777" w:rsidR="004F2D70" w:rsidRPr="004F2D70" w:rsidRDefault="004F2D70" w:rsidP="004F2D70">
      <w:pPr>
        <w:pStyle w:val="BesediloUMAR"/>
      </w:pPr>
      <w:r w:rsidRPr="004F2D70">
        <w:t>(115 + 118)/110</w:t>
      </w:r>
    </w:p>
    <w:p w14:paraId="49955431" w14:textId="77777777" w:rsidR="004F2D70" w:rsidRPr="004F2D70" w:rsidRDefault="004F2D70" w:rsidP="004F2D70">
      <w:pPr>
        <w:pStyle w:val="BesediloUMAR"/>
      </w:pPr>
    </w:p>
    <w:p w14:paraId="00CBCA06" w14:textId="77777777" w:rsidR="004F2D70" w:rsidRPr="004F2D70" w:rsidRDefault="004F2D70" w:rsidP="004F2D70">
      <w:pPr>
        <w:pStyle w:val="BesediloUMAR"/>
      </w:pPr>
      <w:r w:rsidRPr="004F2D70">
        <w:t xml:space="preserve">KAZALNIKA STRUKTURE SREDSTEV </w:t>
      </w:r>
    </w:p>
    <w:p w14:paraId="25120313" w14:textId="77777777" w:rsidR="004F2D70" w:rsidRPr="004F2D70" w:rsidRDefault="004F2D70" w:rsidP="004F2D70">
      <w:pPr>
        <w:pStyle w:val="BesediloUMAR"/>
        <w:rPr>
          <w:b/>
        </w:rPr>
      </w:pPr>
      <w:r w:rsidRPr="004F2D70">
        <w:rPr>
          <w:b/>
        </w:rPr>
        <w:t xml:space="preserve">Delež dolgoročnih sredstev v sredstvih </w:t>
      </w:r>
    </w:p>
    <w:p w14:paraId="3F0CC0E7" w14:textId="77777777" w:rsidR="004F2D70" w:rsidRPr="004F2D70" w:rsidRDefault="004F2D70" w:rsidP="004F2D70">
      <w:pPr>
        <w:pStyle w:val="BesediloUMAR"/>
      </w:pPr>
      <w:r w:rsidRPr="004F2D70">
        <w:t>(002/001)</w:t>
      </w:r>
    </w:p>
    <w:p w14:paraId="67512A75" w14:textId="77777777" w:rsidR="004F2D70" w:rsidRPr="004F2D70" w:rsidRDefault="004F2D70" w:rsidP="004F2D70">
      <w:pPr>
        <w:pStyle w:val="BesediloUMAR"/>
        <w:rPr>
          <w:b/>
        </w:rPr>
      </w:pPr>
      <w:r w:rsidRPr="004F2D70">
        <w:rPr>
          <w:b/>
        </w:rPr>
        <w:t xml:space="preserve">Delež proizvajalnih strojev in naprav ter druge opreme in naprav v dolgoročnih sredstvih </w:t>
      </w:r>
    </w:p>
    <w:p w14:paraId="2FD6A611" w14:textId="77777777" w:rsidR="004F2D70" w:rsidRPr="004F2D70" w:rsidRDefault="004F2D70" w:rsidP="004F2D70">
      <w:pPr>
        <w:pStyle w:val="BesediloUMAR"/>
      </w:pPr>
      <w:r w:rsidRPr="004F2D70">
        <w:t>((013 + 014)/002)</w:t>
      </w:r>
    </w:p>
    <w:p w14:paraId="58ADB2AA" w14:textId="77777777" w:rsidR="004F2D70" w:rsidRPr="004F2D70" w:rsidRDefault="004F2D70" w:rsidP="004F2D70">
      <w:pPr>
        <w:pStyle w:val="BesediloUMAR"/>
      </w:pPr>
    </w:p>
    <w:p w14:paraId="1AAC1175" w14:textId="77777777" w:rsidR="004F2D70" w:rsidRPr="004F2D70" w:rsidRDefault="004F2D70" w:rsidP="004F2D70">
      <w:pPr>
        <w:pStyle w:val="BesediloUMAR"/>
        <w:rPr>
          <w:sz w:val="16"/>
        </w:rPr>
      </w:pPr>
      <w:r w:rsidRPr="004F2D70">
        <w:rPr>
          <w:sz w:val="16"/>
        </w:rPr>
        <w:t>Opombi: Številke v formulah pomenijo ustrezno šifro AOP. * Pri izračunu povprečne vrednosti sredstev in kapitala se upošteva podatek o vrednosti sredstev/kapitala ob koncu tekočega in ob koncu preteklega leta za družbe, ki so poslovale v tekočem letu.</w:t>
      </w:r>
    </w:p>
    <w:bookmarkEnd w:id="1"/>
    <w:p w14:paraId="562665FB" w14:textId="77777777" w:rsidR="00433EC8" w:rsidRPr="00AC6CC1" w:rsidRDefault="00433EC8" w:rsidP="00AC6CC1">
      <w:pPr>
        <w:spacing w:after="0" w:line="240" w:lineRule="auto"/>
        <w:rPr>
          <w:rFonts w:ascii="Myriad Pro" w:hAnsi="Myriad Pro"/>
          <w:sz w:val="16"/>
        </w:rPr>
      </w:pPr>
    </w:p>
    <w:sectPr w:rsidR="00433EC8" w:rsidRPr="00AC6CC1" w:rsidSect="00DA3486">
      <w:headerReference w:type="default" r:id="rId20"/>
      <w:pgSz w:w="11906" w:h="16838"/>
      <w:pgMar w:top="1701" w:right="1418" w:bottom="1418" w:left="1418" w:header="567" w:footer="1134"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D7A11" w16cex:dateUtc="2022-12-09T08:10:00Z"/>
  <w16cex:commentExtensible w16cex:durableId="273D80CA" w16cex:dateUtc="2022-12-09T08:39:00Z"/>
  <w16cex:commentExtensible w16cex:durableId="273D7DA9" w16cex:dateUtc="2022-12-09T08:26:00Z"/>
  <w16cex:commentExtensible w16cex:durableId="273D7ED6" w16cex:dateUtc="2022-12-09T08:31:00Z"/>
  <w16cex:commentExtensible w16cex:durableId="273D8682" w16cex:dateUtc="2022-12-09T09:03:00Z"/>
  <w16cex:commentExtensible w16cex:durableId="273D8EDC" w16cex:dateUtc="2022-12-09T09:39:00Z"/>
  <w16cex:commentExtensible w16cex:durableId="273D8C91" w16cex:dateUtc="2022-12-09T09: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DC58C" w14:textId="77777777" w:rsidR="00BB7BEB" w:rsidRDefault="00BB7BEB" w:rsidP="009E1648">
      <w:r>
        <w:separator/>
      </w:r>
    </w:p>
    <w:p w14:paraId="6D905D01" w14:textId="77777777" w:rsidR="00BB7BEB" w:rsidRDefault="00BB7BEB" w:rsidP="009E1648"/>
    <w:p w14:paraId="564CE4B3" w14:textId="77777777" w:rsidR="00BB7BEB" w:rsidRDefault="00BB7BEB" w:rsidP="009E1648"/>
    <w:p w14:paraId="5EEE9240" w14:textId="77777777" w:rsidR="00BB7BEB" w:rsidRDefault="00BB7BEB" w:rsidP="009E1648"/>
    <w:p w14:paraId="016D7852" w14:textId="77777777" w:rsidR="00BB7BEB" w:rsidRDefault="00BB7BEB" w:rsidP="009E1648"/>
    <w:p w14:paraId="5FAD97D0" w14:textId="77777777" w:rsidR="00BB7BEB" w:rsidRDefault="00BB7BEB" w:rsidP="009E1648"/>
    <w:p w14:paraId="21A5DEFB" w14:textId="77777777" w:rsidR="00BB7BEB" w:rsidRDefault="00BB7BEB" w:rsidP="009E1648"/>
    <w:p w14:paraId="73680F02" w14:textId="77777777" w:rsidR="00BB7BEB" w:rsidRDefault="00BB7BEB" w:rsidP="009E1648"/>
    <w:p w14:paraId="7A14B908" w14:textId="77777777" w:rsidR="00BB7BEB" w:rsidRDefault="00BB7BEB"/>
    <w:p w14:paraId="080B6B1C" w14:textId="77777777" w:rsidR="00BB7BEB" w:rsidRDefault="00BB7BEB"/>
    <w:p w14:paraId="3918C6BF" w14:textId="77777777" w:rsidR="00BB7BEB" w:rsidRDefault="00BB7BEB" w:rsidP="00A540FA"/>
    <w:p w14:paraId="068D625C" w14:textId="77777777" w:rsidR="00BB7BEB" w:rsidRDefault="00BB7BEB" w:rsidP="00A540FA"/>
    <w:p w14:paraId="79031625" w14:textId="77777777" w:rsidR="00BB7BEB" w:rsidRDefault="00BB7BEB" w:rsidP="00A540FA"/>
    <w:p w14:paraId="06758886" w14:textId="77777777" w:rsidR="00BB7BEB" w:rsidRDefault="00BB7BEB" w:rsidP="00A540FA"/>
    <w:p w14:paraId="6603328D" w14:textId="77777777" w:rsidR="00BB7BEB" w:rsidRDefault="00BB7BEB" w:rsidP="00A540FA"/>
    <w:p w14:paraId="23B73C11" w14:textId="77777777" w:rsidR="00BB7BEB" w:rsidRDefault="00BB7BEB"/>
  </w:endnote>
  <w:endnote w:type="continuationSeparator" w:id="0">
    <w:p w14:paraId="4C5E72DF" w14:textId="77777777" w:rsidR="00BB7BEB" w:rsidRDefault="00BB7BEB" w:rsidP="009E1648">
      <w:r>
        <w:continuationSeparator/>
      </w:r>
    </w:p>
    <w:p w14:paraId="5E69A329" w14:textId="77777777" w:rsidR="00BB7BEB" w:rsidRDefault="00BB7BEB" w:rsidP="009E1648"/>
    <w:p w14:paraId="15A5470B" w14:textId="77777777" w:rsidR="00BB7BEB" w:rsidRDefault="00BB7BEB" w:rsidP="009E1648"/>
    <w:p w14:paraId="00A34119" w14:textId="77777777" w:rsidR="00BB7BEB" w:rsidRDefault="00BB7BEB" w:rsidP="009E1648"/>
    <w:p w14:paraId="1205163B" w14:textId="77777777" w:rsidR="00BB7BEB" w:rsidRDefault="00BB7BEB" w:rsidP="009E1648"/>
    <w:p w14:paraId="6832871C" w14:textId="77777777" w:rsidR="00BB7BEB" w:rsidRDefault="00BB7BEB" w:rsidP="009E1648"/>
    <w:p w14:paraId="757632EB" w14:textId="77777777" w:rsidR="00BB7BEB" w:rsidRDefault="00BB7BEB" w:rsidP="009E1648"/>
    <w:p w14:paraId="528C5F8D" w14:textId="77777777" w:rsidR="00BB7BEB" w:rsidRDefault="00BB7BEB" w:rsidP="009E1648"/>
    <w:p w14:paraId="6E3A7990" w14:textId="77777777" w:rsidR="00BB7BEB" w:rsidRDefault="00BB7BEB"/>
    <w:p w14:paraId="5456853E" w14:textId="77777777" w:rsidR="00BB7BEB" w:rsidRDefault="00BB7BEB"/>
    <w:p w14:paraId="16428626" w14:textId="77777777" w:rsidR="00BB7BEB" w:rsidRDefault="00BB7BEB" w:rsidP="00A540FA"/>
    <w:p w14:paraId="1121257E" w14:textId="77777777" w:rsidR="00BB7BEB" w:rsidRDefault="00BB7BEB" w:rsidP="00A540FA"/>
    <w:p w14:paraId="3FA80367" w14:textId="77777777" w:rsidR="00BB7BEB" w:rsidRDefault="00BB7BEB" w:rsidP="00A540FA"/>
    <w:p w14:paraId="2B975BD6" w14:textId="77777777" w:rsidR="00BB7BEB" w:rsidRDefault="00BB7BEB" w:rsidP="00A540FA"/>
    <w:p w14:paraId="68AAFD47" w14:textId="77777777" w:rsidR="00BB7BEB" w:rsidRDefault="00BB7BEB" w:rsidP="00A540FA"/>
    <w:p w14:paraId="02C37326" w14:textId="77777777" w:rsidR="00BB7BEB" w:rsidRDefault="00BB7BEB"/>
  </w:endnote>
  <w:endnote w:type="continuationNotice" w:id="1">
    <w:p w14:paraId="70D2CFCF" w14:textId="77777777" w:rsidR="00BB7BEB" w:rsidRDefault="00BB7B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00C4" w14:textId="77777777" w:rsidR="00CD6506" w:rsidRDefault="00CD6506" w:rsidP="00B35647">
    <w:pPr>
      <w:pStyle w:val="Noga"/>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01703" w14:textId="77777777" w:rsidR="00BB7BEB" w:rsidRPr="009B56EE" w:rsidRDefault="00BB7BEB" w:rsidP="009B56EE">
      <w:pPr>
        <w:pStyle w:val="BesediloUMAR"/>
      </w:pPr>
      <w:r w:rsidRPr="009B56EE">
        <w:separator/>
      </w:r>
    </w:p>
  </w:footnote>
  <w:footnote w:type="continuationSeparator" w:id="0">
    <w:p w14:paraId="32385AFA" w14:textId="77777777" w:rsidR="00BB7BEB" w:rsidRDefault="00BB7BEB">
      <w:r>
        <w:separator/>
      </w:r>
    </w:p>
  </w:footnote>
  <w:footnote w:type="continuationNotice" w:id="1">
    <w:p w14:paraId="225CE650" w14:textId="77777777" w:rsidR="00BB7BEB" w:rsidRDefault="00BB7BEB">
      <w:pPr>
        <w:spacing w:line="240" w:lineRule="auto"/>
      </w:pPr>
    </w:p>
  </w:footnote>
  <w:footnote w:id="2">
    <w:p w14:paraId="03C978A0" w14:textId="00B770E3" w:rsidR="00CD6506" w:rsidRPr="00E67FA2" w:rsidRDefault="00CD6506" w:rsidP="00215D6D">
      <w:pPr>
        <w:pStyle w:val="Sprotnaopomba-besedilo"/>
      </w:pPr>
      <w:r w:rsidRPr="00E67FA2">
        <w:rPr>
          <w:rStyle w:val="Sprotnaopomba-sklic"/>
        </w:rPr>
        <w:footnoteRef/>
      </w:r>
      <w:r w:rsidRPr="00E67FA2">
        <w:t xml:space="preserve"> </w:t>
      </w:r>
      <w:hyperlink r:id="rId1" w:history="1">
        <w:r w:rsidRPr="00D41230">
          <w:rPr>
            <w:rStyle w:val="Hiperpovezava"/>
          </w:rPr>
          <w:t>https://www.gov.si/teme/koronavirus-sars-cov-2</w:t>
        </w:r>
      </w:hyperlink>
      <w:r w:rsidRPr="00E67FA2">
        <w:t>.</w:t>
      </w:r>
      <w:r>
        <w:t xml:space="preserve"> </w:t>
      </w:r>
    </w:p>
  </w:footnote>
  <w:footnote w:id="3">
    <w:p w14:paraId="632542D4" w14:textId="16372367" w:rsidR="00CD6506" w:rsidRPr="00FB1292" w:rsidRDefault="00CD6506" w:rsidP="00215D6D">
      <w:pPr>
        <w:pStyle w:val="Sprotnaopomba-besedilo"/>
      </w:pPr>
      <w:r w:rsidRPr="004A13B3">
        <w:rPr>
          <w:rStyle w:val="Sprotnaopomba-sklic"/>
        </w:rPr>
        <w:footnoteRef/>
      </w:r>
      <w:r w:rsidRPr="00FB1292">
        <w:t xml:space="preserve"> Za podrobnejšo vsebino ukrepov glej </w:t>
      </w:r>
      <w:r w:rsidRPr="008D3565">
        <w:t>Pomladansko napoved</w:t>
      </w:r>
      <w:r>
        <w:t xml:space="preserve"> gospodarskih gibanj </w:t>
      </w:r>
      <w:r>
        <w:fldChar w:fldCharType="begin"/>
      </w:r>
      <w:r>
        <w:instrText xml:space="preserve"> ADDIN ZOTERO_ITEM CSL_CITATION {"citationID":"bafs6wFu","properties":{"formattedCitation":"(UMAR, 2021b)","plainCitation":"(UMAR, 2021b)","noteIndex":2},"citationItems":[{"id":1816,"uris":["http://zotero.org/users/8372339/items/FPI6I567"],"uri":["http://zotero.org/users/8372339/items/FPI6I567"],"itemData":{"id":1816,"type":"report","event-place":"Ljubljana","publisher":"Urad RS za makroekonomske analize in razvoj","publisher-place":"Ljubljana","title":"Pomladanska napoved gospodarskih gibanj 2021","URL":"https://www.umar.gov.si/fileadmin/user_upload/napovedi/pomlad/pomladanska_2021/Pomladanska_napoved_2021-splet_01.pdf","author":[{"family":"UMAR","given":""}],"issued":{"date-parts":[["2021"]]}}}],"schema":"https://github.com/citation-style-language/schema/raw/master/csl-citation.json"} </w:instrText>
      </w:r>
      <w:r>
        <w:fldChar w:fldCharType="separate"/>
      </w:r>
      <w:r w:rsidRPr="008D3565">
        <w:t>(UMAR, 2021b)</w:t>
      </w:r>
      <w:r>
        <w:fldChar w:fldCharType="end"/>
      </w:r>
      <w:r w:rsidRPr="008D3565">
        <w:t xml:space="preserve"> in Jesensko napoved</w:t>
      </w:r>
      <w:r>
        <w:t xml:space="preserve"> gospodarskih gibanj</w:t>
      </w:r>
      <w:r w:rsidRPr="008D3565">
        <w:t xml:space="preserve"> </w:t>
      </w:r>
      <w:r>
        <w:fldChar w:fldCharType="begin"/>
      </w:r>
      <w:r>
        <w:instrText xml:space="preserve"> ADDIN ZOTERO_ITEM CSL_CITATION {"citationID":"e0LDbscr","properties":{"formattedCitation":"(UMAR, 2021a)","plainCitation":"(UMAR, 2021a)","noteIndex":2},"citationItems":[{"id":1814,"uris":["http://zotero.org/users/8372339/items/B7RBYHV2"],"uri":["http://zotero.org/users/8372339/items/B7RBYHV2"],"itemData":{"id":1814,"type":"report","event-place":"Ljubljana","publisher":"Urad RS za makroekonomske analize in razvoj","publisher-place":"Ljubljana","title":"Jesenska napoved gospodarskih gibanj 2021","URL":"https://www.umar.gov.si/fileadmin/user_upload/napovedi/jesen/2021/JNGG_2021_splet.pdf","author":[{"family":"UMAR","given":""}],"issued":{"date-parts":[["2021"]]}}}],"schema":"https://github.com/citation-style-language/schema/raw/master/csl-citation.json"} </w:instrText>
      </w:r>
      <w:r>
        <w:fldChar w:fldCharType="separate"/>
      </w:r>
      <w:r w:rsidRPr="008D3565">
        <w:t>(UMAR, 2021a)</w:t>
      </w:r>
      <w:r>
        <w:fldChar w:fldCharType="end"/>
      </w:r>
      <w:r>
        <w:t>.</w:t>
      </w:r>
    </w:p>
  </w:footnote>
  <w:footnote w:id="4">
    <w:p w14:paraId="283BA0F0" w14:textId="77777777" w:rsidR="00CD6506" w:rsidRPr="001D4738" w:rsidRDefault="00CD6506" w:rsidP="007F49CD">
      <w:pPr>
        <w:pStyle w:val="Sprotnaopomba-besedilo"/>
      </w:pPr>
      <w:r w:rsidRPr="001D4738">
        <w:rPr>
          <w:rStyle w:val="Sprotnaopomba-sklic"/>
          <w:sz w:val="16"/>
        </w:rPr>
        <w:footnoteRef/>
      </w:r>
      <w:r w:rsidRPr="001D4738">
        <w:rPr>
          <w:rStyle w:val="Sprotnaopomba-sklic"/>
          <w:sz w:val="16"/>
          <w:vertAlign w:val="baseline"/>
        </w:rPr>
        <w:t xml:space="preserve"> </w:t>
      </w:r>
      <w:r w:rsidRPr="001D4738">
        <w:t>Država je na podlagi ukrepov za ohranjanje delovnih mest podjetjem namenila subvencije, ki so v letih 2020 in 2021 močneje vplivale na višino dodane vrednosti.</w:t>
      </w:r>
    </w:p>
  </w:footnote>
  <w:footnote w:id="5">
    <w:p w14:paraId="4C42414B" w14:textId="5F5ABE77" w:rsidR="00CD6506" w:rsidRDefault="00CD6506">
      <w:pPr>
        <w:pStyle w:val="Sprotnaopomba-besedilo"/>
      </w:pPr>
      <w:r>
        <w:rPr>
          <w:rStyle w:val="Sprotnaopomba-sklic"/>
        </w:rPr>
        <w:footnoteRef/>
      </w:r>
      <w:r>
        <w:t xml:space="preserve"> Po podatkih Statističnega registra delovno aktivnega prebivalstva se je rast v letu 2022 nadaljevala, tako da je število zaposlenih v gostinstvu po teh podatkih septembra že preseglo rekordno število zaposlenih iz leta 2019. Precej višje kot v letu 2019 je bilo septembra 2022 število samozaposlenih, število zaposlenih pa je še zaostajalo za številom pred epidemijo.</w:t>
      </w:r>
    </w:p>
  </w:footnote>
  <w:footnote w:id="6">
    <w:p w14:paraId="25C2D895" w14:textId="1AB41641" w:rsidR="00CD6506" w:rsidRPr="00245776" w:rsidRDefault="00CD6506" w:rsidP="003E7931">
      <w:pPr>
        <w:pStyle w:val="Sprotnaopomba-besedilo"/>
      </w:pPr>
      <w:r w:rsidRPr="004A4A79">
        <w:rPr>
          <w:vertAlign w:val="superscript"/>
        </w:rPr>
        <w:footnoteRef/>
      </w:r>
      <w:r>
        <w:t xml:space="preserve"> </w:t>
      </w:r>
      <w:r w:rsidRPr="00245776">
        <w:t>Delavec je bil pri tem upravičen do nadomestila plače v višini 80 %, pri čemer je država delodajalcu povrnila del te višine (ta se je spreminjal s posameznimi dopolnitvami ukrepa – od 40 % pa vse do 100 %), a zgolj do določene ravni (bodisi do višine nadomestila za brezposelnost – 892 evrov – ali do povprečne plače leta 2019 – 1754 evrov).</w:t>
      </w:r>
    </w:p>
  </w:footnote>
  <w:footnote w:id="7">
    <w:p w14:paraId="3EFB8BF8" w14:textId="77777777" w:rsidR="00CD6506" w:rsidRDefault="00CD6506" w:rsidP="003E7931">
      <w:pPr>
        <w:pStyle w:val="Sprotnaopomba-besedilo"/>
      </w:pPr>
      <w:r w:rsidRPr="00D0780C">
        <w:rPr>
          <w:rStyle w:val="Sprotnaopomba-sklic"/>
          <w:sz w:val="16"/>
        </w:rPr>
        <w:footnoteRef/>
      </w:r>
      <w:r>
        <w:t xml:space="preserve"> </w:t>
      </w:r>
      <w:r w:rsidRPr="00934CF5">
        <w:t>Pri tem je bil delodajalec upravičen do subvencije v višini, ki je odvisna od dolžine skrajšanja delovnega časa, vendar največ 448 evrov.</w:t>
      </w:r>
    </w:p>
  </w:footnote>
  <w:footnote w:id="8">
    <w:p w14:paraId="533579A4" w14:textId="77777777" w:rsidR="00CD6506" w:rsidRDefault="00CD6506" w:rsidP="003E7931">
      <w:pPr>
        <w:pStyle w:val="Sprotnaopomba-besedilo"/>
      </w:pPr>
      <w:r w:rsidRPr="00D0780C">
        <w:rPr>
          <w:rStyle w:val="Sprotnaopomba-sklic"/>
          <w:sz w:val="16"/>
        </w:rPr>
        <w:footnoteRef/>
      </w:r>
      <w:r>
        <w:t xml:space="preserve"> I</w:t>
      </w:r>
      <w:r w:rsidRPr="00D0780C">
        <w:t>zplačilo temeljnega dohodka in socialnih prispevkov samostojnim podjetnikom in drugim upravičencem, plačilo prispevkov za PIZ zaposlenim, ki so med epidemijo delali, plačilo socialnih prispevkov za zaposlene na čakanju, delno subvencioniranje skrajšanega delovnega časa, krizni dodatek, subvencioniranje minimalne plače in bolniška nadomestila za zaposlene.</w:t>
      </w:r>
    </w:p>
  </w:footnote>
  <w:footnote w:id="9">
    <w:p w14:paraId="45886C88" w14:textId="5A8DDB6E" w:rsidR="00CD6506" w:rsidRPr="00245776" w:rsidRDefault="00CD6506" w:rsidP="003E7931">
      <w:pPr>
        <w:pStyle w:val="Sprotnaopomba-besedilo"/>
      </w:pPr>
      <w:r w:rsidRPr="00245776">
        <w:rPr>
          <w:vertAlign w:val="superscript"/>
        </w:rPr>
        <w:footnoteRef/>
      </w:r>
      <w:r>
        <w:t xml:space="preserve"> </w:t>
      </w:r>
      <w:r w:rsidRPr="00245776">
        <w:t xml:space="preserve">Več o tem </w:t>
      </w:r>
      <w:r>
        <w:t xml:space="preserve">v Poročilu o produktivnosti 2021 </w:t>
      </w:r>
      <w:r>
        <w:fldChar w:fldCharType="begin"/>
      </w:r>
      <w:r>
        <w:instrText xml:space="preserve"> ADDIN ZOTERO_ITEM CSL_CITATION {"citationID":"AVqfJ0s5","properties":{"formattedCitation":"(UMAR, 2022)","plainCitation":"(UMAR, 2022)","noteIndex":8},"citationItems":[{"id":1815,"uris":["http://zotero.org/users/8372339/items/SNM7U9WZ"],"uri":["http://zotero.org/users/8372339/items/SNM7U9WZ"],"itemData":{"id":1815,"type":"report","event-place":"Ljubljana","language":"sl","publisher":"Urad RS za makroekonomske analize in razvoj","publisher-place":"Ljubljana","title":"Poročilo o produktivnosti 2021","URL":"https://www.umar.gov.si/publikacije/porocilo-o-produktivnosti/","author":[{"family":"UMAR","given":""}],"accessed":{"date-parts":[["2022",1,20]]},"issued":{"date-parts":[["2022"]]}}}],"schema":"https://github.com/citation-style-language/schema/raw/master/csl-citation.json"} </w:instrText>
      </w:r>
      <w:r>
        <w:fldChar w:fldCharType="separate"/>
      </w:r>
      <w:r w:rsidRPr="00231C02">
        <w:t>(UMAR, 2022)</w:t>
      </w:r>
      <w:r>
        <w:fldChar w:fldCharType="end"/>
      </w:r>
      <w:r>
        <w:t>.</w:t>
      </w:r>
    </w:p>
  </w:footnote>
  <w:footnote w:id="10">
    <w:p w14:paraId="74A1C2BB" w14:textId="77777777" w:rsidR="00CD6506" w:rsidRPr="001D4738" w:rsidRDefault="00CD6506" w:rsidP="009D4DAE">
      <w:pPr>
        <w:pStyle w:val="DZSprotnaopomba"/>
        <w:rPr>
          <w:sz w:val="16"/>
          <w:szCs w:val="14"/>
        </w:rPr>
      </w:pPr>
      <w:r w:rsidRPr="004A4A79">
        <w:rPr>
          <w:rStyle w:val="Sprotnaopomba-sklic"/>
          <w:sz w:val="16"/>
        </w:rPr>
        <w:footnoteRef/>
      </w:r>
      <w:r>
        <w:t xml:space="preserve"> </w:t>
      </w:r>
      <w:r w:rsidRPr="001D4738">
        <w:rPr>
          <w:sz w:val="16"/>
          <w:szCs w:val="14"/>
        </w:rPr>
        <w:t>Poslabšanje so povzročile predvsem družbe nastanitvenih dejavnosti, ki so po letu 2009 poslovale negativno (leta 2014 s 33,7 mio evrov izgube).</w:t>
      </w:r>
    </w:p>
  </w:footnote>
  <w:footnote w:id="11">
    <w:p w14:paraId="7CB87EC9" w14:textId="09599925" w:rsidR="00CD6506" w:rsidRPr="001D4738" w:rsidRDefault="00CD6506" w:rsidP="009D4DAE">
      <w:pPr>
        <w:pStyle w:val="DZSprotnaopomba"/>
        <w:rPr>
          <w:sz w:val="16"/>
          <w:szCs w:val="14"/>
        </w:rPr>
      </w:pPr>
      <w:r w:rsidRPr="004A4A79">
        <w:rPr>
          <w:sz w:val="16"/>
          <w:szCs w:val="14"/>
          <w:vertAlign w:val="superscript"/>
        </w:rPr>
        <w:footnoteRef/>
      </w:r>
      <w:r w:rsidRPr="001D4738">
        <w:rPr>
          <w:sz w:val="16"/>
          <w:szCs w:val="14"/>
        </w:rPr>
        <w:t xml:space="preserve"> Na izboljšanje rezultatov je leta 2014 po naši oceni vplival tudi boj proti sivi ekonomiji, leta 2016 pa uvedba davčnih blagajn. Podatki Ministrstva za finance in Davčnega urada RS </w:t>
      </w:r>
      <w:r>
        <w:rPr>
          <w:sz w:val="16"/>
          <w:szCs w:val="14"/>
        </w:rPr>
        <w:fldChar w:fldCharType="begin"/>
      </w:r>
      <w:r>
        <w:rPr>
          <w:sz w:val="16"/>
          <w:szCs w:val="14"/>
        </w:rPr>
        <w:instrText xml:space="preserve"> ADDIN ZOTERO_ITEM CSL_CITATION {"citationID":"hgdNTZAd","properties":{"formattedCitation":"(DURS, 2014)","plainCitation":"(DURS, 2014)","noteIndex":10},"citationItems":[{"id":1811,"uris":["http://zotero.org/users/8372339/items/9RXTPDMU"],"uri":["http://zotero.org/users/8372339/items/9RXTPDMU"],"itemData":{"id":1811,"type":"report","event-place":"Ljubljana","publisher":"Davčna uprava Republike Slovenije","publisher-place":"Ljubljana","title":"Boj proti sivi ekonomiji dvignil prihodke iz naslova DDV za 96 milijonov evrov","URL":"http://www.protisiviekonomiji.si/novica/article/46974/","author":[{"family":"DURS","given":""}],"issued":{"date-parts":[["2014"]]}}}],"schema":"https://github.com/citation-style-language/schema/raw/master/csl-citation.json"} </w:instrText>
      </w:r>
      <w:r>
        <w:rPr>
          <w:sz w:val="16"/>
          <w:szCs w:val="14"/>
        </w:rPr>
        <w:fldChar w:fldCharType="separate"/>
      </w:r>
      <w:r w:rsidRPr="00062573">
        <w:rPr>
          <w:sz w:val="16"/>
        </w:rPr>
        <w:t>(DURS, 2014)</w:t>
      </w:r>
      <w:r>
        <w:rPr>
          <w:sz w:val="16"/>
          <w:szCs w:val="14"/>
        </w:rPr>
        <w:fldChar w:fldCharType="end"/>
      </w:r>
      <w:r>
        <w:rPr>
          <w:sz w:val="16"/>
          <w:szCs w:val="14"/>
        </w:rPr>
        <w:t xml:space="preserve"> </w:t>
      </w:r>
      <w:r w:rsidRPr="001D4738">
        <w:rPr>
          <w:sz w:val="16"/>
          <w:szCs w:val="14"/>
        </w:rPr>
        <w:t>kažejo, da se je v letih 2013 in 2014 izboljšalo prostovoljno izpolnjevanje davčnih obveznosti in število samoprijav ter zmanjšalo število kršitev ob inšpekcijskih pregledih. Število zaposlenih v družbah, ki se ukvarjajo s strežbo jedi in pijač</w:t>
      </w:r>
      <w:r>
        <w:rPr>
          <w:sz w:val="16"/>
          <w:szCs w:val="14"/>
        </w:rPr>
        <w:t>,</w:t>
      </w:r>
      <w:r w:rsidRPr="001D4738">
        <w:rPr>
          <w:sz w:val="16"/>
          <w:szCs w:val="14"/>
        </w:rPr>
        <w:t xml:space="preserve"> se je tako v letu 2014 povečalo za 6,6 %, čisti prihodki od prodaje pa za 7,4 %. Po podatkih Finančne uprave RS </w:t>
      </w:r>
      <w:r>
        <w:rPr>
          <w:sz w:val="16"/>
          <w:szCs w:val="14"/>
        </w:rPr>
        <w:fldChar w:fldCharType="begin"/>
      </w:r>
      <w:r>
        <w:rPr>
          <w:sz w:val="16"/>
          <w:szCs w:val="14"/>
        </w:rPr>
        <w:instrText xml:space="preserve"> ADDIN ZOTERO_ITEM CSL_CITATION {"citationID":"MTJk1ohJ","properties":{"formattedCitation":"(FURS, 2017)","plainCitation":"(FURS, 2017)","noteIndex":10},"citationItems":[{"id":1812,"uris":["http://zotero.org/users/8372339/items/P3HW2JLP"],"uri":["http://zotero.org/users/8372339/items/P3HW2JLP"],"itemData":{"id":1812,"type":"report","event-place":"Ljubljana","publisher":"Finančna uprava Republike Slovenije","publisher-place":"Ljubljana","title":"Poročilo o učinkih uvedbe sistema davčnega potrjevanja računov v RS v letu 2016","URL":"http://www.fu.gov.si/fileadmin/Internet/Medijsko_sredisce/2017/Porocilo_o_ucinkih_uvedbe_sistema_davcnega_potrjevanja_racunov_v_Republiki_Sloveniji_v_letu_2016.pdf","author":[{"family":"FURS","given":""}],"issued":{"date-parts":[["2017"]]}}}],"schema":"https://github.com/citation-style-language/schema/raw/master/csl-citation.json"} </w:instrText>
      </w:r>
      <w:r>
        <w:rPr>
          <w:sz w:val="16"/>
          <w:szCs w:val="14"/>
        </w:rPr>
        <w:fldChar w:fldCharType="separate"/>
      </w:r>
      <w:r w:rsidRPr="00062573">
        <w:rPr>
          <w:sz w:val="16"/>
        </w:rPr>
        <w:t>(FURS, 2017)</w:t>
      </w:r>
      <w:r>
        <w:rPr>
          <w:sz w:val="16"/>
          <w:szCs w:val="14"/>
        </w:rPr>
        <w:fldChar w:fldCharType="end"/>
      </w:r>
      <w:r>
        <w:rPr>
          <w:sz w:val="16"/>
          <w:szCs w:val="14"/>
        </w:rPr>
        <w:t xml:space="preserve"> </w:t>
      </w:r>
      <w:r w:rsidRPr="001D4738">
        <w:rPr>
          <w:sz w:val="16"/>
          <w:szCs w:val="14"/>
        </w:rPr>
        <w:t>je bil učinek davčnih blagajn, uvedenih leta 2016, izkazan z višjimi vplačili neto DDV, prispevkov za socialno varnost, dohodnine, davka od dohodkov pravnih oseb in davka od dohodkov iz dejavnosti. Skupni učinek teh kategorij so ocenili na 81 mio EUR, na kar je vplivalo tudi poslovanje gostinskih družb, med njimi predvsem podjetij, ki se ukvarjajo s strežbo jedi in pijač.</w:t>
      </w:r>
    </w:p>
  </w:footnote>
  <w:footnote w:id="12">
    <w:p w14:paraId="4CE4D2CA" w14:textId="2462F609" w:rsidR="00CD6506" w:rsidRPr="001D4738" w:rsidRDefault="00CD6506" w:rsidP="009D4DAE">
      <w:pPr>
        <w:pStyle w:val="DZSprotnaopomba"/>
        <w:rPr>
          <w:sz w:val="16"/>
          <w:szCs w:val="14"/>
        </w:rPr>
      </w:pPr>
      <w:r w:rsidRPr="004A4A79">
        <w:rPr>
          <w:sz w:val="16"/>
          <w:szCs w:val="14"/>
          <w:vertAlign w:val="superscript"/>
        </w:rPr>
        <w:footnoteRef/>
      </w:r>
      <w:r w:rsidRPr="001D4738">
        <w:rPr>
          <w:sz w:val="16"/>
          <w:szCs w:val="14"/>
        </w:rPr>
        <w:t xml:space="preserve"> Število prenočitev, ki je bilo v januarju in februarju še razmeroma stabilno, se je namreč z marcem več kot prepolovilo, aprila in maja pa zmanjšalo skoraj na </w:t>
      </w:r>
      <w:r>
        <w:rPr>
          <w:sz w:val="16"/>
          <w:szCs w:val="14"/>
        </w:rPr>
        <w:t>nič</w:t>
      </w:r>
      <w:r w:rsidRPr="001D4738">
        <w:rPr>
          <w:sz w:val="16"/>
          <w:szCs w:val="14"/>
        </w:rPr>
        <w:t>. Po odprtju namestitvenih obratov in uvedbi bonov za izboljšanje gospodarskega položaja na področju potrošnje turizma, se je število prenočitev domačih turistov med poletno sezono močno povečalo, medtem ko je število tujih turistov ostalo precej nižje kot v enakih mesecih leta 2019. V zadnjem četrtletju leta 2020 je ob ponovni razglasitvi epidemije in zaprtju nastanitvenih in gostinskih obratov število prenočitev ponovno močno upadlo.</w:t>
      </w:r>
    </w:p>
  </w:footnote>
  <w:footnote w:id="13">
    <w:p w14:paraId="01776D46" w14:textId="77777777" w:rsidR="00CD6506" w:rsidRPr="001D4738" w:rsidRDefault="00CD6506" w:rsidP="009D4DAE">
      <w:pPr>
        <w:pStyle w:val="DZSprotnaopomba"/>
        <w:rPr>
          <w:sz w:val="16"/>
          <w:szCs w:val="14"/>
        </w:rPr>
      </w:pPr>
      <w:r w:rsidRPr="004A4A79">
        <w:rPr>
          <w:rStyle w:val="Sprotnaopomba-sklic"/>
          <w:sz w:val="16"/>
        </w:rPr>
        <w:footnoteRef/>
      </w:r>
      <w:r>
        <w:t xml:space="preserve"> </w:t>
      </w:r>
      <w:r w:rsidRPr="001D4738">
        <w:rPr>
          <w:sz w:val="16"/>
          <w:szCs w:val="14"/>
        </w:rPr>
        <w:t>Delodajalci so izplačila na podlagi ukrepov beležili kot strošek dela, pomoč države pa med subvencije ali druge poslovne prihodke, ki so del poslovnih prihodkov.</w:t>
      </w:r>
    </w:p>
  </w:footnote>
  <w:footnote w:id="14">
    <w:p w14:paraId="53CE8155" w14:textId="0530A2A8" w:rsidR="00CD6506" w:rsidRDefault="00CD6506">
      <w:pPr>
        <w:pStyle w:val="Sprotnaopomba-besedilo"/>
      </w:pPr>
      <w:r>
        <w:rPr>
          <w:rStyle w:val="Sprotnaopomba-sklic"/>
        </w:rPr>
        <w:footnoteRef/>
      </w:r>
      <w:r>
        <w:t xml:space="preserve"> Bruto razpoložljivi dohodek gospodinjstev se je v letu 2021 glede na leto 2020 realno povečal za 4,1 %.</w:t>
      </w:r>
    </w:p>
  </w:footnote>
  <w:footnote w:id="15">
    <w:p w14:paraId="5FFD7701" w14:textId="77777777" w:rsidR="00CD6506" w:rsidRPr="001D4738" w:rsidRDefault="00CD6506" w:rsidP="009D4DAE">
      <w:pPr>
        <w:pStyle w:val="DZSprotnaopomba"/>
        <w:rPr>
          <w:sz w:val="16"/>
          <w:szCs w:val="14"/>
        </w:rPr>
      </w:pPr>
      <w:r w:rsidRPr="000A47F8">
        <w:rPr>
          <w:sz w:val="16"/>
          <w:szCs w:val="14"/>
          <w:vertAlign w:val="superscript"/>
        </w:rPr>
        <w:footnoteRef/>
      </w:r>
      <w:r w:rsidRPr="001D4738">
        <w:rPr>
          <w:sz w:val="16"/>
          <w:szCs w:val="14"/>
        </w:rPr>
        <w:t xml:space="preserve"> Visoka nihanja v obdobju 2017–2019 so bila posledica nihanj v finančnih prihodkih (iz danih posojil in iz poslovnih terjatev) nastanitvenih družb.</w:t>
      </w:r>
    </w:p>
  </w:footnote>
  <w:footnote w:id="16">
    <w:p w14:paraId="198F37AC" w14:textId="77777777" w:rsidR="005861FF" w:rsidRPr="001D4738" w:rsidRDefault="005861FF" w:rsidP="005861FF">
      <w:pPr>
        <w:pStyle w:val="DZSprotnaopomba"/>
        <w:rPr>
          <w:sz w:val="16"/>
          <w:szCs w:val="14"/>
        </w:rPr>
      </w:pPr>
      <w:r w:rsidRPr="00E404E6">
        <w:rPr>
          <w:rStyle w:val="Sprotnaopomba-sklic"/>
        </w:rPr>
        <w:footnoteRef/>
      </w:r>
      <w:r w:rsidRPr="00E404E6">
        <w:t xml:space="preserve"> </w:t>
      </w:r>
      <w:r w:rsidRPr="001D4738">
        <w:rPr>
          <w:sz w:val="16"/>
          <w:szCs w:val="14"/>
        </w:rPr>
        <w:t>Samostojni podjetniki so bili do leta 2017 (za podatke za leto 2016) razvrščeni po velikosti. Za male podjetnike so bili obrazci predpisani na podlagi Računovodskih rešitev pri malih samostojnih podjetnikih posameznikih, srednji in veliki podjetniki pa so predložili podatke iz letnih poročil na enakih obrazcih kot gospodarske družbe. Z letom 2017 so obrazci za vse samostojne podjetnike enotni in podobni tistim, ki jih izpolnjujejo tudi gospodarske družbe.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0" w:type="dxa"/>
        <w:right w:w="0" w:type="dxa"/>
      </w:tblCellMar>
      <w:tblLook w:val="04A0" w:firstRow="1" w:lastRow="0" w:firstColumn="1" w:lastColumn="0" w:noHBand="0" w:noVBand="1"/>
    </w:tblPr>
    <w:tblGrid>
      <w:gridCol w:w="8276"/>
      <w:gridCol w:w="796"/>
    </w:tblGrid>
    <w:tr w:rsidR="00CD6506" w:rsidRPr="00A540FA" w14:paraId="73DF8531" w14:textId="77777777" w:rsidTr="00287C4E">
      <w:trPr>
        <w:trHeight w:val="552"/>
      </w:trPr>
      <w:tc>
        <w:tcPr>
          <w:tcW w:w="8276" w:type="dxa"/>
        </w:tcPr>
        <w:p w14:paraId="09B5FD28" w14:textId="3106789C" w:rsidR="00CD6506" w:rsidRPr="00F43CB0" w:rsidRDefault="00CD6506" w:rsidP="004016AB">
          <w:pPr>
            <w:pStyle w:val="Glava"/>
            <w:tabs>
              <w:tab w:val="clear" w:pos="4536"/>
              <w:tab w:val="clear" w:pos="9072"/>
              <w:tab w:val="right" w:pos="8276"/>
            </w:tabs>
            <w:spacing w:line="240" w:lineRule="auto"/>
            <w:rPr>
              <w:rFonts w:cstheme="minorHAnsi"/>
              <w:b/>
              <w:sz w:val="16"/>
            </w:rPr>
          </w:pPr>
          <w:r>
            <w:rPr>
              <w:rFonts w:cstheme="minorHAnsi"/>
              <w:b/>
              <w:sz w:val="16"/>
            </w:rPr>
            <w:t xml:space="preserve">UMAR </w:t>
          </w:r>
          <w:r w:rsidRPr="00F43CB0">
            <w:rPr>
              <w:rFonts w:cstheme="minorHAnsi"/>
              <w:b/>
              <w:sz w:val="16"/>
            </w:rPr>
            <w:t xml:space="preserve"> </w:t>
          </w:r>
          <w:r w:rsidRPr="00F43CB0">
            <w:rPr>
              <w:rFonts w:cstheme="minorHAnsi"/>
              <w:noProof/>
              <w:lang w:eastAsia="sl-SI"/>
            </w:rPr>
            <w:drawing>
              <wp:inline distT="0" distB="0" distL="0" distR="0" wp14:anchorId="15B4FF3A" wp14:editId="5BB01016">
                <wp:extent cx="58825" cy="763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Pr>
              <w:rFonts w:cstheme="minorHAnsi"/>
              <w:b/>
              <w:sz w:val="16"/>
            </w:rPr>
            <w:t xml:space="preserve">  Poslovanje gostinskih podjetij med epidemijo covida-19</w:t>
          </w:r>
          <w:r>
            <w:rPr>
              <w:rFonts w:cstheme="minorHAnsi"/>
              <w:b/>
              <w:sz w:val="16"/>
            </w:rPr>
            <w:tab/>
          </w:r>
        </w:p>
      </w:tc>
      <w:tc>
        <w:tcPr>
          <w:tcW w:w="796" w:type="dxa"/>
        </w:tcPr>
        <w:p w14:paraId="25BD8D39" w14:textId="77777777" w:rsidR="00CD6506" w:rsidRPr="00B607E3" w:rsidRDefault="00CD6506" w:rsidP="007444EC">
          <w:pPr>
            <w:pStyle w:val="Glava"/>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Pr>
              <w:rFonts w:cstheme="minorHAnsi"/>
              <w:b/>
              <w:noProof/>
              <w:sz w:val="16"/>
              <w:szCs w:val="16"/>
            </w:rPr>
            <w:t>3</w:t>
          </w:r>
          <w:r w:rsidRPr="00B607E3">
            <w:rPr>
              <w:rFonts w:cstheme="minorHAnsi"/>
              <w:b/>
              <w:sz w:val="16"/>
              <w:szCs w:val="16"/>
            </w:rPr>
            <w:fldChar w:fldCharType="end"/>
          </w:r>
        </w:p>
      </w:tc>
    </w:tr>
  </w:tbl>
  <w:p w14:paraId="61059F8F" w14:textId="77777777" w:rsidR="00CD6506" w:rsidRDefault="00CD6506"/>
  <w:p w14:paraId="2FC72D68" w14:textId="77777777" w:rsidR="00CD6506" w:rsidRDefault="00CD65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060CD8"/>
    <w:multiLevelType w:val="multilevel"/>
    <w:tmpl w:val="3E48A548"/>
    <w:lvl w:ilvl="0">
      <w:start w:val="1"/>
      <w:numFmt w:val="decimal"/>
      <w:pStyle w:val="Naslov1"/>
      <w:lvlText w:val="%1"/>
      <w:lvlJc w:val="left"/>
      <w:pPr>
        <w:ind w:left="360" w:hanging="360"/>
      </w:pPr>
      <w:rPr>
        <w:rFonts w:hint="default"/>
      </w:rPr>
    </w:lvl>
    <w:lvl w:ilvl="1">
      <w:start w:val="1"/>
      <w:numFmt w:val="decimal"/>
      <w:pStyle w:val="Naslov2"/>
      <w:suff w:val="space"/>
      <w:lvlText w:val="%1.%2"/>
      <w:lvlJc w:val="left"/>
      <w:pPr>
        <w:ind w:left="0" w:firstLine="0"/>
      </w:pPr>
      <w:rPr>
        <w:rFonts w:hint="default"/>
      </w:rPr>
    </w:lvl>
    <w:lvl w:ilvl="2">
      <w:start w:val="1"/>
      <w:numFmt w:val="decimal"/>
      <w:pStyle w:val="Naslov3"/>
      <w:suff w:val="space"/>
      <w:lvlText w:val="%1.%2.%3"/>
      <w:lvlJc w:val="left"/>
      <w:pPr>
        <w:ind w:left="0" w:firstLine="0"/>
      </w:pPr>
      <w:rPr>
        <w:rFonts w:hint="default"/>
      </w:rPr>
    </w:lvl>
    <w:lvl w:ilvl="3">
      <w:start w:val="1"/>
      <w:numFmt w:val="decimal"/>
      <w:pStyle w:val="Naslov4"/>
      <w:suff w:val="space"/>
      <w:lvlText w:val="%1.%2.%3.%4"/>
      <w:lvlJc w:val="left"/>
      <w:pPr>
        <w:ind w:left="0" w:firstLine="0"/>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 w15:restartNumberingAfterBreak="0">
    <w:nsid w:val="5CB66A94"/>
    <w:multiLevelType w:val="singleLevel"/>
    <w:tmpl w:val="BEAEA458"/>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hideSpellingErrors/>
  <w:hideGrammaticalErrors/>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47"/>
    <w:rsid w:val="000026EC"/>
    <w:rsid w:val="00002CAF"/>
    <w:rsid w:val="000032F1"/>
    <w:rsid w:val="00003E9D"/>
    <w:rsid w:val="00004DAC"/>
    <w:rsid w:val="00005B8C"/>
    <w:rsid w:val="00006657"/>
    <w:rsid w:val="00006975"/>
    <w:rsid w:val="00006BC6"/>
    <w:rsid w:val="000071B5"/>
    <w:rsid w:val="00007719"/>
    <w:rsid w:val="00013848"/>
    <w:rsid w:val="000141E1"/>
    <w:rsid w:val="00014DA7"/>
    <w:rsid w:val="00020CDA"/>
    <w:rsid w:val="00021176"/>
    <w:rsid w:val="00021509"/>
    <w:rsid w:val="00023A5C"/>
    <w:rsid w:val="00023FFD"/>
    <w:rsid w:val="0002452C"/>
    <w:rsid w:val="00024FA0"/>
    <w:rsid w:val="000267E2"/>
    <w:rsid w:val="00026ACB"/>
    <w:rsid w:val="0003011B"/>
    <w:rsid w:val="00032D50"/>
    <w:rsid w:val="00033FF7"/>
    <w:rsid w:val="00035FBD"/>
    <w:rsid w:val="000365D0"/>
    <w:rsid w:val="0003751E"/>
    <w:rsid w:val="00037DDD"/>
    <w:rsid w:val="0004147D"/>
    <w:rsid w:val="00041BCA"/>
    <w:rsid w:val="00042B8F"/>
    <w:rsid w:val="000438D4"/>
    <w:rsid w:val="00043FF1"/>
    <w:rsid w:val="00054645"/>
    <w:rsid w:val="0005475A"/>
    <w:rsid w:val="000547F0"/>
    <w:rsid w:val="00055111"/>
    <w:rsid w:val="000572B9"/>
    <w:rsid w:val="00057C74"/>
    <w:rsid w:val="00060302"/>
    <w:rsid w:val="0006200A"/>
    <w:rsid w:val="00062573"/>
    <w:rsid w:val="00066A45"/>
    <w:rsid w:val="0007025B"/>
    <w:rsid w:val="00070B55"/>
    <w:rsid w:val="000719B8"/>
    <w:rsid w:val="00072E0A"/>
    <w:rsid w:val="0007354C"/>
    <w:rsid w:val="00075D73"/>
    <w:rsid w:val="00077993"/>
    <w:rsid w:val="00077C63"/>
    <w:rsid w:val="00077E9C"/>
    <w:rsid w:val="0008109A"/>
    <w:rsid w:val="00083E22"/>
    <w:rsid w:val="00084484"/>
    <w:rsid w:val="000844BC"/>
    <w:rsid w:val="000918F3"/>
    <w:rsid w:val="0009247A"/>
    <w:rsid w:val="000929C6"/>
    <w:rsid w:val="00092DA8"/>
    <w:rsid w:val="000936DA"/>
    <w:rsid w:val="000968B4"/>
    <w:rsid w:val="000969D0"/>
    <w:rsid w:val="00096DB6"/>
    <w:rsid w:val="000A1F78"/>
    <w:rsid w:val="000A47F8"/>
    <w:rsid w:val="000A528A"/>
    <w:rsid w:val="000A6E55"/>
    <w:rsid w:val="000A78C0"/>
    <w:rsid w:val="000B0C7C"/>
    <w:rsid w:val="000B177F"/>
    <w:rsid w:val="000B1E80"/>
    <w:rsid w:val="000B2CC4"/>
    <w:rsid w:val="000B3619"/>
    <w:rsid w:val="000B48FF"/>
    <w:rsid w:val="000B52C9"/>
    <w:rsid w:val="000B75F3"/>
    <w:rsid w:val="000C1C5A"/>
    <w:rsid w:val="000C2CAF"/>
    <w:rsid w:val="000C43BF"/>
    <w:rsid w:val="000C4E62"/>
    <w:rsid w:val="000C5063"/>
    <w:rsid w:val="000C66F6"/>
    <w:rsid w:val="000D0AF5"/>
    <w:rsid w:val="000D0C8F"/>
    <w:rsid w:val="000D1101"/>
    <w:rsid w:val="000D1E72"/>
    <w:rsid w:val="000D4CA8"/>
    <w:rsid w:val="000E0B25"/>
    <w:rsid w:val="000E1358"/>
    <w:rsid w:val="000E335A"/>
    <w:rsid w:val="000E33B4"/>
    <w:rsid w:val="000E33B7"/>
    <w:rsid w:val="000E3BEC"/>
    <w:rsid w:val="000E5732"/>
    <w:rsid w:val="000E70CE"/>
    <w:rsid w:val="000E7B27"/>
    <w:rsid w:val="000E7BCB"/>
    <w:rsid w:val="000F0B06"/>
    <w:rsid w:val="000F128C"/>
    <w:rsid w:val="000F23D6"/>
    <w:rsid w:val="000F2B1C"/>
    <w:rsid w:val="000F37C8"/>
    <w:rsid w:val="000F6F5D"/>
    <w:rsid w:val="00100DB9"/>
    <w:rsid w:val="00102453"/>
    <w:rsid w:val="00102756"/>
    <w:rsid w:val="0010366B"/>
    <w:rsid w:val="0010507E"/>
    <w:rsid w:val="00105A87"/>
    <w:rsid w:val="00105D95"/>
    <w:rsid w:val="00106069"/>
    <w:rsid w:val="00106B4D"/>
    <w:rsid w:val="00106BE5"/>
    <w:rsid w:val="00107A6B"/>
    <w:rsid w:val="00107A7C"/>
    <w:rsid w:val="00110C49"/>
    <w:rsid w:val="00110FEB"/>
    <w:rsid w:val="00112164"/>
    <w:rsid w:val="0011504B"/>
    <w:rsid w:val="00115051"/>
    <w:rsid w:val="001153EC"/>
    <w:rsid w:val="0011551D"/>
    <w:rsid w:val="001170C5"/>
    <w:rsid w:val="00117115"/>
    <w:rsid w:val="00117342"/>
    <w:rsid w:val="0011783D"/>
    <w:rsid w:val="00121772"/>
    <w:rsid w:val="0012486C"/>
    <w:rsid w:val="00124C9D"/>
    <w:rsid w:val="00127B1E"/>
    <w:rsid w:val="00130A1A"/>
    <w:rsid w:val="0013312D"/>
    <w:rsid w:val="0013413E"/>
    <w:rsid w:val="0013548A"/>
    <w:rsid w:val="00135CF8"/>
    <w:rsid w:val="00137AB5"/>
    <w:rsid w:val="001406F5"/>
    <w:rsid w:val="00140706"/>
    <w:rsid w:val="00141E1A"/>
    <w:rsid w:val="00143E7F"/>
    <w:rsid w:val="00143F8E"/>
    <w:rsid w:val="001455D8"/>
    <w:rsid w:val="00150E9F"/>
    <w:rsid w:val="00154CF7"/>
    <w:rsid w:val="0015528E"/>
    <w:rsid w:val="001554D4"/>
    <w:rsid w:val="00157619"/>
    <w:rsid w:val="00161445"/>
    <w:rsid w:val="00161611"/>
    <w:rsid w:val="0016173F"/>
    <w:rsid w:val="00162561"/>
    <w:rsid w:val="001626E2"/>
    <w:rsid w:val="00165810"/>
    <w:rsid w:val="001673B5"/>
    <w:rsid w:val="001673FC"/>
    <w:rsid w:val="001709CB"/>
    <w:rsid w:val="00170A0F"/>
    <w:rsid w:val="00170FA1"/>
    <w:rsid w:val="00173A38"/>
    <w:rsid w:val="00175219"/>
    <w:rsid w:val="00175D93"/>
    <w:rsid w:val="001764AB"/>
    <w:rsid w:val="001770F0"/>
    <w:rsid w:val="001800CD"/>
    <w:rsid w:val="00181502"/>
    <w:rsid w:val="00181CCA"/>
    <w:rsid w:val="0018519C"/>
    <w:rsid w:val="001908FD"/>
    <w:rsid w:val="001910C2"/>
    <w:rsid w:val="001917B6"/>
    <w:rsid w:val="00192EC7"/>
    <w:rsid w:val="00195F97"/>
    <w:rsid w:val="0019720D"/>
    <w:rsid w:val="00197686"/>
    <w:rsid w:val="001A0885"/>
    <w:rsid w:val="001A106F"/>
    <w:rsid w:val="001A1629"/>
    <w:rsid w:val="001A6C59"/>
    <w:rsid w:val="001A7BEF"/>
    <w:rsid w:val="001A7CD6"/>
    <w:rsid w:val="001B2F40"/>
    <w:rsid w:val="001B6398"/>
    <w:rsid w:val="001C20B3"/>
    <w:rsid w:val="001C3A0A"/>
    <w:rsid w:val="001C45CE"/>
    <w:rsid w:val="001C487D"/>
    <w:rsid w:val="001C4D46"/>
    <w:rsid w:val="001C5AF2"/>
    <w:rsid w:val="001D0A6E"/>
    <w:rsid w:val="001D0B2F"/>
    <w:rsid w:val="001D1834"/>
    <w:rsid w:val="001D3529"/>
    <w:rsid w:val="001D3A3F"/>
    <w:rsid w:val="001D4738"/>
    <w:rsid w:val="001D4B79"/>
    <w:rsid w:val="001D65E7"/>
    <w:rsid w:val="001D663D"/>
    <w:rsid w:val="001E07FD"/>
    <w:rsid w:val="001E0960"/>
    <w:rsid w:val="001E2F6E"/>
    <w:rsid w:val="001E55C4"/>
    <w:rsid w:val="001E7BEE"/>
    <w:rsid w:val="001F0482"/>
    <w:rsid w:val="001F1537"/>
    <w:rsid w:val="001F166C"/>
    <w:rsid w:val="001F1F26"/>
    <w:rsid w:val="001F2770"/>
    <w:rsid w:val="001F3455"/>
    <w:rsid w:val="001F3514"/>
    <w:rsid w:val="001F379C"/>
    <w:rsid w:val="001F5D92"/>
    <w:rsid w:val="001F60CF"/>
    <w:rsid w:val="001F62CF"/>
    <w:rsid w:val="001F71C5"/>
    <w:rsid w:val="00203C04"/>
    <w:rsid w:val="00205616"/>
    <w:rsid w:val="002063C0"/>
    <w:rsid w:val="002111FC"/>
    <w:rsid w:val="00212697"/>
    <w:rsid w:val="00212FA3"/>
    <w:rsid w:val="00213247"/>
    <w:rsid w:val="00214084"/>
    <w:rsid w:val="00214A8B"/>
    <w:rsid w:val="00215D6D"/>
    <w:rsid w:val="00217E32"/>
    <w:rsid w:val="00220A86"/>
    <w:rsid w:val="00220E84"/>
    <w:rsid w:val="0022234B"/>
    <w:rsid w:val="002224A7"/>
    <w:rsid w:val="002225D3"/>
    <w:rsid w:val="00224436"/>
    <w:rsid w:val="00225170"/>
    <w:rsid w:val="0022533F"/>
    <w:rsid w:val="002257A9"/>
    <w:rsid w:val="00230036"/>
    <w:rsid w:val="00230DE5"/>
    <w:rsid w:val="00231C02"/>
    <w:rsid w:val="00232BBE"/>
    <w:rsid w:val="0023463D"/>
    <w:rsid w:val="00234DFD"/>
    <w:rsid w:val="00235E12"/>
    <w:rsid w:val="00242897"/>
    <w:rsid w:val="00243D25"/>
    <w:rsid w:val="00244E0B"/>
    <w:rsid w:val="00245776"/>
    <w:rsid w:val="00247147"/>
    <w:rsid w:val="00250B99"/>
    <w:rsid w:val="00251C4C"/>
    <w:rsid w:val="00252660"/>
    <w:rsid w:val="00252F81"/>
    <w:rsid w:val="002531D4"/>
    <w:rsid w:val="00253567"/>
    <w:rsid w:val="002572F0"/>
    <w:rsid w:val="002577FF"/>
    <w:rsid w:val="002628DA"/>
    <w:rsid w:val="00263E3D"/>
    <w:rsid w:val="00265B02"/>
    <w:rsid w:val="00265E7B"/>
    <w:rsid w:val="00266B89"/>
    <w:rsid w:val="00272C68"/>
    <w:rsid w:val="00274A6B"/>
    <w:rsid w:val="002750B5"/>
    <w:rsid w:val="00275CAC"/>
    <w:rsid w:val="002800D2"/>
    <w:rsid w:val="00281355"/>
    <w:rsid w:val="00282A01"/>
    <w:rsid w:val="00285479"/>
    <w:rsid w:val="00287C4E"/>
    <w:rsid w:val="002901C9"/>
    <w:rsid w:val="00291052"/>
    <w:rsid w:val="00291B55"/>
    <w:rsid w:val="0029204B"/>
    <w:rsid w:val="00294CBF"/>
    <w:rsid w:val="00295489"/>
    <w:rsid w:val="00296655"/>
    <w:rsid w:val="00296ADF"/>
    <w:rsid w:val="00296B59"/>
    <w:rsid w:val="002A0E59"/>
    <w:rsid w:val="002A1416"/>
    <w:rsid w:val="002A1940"/>
    <w:rsid w:val="002A368E"/>
    <w:rsid w:val="002A6C97"/>
    <w:rsid w:val="002A7EEA"/>
    <w:rsid w:val="002B06FB"/>
    <w:rsid w:val="002B3773"/>
    <w:rsid w:val="002B3890"/>
    <w:rsid w:val="002B3FA8"/>
    <w:rsid w:val="002B5937"/>
    <w:rsid w:val="002B5D48"/>
    <w:rsid w:val="002B631F"/>
    <w:rsid w:val="002C0D76"/>
    <w:rsid w:val="002C42D3"/>
    <w:rsid w:val="002C7A5E"/>
    <w:rsid w:val="002D0D1B"/>
    <w:rsid w:val="002D1D30"/>
    <w:rsid w:val="002D3ED5"/>
    <w:rsid w:val="002D4281"/>
    <w:rsid w:val="002D460E"/>
    <w:rsid w:val="002D5102"/>
    <w:rsid w:val="002E032A"/>
    <w:rsid w:val="002E37AA"/>
    <w:rsid w:val="002E45C6"/>
    <w:rsid w:val="002E63B2"/>
    <w:rsid w:val="002F0A04"/>
    <w:rsid w:val="002F36AC"/>
    <w:rsid w:val="002F5D0F"/>
    <w:rsid w:val="002F62CB"/>
    <w:rsid w:val="0030011D"/>
    <w:rsid w:val="003014DC"/>
    <w:rsid w:val="0030159B"/>
    <w:rsid w:val="00305924"/>
    <w:rsid w:val="00306706"/>
    <w:rsid w:val="003119D2"/>
    <w:rsid w:val="00315406"/>
    <w:rsid w:val="0031550F"/>
    <w:rsid w:val="0031566C"/>
    <w:rsid w:val="003162DB"/>
    <w:rsid w:val="00330829"/>
    <w:rsid w:val="0033107B"/>
    <w:rsid w:val="003312A2"/>
    <w:rsid w:val="00334607"/>
    <w:rsid w:val="00336896"/>
    <w:rsid w:val="00336899"/>
    <w:rsid w:val="00340546"/>
    <w:rsid w:val="0034152B"/>
    <w:rsid w:val="00341E37"/>
    <w:rsid w:val="00341EEF"/>
    <w:rsid w:val="00343039"/>
    <w:rsid w:val="003445AA"/>
    <w:rsid w:val="00344940"/>
    <w:rsid w:val="00344FE4"/>
    <w:rsid w:val="00347515"/>
    <w:rsid w:val="00347E76"/>
    <w:rsid w:val="0035126D"/>
    <w:rsid w:val="00351BD0"/>
    <w:rsid w:val="003529F5"/>
    <w:rsid w:val="00353175"/>
    <w:rsid w:val="00353D73"/>
    <w:rsid w:val="00354A68"/>
    <w:rsid w:val="00355D20"/>
    <w:rsid w:val="00355D96"/>
    <w:rsid w:val="00363A1A"/>
    <w:rsid w:val="00364CEA"/>
    <w:rsid w:val="003656BC"/>
    <w:rsid w:val="00365B36"/>
    <w:rsid w:val="00365CA9"/>
    <w:rsid w:val="003663C9"/>
    <w:rsid w:val="00367549"/>
    <w:rsid w:val="00370E6A"/>
    <w:rsid w:val="00373951"/>
    <w:rsid w:val="00373E63"/>
    <w:rsid w:val="00374268"/>
    <w:rsid w:val="003743DD"/>
    <w:rsid w:val="00374A64"/>
    <w:rsid w:val="00375C3D"/>
    <w:rsid w:val="00376234"/>
    <w:rsid w:val="00380DEB"/>
    <w:rsid w:val="00383F11"/>
    <w:rsid w:val="003844E5"/>
    <w:rsid w:val="00385490"/>
    <w:rsid w:val="00386ACD"/>
    <w:rsid w:val="0038783C"/>
    <w:rsid w:val="00390A78"/>
    <w:rsid w:val="00391645"/>
    <w:rsid w:val="003926AD"/>
    <w:rsid w:val="003936E4"/>
    <w:rsid w:val="00394200"/>
    <w:rsid w:val="003944B6"/>
    <w:rsid w:val="00394B17"/>
    <w:rsid w:val="00395593"/>
    <w:rsid w:val="00396660"/>
    <w:rsid w:val="003A130C"/>
    <w:rsid w:val="003A1B66"/>
    <w:rsid w:val="003A1CC3"/>
    <w:rsid w:val="003A2EB1"/>
    <w:rsid w:val="003A45E4"/>
    <w:rsid w:val="003A4B98"/>
    <w:rsid w:val="003A4C58"/>
    <w:rsid w:val="003A5848"/>
    <w:rsid w:val="003A6C2F"/>
    <w:rsid w:val="003A7D45"/>
    <w:rsid w:val="003A7F44"/>
    <w:rsid w:val="003B1BDA"/>
    <w:rsid w:val="003B2E0E"/>
    <w:rsid w:val="003B3D3D"/>
    <w:rsid w:val="003B5F73"/>
    <w:rsid w:val="003B64A5"/>
    <w:rsid w:val="003B7CD1"/>
    <w:rsid w:val="003C356C"/>
    <w:rsid w:val="003C3E4B"/>
    <w:rsid w:val="003C6DCB"/>
    <w:rsid w:val="003D2EFD"/>
    <w:rsid w:val="003D39EE"/>
    <w:rsid w:val="003D431F"/>
    <w:rsid w:val="003D65E1"/>
    <w:rsid w:val="003D7EE3"/>
    <w:rsid w:val="003E0B22"/>
    <w:rsid w:val="003E193D"/>
    <w:rsid w:val="003E1D01"/>
    <w:rsid w:val="003E2BA4"/>
    <w:rsid w:val="003E2BD8"/>
    <w:rsid w:val="003E31F6"/>
    <w:rsid w:val="003E3A2D"/>
    <w:rsid w:val="003E4990"/>
    <w:rsid w:val="003E59E0"/>
    <w:rsid w:val="003E5C63"/>
    <w:rsid w:val="003E627F"/>
    <w:rsid w:val="003E7931"/>
    <w:rsid w:val="003F058C"/>
    <w:rsid w:val="003F090C"/>
    <w:rsid w:val="003F18D2"/>
    <w:rsid w:val="003F1B14"/>
    <w:rsid w:val="003F1D22"/>
    <w:rsid w:val="003F26A8"/>
    <w:rsid w:val="003F30E0"/>
    <w:rsid w:val="003F33CD"/>
    <w:rsid w:val="003F5FD3"/>
    <w:rsid w:val="003F6AB1"/>
    <w:rsid w:val="003F6FED"/>
    <w:rsid w:val="00400465"/>
    <w:rsid w:val="00400DE5"/>
    <w:rsid w:val="004016AB"/>
    <w:rsid w:val="00402400"/>
    <w:rsid w:val="00402540"/>
    <w:rsid w:val="004029BB"/>
    <w:rsid w:val="00402B00"/>
    <w:rsid w:val="00404473"/>
    <w:rsid w:val="00404841"/>
    <w:rsid w:val="004049B7"/>
    <w:rsid w:val="00407C0D"/>
    <w:rsid w:val="00407E3C"/>
    <w:rsid w:val="00411FE9"/>
    <w:rsid w:val="00413A61"/>
    <w:rsid w:val="004155C8"/>
    <w:rsid w:val="00415D75"/>
    <w:rsid w:val="00416D9C"/>
    <w:rsid w:val="0041752D"/>
    <w:rsid w:val="0042350D"/>
    <w:rsid w:val="00423D6C"/>
    <w:rsid w:val="004248C0"/>
    <w:rsid w:val="0042577D"/>
    <w:rsid w:val="00427E7B"/>
    <w:rsid w:val="00430947"/>
    <w:rsid w:val="004316F7"/>
    <w:rsid w:val="00431FB3"/>
    <w:rsid w:val="00433EC8"/>
    <w:rsid w:val="00433F7B"/>
    <w:rsid w:val="00435423"/>
    <w:rsid w:val="00436605"/>
    <w:rsid w:val="00437CB6"/>
    <w:rsid w:val="00440FB2"/>
    <w:rsid w:val="00441504"/>
    <w:rsid w:val="0044242E"/>
    <w:rsid w:val="0044421E"/>
    <w:rsid w:val="004448D1"/>
    <w:rsid w:val="00445B68"/>
    <w:rsid w:val="00446186"/>
    <w:rsid w:val="0044754D"/>
    <w:rsid w:val="00447A71"/>
    <w:rsid w:val="00452B84"/>
    <w:rsid w:val="00454751"/>
    <w:rsid w:val="00457C59"/>
    <w:rsid w:val="004610CF"/>
    <w:rsid w:val="00461535"/>
    <w:rsid w:val="00463654"/>
    <w:rsid w:val="0046366D"/>
    <w:rsid w:val="00463D53"/>
    <w:rsid w:val="00467B42"/>
    <w:rsid w:val="00470031"/>
    <w:rsid w:val="00471237"/>
    <w:rsid w:val="00471568"/>
    <w:rsid w:val="00471713"/>
    <w:rsid w:val="00471D85"/>
    <w:rsid w:val="00471F0D"/>
    <w:rsid w:val="004730B8"/>
    <w:rsid w:val="00473A72"/>
    <w:rsid w:val="00474F4F"/>
    <w:rsid w:val="0047533F"/>
    <w:rsid w:val="0047635E"/>
    <w:rsid w:val="004774EA"/>
    <w:rsid w:val="004774F9"/>
    <w:rsid w:val="00477DBE"/>
    <w:rsid w:val="00481B30"/>
    <w:rsid w:val="00481E14"/>
    <w:rsid w:val="00484DF1"/>
    <w:rsid w:val="00485096"/>
    <w:rsid w:val="00485174"/>
    <w:rsid w:val="004856A5"/>
    <w:rsid w:val="0048594C"/>
    <w:rsid w:val="0048599C"/>
    <w:rsid w:val="00487357"/>
    <w:rsid w:val="0048776B"/>
    <w:rsid w:val="00487BAB"/>
    <w:rsid w:val="00487D9F"/>
    <w:rsid w:val="00487DB9"/>
    <w:rsid w:val="00487FA1"/>
    <w:rsid w:val="004901C2"/>
    <w:rsid w:val="0049345B"/>
    <w:rsid w:val="0049356B"/>
    <w:rsid w:val="004945BD"/>
    <w:rsid w:val="00495854"/>
    <w:rsid w:val="00495889"/>
    <w:rsid w:val="00496165"/>
    <w:rsid w:val="004964EE"/>
    <w:rsid w:val="004966FB"/>
    <w:rsid w:val="00497805"/>
    <w:rsid w:val="004A235B"/>
    <w:rsid w:val="004A318E"/>
    <w:rsid w:val="004A3312"/>
    <w:rsid w:val="004A45DA"/>
    <w:rsid w:val="004A4A79"/>
    <w:rsid w:val="004A514E"/>
    <w:rsid w:val="004A688A"/>
    <w:rsid w:val="004A7084"/>
    <w:rsid w:val="004B275E"/>
    <w:rsid w:val="004B3384"/>
    <w:rsid w:val="004B39ED"/>
    <w:rsid w:val="004B4B54"/>
    <w:rsid w:val="004B4D9B"/>
    <w:rsid w:val="004C0235"/>
    <w:rsid w:val="004C1588"/>
    <w:rsid w:val="004C1673"/>
    <w:rsid w:val="004C22C6"/>
    <w:rsid w:val="004C4982"/>
    <w:rsid w:val="004C5AD3"/>
    <w:rsid w:val="004C6B99"/>
    <w:rsid w:val="004D1933"/>
    <w:rsid w:val="004D1C81"/>
    <w:rsid w:val="004D22FB"/>
    <w:rsid w:val="004D2B31"/>
    <w:rsid w:val="004D33D1"/>
    <w:rsid w:val="004D372F"/>
    <w:rsid w:val="004D3A5D"/>
    <w:rsid w:val="004D51EA"/>
    <w:rsid w:val="004D5670"/>
    <w:rsid w:val="004D60E0"/>
    <w:rsid w:val="004D6AE4"/>
    <w:rsid w:val="004D6D6F"/>
    <w:rsid w:val="004D78A9"/>
    <w:rsid w:val="004E26C0"/>
    <w:rsid w:val="004E2A6B"/>
    <w:rsid w:val="004E538D"/>
    <w:rsid w:val="004E670A"/>
    <w:rsid w:val="004E6E34"/>
    <w:rsid w:val="004F09ED"/>
    <w:rsid w:val="004F0F3E"/>
    <w:rsid w:val="004F1872"/>
    <w:rsid w:val="004F25F6"/>
    <w:rsid w:val="004F2BE3"/>
    <w:rsid w:val="004F2D70"/>
    <w:rsid w:val="004F2DE7"/>
    <w:rsid w:val="004F38FC"/>
    <w:rsid w:val="004F3C08"/>
    <w:rsid w:val="004F54A2"/>
    <w:rsid w:val="004F62F9"/>
    <w:rsid w:val="004F6889"/>
    <w:rsid w:val="0050010C"/>
    <w:rsid w:val="00501B23"/>
    <w:rsid w:val="00501BD9"/>
    <w:rsid w:val="00502ADA"/>
    <w:rsid w:val="00502FA8"/>
    <w:rsid w:val="0050550D"/>
    <w:rsid w:val="00505A76"/>
    <w:rsid w:val="0050616E"/>
    <w:rsid w:val="00507640"/>
    <w:rsid w:val="0050798F"/>
    <w:rsid w:val="00510461"/>
    <w:rsid w:val="00511DEF"/>
    <w:rsid w:val="005139FA"/>
    <w:rsid w:val="00513F8E"/>
    <w:rsid w:val="0051582D"/>
    <w:rsid w:val="0051702C"/>
    <w:rsid w:val="00520E00"/>
    <w:rsid w:val="005212EB"/>
    <w:rsid w:val="005237FD"/>
    <w:rsid w:val="0052552A"/>
    <w:rsid w:val="00525FE4"/>
    <w:rsid w:val="00527A8C"/>
    <w:rsid w:val="00527AAC"/>
    <w:rsid w:val="00530590"/>
    <w:rsid w:val="0053228F"/>
    <w:rsid w:val="00532FEB"/>
    <w:rsid w:val="005331FB"/>
    <w:rsid w:val="00534995"/>
    <w:rsid w:val="00535810"/>
    <w:rsid w:val="00537053"/>
    <w:rsid w:val="00540446"/>
    <w:rsid w:val="0054083E"/>
    <w:rsid w:val="00543646"/>
    <w:rsid w:val="00543748"/>
    <w:rsid w:val="0054632F"/>
    <w:rsid w:val="0054650F"/>
    <w:rsid w:val="005472C7"/>
    <w:rsid w:val="00550662"/>
    <w:rsid w:val="00551677"/>
    <w:rsid w:val="00555663"/>
    <w:rsid w:val="0055724C"/>
    <w:rsid w:val="00560321"/>
    <w:rsid w:val="005604EC"/>
    <w:rsid w:val="0056113D"/>
    <w:rsid w:val="00562453"/>
    <w:rsid w:val="0056318C"/>
    <w:rsid w:val="005633C7"/>
    <w:rsid w:val="00564898"/>
    <w:rsid w:val="005727D4"/>
    <w:rsid w:val="005732E6"/>
    <w:rsid w:val="00575C6D"/>
    <w:rsid w:val="00577D88"/>
    <w:rsid w:val="00585C7B"/>
    <w:rsid w:val="005861F1"/>
    <w:rsid w:val="005861FF"/>
    <w:rsid w:val="0058622D"/>
    <w:rsid w:val="00586C8F"/>
    <w:rsid w:val="00587409"/>
    <w:rsid w:val="00587AA5"/>
    <w:rsid w:val="00590676"/>
    <w:rsid w:val="0059231A"/>
    <w:rsid w:val="00593328"/>
    <w:rsid w:val="00594ACA"/>
    <w:rsid w:val="00594B4F"/>
    <w:rsid w:val="005955CD"/>
    <w:rsid w:val="00596071"/>
    <w:rsid w:val="005966CA"/>
    <w:rsid w:val="00596BFA"/>
    <w:rsid w:val="005A1D18"/>
    <w:rsid w:val="005A265B"/>
    <w:rsid w:val="005A6C05"/>
    <w:rsid w:val="005A7F55"/>
    <w:rsid w:val="005B0540"/>
    <w:rsid w:val="005B0D84"/>
    <w:rsid w:val="005B3500"/>
    <w:rsid w:val="005B3835"/>
    <w:rsid w:val="005B3B73"/>
    <w:rsid w:val="005B4339"/>
    <w:rsid w:val="005B4654"/>
    <w:rsid w:val="005B6E4D"/>
    <w:rsid w:val="005C00FC"/>
    <w:rsid w:val="005C161F"/>
    <w:rsid w:val="005C2216"/>
    <w:rsid w:val="005C2526"/>
    <w:rsid w:val="005C2CEA"/>
    <w:rsid w:val="005C441B"/>
    <w:rsid w:val="005C5C18"/>
    <w:rsid w:val="005C60C3"/>
    <w:rsid w:val="005C6830"/>
    <w:rsid w:val="005C7F2A"/>
    <w:rsid w:val="005D0DF9"/>
    <w:rsid w:val="005D1010"/>
    <w:rsid w:val="005D17C6"/>
    <w:rsid w:val="005D1D02"/>
    <w:rsid w:val="005D1FEF"/>
    <w:rsid w:val="005D40BC"/>
    <w:rsid w:val="005D46FD"/>
    <w:rsid w:val="005D50A8"/>
    <w:rsid w:val="005D6BEE"/>
    <w:rsid w:val="005D6EE4"/>
    <w:rsid w:val="005D741E"/>
    <w:rsid w:val="005E2A7C"/>
    <w:rsid w:val="005E3DEA"/>
    <w:rsid w:val="005E7223"/>
    <w:rsid w:val="005F333F"/>
    <w:rsid w:val="005F3BD9"/>
    <w:rsid w:val="005F3C8A"/>
    <w:rsid w:val="005F40ED"/>
    <w:rsid w:val="005F4578"/>
    <w:rsid w:val="005F4B6E"/>
    <w:rsid w:val="005F52F4"/>
    <w:rsid w:val="005F7F5A"/>
    <w:rsid w:val="006000A1"/>
    <w:rsid w:val="006040E6"/>
    <w:rsid w:val="00604372"/>
    <w:rsid w:val="00605B8A"/>
    <w:rsid w:val="006119CB"/>
    <w:rsid w:val="006134EC"/>
    <w:rsid w:val="0061384F"/>
    <w:rsid w:val="00613FE0"/>
    <w:rsid w:val="006151CF"/>
    <w:rsid w:val="0061586C"/>
    <w:rsid w:val="00617A5B"/>
    <w:rsid w:val="00617F94"/>
    <w:rsid w:val="006217FD"/>
    <w:rsid w:val="00622948"/>
    <w:rsid w:val="00626525"/>
    <w:rsid w:val="0063281E"/>
    <w:rsid w:val="00632C88"/>
    <w:rsid w:val="00633AA6"/>
    <w:rsid w:val="00634A65"/>
    <w:rsid w:val="00634D6B"/>
    <w:rsid w:val="00637ECF"/>
    <w:rsid w:val="00641386"/>
    <w:rsid w:val="006447B5"/>
    <w:rsid w:val="0064491A"/>
    <w:rsid w:val="006501DA"/>
    <w:rsid w:val="006556AC"/>
    <w:rsid w:val="00655CD6"/>
    <w:rsid w:val="0066357F"/>
    <w:rsid w:val="006658A7"/>
    <w:rsid w:val="00665F44"/>
    <w:rsid w:val="006667FE"/>
    <w:rsid w:val="00666BE2"/>
    <w:rsid w:val="006674A7"/>
    <w:rsid w:val="0066780A"/>
    <w:rsid w:val="00670494"/>
    <w:rsid w:val="0067227C"/>
    <w:rsid w:val="006730C0"/>
    <w:rsid w:val="00674223"/>
    <w:rsid w:val="0067505F"/>
    <w:rsid w:val="00677435"/>
    <w:rsid w:val="00681FCC"/>
    <w:rsid w:val="006839FC"/>
    <w:rsid w:val="00683D0C"/>
    <w:rsid w:val="00686F72"/>
    <w:rsid w:val="006909E4"/>
    <w:rsid w:val="00691861"/>
    <w:rsid w:val="00693766"/>
    <w:rsid w:val="00693AF7"/>
    <w:rsid w:val="00693BD3"/>
    <w:rsid w:val="006954CB"/>
    <w:rsid w:val="006966BC"/>
    <w:rsid w:val="006969C3"/>
    <w:rsid w:val="006A2EF0"/>
    <w:rsid w:val="006A604B"/>
    <w:rsid w:val="006B1D3D"/>
    <w:rsid w:val="006B20DE"/>
    <w:rsid w:val="006B2E64"/>
    <w:rsid w:val="006B785E"/>
    <w:rsid w:val="006B7AE0"/>
    <w:rsid w:val="006C07EF"/>
    <w:rsid w:val="006C086E"/>
    <w:rsid w:val="006C09F7"/>
    <w:rsid w:val="006C15DE"/>
    <w:rsid w:val="006C1815"/>
    <w:rsid w:val="006C403C"/>
    <w:rsid w:val="006C4B8D"/>
    <w:rsid w:val="006C4DBB"/>
    <w:rsid w:val="006C6647"/>
    <w:rsid w:val="006C680F"/>
    <w:rsid w:val="006C7E4C"/>
    <w:rsid w:val="006D0C34"/>
    <w:rsid w:val="006D1872"/>
    <w:rsid w:val="006D1AFD"/>
    <w:rsid w:val="006D48B0"/>
    <w:rsid w:val="006D4C24"/>
    <w:rsid w:val="006D7195"/>
    <w:rsid w:val="006E2C8C"/>
    <w:rsid w:val="006E4FDE"/>
    <w:rsid w:val="006E530A"/>
    <w:rsid w:val="006E78F4"/>
    <w:rsid w:val="006E7DEF"/>
    <w:rsid w:val="006F12D5"/>
    <w:rsid w:val="006F4152"/>
    <w:rsid w:val="006F4BBF"/>
    <w:rsid w:val="006F5351"/>
    <w:rsid w:val="006F5542"/>
    <w:rsid w:val="006F7EB9"/>
    <w:rsid w:val="00701097"/>
    <w:rsid w:val="00701E95"/>
    <w:rsid w:val="00703342"/>
    <w:rsid w:val="00704190"/>
    <w:rsid w:val="00704A07"/>
    <w:rsid w:val="00705590"/>
    <w:rsid w:val="00706494"/>
    <w:rsid w:val="0070699D"/>
    <w:rsid w:val="0071002E"/>
    <w:rsid w:val="00710B2D"/>
    <w:rsid w:val="007123CD"/>
    <w:rsid w:val="0071240A"/>
    <w:rsid w:val="0071423C"/>
    <w:rsid w:val="007149B8"/>
    <w:rsid w:val="00717AD3"/>
    <w:rsid w:val="007209FA"/>
    <w:rsid w:val="00722488"/>
    <w:rsid w:val="007242D2"/>
    <w:rsid w:val="0072522B"/>
    <w:rsid w:val="00725D56"/>
    <w:rsid w:val="00727AA2"/>
    <w:rsid w:val="007309C9"/>
    <w:rsid w:val="00731841"/>
    <w:rsid w:val="00732BAD"/>
    <w:rsid w:val="00733E66"/>
    <w:rsid w:val="007340C3"/>
    <w:rsid w:val="007345C0"/>
    <w:rsid w:val="00736DB1"/>
    <w:rsid w:val="007370CC"/>
    <w:rsid w:val="0073783D"/>
    <w:rsid w:val="00737BFE"/>
    <w:rsid w:val="00742DC1"/>
    <w:rsid w:val="007439FD"/>
    <w:rsid w:val="007444E2"/>
    <w:rsid w:val="007444EC"/>
    <w:rsid w:val="00744F0D"/>
    <w:rsid w:val="00746F35"/>
    <w:rsid w:val="00747002"/>
    <w:rsid w:val="00747FE2"/>
    <w:rsid w:val="00751B7E"/>
    <w:rsid w:val="007532FA"/>
    <w:rsid w:val="007538F0"/>
    <w:rsid w:val="00753CE9"/>
    <w:rsid w:val="007565F9"/>
    <w:rsid w:val="00756DFB"/>
    <w:rsid w:val="00757564"/>
    <w:rsid w:val="0076059B"/>
    <w:rsid w:val="00760F8F"/>
    <w:rsid w:val="00761B26"/>
    <w:rsid w:val="00761FD7"/>
    <w:rsid w:val="00763700"/>
    <w:rsid w:val="00763CDB"/>
    <w:rsid w:val="00765C58"/>
    <w:rsid w:val="007661DC"/>
    <w:rsid w:val="007672D3"/>
    <w:rsid w:val="00770703"/>
    <w:rsid w:val="007711C3"/>
    <w:rsid w:val="00771744"/>
    <w:rsid w:val="00772268"/>
    <w:rsid w:val="007731CD"/>
    <w:rsid w:val="007736C3"/>
    <w:rsid w:val="00774B58"/>
    <w:rsid w:val="00774D84"/>
    <w:rsid w:val="0077558D"/>
    <w:rsid w:val="007759EA"/>
    <w:rsid w:val="00776801"/>
    <w:rsid w:val="00781D29"/>
    <w:rsid w:val="00781F66"/>
    <w:rsid w:val="0078243B"/>
    <w:rsid w:val="00784074"/>
    <w:rsid w:val="00784670"/>
    <w:rsid w:val="007860F8"/>
    <w:rsid w:val="00787735"/>
    <w:rsid w:val="00787EC1"/>
    <w:rsid w:val="00787F5E"/>
    <w:rsid w:val="007915C0"/>
    <w:rsid w:val="00792BEF"/>
    <w:rsid w:val="007960DF"/>
    <w:rsid w:val="00796692"/>
    <w:rsid w:val="007A1284"/>
    <w:rsid w:val="007A12BF"/>
    <w:rsid w:val="007A3179"/>
    <w:rsid w:val="007A3C64"/>
    <w:rsid w:val="007B34C8"/>
    <w:rsid w:val="007B34D6"/>
    <w:rsid w:val="007B6137"/>
    <w:rsid w:val="007B7666"/>
    <w:rsid w:val="007B7CC6"/>
    <w:rsid w:val="007C26AB"/>
    <w:rsid w:val="007C3A38"/>
    <w:rsid w:val="007C58E1"/>
    <w:rsid w:val="007C5ADD"/>
    <w:rsid w:val="007C6528"/>
    <w:rsid w:val="007C71B5"/>
    <w:rsid w:val="007D02D4"/>
    <w:rsid w:val="007D22BF"/>
    <w:rsid w:val="007D4FDE"/>
    <w:rsid w:val="007D5FE5"/>
    <w:rsid w:val="007D6B1B"/>
    <w:rsid w:val="007E2B35"/>
    <w:rsid w:val="007E3CDC"/>
    <w:rsid w:val="007E56AE"/>
    <w:rsid w:val="007E5FB3"/>
    <w:rsid w:val="007F1CC9"/>
    <w:rsid w:val="007F24FB"/>
    <w:rsid w:val="007F3981"/>
    <w:rsid w:val="007F49CD"/>
    <w:rsid w:val="00803E1C"/>
    <w:rsid w:val="00803E38"/>
    <w:rsid w:val="00804622"/>
    <w:rsid w:val="00805108"/>
    <w:rsid w:val="00806D14"/>
    <w:rsid w:val="00806EF5"/>
    <w:rsid w:val="008101ED"/>
    <w:rsid w:val="008118B7"/>
    <w:rsid w:val="00811F1B"/>
    <w:rsid w:val="00812202"/>
    <w:rsid w:val="008135D9"/>
    <w:rsid w:val="008139D4"/>
    <w:rsid w:val="00813F73"/>
    <w:rsid w:val="00816849"/>
    <w:rsid w:val="00816CD8"/>
    <w:rsid w:val="00820189"/>
    <w:rsid w:val="00820A4E"/>
    <w:rsid w:val="0082247E"/>
    <w:rsid w:val="00824448"/>
    <w:rsid w:val="00825445"/>
    <w:rsid w:val="00825CC5"/>
    <w:rsid w:val="008261A9"/>
    <w:rsid w:val="00826216"/>
    <w:rsid w:val="00830962"/>
    <w:rsid w:val="0083280E"/>
    <w:rsid w:val="00833551"/>
    <w:rsid w:val="008336EA"/>
    <w:rsid w:val="0083370D"/>
    <w:rsid w:val="00835CBB"/>
    <w:rsid w:val="00835D43"/>
    <w:rsid w:val="008374CD"/>
    <w:rsid w:val="00840FFA"/>
    <w:rsid w:val="008416E2"/>
    <w:rsid w:val="00841F72"/>
    <w:rsid w:val="0084566C"/>
    <w:rsid w:val="008473AE"/>
    <w:rsid w:val="00847855"/>
    <w:rsid w:val="00847870"/>
    <w:rsid w:val="008507C3"/>
    <w:rsid w:val="00852D36"/>
    <w:rsid w:val="008542A0"/>
    <w:rsid w:val="008544BC"/>
    <w:rsid w:val="008544ED"/>
    <w:rsid w:val="008577F4"/>
    <w:rsid w:val="008621D2"/>
    <w:rsid w:val="00863095"/>
    <w:rsid w:val="008639E8"/>
    <w:rsid w:val="00865904"/>
    <w:rsid w:val="00867CC9"/>
    <w:rsid w:val="00870DED"/>
    <w:rsid w:val="00871CED"/>
    <w:rsid w:val="0087311A"/>
    <w:rsid w:val="0087606A"/>
    <w:rsid w:val="00880D8D"/>
    <w:rsid w:val="00880DE7"/>
    <w:rsid w:val="00881457"/>
    <w:rsid w:val="00883F84"/>
    <w:rsid w:val="00886E25"/>
    <w:rsid w:val="00887956"/>
    <w:rsid w:val="00890D04"/>
    <w:rsid w:val="00890FA1"/>
    <w:rsid w:val="008916EE"/>
    <w:rsid w:val="00895B4C"/>
    <w:rsid w:val="00897D11"/>
    <w:rsid w:val="00897FA3"/>
    <w:rsid w:val="008A17E1"/>
    <w:rsid w:val="008A3347"/>
    <w:rsid w:val="008A45CB"/>
    <w:rsid w:val="008A5C0C"/>
    <w:rsid w:val="008A5FC7"/>
    <w:rsid w:val="008A7286"/>
    <w:rsid w:val="008B068D"/>
    <w:rsid w:val="008B18F0"/>
    <w:rsid w:val="008B4AB1"/>
    <w:rsid w:val="008B6EC2"/>
    <w:rsid w:val="008B7525"/>
    <w:rsid w:val="008B7DA2"/>
    <w:rsid w:val="008C2631"/>
    <w:rsid w:val="008C4268"/>
    <w:rsid w:val="008C44ED"/>
    <w:rsid w:val="008C453A"/>
    <w:rsid w:val="008C5923"/>
    <w:rsid w:val="008C7079"/>
    <w:rsid w:val="008D0E22"/>
    <w:rsid w:val="008D3565"/>
    <w:rsid w:val="008D64B9"/>
    <w:rsid w:val="008D75F2"/>
    <w:rsid w:val="008E1911"/>
    <w:rsid w:val="008E1ECC"/>
    <w:rsid w:val="008E2858"/>
    <w:rsid w:val="008E32CA"/>
    <w:rsid w:val="008F0A52"/>
    <w:rsid w:val="008F1409"/>
    <w:rsid w:val="008F19FA"/>
    <w:rsid w:val="008F24D2"/>
    <w:rsid w:val="008F260C"/>
    <w:rsid w:val="008F27B7"/>
    <w:rsid w:val="008F3146"/>
    <w:rsid w:val="008F329B"/>
    <w:rsid w:val="008F35C6"/>
    <w:rsid w:val="008F3EE6"/>
    <w:rsid w:val="008F4F89"/>
    <w:rsid w:val="008F51E0"/>
    <w:rsid w:val="008F5E24"/>
    <w:rsid w:val="008F6BED"/>
    <w:rsid w:val="00900064"/>
    <w:rsid w:val="00901025"/>
    <w:rsid w:val="0090185E"/>
    <w:rsid w:val="00901ACE"/>
    <w:rsid w:val="0090349D"/>
    <w:rsid w:val="009064D3"/>
    <w:rsid w:val="009067A4"/>
    <w:rsid w:val="00907E23"/>
    <w:rsid w:val="00912B20"/>
    <w:rsid w:val="009138CB"/>
    <w:rsid w:val="00914772"/>
    <w:rsid w:val="00921996"/>
    <w:rsid w:val="00921E98"/>
    <w:rsid w:val="00922D25"/>
    <w:rsid w:val="00923AFA"/>
    <w:rsid w:val="00923B83"/>
    <w:rsid w:val="00924590"/>
    <w:rsid w:val="0092535E"/>
    <w:rsid w:val="00925373"/>
    <w:rsid w:val="00932310"/>
    <w:rsid w:val="00932E92"/>
    <w:rsid w:val="00933E33"/>
    <w:rsid w:val="00934CF5"/>
    <w:rsid w:val="00936DB4"/>
    <w:rsid w:val="009400F0"/>
    <w:rsid w:val="00940CF3"/>
    <w:rsid w:val="00941D0A"/>
    <w:rsid w:val="0094225F"/>
    <w:rsid w:val="0094234C"/>
    <w:rsid w:val="009436C9"/>
    <w:rsid w:val="009457C6"/>
    <w:rsid w:val="00947E74"/>
    <w:rsid w:val="00951823"/>
    <w:rsid w:val="009525B3"/>
    <w:rsid w:val="00956337"/>
    <w:rsid w:val="00962421"/>
    <w:rsid w:val="009627CD"/>
    <w:rsid w:val="00963048"/>
    <w:rsid w:val="00965315"/>
    <w:rsid w:val="00967DEC"/>
    <w:rsid w:val="0097063C"/>
    <w:rsid w:val="0097070F"/>
    <w:rsid w:val="009713AA"/>
    <w:rsid w:val="00973B3C"/>
    <w:rsid w:val="00977E7C"/>
    <w:rsid w:val="00986CB8"/>
    <w:rsid w:val="00987E90"/>
    <w:rsid w:val="00990F48"/>
    <w:rsid w:val="0099400D"/>
    <w:rsid w:val="00994E3A"/>
    <w:rsid w:val="0099612C"/>
    <w:rsid w:val="00996BF0"/>
    <w:rsid w:val="009A02AF"/>
    <w:rsid w:val="009A0AA1"/>
    <w:rsid w:val="009A1679"/>
    <w:rsid w:val="009A27C6"/>
    <w:rsid w:val="009A3A04"/>
    <w:rsid w:val="009A7FC8"/>
    <w:rsid w:val="009B0030"/>
    <w:rsid w:val="009B0A34"/>
    <w:rsid w:val="009B469A"/>
    <w:rsid w:val="009B56EE"/>
    <w:rsid w:val="009B5D75"/>
    <w:rsid w:val="009B6F9F"/>
    <w:rsid w:val="009B7C4C"/>
    <w:rsid w:val="009C1561"/>
    <w:rsid w:val="009C2471"/>
    <w:rsid w:val="009C2527"/>
    <w:rsid w:val="009C27DC"/>
    <w:rsid w:val="009C4DDF"/>
    <w:rsid w:val="009C5658"/>
    <w:rsid w:val="009C6C39"/>
    <w:rsid w:val="009D02DD"/>
    <w:rsid w:val="009D0F39"/>
    <w:rsid w:val="009D4A53"/>
    <w:rsid w:val="009D4DAE"/>
    <w:rsid w:val="009D6F28"/>
    <w:rsid w:val="009D702B"/>
    <w:rsid w:val="009E1648"/>
    <w:rsid w:val="009E2576"/>
    <w:rsid w:val="009E2E0C"/>
    <w:rsid w:val="009E3791"/>
    <w:rsid w:val="009E60E6"/>
    <w:rsid w:val="009E6268"/>
    <w:rsid w:val="009E627A"/>
    <w:rsid w:val="009E660C"/>
    <w:rsid w:val="009E6EA1"/>
    <w:rsid w:val="009F174F"/>
    <w:rsid w:val="009F2785"/>
    <w:rsid w:val="009F330F"/>
    <w:rsid w:val="009F3B87"/>
    <w:rsid w:val="009F5424"/>
    <w:rsid w:val="00A007A6"/>
    <w:rsid w:val="00A01F8A"/>
    <w:rsid w:val="00A02AF2"/>
    <w:rsid w:val="00A02FC4"/>
    <w:rsid w:val="00A030BA"/>
    <w:rsid w:val="00A03F4D"/>
    <w:rsid w:val="00A04ED7"/>
    <w:rsid w:val="00A0586D"/>
    <w:rsid w:val="00A05D92"/>
    <w:rsid w:val="00A10664"/>
    <w:rsid w:val="00A1240D"/>
    <w:rsid w:val="00A12E4C"/>
    <w:rsid w:val="00A148E1"/>
    <w:rsid w:val="00A149C2"/>
    <w:rsid w:val="00A21F90"/>
    <w:rsid w:val="00A23281"/>
    <w:rsid w:val="00A242AE"/>
    <w:rsid w:val="00A271A3"/>
    <w:rsid w:val="00A30109"/>
    <w:rsid w:val="00A30A66"/>
    <w:rsid w:val="00A30C4A"/>
    <w:rsid w:val="00A32666"/>
    <w:rsid w:val="00A33A1F"/>
    <w:rsid w:val="00A3505B"/>
    <w:rsid w:val="00A3547C"/>
    <w:rsid w:val="00A35AF0"/>
    <w:rsid w:val="00A4374F"/>
    <w:rsid w:val="00A438CC"/>
    <w:rsid w:val="00A43E6A"/>
    <w:rsid w:val="00A479C5"/>
    <w:rsid w:val="00A50610"/>
    <w:rsid w:val="00A51A82"/>
    <w:rsid w:val="00A51E1C"/>
    <w:rsid w:val="00A52DF1"/>
    <w:rsid w:val="00A53E2D"/>
    <w:rsid w:val="00A540FA"/>
    <w:rsid w:val="00A56E31"/>
    <w:rsid w:val="00A57D65"/>
    <w:rsid w:val="00A600FE"/>
    <w:rsid w:val="00A61130"/>
    <w:rsid w:val="00A62BAF"/>
    <w:rsid w:val="00A63099"/>
    <w:rsid w:val="00A637C9"/>
    <w:rsid w:val="00A6402E"/>
    <w:rsid w:val="00A647F3"/>
    <w:rsid w:val="00A65C05"/>
    <w:rsid w:val="00A7070D"/>
    <w:rsid w:val="00A716E2"/>
    <w:rsid w:val="00A71860"/>
    <w:rsid w:val="00A7408A"/>
    <w:rsid w:val="00A74277"/>
    <w:rsid w:val="00A74EFF"/>
    <w:rsid w:val="00A75146"/>
    <w:rsid w:val="00A77D2B"/>
    <w:rsid w:val="00A81144"/>
    <w:rsid w:val="00A8210E"/>
    <w:rsid w:val="00A8287D"/>
    <w:rsid w:val="00A836E7"/>
    <w:rsid w:val="00A83835"/>
    <w:rsid w:val="00A8446A"/>
    <w:rsid w:val="00A84F47"/>
    <w:rsid w:val="00A87994"/>
    <w:rsid w:val="00A9191A"/>
    <w:rsid w:val="00A92A65"/>
    <w:rsid w:val="00A93D94"/>
    <w:rsid w:val="00A947DF"/>
    <w:rsid w:val="00AA0164"/>
    <w:rsid w:val="00AA0F51"/>
    <w:rsid w:val="00AA1566"/>
    <w:rsid w:val="00AA1A80"/>
    <w:rsid w:val="00AA1D6E"/>
    <w:rsid w:val="00AA5404"/>
    <w:rsid w:val="00AA5EF3"/>
    <w:rsid w:val="00AA6CE9"/>
    <w:rsid w:val="00AA739A"/>
    <w:rsid w:val="00AA796C"/>
    <w:rsid w:val="00AB09C9"/>
    <w:rsid w:val="00AB1E38"/>
    <w:rsid w:val="00AB276E"/>
    <w:rsid w:val="00AB2BDC"/>
    <w:rsid w:val="00AB2D21"/>
    <w:rsid w:val="00AB514D"/>
    <w:rsid w:val="00AB770E"/>
    <w:rsid w:val="00AC0949"/>
    <w:rsid w:val="00AC2293"/>
    <w:rsid w:val="00AC23C3"/>
    <w:rsid w:val="00AC5AF3"/>
    <w:rsid w:val="00AC65DB"/>
    <w:rsid w:val="00AC6CC1"/>
    <w:rsid w:val="00AD087A"/>
    <w:rsid w:val="00AD0AA6"/>
    <w:rsid w:val="00AD1692"/>
    <w:rsid w:val="00AD208C"/>
    <w:rsid w:val="00AD46D5"/>
    <w:rsid w:val="00AD492E"/>
    <w:rsid w:val="00AD53FA"/>
    <w:rsid w:val="00AD5EBB"/>
    <w:rsid w:val="00AD78D7"/>
    <w:rsid w:val="00AD7B5E"/>
    <w:rsid w:val="00AD7EE1"/>
    <w:rsid w:val="00AE10D2"/>
    <w:rsid w:val="00AE2805"/>
    <w:rsid w:val="00AE2CC2"/>
    <w:rsid w:val="00AE3561"/>
    <w:rsid w:val="00AE35C2"/>
    <w:rsid w:val="00AE438F"/>
    <w:rsid w:val="00AF05E3"/>
    <w:rsid w:val="00AF11E8"/>
    <w:rsid w:val="00AF2E43"/>
    <w:rsid w:val="00AF4BD4"/>
    <w:rsid w:val="00AF5825"/>
    <w:rsid w:val="00B00D38"/>
    <w:rsid w:val="00B045D1"/>
    <w:rsid w:val="00B0539C"/>
    <w:rsid w:val="00B1008F"/>
    <w:rsid w:val="00B107CA"/>
    <w:rsid w:val="00B10C74"/>
    <w:rsid w:val="00B122B4"/>
    <w:rsid w:val="00B12FF0"/>
    <w:rsid w:val="00B155DD"/>
    <w:rsid w:val="00B15C74"/>
    <w:rsid w:val="00B1676B"/>
    <w:rsid w:val="00B16F29"/>
    <w:rsid w:val="00B201D8"/>
    <w:rsid w:val="00B21EFB"/>
    <w:rsid w:val="00B22F4C"/>
    <w:rsid w:val="00B23B8E"/>
    <w:rsid w:val="00B25714"/>
    <w:rsid w:val="00B3524B"/>
    <w:rsid w:val="00B35647"/>
    <w:rsid w:val="00B3615D"/>
    <w:rsid w:val="00B36A91"/>
    <w:rsid w:val="00B3702F"/>
    <w:rsid w:val="00B371B2"/>
    <w:rsid w:val="00B37623"/>
    <w:rsid w:val="00B426E6"/>
    <w:rsid w:val="00B434E0"/>
    <w:rsid w:val="00B438C8"/>
    <w:rsid w:val="00B44E41"/>
    <w:rsid w:val="00B45979"/>
    <w:rsid w:val="00B514FD"/>
    <w:rsid w:val="00B537A3"/>
    <w:rsid w:val="00B54069"/>
    <w:rsid w:val="00B550F2"/>
    <w:rsid w:val="00B560A6"/>
    <w:rsid w:val="00B607E3"/>
    <w:rsid w:val="00B63504"/>
    <w:rsid w:val="00B64CD8"/>
    <w:rsid w:val="00B65FA9"/>
    <w:rsid w:val="00B724BA"/>
    <w:rsid w:val="00B75916"/>
    <w:rsid w:val="00B75EE2"/>
    <w:rsid w:val="00B7609F"/>
    <w:rsid w:val="00B767D7"/>
    <w:rsid w:val="00B77A5C"/>
    <w:rsid w:val="00B80CF5"/>
    <w:rsid w:val="00B813D7"/>
    <w:rsid w:val="00B81785"/>
    <w:rsid w:val="00B81A22"/>
    <w:rsid w:val="00B82C3E"/>
    <w:rsid w:val="00B82E45"/>
    <w:rsid w:val="00B83BE7"/>
    <w:rsid w:val="00B83EB7"/>
    <w:rsid w:val="00B84351"/>
    <w:rsid w:val="00B85066"/>
    <w:rsid w:val="00B85FA5"/>
    <w:rsid w:val="00B8652B"/>
    <w:rsid w:val="00B866AA"/>
    <w:rsid w:val="00B904AA"/>
    <w:rsid w:val="00B91D24"/>
    <w:rsid w:val="00B92FB5"/>
    <w:rsid w:val="00B93C61"/>
    <w:rsid w:val="00B93F4D"/>
    <w:rsid w:val="00B94B1F"/>
    <w:rsid w:val="00B951D5"/>
    <w:rsid w:val="00B95EA1"/>
    <w:rsid w:val="00B96F89"/>
    <w:rsid w:val="00BA0EC6"/>
    <w:rsid w:val="00BA23F1"/>
    <w:rsid w:val="00BA3AE0"/>
    <w:rsid w:val="00BA4571"/>
    <w:rsid w:val="00BA6D9F"/>
    <w:rsid w:val="00BB10F6"/>
    <w:rsid w:val="00BB176E"/>
    <w:rsid w:val="00BB1C7E"/>
    <w:rsid w:val="00BB213C"/>
    <w:rsid w:val="00BB247E"/>
    <w:rsid w:val="00BB3F75"/>
    <w:rsid w:val="00BB539F"/>
    <w:rsid w:val="00BB5712"/>
    <w:rsid w:val="00BB6382"/>
    <w:rsid w:val="00BB73E1"/>
    <w:rsid w:val="00BB7BEB"/>
    <w:rsid w:val="00BC1C29"/>
    <w:rsid w:val="00BC3FBB"/>
    <w:rsid w:val="00BC4993"/>
    <w:rsid w:val="00BC4F2C"/>
    <w:rsid w:val="00BC5EEC"/>
    <w:rsid w:val="00BD2836"/>
    <w:rsid w:val="00BD4DE8"/>
    <w:rsid w:val="00BD5C16"/>
    <w:rsid w:val="00BE0341"/>
    <w:rsid w:val="00BE117F"/>
    <w:rsid w:val="00BE3732"/>
    <w:rsid w:val="00BE3DAE"/>
    <w:rsid w:val="00BE46F8"/>
    <w:rsid w:val="00BE4897"/>
    <w:rsid w:val="00BE49D4"/>
    <w:rsid w:val="00BE55C3"/>
    <w:rsid w:val="00BE5E05"/>
    <w:rsid w:val="00BF00D5"/>
    <w:rsid w:val="00BF1A34"/>
    <w:rsid w:val="00BF3456"/>
    <w:rsid w:val="00BF3D71"/>
    <w:rsid w:val="00BF688F"/>
    <w:rsid w:val="00BF7667"/>
    <w:rsid w:val="00C0037D"/>
    <w:rsid w:val="00C0057E"/>
    <w:rsid w:val="00C02438"/>
    <w:rsid w:val="00C02607"/>
    <w:rsid w:val="00C03361"/>
    <w:rsid w:val="00C047F1"/>
    <w:rsid w:val="00C055A6"/>
    <w:rsid w:val="00C0565A"/>
    <w:rsid w:val="00C07CEA"/>
    <w:rsid w:val="00C158D7"/>
    <w:rsid w:val="00C16005"/>
    <w:rsid w:val="00C166CD"/>
    <w:rsid w:val="00C1746F"/>
    <w:rsid w:val="00C200C8"/>
    <w:rsid w:val="00C23E2B"/>
    <w:rsid w:val="00C2435B"/>
    <w:rsid w:val="00C24E64"/>
    <w:rsid w:val="00C30182"/>
    <w:rsid w:val="00C31619"/>
    <w:rsid w:val="00C32468"/>
    <w:rsid w:val="00C32C57"/>
    <w:rsid w:val="00C36BAB"/>
    <w:rsid w:val="00C40038"/>
    <w:rsid w:val="00C40E92"/>
    <w:rsid w:val="00C41181"/>
    <w:rsid w:val="00C41ADD"/>
    <w:rsid w:val="00C42146"/>
    <w:rsid w:val="00C43BBD"/>
    <w:rsid w:val="00C453A8"/>
    <w:rsid w:val="00C475AF"/>
    <w:rsid w:val="00C500CC"/>
    <w:rsid w:val="00C50BE0"/>
    <w:rsid w:val="00C52E1F"/>
    <w:rsid w:val="00C52FC3"/>
    <w:rsid w:val="00C53A5D"/>
    <w:rsid w:val="00C54592"/>
    <w:rsid w:val="00C56118"/>
    <w:rsid w:val="00C5680B"/>
    <w:rsid w:val="00C56B2A"/>
    <w:rsid w:val="00C5740D"/>
    <w:rsid w:val="00C5748F"/>
    <w:rsid w:val="00C57DED"/>
    <w:rsid w:val="00C60027"/>
    <w:rsid w:val="00C63E97"/>
    <w:rsid w:val="00C64AD2"/>
    <w:rsid w:val="00C66804"/>
    <w:rsid w:val="00C70492"/>
    <w:rsid w:val="00C71B4C"/>
    <w:rsid w:val="00C72360"/>
    <w:rsid w:val="00C73240"/>
    <w:rsid w:val="00C76913"/>
    <w:rsid w:val="00C7748A"/>
    <w:rsid w:val="00C7779E"/>
    <w:rsid w:val="00C77FD3"/>
    <w:rsid w:val="00C824F7"/>
    <w:rsid w:val="00C8414F"/>
    <w:rsid w:val="00C85995"/>
    <w:rsid w:val="00C86814"/>
    <w:rsid w:val="00C92340"/>
    <w:rsid w:val="00C9246C"/>
    <w:rsid w:val="00C92F5E"/>
    <w:rsid w:val="00C93B11"/>
    <w:rsid w:val="00C94362"/>
    <w:rsid w:val="00C971BD"/>
    <w:rsid w:val="00CA1D5E"/>
    <w:rsid w:val="00CA37B1"/>
    <w:rsid w:val="00CA387F"/>
    <w:rsid w:val="00CA4C1C"/>
    <w:rsid w:val="00CA6C96"/>
    <w:rsid w:val="00CB06BD"/>
    <w:rsid w:val="00CB36AD"/>
    <w:rsid w:val="00CB3DF4"/>
    <w:rsid w:val="00CB4E86"/>
    <w:rsid w:val="00CB560C"/>
    <w:rsid w:val="00CB6664"/>
    <w:rsid w:val="00CB7058"/>
    <w:rsid w:val="00CC0249"/>
    <w:rsid w:val="00CC1DD1"/>
    <w:rsid w:val="00CC2626"/>
    <w:rsid w:val="00CC28D2"/>
    <w:rsid w:val="00CC320E"/>
    <w:rsid w:val="00CC4A19"/>
    <w:rsid w:val="00CC7CC0"/>
    <w:rsid w:val="00CC7E33"/>
    <w:rsid w:val="00CD40DF"/>
    <w:rsid w:val="00CD432D"/>
    <w:rsid w:val="00CD605E"/>
    <w:rsid w:val="00CD6506"/>
    <w:rsid w:val="00CD7599"/>
    <w:rsid w:val="00CE03CD"/>
    <w:rsid w:val="00CE0A6D"/>
    <w:rsid w:val="00CE0C27"/>
    <w:rsid w:val="00CE1396"/>
    <w:rsid w:val="00CE2225"/>
    <w:rsid w:val="00CE2BF4"/>
    <w:rsid w:val="00CE5E57"/>
    <w:rsid w:val="00CE5FB7"/>
    <w:rsid w:val="00CE6D73"/>
    <w:rsid w:val="00CE7996"/>
    <w:rsid w:val="00CF24CE"/>
    <w:rsid w:val="00CF5DDE"/>
    <w:rsid w:val="00CF623C"/>
    <w:rsid w:val="00D01AE0"/>
    <w:rsid w:val="00D01EB5"/>
    <w:rsid w:val="00D01F75"/>
    <w:rsid w:val="00D02F94"/>
    <w:rsid w:val="00D0780C"/>
    <w:rsid w:val="00D100FC"/>
    <w:rsid w:val="00D1060A"/>
    <w:rsid w:val="00D11999"/>
    <w:rsid w:val="00D1212F"/>
    <w:rsid w:val="00D12E86"/>
    <w:rsid w:val="00D142E1"/>
    <w:rsid w:val="00D146D5"/>
    <w:rsid w:val="00D15EE0"/>
    <w:rsid w:val="00D17034"/>
    <w:rsid w:val="00D22DA7"/>
    <w:rsid w:val="00D26069"/>
    <w:rsid w:val="00D302CC"/>
    <w:rsid w:val="00D3176B"/>
    <w:rsid w:val="00D3263F"/>
    <w:rsid w:val="00D364AA"/>
    <w:rsid w:val="00D36E92"/>
    <w:rsid w:val="00D37EFE"/>
    <w:rsid w:val="00D40102"/>
    <w:rsid w:val="00D41181"/>
    <w:rsid w:val="00D4386F"/>
    <w:rsid w:val="00D44FE5"/>
    <w:rsid w:val="00D4614C"/>
    <w:rsid w:val="00D50AB4"/>
    <w:rsid w:val="00D52B8B"/>
    <w:rsid w:val="00D52C76"/>
    <w:rsid w:val="00D547B9"/>
    <w:rsid w:val="00D56DEC"/>
    <w:rsid w:val="00D61039"/>
    <w:rsid w:val="00D62DCE"/>
    <w:rsid w:val="00D63900"/>
    <w:rsid w:val="00D63DB9"/>
    <w:rsid w:val="00D64796"/>
    <w:rsid w:val="00D6595C"/>
    <w:rsid w:val="00D66667"/>
    <w:rsid w:val="00D67382"/>
    <w:rsid w:val="00D67F8F"/>
    <w:rsid w:val="00D71159"/>
    <w:rsid w:val="00D74016"/>
    <w:rsid w:val="00D77D88"/>
    <w:rsid w:val="00D80FD5"/>
    <w:rsid w:val="00D82C2A"/>
    <w:rsid w:val="00D83D84"/>
    <w:rsid w:val="00D85442"/>
    <w:rsid w:val="00D86267"/>
    <w:rsid w:val="00D862F1"/>
    <w:rsid w:val="00D86C63"/>
    <w:rsid w:val="00D87E95"/>
    <w:rsid w:val="00D90D0F"/>
    <w:rsid w:val="00D91D45"/>
    <w:rsid w:val="00D92B68"/>
    <w:rsid w:val="00D945DB"/>
    <w:rsid w:val="00D95305"/>
    <w:rsid w:val="00D963ED"/>
    <w:rsid w:val="00D97ECA"/>
    <w:rsid w:val="00DA02F7"/>
    <w:rsid w:val="00DA1F19"/>
    <w:rsid w:val="00DA2EAA"/>
    <w:rsid w:val="00DA3486"/>
    <w:rsid w:val="00DA5867"/>
    <w:rsid w:val="00DA6EC6"/>
    <w:rsid w:val="00DA7D75"/>
    <w:rsid w:val="00DB0C00"/>
    <w:rsid w:val="00DB1C17"/>
    <w:rsid w:val="00DB2577"/>
    <w:rsid w:val="00DB2A47"/>
    <w:rsid w:val="00DB3F24"/>
    <w:rsid w:val="00DB5113"/>
    <w:rsid w:val="00DB603B"/>
    <w:rsid w:val="00DC1380"/>
    <w:rsid w:val="00DC1B9A"/>
    <w:rsid w:val="00DC26E4"/>
    <w:rsid w:val="00DC26F6"/>
    <w:rsid w:val="00DC2848"/>
    <w:rsid w:val="00DC305D"/>
    <w:rsid w:val="00DC4347"/>
    <w:rsid w:val="00DC5047"/>
    <w:rsid w:val="00DC7DF8"/>
    <w:rsid w:val="00DD4080"/>
    <w:rsid w:val="00DE26F9"/>
    <w:rsid w:val="00DE3607"/>
    <w:rsid w:val="00DE3FDF"/>
    <w:rsid w:val="00DE414F"/>
    <w:rsid w:val="00DE477E"/>
    <w:rsid w:val="00DE5022"/>
    <w:rsid w:val="00DE6D08"/>
    <w:rsid w:val="00DE72E8"/>
    <w:rsid w:val="00DF1252"/>
    <w:rsid w:val="00DF1FEA"/>
    <w:rsid w:val="00DF3078"/>
    <w:rsid w:val="00DF567A"/>
    <w:rsid w:val="00DF709F"/>
    <w:rsid w:val="00DF7697"/>
    <w:rsid w:val="00DF777C"/>
    <w:rsid w:val="00E01653"/>
    <w:rsid w:val="00E0176B"/>
    <w:rsid w:val="00E100BA"/>
    <w:rsid w:val="00E1338F"/>
    <w:rsid w:val="00E14771"/>
    <w:rsid w:val="00E162C5"/>
    <w:rsid w:val="00E171D2"/>
    <w:rsid w:val="00E2567D"/>
    <w:rsid w:val="00E3182F"/>
    <w:rsid w:val="00E3491E"/>
    <w:rsid w:val="00E35522"/>
    <w:rsid w:val="00E402B8"/>
    <w:rsid w:val="00E4053F"/>
    <w:rsid w:val="00E41A80"/>
    <w:rsid w:val="00E42EFE"/>
    <w:rsid w:val="00E43059"/>
    <w:rsid w:val="00E44124"/>
    <w:rsid w:val="00E4547C"/>
    <w:rsid w:val="00E47687"/>
    <w:rsid w:val="00E47F60"/>
    <w:rsid w:val="00E47F9F"/>
    <w:rsid w:val="00E52D30"/>
    <w:rsid w:val="00E555FC"/>
    <w:rsid w:val="00E56ECC"/>
    <w:rsid w:val="00E56FBC"/>
    <w:rsid w:val="00E571AD"/>
    <w:rsid w:val="00E57AD2"/>
    <w:rsid w:val="00E57B7F"/>
    <w:rsid w:val="00E60966"/>
    <w:rsid w:val="00E62D42"/>
    <w:rsid w:val="00E6402A"/>
    <w:rsid w:val="00E714AB"/>
    <w:rsid w:val="00E71624"/>
    <w:rsid w:val="00E71E41"/>
    <w:rsid w:val="00E72ACF"/>
    <w:rsid w:val="00E7465A"/>
    <w:rsid w:val="00E81D39"/>
    <w:rsid w:val="00E8317D"/>
    <w:rsid w:val="00E838DA"/>
    <w:rsid w:val="00E8549F"/>
    <w:rsid w:val="00E855DE"/>
    <w:rsid w:val="00E87633"/>
    <w:rsid w:val="00E8774C"/>
    <w:rsid w:val="00E87820"/>
    <w:rsid w:val="00E9270C"/>
    <w:rsid w:val="00E937C6"/>
    <w:rsid w:val="00E95014"/>
    <w:rsid w:val="00EA0B3A"/>
    <w:rsid w:val="00EA1B99"/>
    <w:rsid w:val="00EA561A"/>
    <w:rsid w:val="00EA61C6"/>
    <w:rsid w:val="00EA61C7"/>
    <w:rsid w:val="00EA7277"/>
    <w:rsid w:val="00EB071D"/>
    <w:rsid w:val="00EB453B"/>
    <w:rsid w:val="00EB5559"/>
    <w:rsid w:val="00EB5B82"/>
    <w:rsid w:val="00EB5C23"/>
    <w:rsid w:val="00EB5D3E"/>
    <w:rsid w:val="00EB67A4"/>
    <w:rsid w:val="00EC02BB"/>
    <w:rsid w:val="00EC293E"/>
    <w:rsid w:val="00EC2E5D"/>
    <w:rsid w:val="00EC35DA"/>
    <w:rsid w:val="00EC393D"/>
    <w:rsid w:val="00EC3F6C"/>
    <w:rsid w:val="00EC6F99"/>
    <w:rsid w:val="00EC78CF"/>
    <w:rsid w:val="00EC7E96"/>
    <w:rsid w:val="00ED0E3C"/>
    <w:rsid w:val="00ED12FD"/>
    <w:rsid w:val="00ED1C7D"/>
    <w:rsid w:val="00ED1EFE"/>
    <w:rsid w:val="00ED222C"/>
    <w:rsid w:val="00ED53E3"/>
    <w:rsid w:val="00ED6923"/>
    <w:rsid w:val="00ED71F8"/>
    <w:rsid w:val="00ED7E59"/>
    <w:rsid w:val="00EE228B"/>
    <w:rsid w:val="00EE5402"/>
    <w:rsid w:val="00EE6BD9"/>
    <w:rsid w:val="00EE6DFB"/>
    <w:rsid w:val="00EE7B76"/>
    <w:rsid w:val="00EF00FF"/>
    <w:rsid w:val="00EF1FAC"/>
    <w:rsid w:val="00EF351C"/>
    <w:rsid w:val="00EF4A8B"/>
    <w:rsid w:val="00EF4C70"/>
    <w:rsid w:val="00EF4DF5"/>
    <w:rsid w:val="00EF6D2F"/>
    <w:rsid w:val="00F00DBD"/>
    <w:rsid w:val="00F0161D"/>
    <w:rsid w:val="00F02AD4"/>
    <w:rsid w:val="00F02E77"/>
    <w:rsid w:val="00F044BD"/>
    <w:rsid w:val="00F04AA9"/>
    <w:rsid w:val="00F04C07"/>
    <w:rsid w:val="00F04C77"/>
    <w:rsid w:val="00F067B5"/>
    <w:rsid w:val="00F067C5"/>
    <w:rsid w:val="00F073E7"/>
    <w:rsid w:val="00F146F6"/>
    <w:rsid w:val="00F14F84"/>
    <w:rsid w:val="00F168D8"/>
    <w:rsid w:val="00F20854"/>
    <w:rsid w:val="00F20BAD"/>
    <w:rsid w:val="00F21006"/>
    <w:rsid w:val="00F22E73"/>
    <w:rsid w:val="00F266D5"/>
    <w:rsid w:val="00F267DB"/>
    <w:rsid w:val="00F30CAE"/>
    <w:rsid w:val="00F314E4"/>
    <w:rsid w:val="00F326B5"/>
    <w:rsid w:val="00F32F09"/>
    <w:rsid w:val="00F34E4E"/>
    <w:rsid w:val="00F356EA"/>
    <w:rsid w:val="00F371DB"/>
    <w:rsid w:val="00F37B0C"/>
    <w:rsid w:val="00F43CB0"/>
    <w:rsid w:val="00F44CF3"/>
    <w:rsid w:val="00F45418"/>
    <w:rsid w:val="00F45BA7"/>
    <w:rsid w:val="00F468ED"/>
    <w:rsid w:val="00F47618"/>
    <w:rsid w:val="00F47EDC"/>
    <w:rsid w:val="00F50628"/>
    <w:rsid w:val="00F50D6E"/>
    <w:rsid w:val="00F54777"/>
    <w:rsid w:val="00F54E0F"/>
    <w:rsid w:val="00F5614E"/>
    <w:rsid w:val="00F56F61"/>
    <w:rsid w:val="00F57C55"/>
    <w:rsid w:val="00F61C64"/>
    <w:rsid w:val="00F65C1E"/>
    <w:rsid w:val="00F6642F"/>
    <w:rsid w:val="00F6783F"/>
    <w:rsid w:val="00F7040B"/>
    <w:rsid w:val="00F70E22"/>
    <w:rsid w:val="00F72346"/>
    <w:rsid w:val="00F758B8"/>
    <w:rsid w:val="00F76910"/>
    <w:rsid w:val="00F76BF2"/>
    <w:rsid w:val="00F76C2E"/>
    <w:rsid w:val="00F76F39"/>
    <w:rsid w:val="00F8044E"/>
    <w:rsid w:val="00F80B42"/>
    <w:rsid w:val="00F8107B"/>
    <w:rsid w:val="00F81B2B"/>
    <w:rsid w:val="00F81F7D"/>
    <w:rsid w:val="00F8318F"/>
    <w:rsid w:val="00F83532"/>
    <w:rsid w:val="00F838A6"/>
    <w:rsid w:val="00F85D25"/>
    <w:rsid w:val="00F86AD3"/>
    <w:rsid w:val="00F91B32"/>
    <w:rsid w:val="00F92DA9"/>
    <w:rsid w:val="00F931BD"/>
    <w:rsid w:val="00F935C1"/>
    <w:rsid w:val="00F938A5"/>
    <w:rsid w:val="00F944CB"/>
    <w:rsid w:val="00F9728B"/>
    <w:rsid w:val="00F9780D"/>
    <w:rsid w:val="00FA02D9"/>
    <w:rsid w:val="00FA2BC2"/>
    <w:rsid w:val="00FA3974"/>
    <w:rsid w:val="00FA4314"/>
    <w:rsid w:val="00FA4D35"/>
    <w:rsid w:val="00FA51E5"/>
    <w:rsid w:val="00FA6FE2"/>
    <w:rsid w:val="00FA703B"/>
    <w:rsid w:val="00FB1AC1"/>
    <w:rsid w:val="00FB5F5D"/>
    <w:rsid w:val="00FB63FA"/>
    <w:rsid w:val="00FB6FB0"/>
    <w:rsid w:val="00FB7A1E"/>
    <w:rsid w:val="00FC17BD"/>
    <w:rsid w:val="00FC1E7F"/>
    <w:rsid w:val="00FC225E"/>
    <w:rsid w:val="00FC2624"/>
    <w:rsid w:val="00FC27DC"/>
    <w:rsid w:val="00FC2FDB"/>
    <w:rsid w:val="00FC4A55"/>
    <w:rsid w:val="00FC69C8"/>
    <w:rsid w:val="00FC7274"/>
    <w:rsid w:val="00FD013A"/>
    <w:rsid w:val="00FD10AF"/>
    <w:rsid w:val="00FD227E"/>
    <w:rsid w:val="00FD2392"/>
    <w:rsid w:val="00FD2422"/>
    <w:rsid w:val="00FD5276"/>
    <w:rsid w:val="00FD6A49"/>
    <w:rsid w:val="00FE0769"/>
    <w:rsid w:val="00FE334C"/>
    <w:rsid w:val="00FE374D"/>
    <w:rsid w:val="00FE3914"/>
    <w:rsid w:val="00FE4644"/>
    <w:rsid w:val="00FE4B4C"/>
    <w:rsid w:val="00FF2D03"/>
    <w:rsid w:val="00FF32C9"/>
    <w:rsid w:val="00FF6180"/>
    <w:rsid w:val="00FF695F"/>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44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2" w:qFormat="1"/>
    <w:lsdException w:name="heading 3" w:uiPriority="3" w:qFormat="1"/>
    <w:lsdException w:name="heading 4" w:uiPriority="8"/>
    <w:lsdException w:name="heading 5" w:uiPriority="8"/>
    <w:lsdException w:name="heading 6" w:uiPriority="8"/>
    <w:lsdException w:name="heading 7" w:semiHidden="1" w:uiPriority="8" w:unhideWhenUsed="1"/>
    <w:lsdException w:name="heading 8" w:semiHidden="1" w:uiPriority="8" w:unhideWhenUsed="1"/>
    <w:lsdException w:name="heading 9" w:semiHidden="1" w:uiPriority="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1A6C59"/>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Heading 1_UMAR"/>
    <w:next w:val="BesediloUMAR"/>
    <w:link w:val="Naslov1Znak"/>
    <w:uiPriority w:val="1"/>
    <w:qFormat/>
    <w:rsid w:val="001F3514"/>
    <w:pPr>
      <w:keepNext/>
      <w:keepLines/>
      <w:pageBreakBefore/>
      <w:numPr>
        <w:numId w:val="2"/>
      </w:numPr>
      <w:spacing w:before="200" w:after="100" w:line="288" w:lineRule="auto"/>
      <w:ind w:left="357" w:hanging="357"/>
      <w:outlineLvl w:val="0"/>
    </w:pPr>
    <w:rPr>
      <w:rFonts w:ascii="Myriad Pro" w:eastAsiaTheme="minorHAnsi" w:hAnsi="Myriad Pro" w:cs="Arial"/>
      <w:b/>
      <w:bCs/>
      <w:color w:val="9E001A" w:themeColor="accent1"/>
      <w:kern w:val="32"/>
      <w:sz w:val="28"/>
      <w:szCs w:val="22"/>
      <w:lang w:eastAsia="en-US"/>
    </w:rPr>
  </w:style>
  <w:style w:type="paragraph" w:styleId="Naslov2">
    <w:name w:val="heading 2"/>
    <w:aliases w:val="Heading 2_UMAR"/>
    <w:next w:val="BesediloUMAR"/>
    <w:link w:val="Naslov2Znak"/>
    <w:uiPriority w:val="2"/>
    <w:qFormat/>
    <w:rsid w:val="001F3514"/>
    <w:pPr>
      <w:keepNext/>
      <w:keepLines/>
      <w:numPr>
        <w:ilvl w:val="1"/>
        <w:numId w:val="2"/>
      </w:numPr>
      <w:spacing w:before="200" w:after="100" w:line="288" w:lineRule="auto"/>
      <w:contextualSpacing/>
      <w:outlineLvl w:val="1"/>
    </w:pPr>
    <w:rPr>
      <w:rFonts w:ascii="Myriad Pro" w:eastAsiaTheme="minorHAnsi" w:hAnsi="Myriad Pro" w:cstheme="minorBidi"/>
      <w:b/>
      <w:color w:val="9E001A" w:themeColor="accent1"/>
      <w:sz w:val="24"/>
      <w:szCs w:val="22"/>
      <w:lang w:eastAsia="en-US"/>
    </w:rPr>
  </w:style>
  <w:style w:type="paragraph" w:styleId="Naslov3">
    <w:name w:val="heading 3"/>
    <w:aliases w:val="Heading 3_UMAR"/>
    <w:next w:val="BesediloUMAR"/>
    <w:link w:val="Naslov3Znak"/>
    <w:uiPriority w:val="3"/>
    <w:qFormat/>
    <w:rsid w:val="001F3514"/>
    <w:pPr>
      <w:keepNext/>
      <w:keepLines/>
      <w:numPr>
        <w:ilvl w:val="2"/>
        <w:numId w:val="2"/>
      </w:numPr>
      <w:spacing w:before="200" w:after="100" w:line="288" w:lineRule="auto"/>
      <w:contextualSpacing/>
      <w:outlineLvl w:val="2"/>
    </w:pPr>
    <w:rPr>
      <w:rFonts w:ascii="Myriad Pro" w:eastAsiaTheme="minorHAnsi" w:hAnsi="Myriad Pro" w:cs="Arial"/>
      <w:b/>
      <w:bCs/>
      <w:color w:val="9E001A" w:themeColor="accent1"/>
      <w:sz w:val="24"/>
      <w:szCs w:val="26"/>
      <w:lang w:eastAsia="en-US"/>
    </w:rPr>
  </w:style>
  <w:style w:type="paragraph" w:styleId="Naslov4">
    <w:name w:val="heading 4"/>
    <w:basedOn w:val="Navaden"/>
    <w:next w:val="Navaden"/>
    <w:uiPriority w:val="8"/>
    <w:unhideWhenUsed/>
    <w:rsid w:val="001F3514"/>
    <w:pPr>
      <w:keepNext/>
      <w:numPr>
        <w:ilvl w:val="3"/>
        <w:numId w:val="2"/>
      </w:numPr>
      <w:spacing w:before="360" w:after="240"/>
      <w:outlineLvl w:val="3"/>
    </w:pPr>
    <w:rPr>
      <w:rFonts w:ascii="Myriad Pro" w:hAnsi="Myriad Pro"/>
      <w:b/>
      <w:bCs/>
    </w:rPr>
  </w:style>
  <w:style w:type="paragraph" w:styleId="Naslov5">
    <w:name w:val="heading 5"/>
    <w:basedOn w:val="Navaden"/>
    <w:next w:val="Navaden"/>
    <w:uiPriority w:val="8"/>
    <w:unhideWhenUsed/>
    <w:rsid w:val="001F3514"/>
    <w:pPr>
      <w:numPr>
        <w:ilvl w:val="4"/>
        <w:numId w:val="2"/>
      </w:numPr>
      <w:spacing w:before="240" w:after="60"/>
      <w:outlineLvl w:val="4"/>
    </w:pPr>
    <w:rPr>
      <w:rFonts w:ascii="Myriad Pro" w:hAnsi="Myriad Pro"/>
      <w:b/>
      <w:bCs/>
      <w:iCs/>
      <w:szCs w:val="26"/>
    </w:rPr>
  </w:style>
  <w:style w:type="paragraph" w:styleId="Naslov6">
    <w:name w:val="heading 6"/>
    <w:basedOn w:val="Navaden"/>
    <w:next w:val="Navaden"/>
    <w:uiPriority w:val="8"/>
    <w:unhideWhenUsed/>
    <w:rsid w:val="001F3514"/>
    <w:pPr>
      <w:numPr>
        <w:ilvl w:val="5"/>
        <w:numId w:val="2"/>
      </w:numPr>
      <w:spacing w:before="240" w:after="60"/>
      <w:outlineLvl w:val="5"/>
    </w:pPr>
    <w:rPr>
      <w:rFonts w:ascii="Myriad Pro" w:hAnsi="Myriad Pro"/>
      <w:b/>
      <w:bCs/>
    </w:rPr>
  </w:style>
  <w:style w:type="paragraph" w:styleId="Naslov7">
    <w:name w:val="heading 7"/>
    <w:basedOn w:val="Navaden"/>
    <w:next w:val="Navaden"/>
    <w:uiPriority w:val="8"/>
    <w:unhideWhenUsed/>
    <w:rsid w:val="001F3514"/>
    <w:pPr>
      <w:numPr>
        <w:ilvl w:val="6"/>
        <w:numId w:val="2"/>
      </w:numPr>
      <w:spacing w:before="240" w:after="60"/>
      <w:outlineLvl w:val="6"/>
    </w:pPr>
    <w:rPr>
      <w:rFonts w:ascii="Myriad Pro" w:hAnsi="Myriad Pro"/>
    </w:rPr>
  </w:style>
  <w:style w:type="paragraph" w:styleId="Naslov8">
    <w:name w:val="heading 8"/>
    <w:basedOn w:val="Navaden"/>
    <w:next w:val="Navaden"/>
    <w:uiPriority w:val="8"/>
    <w:unhideWhenUsed/>
    <w:rsid w:val="001F3514"/>
    <w:pPr>
      <w:numPr>
        <w:ilvl w:val="7"/>
        <w:numId w:val="2"/>
      </w:numPr>
      <w:spacing w:before="240" w:after="60"/>
      <w:outlineLvl w:val="7"/>
    </w:pPr>
    <w:rPr>
      <w:rFonts w:ascii="Myriad Pro" w:hAnsi="Myriad Pro"/>
      <w:i/>
      <w:iCs/>
    </w:rPr>
  </w:style>
  <w:style w:type="paragraph" w:styleId="Naslov9">
    <w:name w:val="heading 9"/>
    <w:basedOn w:val="Navaden"/>
    <w:next w:val="Navaden"/>
    <w:uiPriority w:val="8"/>
    <w:unhideWhenUsed/>
    <w:rsid w:val="001F3514"/>
    <w:pPr>
      <w:numPr>
        <w:ilvl w:val="8"/>
        <w:numId w:val="2"/>
      </w:numPr>
      <w:spacing w:before="240" w:after="60"/>
      <w:outlineLvl w:val="8"/>
    </w:pPr>
    <w:rPr>
      <w:rFonts w:ascii="Myriad Pro" w:hAnsi="Myriad Pro" w:cs="Arial"/>
    </w:rPr>
  </w:style>
  <w:style w:type="character" w:default="1" w:styleId="Privzetapisavaodstavka">
    <w:name w:val="Default Paragraph Font"/>
    <w:uiPriority w:val="1"/>
    <w:semiHidden/>
    <w:unhideWhenUsed/>
    <w:rsid w:val="001A6C59"/>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1A6C59"/>
  </w:style>
  <w:style w:type="paragraph" w:styleId="Sprotnaopomba-besedilo">
    <w:name w:val="footnote text"/>
    <w:basedOn w:val="BesediloUMAR"/>
    <w:link w:val="Sprotnaopomba-besediloZnak"/>
    <w:autoRedefine/>
    <w:uiPriority w:val="8"/>
    <w:qFormat/>
    <w:rsid w:val="001F3514"/>
    <w:rPr>
      <w:sz w:val="16"/>
      <w:szCs w:val="14"/>
    </w:rPr>
  </w:style>
  <w:style w:type="character" w:customStyle="1" w:styleId="Sprotnaopomba-besediloZnak">
    <w:name w:val="Sprotna opomba - besedilo Znak"/>
    <w:basedOn w:val="Privzetapisavaodstavka"/>
    <w:link w:val="Sprotnaopomba-besedilo"/>
    <w:uiPriority w:val="8"/>
    <w:rsid w:val="001F3514"/>
    <w:rPr>
      <w:rFonts w:ascii="Myriad Pro" w:eastAsiaTheme="minorHAnsi" w:hAnsi="Myriad Pro" w:cstheme="minorBidi"/>
      <w:sz w:val="16"/>
      <w:szCs w:val="14"/>
      <w:lang w:eastAsia="en-US"/>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basedOn w:val="Privzetapisavaodstavka"/>
    <w:uiPriority w:val="8"/>
    <w:rsid w:val="001F3514"/>
    <w:rPr>
      <w:rFonts w:ascii="Myriad Pro" w:hAnsi="Myriad Pro"/>
      <w:sz w:val="18"/>
      <w:vertAlign w:val="superscript"/>
    </w:rPr>
  </w:style>
  <w:style w:type="paragraph" w:styleId="Napis">
    <w:name w:val="caption"/>
    <w:aliases w:val="Okvir/Slika/Tabela_UMAR,DZ_Okvir_Slika_Tabela_Zemljevid"/>
    <w:basedOn w:val="Kazaloslik"/>
    <w:next w:val="BesediloUMAR"/>
    <w:link w:val="NapisZnak"/>
    <w:uiPriority w:val="4"/>
    <w:qFormat/>
    <w:rsid w:val="001F3514"/>
    <w:pPr>
      <w:keepNext/>
      <w:keepLines/>
      <w:spacing w:before="240" w:after="60"/>
      <w:contextualSpacing/>
    </w:pPr>
    <w:rPr>
      <w:b/>
      <w:bCs/>
    </w:rPr>
  </w:style>
  <w:style w:type="paragraph" w:styleId="Noga">
    <w:name w:val="footer"/>
    <w:basedOn w:val="Navaden"/>
    <w:next w:val="Navaden"/>
    <w:link w:val="NogaZnak"/>
    <w:autoRedefine/>
    <w:uiPriority w:val="99"/>
    <w:rsid w:val="001F3514"/>
    <w:pPr>
      <w:framePr w:wrap="around" w:vAnchor="text" w:hAnchor="margin" w:xAlign="center" w:y="1"/>
      <w:tabs>
        <w:tab w:val="center" w:pos="4536"/>
        <w:tab w:val="right" w:pos="9072"/>
      </w:tabs>
      <w:spacing w:after="0" w:line="288" w:lineRule="auto"/>
      <w:jc w:val="center"/>
    </w:pPr>
    <w:rPr>
      <w:rFonts w:ascii="Myriad Pro" w:hAnsi="Myriad Pro"/>
      <w:noProof/>
      <w:sz w:val="16"/>
      <w:szCs w:val="16"/>
    </w:rPr>
  </w:style>
  <w:style w:type="paragraph" w:styleId="Kazaloslik">
    <w:name w:val="table of figures"/>
    <w:basedOn w:val="BesediloUMAR"/>
    <w:next w:val="BesediloUMAR"/>
    <w:autoRedefine/>
    <w:uiPriority w:val="99"/>
    <w:rsid w:val="001F3514"/>
    <w:pPr>
      <w:tabs>
        <w:tab w:val="right" w:leader="dot" w:pos="9070"/>
      </w:tabs>
    </w:pPr>
    <w:rPr>
      <w:noProof/>
      <w:szCs w:val="20"/>
    </w:rPr>
  </w:style>
  <w:style w:type="paragraph" w:styleId="Kazalovirov">
    <w:name w:val="table of authorities"/>
    <w:basedOn w:val="Navaden"/>
    <w:next w:val="Navaden"/>
    <w:semiHidden/>
    <w:rsid w:val="001F3514"/>
    <w:pPr>
      <w:ind w:left="220" w:hanging="220"/>
    </w:pPr>
  </w:style>
  <w:style w:type="paragraph" w:styleId="Kazalovirov-naslov">
    <w:name w:val="toa heading"/>
    <w:basedOn w:val="Navaden"/>
    <w:next w:val="Navaden"/>
    <w:semiHidden/>
    <w:rsid w:val="001F3514"/>
    <w:pPr>
      <w:spacing w:before="120"/>
    </w:pPr>
    <w:rPr>
      <w:rFonts w:cs="Arial"/>
      <w:b/>
      <w:bCs/>
    </w:rPr>
  </w:style>
  <w:style w:type="paragraph" w:styleId="Kazalovsebine1">
    <w:name w:val="toc 1"/>
    <w:basedOn w:val="BesediloUMAR"/>
    <w:next w:val="BesediloUMAR"/>
    <w:autoRedefine/>
    <w:uiPriority w:val="39"/>
    <w:rsid w:val="001F3514"/>
    <w:pPr>
      <w:tabs>
        <w:tab w:val="left" w:pos="340"/>
        <w:tab w:val="right" w:leader="dot" w:pos="9070"/>
      </w:tabs>
      <w:spacing w:before="100" w:after="100"/>
    </w:pPr>
    <w:rPr>
      <w:rFonts w:cs="Arial"/>
      <w:noProof/>
      <w:szCs w:val="20"/>
    </w:rPr>
  </w:style>
  <w:style w:type="paragraph" w:styleId="Kazalovsebine2">
    <w:name w:val="toc 2"/>
    <w:basedOn w:val="BesediloUMAR"/>
    <w:next w:val="BesediloUMAR"/>
    <w:autoRedefine/>
    <w:uiPriority w:val="39"/>
    <w:rsid w:val="001F3514"/>
    <w:pPr>
      <w:tabs>
        <w:tab w:val="right" w:leader="dot" w:pos="9070"/>
      </w:tabs>
      <w:spacing w:before="100" w:after="100"/>
      <w:ind w:left="340"/>
    </w:pPr>
    <w:rPr>
      <w:noProof/>
    </w:rPr>
  </w:style>
  <w:style w:type="paragraph" w:styleId="Kazalovsebine3">
    <w:name w:val="toc 3"/>
    <w:next w:val="BesediloUMAR"/>
    <w:autoRedefine/>
    <w:uiPriority w:val="39"/>
    <w:rsid w:val="001F3514"/>
    <w:pPr>
      <w:tabs>
        <w:tab w:val="right" w:leader="dot" w:pos="9070"/>
      </w:tabs>
      <w:spacing w:after="100" w:line="288" w:lineRule="auto"/>
      <w:ind w:left="680"/>
      <w:jc w:val="both"/>
    </w:pPr>
    <w:rPr>
      <w:rFonts w:ascii="Myriad Pro" w:eastAsiaTheme="minorHAnsi" w:hAnsi="Myriad Pro" w:cstheme="minorBidi"/>
      <w:szCs w:val="22"/>
      <w:lang w:eastAsia="en-US"/>
    </w:rPr>
  </w:style>
  <w:style w:type="paragraph" w:styleId="Kazalovsebine4">
    <w:name w:val="toc 4"/>
    <w:basedOn w:val="Navaden"/>
    <w:autoRedefine/>
    <w:semiHidden/>
    <w:rsid w:val="001F3514"/>
    <w:pPr>
      <w:spacing w:after="20"/>
      <w:ind w:left="340"/>
      <w:contextualSpacing/>
    </w:pPr>
  </w:style>
  <w:style w:type="paragraph" w:styleId="Kazalovsebine5">
    <w:name w:val="toc 5"/>
    <w:basedOn w:val="Navaden"/>
    <w:autoRedefine/>
    <w:semiHidden/>
    <w:rsid w:val="001F3514"/>
    <w:pPr>
      <w:spacing w:after="20"/>
      <w:contextualSpacing/>
    </w:pPr>
  </w:style>
  <w:style w:type="paragraph" w:styleId="Kazalovsebine6">
    <w:name w:val="toc 6"/>
    <w:basedOn w:val="Navaden"/>
    <w:next w:val="Navaden"/>
    <w:autoRedefine/>
    <w:semiHidden/>
    <w:rsid w:val="001F3514"/>
    <w:pPr>
      <w:ind w:left="1100"/>
    </w:pPr>
  </w:style>
  <w:style w:type="paragraph" w:styleId="Kazalovsebine7">
    <w:name w:val="toc 7"/>
    <w:basedOn w:val="Navaden"/>
    <w:next w:val="Navaden"/>
    <w:autoRedefine/>
    <w:semiHidden/>
    <w:rsid w:val="001F3514"/>
    <w:pPr>
      <w:ind w:left="1320"/>
    </w:pPr>
  </w:style>
  <w:style w:type="paragraph" w:styleId="Kazalovsebine8">
    <w:name w:val="toc 8"/>
    <w:basedOn w:val="Navaden"/>
    <w:next w:val="Navaden"/>
    <w:autoRedefine/>
    <w:semiHidden/>
    <w:rsid w:val="001F3514"/>
    <w:pPr>
      <w:ind w:left="1540"/>
    </w:pPr>
  </w:style>
  <w:style w:type="paragraph" w:styleId="Kazalovsebine9">
    <w:name w:val="toc 9"/>
    <w:basedOn w:val="Navaden"/>
    <w:next w:val="Navaden"/>
    <w:autoRedefine/>
    <w:semiHidden/>
    <w:rsid w:val="001F3514"/>
    <w:pPr>
      <w:ind w:left="1760"/>
    </w:pPr>
  </w:style>
  <w:style w:type="paragraph" w:styleId="Pripombabesedilo">
    <w:name w:val="annotation text"/>
    <w:basedOn w:val="Navaden"/>
    <w:link w:val="PripombabesediloZnak"/>
    <w:semiHidden/>
    <w:rsid w:val="001F3514"/>
    <w:rPr>
      <w:szCs w:val="20"/>
    </w:rPr>
  </w:style>
  <w:style w:type="character" w:styleId="Pripombasklic">
    <w:name w:val="annotation reference"/>
    <w:basedOn w:val="Privzetapisavaodstavka"/>
    <w:semiHidden/>
    <w:rsid w:val="001F3514"/>
    <w:rPr>
      <w:sz w:val="16"/>
      <w:szCs w:val="16"/>
    </w:rPr>
  </w:style>
  <w:style w:type="paragraph" w:styleId="Konnaopomba-besedilo">
    <w:name w:val="endnote text"/>
    <w:basedOn w:val="Navaden"/>
    <w:autoRedefine/>
    <w:semiHidden/>
    <w:rsid w:val="001F3514"/>
    <w:rPr>
      <w:szCs w:val="20"/>
    </w:rPr>
  </w:style>
  <w:style w:type="character" w:styleId="Konnaopomba-sklic">
    <w:name w:val="endnote reference"/>
    <w:basedOn w:val="Privzetapisavaodstavka"/>
    <w:semiHidden/>
    <w:rsid w:val="001F3514"/>
    <w:rPr>
      <w:vertAlign w:val="superscript"/>
    </w:rPr>
  </w:style>
  <w:style w:type="paragraph" w:styleId="Makrobesedilo">
    <w:name w:val="macro"/>
    <w:semiHidden/>
    <w:rsid w:val="001F3514"/>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Stvarnokazalo1">
    <w:name w:val="index 1"/>
    <w:basedOn w:val="Navaden"/>
    <w:next w:val="Navaden"/>
    <w:autoRedefine/>
    <w:semiHidden/>
    <w:rsid w:val="001F3514"/>
    <w:pPr>
      <w:ind w:left="220" w:hanging="220"/>
    </w:pPr>
  </w:style>
  <w:style w:type="paragraph" w:styleId="Stvarnokazalo-naslov">
    <w:name w:val="index heading"/>
    <w:basedOn w:val="Navaden"/>
    <w:next w:val="Stvarnokazalo1"/>
    <w:semiHidden/>
    <w:rsid w:val="001F3514"/>
    <w:rPr>
      <w:rFonts w:cs="Arial"/>
      <w:b/>
      <w:bCs/>
    </w:rPr>
  </w:style>
  <w:style w:type="paragraph" w:styleId="Stvarnokazalo2">
    <w:name w:val="index 2"/>
    <w:basedOn w:val="Navaden"/>
    <w:next w:val="Navaden"/>
    <w:autoRedefine/>
    <w:semiHidden/>
    <w:rsid w:val="001F3514"/>
    <w:pPr>
      <w:ind w:left="440" w:hanging="220"/>
    </w:pPr>
  </w:style>
  <w:style w:type="paragraph" w:styleId="Stvarnokazalo3">
    <w:name w:val="index 3"/>
    <w:basedOn w:val="Navaden"/>
    <w:next w:val="Navaden"/>
    <w:autoRedefine/>
    <w:semiHidden/>
    <w:rsid w:val="001F3514"/>
    <w:pPr>
      <w:ind w:left="660" w:hanging="220"/>
    </w:pPr>
  </w:style>
  <w:style w:type="paragraph" w:styleId="Stvarnokazalo4">
    <w:name w:val="index 4"/>
    <w:basedOn w:val="Navaden"/>
    <w:next w:val="Navaden"/>
    <w:autoRedefine/>
    <w:semiHidden/>
    <w:rsid w:val="001F3514"/>
    <w:pPr>
      <w:ind w:left="880" w:hanging="220"/>
    </w:pPr>
  </w:style>
  <w:style w:type="paragraph" w:styleId="Stvarnokazalo5">
    <w:name w:val="index 5"/>
    <w:basedOn w:val="Navaden"/>
    <w:next w:val="Navaden"/>
    <w:autoRedefine/>
    <w:semiHidden/>
    <w:rsid w:val="001F3514"/>
    <w:pPr>
      <w:ind w:left="1100" w:hanging="220"/>
    </w:pPr>
  </w:style>
  <w:style w:type="paragraph" w:styleId="Stvarnokazalo6">
    <w:name w:val="index 6"/>
    <w:basedOn w:val="Navaden"/>
    <w:next w:val="Navaden"/>
    <w:autoRedefine/>
    <w:semiHidden/>
    <w:rsid w:val="001F3514"/>
    <w:pPr>
      <w:ind w:left="1320" w:hanging="220"/>
    </w:pPr>
  </w:style>
  <w:style w:type="paragraph" w:styleId="Stvarnokazalo7">
    <w:name w:val="index 7"/>
    <w:basedOn w:val="Navaden"/>
    <w:next w:val="Navaden"/>
    <w:autoRedefine/>
    <w:semiHidden/>
    <w:rsid w:val="001F3514"/>
    <w:pPr>
      <w:ind w:left="1540" w:hanging="220"/>
    </w:pPr>
  </w:style>
  <w:style w:type="paragraph" w:styleId="Stvarnokazalo8">
    <w:name w:val="index 8"/>
    <w:basedOn w:val="Navaden"/>
    <w:next w:val="Navaden"/>
    <w:autoRedefine/>
    <w:semiHidden/>
    <w:rsid w:val="001F3514"/>
    <w:pPr>
      <w:ind w:left="1760" w:hanging="220"/>
    </w:pPr>
  </w:style>
  <w:style w:type="paragraph" w:styleId="Stvarnokazalo9">
    <w:name w:val="index 9"/>
    <w:basedOn w:val="Navaden"/>
    <w:next w:val="Navaden"/>
    <w:autoRedefine/>
    <w:semiHidden/>
    <w:rsid w:val="001F3514"/>
    <w:pPr>
      <w:ind w:left="1980" w:hanging="220"/>
    </w:pPr>
  </w:style>
  <w:style w:type="paragraph" w:styleId="Zgradbadokumenta">
    <w:name w:val="Document Map"/>
    <w:basedOn w:val="Navaden"/>
    <w:semiHidden/>
    <w:rsid w:val="001F3514"/>
    <w:pPr>
      <w:shd w:val="clear" w:color="auto" w:fill="000080"/>
    </w:pPr>
    <w:rPr>
      <w:rFonts w:ascii="Tahoma" w:hAnsi="Tahoma" w:cs="Tahoma"/>
      <w:szCs w:val="20"/>
    </w:rPr>
  </w:style>
  <w:style w:type="character" w:customStyle="1" w:styleId="VodilnistavekUMAR">
    <w:name w:val="Vodilni stavek_UMAR"/>
    <w:basedOn w:val="Privzetapisavaodstavka"/>
    <w:qFormat/>
    <w:rsid w:val="001F3514"/>
    <w:rPr>
      <w:b/>
    </w:rPr>
  </w:style>
  <w:style w:type="paragraph" w:styleId="Besedilooblaka">
    <w:name w:val="Balloon Text"/>
    <w:basedOn w:val="Navaden"/>
    <w:semiHidden/>
    <w:rsid w:val="001F3514"/>
    <w:rPr>
      <w:rFonts w:ascii="Tahoma" w:hAnsi="Tahoma" w:cs="Tahoma"/>
      <w:sz w:val="16"/>
      <w:szCs w:val="16"/>
    </w:rPr>
  </w:style>
  <w:style w:type="character" w:customStyle="1" w:styleId="GlavaZnak">
    <w:name w:val="Glava Znak"/>
    <w:basedOn w:val="Privzetapisavaodstavka"/>
    <w:link w:val="Glava"/>
    <w:uiPriority w:val="99"/>
    <w:rsid w:val="001F3514"/>
    <w:rPr>
      <w:rFonts w:ascii="Myriad Pro" w:eastAsiaTheme="minorHAnsi" w:hAnsi="Myriad Pro" w:cstheme="minorBidi"/>
      <w:sz w:val="22"/>
      <w:szCs w:val="22"/>
      <w:lang w:eastAsia="en-US"/>
    </w:rPr>
  </w:style>
  <w:style w:type="table" w:styleId="Tabelamrea">
    <w:name w:val="Table Grid"/>
    <w:basedOn w:val="Navadnatabela"/>
    <w:uiPriority w:val="59"/>
    <w:rsid w:val="001F3514"/>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iPriority w:val="99"/>
    <w:rsid w:val="001F3514"/>
    <w:pPr>
      <w:tabs>
        <w:tab w:val="center" w:pos="4536"/>
        <w:tab w:val="right" w:pos="9072"/>
      </w:tabs>
    </w:pPr>
    <w:rPr>
      <w:rFonts w:ascii="Myriad Pro" w:hAnsi="Myriad Pro"/>
    </w:rPr>
  </w:style>
  <w:style w:type="character" w:styleId="Hiperpovezava">
    <w:name w:val="Hyperlink"/>
    <w:basedOn w:val="BesediloUMARChar"/>
    <w:uiPriority w:val="99"/>
    <w:rsid w:val="001F3514"/>
    <w:rPr>
      <w:rFonts w:ascii="Myriad Pro" w:eastAsiaTheme="minorHAnsi" w:hAnsi="Myriad Pro" w:cstheme="minorBidi"/>
      <w:color w:val="0000FF"/>
      <w:szCs w:val="22"/>
      <w:u w:val="single"/>
      <w:lang w:eastAsia="en-US"/>
    </w:rPr>
  </w:style>
  <w:style w:type="character" w:styleId="Poudarek">
    <w:name w:val="Emphasis"/>
    <w:aliases w:val="Italic poudarek_UMAR"/>
    <w:basedOn w:val="BesediloUMARChar"/>
    <w:qFormat/>
    <w:rsid w:val="001F3514"/>
    <w:rPr>
      <w:rFonts w:ascii="Myriad Pro" w:eastAsiaTheme="minorHAnsi" w:hAnsi="Myriad Pro" w:cstheme="minorBidi"/>
      <w:i/>
      <w:iCs/>
      <w:szCs w:val="22"/>
      <w:lang w:eastAsia="en-US"/>
    </w:rPr>
  </w:style>
  <w:style w:type="character" w:customStyle="1" w:styleId="Naslov3Znak">
    <w:name w:val="Naslov 3 Znak"/>
    <w:aliases w:val="Heading 3_UMAR Znak"/>
    <w:basedOn w:val="Privzetapisavaodstavka"/>
    <w:link w:val="Naslov3"/>
    <w:uiPriority w:val="3"/>
    <w:rsid w:val="001F3514"/>
    <w:rPr>
      <w:rFonts w:ascii="Myriad Pro" w:eastAsiaTheme="minorHAnsi" w:hAnsi="Myriad Pro" w:cs="Arial"/>
      <w:b/>
      <w:bCs/>
      <w:color w:val="9E001A" w:themeColor="accent1"/>
      <w:sz w:val="24"/>
      <w:szCs w:val="26"/>
      <w:lang w:eastAsia="en-US"/>
    </w:rPr>
  </w:style>
  <w:style w:type="character" w:customStyle="1" w:styleId="Naslov2Znak">
    <w:name w:val="Naslov 2 Znak"/>
    <w:aliases w:val="Heading 2_UMAR Znak"/>
    <w:basedOn w:val="Privzetapisavaodstavka"/>
    <w:link w:val="Naslov2"/>
    <w:uiPriority w:val="2"/>
    <w:rsid w:val="001F3514"/>
    <w:rPr>
      <w:rFonts w:ascii="Myriad Pro" w:eastAsiaTheme="minorHAnsi" w:hAnsi="Myriad Pro" w:cstheme="minorBidi"/>
      <w:b/>
      <w:color w:val="9E001A" w:themeColor="accent1"/>
      <w:sz w:val="24"/>
      <w:szCs w:val="22"/>
      <w:lang w:eastAsia="en-US"/>
    </w:rPr>
  </w:style>
  <w:style w:type="character" w:customStyle="1" w:styleId="Naslov1Znak">
    <w:name w:val="Naslov 1 Znak"/>
    <w:aliases w:val="Heading 1_UMAR Znak"/>
    <w:basedOn w:val="Privzetapisavaodstavka"/>
    <w:link w:val="Naslov1"/>
    <w:uiPriority w:val="1"/>
    <w:rsid w:val="001F3514"/>
    <w:rPr>
      <w:rFonts w:ascii="Myriad Pro" w:eastAsiaTheme="minorHAnsi" w:hAnsi="Myriad Pro" w:cs="Arial"/>
      <w:b/>
      <w:bCs/>
      <w:color w:val="9E001A" w:themeColor="accent1"/>
      <w:kern w:val="32"/>
      <w:sz w:val="28"/>
      <w:szCs w:val="22"/>
      <w:lang w:eastAsia="en-US"/>
    </w:rPr>
  </w:style>
  <w:style w:type="character" w:styleId="Besedilooznabemesta">
    <w:name w:val="Placeholder Text"/>
    <w:basedOn w:val="Privzetapisavaodstavka"/>
    <w:uiPriority w:val="99"/>
    <w:semiHidden/>
    <w:rsid w:val="001F3514"/>
    <w:rPr>
      <w:color w:val="808080"/>
    </w:rPr>
  </w:style>
  <w:style w:type="character" w:customStyle="1" w:styleId="NogaZnak">
    <w:name w:val="Noga Znak"/>
    <w:basedOn w:val="Privzetapisavaodstavka"/>
    <w:link w:val="Noga"/>
    <w:uiPriority w:val="99"/>
    <w:rsid w:val="001F3514"/>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1F3514"/>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Privzetapisavaodstavka"/>
    <w:link w:val="BesediloUMAR"/>
    <w:rsid w:val="001F3514"/>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1F3514"/>
    <w:pPr>
      <w:spacing w:before="40" w:line="240" w:lineRule="auto"/>
    </w:pPr>
    <w:rPr>
      <w:sz w:val="16"/>
    </w:rPr>
  </w:style>
  <w:style w:type="character" w:customStyle="1" w:styleId="VirUMARChar">
    <w:name w:val="Vir_UMAR Char"/>
    <w:basedOn w:val="Privzetapisavaodstavka"/>
    <w:link w:val="VirUMAR"/>
    <w:uiPriority w:val="6"/>
    <w:rsid w:val="001F3514"/>
    <w:rPr>
      <w:rFonts w:ascii="Myriad Pro" w:eastAsiaTheme="minorHAnsi" w:hAnsi="Myriad Pro" w:cstheme="minorBidi"/>
      <w:sz w:val="16"/>
      <w:szCs w:val="22"/>
      <w:lang w:eastAsia="en-US"/>
    </w:rPr>
  </w:style>
  <w:style w:type="character" w:customStyle="1" w:styleId="NapisZnak">
    <w:name w:val="Napis Znak"/>
    <w:aliases w:val="Okvir/Slika/Tabela_UMAR Znak,DZ_Okvir_Slika_Tabela_Zemljevid Znak"/>
    <w:basedOn w:val="Privzetapisavaodstavka"/>
    <w:link w:val="Napis"/>
    <w:uiPriority w:val="4"/>
    <w:rsid w:val="001F3514"/>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1F3514"/>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Privzetapisavaodstavka"/>
    <w:link w:val="TabelaglavadesnoUMAR"/>
    <w:uiPriority w:val="5"/>
    <w:rsid w:val="001F3514"/>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1F3514"/>
    <w:pPr>
      <w:jc w:val="left"/>
    </w:pPr>
  </w:style>
  <w:style w:type="paragraph" w:customStyle="1" w:styleId="TabelalevoUMAR">
    <w:name w:val="Tabela levo_UMAR"/>
    <w:basedOn w:val="TabelaglavalevoUMAR"/>
    <w:link w:val="TabelalevoUMARChar"/>
    <w:uiPriority w:val="5"/>
    <w:qFormat/>
    <w:rsid w:val="001F3514"/>
    <w:rPr>
      <w:b w:val="0"/>
    </w:rPr>
  </w:style>
  <w:style w:type="character" w:customStyle="1" w:styleId="TabelaglavalevoUMARChar">
    <w:name w:val="Tabela glava levo_UMAR Char"/>
    <w:basedOn w:val="TabelaglavadesnoUMARChar"/>
    <w:link w:val="TabelaglavalevoUMAR"/>
    <w:uiPriority w:val="5"/>
    <w:rsid w:val="001F3514"/>
    <w:rPr>
      <w:rFonts w:ascii="Myriad Pro" w:eastAsiaTheme="minorHAnsi" w:hAnsi="Myriad Pro" w:cs="Calibri"/>
      <w:b/>
      <w:bCs/>
      <w:sz w:val="18"/>
      <w:szCs w:val="18"/>
      <w:lang w:eastAsia="en-US"/>
    </w:rPr>
  </w:style>
  <w:style w:type="paragraph" w:customStyle="1" w:styleId="TabeladesnoUMAR">
    <w:name w:val="Tabela desno_UMAR"/>
    <w:basedOn w:val="TabelaglavadesnoUMAR"/>
    <w:link w:val="TabeladesnoUMARChar"/>
    <w:uiPriority w:val="5"/>
    <w:qFormat/>
    <w:rsid w:val="001F3514"/>
    <w:rPr>
      <w:b w:val="0"/>
    </w:rPr>
  </w:style>
  <w:style w:type="character" w:customStyle="1" w:styleId="TabelalevoUMARChar">
    <w:name w:val="Tabela levo_UMAR Char"/>
    <w:basedOn w:val="TabelaglavalevoUMARChar"/>
    <w:link w:val="TabelalevoUMAR"/>
    <w:uiPriority w:val="5"/>
    <w:rsid w:val="001F3514"/>
    <w:rPr>
      <w:rFonts w:ascii="Myriad Pro" w:eastAsiaTheme="minorHAnsi" w:hAnsi="Myriad Pro" w:cs="Calibri"/>
      <w:b w:val="0"/>
      <w:bCs/>
      <w:sz w:val="18"/>
      <w:szCs w:val="18"/>
      <w:lang w:eastAsia="en-US"/>
    </w:rPr>
  </w:style>
  <w:style w:type="character" w:customStyle="1" w:styleId="TabeladesnoUMARChar">
    <w:name w:val="Tabela desno_UMAR Char"/>
    <w:basedOn w:val="TabelaglavadesnoUMARChar"/>
    <w:link w:val="TabeladesnoUMAR"/>
    <w:uiPriority w:val="5"/>
    <w:rsid w:val="001F3514"/>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1F3514"/>
    <w:rPr>
      <w:rFonts w:ascii="Myriad Pro" w:eastAsiaTheme="minorHAnsi" w:hAnsi="Myriad Pro" w:cstheme="minorBidi"/>
      <w:b/>
      <w:szCs w:val="22"/>
      <w:lang w:eastAsia="en-US"/>
    </w:rPr>
  </w:style>
  <w:style w:type="paragraph" w:customStyle="1" w:styleId="NaslovnicanaslovUMAR">
    <w:name w:val="Naslovnica_naslov_UMAR"/>
    <w:basedOn w:val="Naslov2"/>
    <w:link w:val="NaslovnicanaslovUMARChar"/>
    <w:uiPriority w:val="99"/>
    <w:qFormat/>
    <w:rsid w:val="001F3514"/>
  </w:style>
  <w:style w:type="character" w:customStyle="1" w:styleId="NaslovnicanaslovUMARChar">
    <w:name w:val="Naslovnica_naslov_UMAR Char"/>
    <w:basedOn w:val="Privzetapisavaodstavka"/>
    <w:link w:val="NaslovnicanaslovUMAR"/>
    <w:uiPriority w:val="99"/>
    <w:rsid w:val="001F3514"/>
    <w:rPr>
      <w:rFonts w:ascii="Myriad Pro" w:eastAsiaTheme="minorHAnsi" w:hAnsi="Myriad Pro" w:cstheme="minorBidi"/>
      <w:b/>
      <w:color w:val="9E001A" w:themeColor="accent1"/>
      <w:sz w:val="24"/>
      <w:szCs w:val="22"/>
      <w:lang w:eastAsia="en-US"/>
    </w:rPr>
  </w:style>
  <w:style w:type="table" w:styleId="Tabelasvetlamrea">
    <w:name w:val="Grid Table Light"/>
    <w:aliases w:val="UMAR tabela"/>
    <w:basedOn w:val="Navadnatabela"/>
    <w:uiPriority w:val="40"/>
    <w:rsid w:val="001F3514"/>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Navadnatabela1">
    <w:name w:val="Plain Table 1"/>
    <w:basedOn w:val="Navadnatabela"/>
    <w:uiPriority w:val="41"/>
    <w:rsid w:val="001F35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1F35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1F35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1F35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1F35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vetlamrea1">
    <w:name w:val="Grid Table 1 Light"/>
    <w:basedOn w:val="Navadnatabela"/>
    <w:uiPriority w:val="46"/>
    <w:rsid w:val="001F35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zija">
    <w:name w:val="Revision"/>
    <w:hidden/>
    <w:uiPriority w:val="99"/>
    <w:semiHidden/>
    <w:rsid w:val="001F3514"/>
    <w:rPr>
      <w:rFonts w:asciiTheme="minorHAnsi" w:eastAsiaTheme="minorHAnsi" w:hAnsiTheme="minorHAnsi" w:cstheme="minorBidi"/>
      <w:sz w:val="22"/>
      <w:szCs w:val="22"/>
      <w:lang w:eastAsia="en-US"/>
    </w:rPr>
  </w:style>
  <w:style w:type="paragraph" w:styleId="Zadevapripombe">
    <w:name w:val="annotation subject"/>
    <w:basedOn w:val="Pripombabesedilo"/>
    <w:next w:val="Pripombabesedilo"/>
    <w:link w:val="ZadevapripombeZnak"/>
    <w:semiHidden/>
    <w:unhideWhenUsed/>
    <w:rsid w:val="001F3514"/>
    <w:pPr>
      <w:spacing w:line="240" w:lineRule="auto"/>
    </w:pPr>
    <w:rPr>
      <w:b/>
      <w:bCs/>
    </w:rPr>
  </w:style>
  <w:style w:type="character" w:customStyle="1" w:styleId="PripombabesediloZnak">
    <w:name w:val="Pripomba – besedilo Znak"/>
    <w:basedOn w:val="Privzetapisavaodstavka"/>
    <w:link w:val="Pripombabesedilo"/>
    <w:semiHidden/>
    <w:rsid w:val="001F3514"/>
    <w:rPr>
      <w:rFonts w:asciiTheme="minorHAnsi" w:eastAsiaTheme="minorHAnsi" w:hAnsiTheme="minorHAnsi" w:cstheme="minorBidi"/>
      <w:sz w:val="22"/>
      <w:lang w:eastAsia="en-US"/>
    </w:rPr>
  </w:style>
  <w:style w:type="character" w:customStyle="1" w:styleId="ZadevapripombeZnak">
    <w:name w:val="Zadeva pripombe Znak"/>
    <w:basedOn w:val="PripombabesediloZnak"/>
    <w:link w:val="Zadevapripombe"/>
    <w:semiHidden/>
    <w:rsid w:val="001F3514"/>
    <w:rPr>
      <w:rFonts w:asciiTheme="minorHAnsi" w:eastAsiaTheme="minorHAnsi" w:hAnsiTheme="minorHAnsi" w:cstheme="minorBidi"/>
      <w:b/>
      <w:bCs/>
      <w:sz w:val="22"/>
      <w:lang w:eastAsia="en-US"/>
    </w:rPr>
  </w:style>
  <w:style w:type="table" w:customStyle="1" w:styleId="UMARokvir">
    <w:name w:val="UMAR okvir"/>
    <w:basedOn w:val="Navadnatabela"/>
    <w:uiPriority w:val="99"/>
    <w:rsid w:val="001F3514"/>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Navadnatabela"/>
    <w:uiPriority w:val="99"/>
    <w:rsid w:val="001F3514"/>
    <w:pPr>
      <w:jc w:val="center"/>
    </w:pPr>
    <w:rPr>
      <w:rFonts w:ascii="Myriad Pro" w:hAnsi="Myriad Pro"/>
    </w:rPr>
    <w:tblPr/>
    <w:tcPr>
      <w:vAlign w:val="center"/>
    </w:tcPr>
    <w:tblStylePr w:type="lastCol">
      <w:pPr>
        <w:jc w:val="right"/>
      </w:pPr>
    </w:tblStylePr>
  </w:style>
  <w:style w:type="paragraph" w:styleId="NaslovTOC">
    <w:name w:val="TOC Heading"/>
    <w:basedOn w:val="Naslov1"/>
    <w:next w:val="Navaden"/>
    <w:uiPriority w:val="39"/>
    <w:unhideWhenUsed/>
    <w:rsid w:val="001F3514"/>
    <w:pPr>
      <w:numPr>
        <w:numId w:val="0"/>
      </w:numPr>
      <w:spacing w:before="240" w:after="0" w:line="259" w:lineRule="auto"/>
      <w:outlineLvl w:val="9"/>
    </w:pPr>
    <w:rPr>
      <w:rFonts w:eastAsiaTheme="majorEastAsia" w:cstheme="majorBidi"/>
      <w:b w:val="0"/>
      <w:bCs w:val="0"/>
      <w:color w:val="760013" w:themeColor="accent1" w:themeShade="BF"/>
      <w:kern w:val="0"/>
      <w:sz w:val="32"/>
      <w:szCs w:val="32"/>
      <w:lang w:val="en-US"/>
    </w:rPr>
  </w:style>
  <w:style w:type="paragraph" w:styleId="Odstavekseznama">
    <w:name w:val="List Paragraph"/>
    <w:basedOn w:val="Navaden"/>
    <w:uiPriority w:val="34"/>
    <w:rsid w:val="001F3514"/>
    <w:pPr>
      <w:ind w:left="720"/>
      <w:contextualSpacing/>
    </w:pPr>
    <w:rPr>
      <w:rFonts w:ascii="Myriad Pro" w:hAnsi="Myriad Pro"/>
    </w:rPr>
  </w:style>
  <w:style w:type="paragraph" w:customStyle="1" w:styleId="LiteraturaUMAR">
    <w:name w:val="Literatura_UMAR"/>
    <w:basedOn w:val="BesediloUMAR"/>
    <w:link w:val="LiteraturaUMARChar"/>
    <w:uiPriority w:val="7"/>
    <w:qFormat/>
    <w:rsid w:val="001F3514"/>
    <w:pPr>
      <w:spacing w:before="80"/>
      <w:ind w:left="340" w:hanging="340"/>
      <w:jc w:val="left"/>
    </w:pPr>
  </w:style>
  <w:style w:type="character" w:customStyle="1" w:styleId="LiteraturaUMARChar">
    <w:name w:val="Literatura_UMAR Char"/>
    <w:basedOn w:val="BesediloUMARChar"/>
    <w:link w:val="LiteraturaUMAR"/>
    <w:uiPriority w:val="7"/>
    <w:rsid w:val="001F3514"/>
    <w:rPr>
      <w:rFonts w:ascii="Myriad Pro" w:eastAsiaTheme="minorHAnsi" w:hAnsi="Myriad Pro" w:cstheme="minorBidi"/>
      <w:szCs w:val="22"/>
      <w:lang w:eastAsia="en-US"/>
    </w:rPr>
  </w:style>
  <w:style w:type="paragraph" w:customStyle="1" w:styleId="DZBesedilo">
    <w:name w:val="DZ_Besedilo"/>
    <w:link w:val="DZBesediloChar"/>
    <w:qFormat/>
    <w:rsid w:val="005732E6"/>
    <w:pPr>
      <w:spacing w:line="288" w:lineRule="auto"/>
      <w:jc w:val="both"/>
    </w:pPr>
    <w:rPr>
      <w:rFonts w:ascii="Myriad Pro" w:eastAsiaTheme="minorHAnsi" w:hAnsi="Myriad Pro" w:cstheme="minorBidi"/>
      <w:szCs w:val="22"/>
      <w:lang w:eastAsia="en-US"/>
    </w:rPr>
  </w:style>
  <w:style w:type="character" w:customStyle="1" w:styleId="DZBesediloChar">
    <w:name w:val="DZ_Besedilo Char"/>
    <w:basedOn w:val="Privzetapisavaodstavka"/>
    <w:link w:val="DZBesedilo"/>
    <w:rsid w:val="005732E6"/>
    <w:rPr>
      <w:rFonts w:ascii="Myriad Pro" w:eastAsiaTheme="minorHAnsi" w:hAnsi="Myriad Pro" w:cstheme="minorBidi"/>
      <w:szCs w:val="22"/>
      <w:lang w:eastAsia="en-US"/>
    </w:rPr>
  </w:style>
  <w:style w:type="paragraph" w:customStyle="1" w:styleId="DZVir">
    <w:name w:val="DZ_Vir"/>
    <w:basedOn w:val="DZBesedilo"/>
    <w:link w:val="DZVirChar"/>
    <w:qFormat/>
    <w:rsid w:val="00355D96"/>
    <w:pPr>
      <w:spacing w:before="40" w:line="240" w:lineRule="auto"/>
    </w:pPr>
    <w:rPr>
      <w:sz w:val="16"/>
    </w:rPr>
  </w:style>
  <w:style w:type="character" w:customStyle="1" w:styleId="DZVirChar">
    <w:name w:val="DZ_Vir Char"/>
    <w:basedOn w:val="Privzetapisavaodstavka"/>
    <w:link w:val="DZVir"/>
    <w:rsid w:val="00355D96"/>
    <w:rPr>
      <w:rFonts w:ascii="Myriad Pro" w:eastAsiaTheme="minorHAnsi" w:hAnsi="Myriad Pro" w:cstheme="minorBidi"/>
      <w:sz w:val="16"/>
      <w:szCs w:val="22"/>
      <w:lang w:eastAsia="en-US"/>
    </w:rPr>
  </w:style>
  <w:style w:type="character" w:customStyle="1" w:styleId="markedcontent">
    <w:name w:val="markedcontent"/>
    <w:basedOn w:val="Privzetapisavaodstavka"/>
    <w:rsid w:val="0048776B"/>
  </w:style>
  <w:style w:type="paragraph" w:styleId="Bibliografija">
    <w:name w:val="Bibliography"/>
    <w:basedOn w:val="Navaden"/>
    <w:next w:val="Navaden"/>
    <w:uiPriority w:val="37"/>
    <w:unhideWhenUsed/>
    <w:rsid w:val="007309C9"/>
    <w:pPr>
      <w:spacing w:after="0" w:line="480" w:lineRule="auto"/>
      <w:ind w:left="720" w:hanging="720"/>
    </w:pPr>
  </w:style>
  <w:style w:type="paragraph" w:customStyle="1" w:styleId="DZSprotnaopomba">
    <w:name w:val="DZ_Sprotna opomba"/>
    <w:basedOn w:val="DZBesedilo"/>
    <w:link w:val="DZSprotnaopombaChar"/>
    <w:qFormat/>
    <w:rsid w:val="003C6DCB"/>
    <w:rPr>
      <w:sz w:val="18"/>
      <w:szCs w:val="20"/>
    </w:rPr>
  </w:style>
  <w:style w:type="character" w:customStyle="1" w:styleId="DZSprotnaopombaChar">
    <w:name w:val="DZ_Sprotna opomba Char"/>
    <w:basedOn w:val="Privzetapisavaodstavka"/>
    <w:link w:val="DZSprotnaopomba"/>
    <w:rsid w:val="003C6DCB"/>
    <w:rPr>
      <w:rFonts w:ascii="Myriad Pro" w:eastAsiaTheme="minorHAnsi" w:hAnsi="Myriad Pro" w:cstheme="minorBidi"/>
      <w:sz w:val="18"/>
      <w:lang w:eastAsia="en-US"/>
    </w:rPr>
  </w:style>
  <w:style w:type="paragraph" w:customStyle="1" w:styleId="normal8levo">
    <w:name w:val="normal 8 levo"/>
    <w:basedOn w:val="Navaden"/>
    <w:autoRedefine/>
    <w:rsid w:val="008D75F2"/>
    <w:rPr>
      <w:sz w:val="16"/>
      <w:lang w:val="en-US"/>
    </w:rPr>
  </w:style>
  <w:style w:type="table" w:customStyle="1" w:styleId="UMARokvir1">
    <w:name w:val="UMAR okvir1"/>
    <w:basedOn w:val="Navadnatabela"/>
    <w:uiPriority w:val="99"/>
    <w:rsid w:val="008D75F2"/>
    <w:rPr>
      <w:rFonts w:ascii="Myriad Pro" w:hAnsi="Myriad Pro"/>
    </w:rPr>
    <w:tblPr>
      <w:tblBorders>
        <w:top w:val="single" w:sz="4" w:space="0" w:color="auto"/>
        <w:left w:val="single" w:sz="4" w:space="0" w:color="auto"/>
        <w:bottom w:val="single" w:sz="4" w:space="0" w:color="auto"/>
        <w:right w:val="single" w:sz="4" w:space="0" w:color="auto"/>
      </w:tblBorders>
      <w:tblCellMar>
        <w:left w:w="170" w:type="dxa"/>
        <w:right w:w="170" w:type="dxa"/>
      </w:tblCellMar>
    </w:tblPr>
    <w:tcPr>
      <w:shd w:val="clear" w:color="auto" w:fill="DBDBDB" w:themeFill="background2"/>
    </w:tcPr>
  </w:style>
  <w:style w:type="table" w:customStyle="1" w:styleId="UMARokvir2">
    <w:name w:val="UMAR okvir2"/>
    <w:basedOn w:val="Navadnatabela"/>
    <w:uiPriority w:val="99"/>
    <w:rsid w:val="00C32468"/>
    <w:rPr>
      <w:rFonts w:ascii="Myriad Pro" w:hAnsi="Myriad Pro"/>
    </w:rPr>
    <w:tblPr>
      <w:tblBorders>
        <w:top w:val="single" w:sz="4" w:space="0" w:color="auto"/>
        <w:left w:val="single" w:sz="4" w:space="0" w:color="auto"/>
        <w:bottom w:val="single" w:sz="4" w:space="0" w:color="auto"/>
        <w:right w:val="single" w:sz="4" w:space="0" w:color="auto"/>
      </w:tblBorders>
      <w:tblCellMar>
        <w:left w:w="170" w:type="dxa"/>
        <w:right w:w="170" w:type="dxa"/>
      </w:tblCellMar>
    </w:tblPr>
    <w:tcPr>
      <w:shd w:val="clear" w:color="auto" w:fill="DBDBDB" w:themeFill="background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969093302">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theme" Target="theme/theme1.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teme/koronavirus-sars-cov-2/ukrepi-za-zajezitev-sirjenja-okuz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B16A-52DE-45E9-AD8B-49218580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4430</Words>
  <Characters>36268</Characters>
  <Application>Microsoft Office Word</Application>
  <DocSecurity>0</DocSecurity>
  <Lines>302</Lines>
  <Paragraphs>81</Paragraphs>
  <ScaleCrop>false</ScaleCrop>
  <Company/>
  <LinksUpToDate>false</LinksUpToDate>
  <CharactersWithSpaces>40617</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2022-12-21T14:27:00Z</dcterms:created>
  <dcterms:modified xsi:type="dcterms:W3CDTF">2022-12-21T14:27:00Z</dcterms:modified>
</cp:coreProperties>
</file>