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117C6" w14:textId="27498905" w:rsidR="004D03B3" w:rsidRDefault="004D03B3" w:rsidP="004D03B3">
      <w:pPr>
        <w:pStyle w:val="Heading2"/>
        <w:numPr>
          <w:ilvl w:val="0"/>
          <w:numId w:val="0"/>
        </w:numPr>
        <w:tabs>
          <w:tab w:val="left" w:pos="6525"/>
          <w:tab w:val="left" w:pos="6930"/>
        </w:tabs>
        <w:sectPr w:rsidR="004D03B3" w:rsidSect="004D03B3">
          <w:headerReference w:type="default" r:id="rId8"/>
          <w:type w:val="continuous"/>
          <w:pgSz w:w="11906" w:h="16838"/>
          <w:pgMar w:top="1701" w:right="1418" w:bottom="1418" w:left="1418" w:header="567" w:footer="1134" w:gutter="0"/>
          <w:pgNumType w:start="1"/>
          <w:cols w:space="708"/>
          <w:titlePg/>
          <w:docGrid w:linePitch="360"/>
        </w:sectPr>
      </w:pPr>
      <w:bookmarkStart w:id="0" w:name="_Hlk57449885"/>
      <w:r>
        <w:rPr>
          <w:noProof/>
          <w:lang w:eastAsia="sl-SI"/>
        </w:rPr>
        <mc:AlternateContent>
          <mc:Choice Requires="wps">
            <w:drawing>
              <wp:anchor distT="0" distB="0" distL="114300" distR="114300" simplePos="0" relativeHeight="251659262" behindDoc="0" locked="0" layoutInCell="1" allowOverlap="1" wp14:anchorId="0D8D7FCC" wp14:editId="69FF8C24">
                <wp:simplePos x="0" y="0"/>
                <wp:positionH relativeFrom="column">
                  <wp:posOffset>2192020</wp:posOffset>
                </wp:positionH>
                <wp:positionV relativeFrom="paragraph">
                  <wp:posOffset>1007745</wp:posOffset>
                </wp:positionV>
                <wp:extent cx="4133850" cy="8066405"/>
                <wp:effectExtent l="0" t="0" r="0" b="10795"/>
                <wp:wrapNone/>
                <wp:docPr id="2" name="Text Box 2"/>
                <wp:cNvGraphicFramePr/>
                <a:graphic xmlns:a="http://schemas.openxmlformats.org/drawingml/2006/main">
                  <a:graphicData uri="http://schemas.microsoft.com/office/word/2010/wordprocessingShape">
                    <wps:wsp>
                      <wps:cNvSpPr txBox="1"/>
                      <wps:spPr>
                        <a:xfrm>
                          <a:off x="0" y="0"/>
                          <a:ext cx="4133850" cy="8066405"/>
                        </a:xfrm>
                        <a:prstGeom prst="rect">
                          <a:avLst/>
                        </a:prstGeom>
                        <a:noFill/>
                        <a:ln w="6350">
                          <a:noFill/>
                        </a:ln>
                        <a:effectLst/>
                      </wps:spPr>
                      <wps:txbx>
                        <w:txbxContent>
                          <w:p w14:paraId="41F7ADC6" w14:textId="77777777" w:rsidR="00BA6D9F" w:rsidRPr="0050616E" w:rsidRDefault="00BA6D9F" w:rsidP="0050616E">
                            <w:pPr>
                              <w:pStyle w:val="NaslovnicanaslovUMAR"/>
                              <w:numPr>
                                <w:ilvl w:val="0"/>
                                <w:numId w:val="0"/>
                              </w:numPr>
                              <w:spacing w:line="760" w:lineRule="exact"/>
                              <w:rPr>
                                <w:color w:val="auto"/>
                                <w:sz w:val="76"/>
                                <w:szCs w:val="76"/>
                              </w:rPr>
                            </w:pPr>
                          </w:p>
                          <w:p w14:paraId="55D26630" w14:textId="77777777" w:rsidR="00BA6D9F" w:rsidRPr="0050616E" w:rsidRDefault="00BA6D9F" w:rsidP="0050616E">
                            <w:pPr>
                              <w:pStyle w:val="NaslovnicanaslovUMAR"/>
                              <w:numPr>
                                <w:ilvl w:val="0"/>
                                <w:numId w:val="0"/>
                              </w:numPr>
                              <w:spacing w:line="760" w:lineRule="exact"/>
                              <w:rPr>
                                <w:color w:val="auto"/>
                                <w:sz w:val="76"/>
                                <w:szCs w:val="76"/>
                              </w:rPr>
                            </w:pPr>
                          </w:p>
                          <w:p w14:paraId="03A71070" w14:textId="77777777" w:rsidR="00BA6D9F" w:rsidRPr="0050616E" w:rsidRDefault="00BA6D9F"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3B2E59BA" w14:textId="7C79203E" w:rsidR="00BA6D9F" w:rsidRPr="0050616E" w:rsidRDefault="00952D97" w:rsidP="0050616E">
                            <w:pPr>
                              <w:pStyle w:val="NaslovnicanaslovUMAR"/>
                              <w:numPr>
                                <w:ilvl w:val="0"/>
                                <w:numId w:val="0"/>
                              </w:numPr>
                              <w:spacing w:line="240" w:lineRule="auto"/>
                              <w:rPr>
                                <w:b w:val="0"/>
                                <w:bCs/>
                                <w:color w:val="auto"/>
                                <w:sz w:val="26"/>
                                <w:szCs w:val="26"/>
                              </w:rPr>
                            </w:pPr>
                            <w:r>
                              <w:rPr>
                                <w:b w:val="0"/>
                                <w:bCs/>
                                <w:color w:val="auto"/>
                                <w:sz w:val="26"/>
                                <w:szCs w:val="26"/>
                              </w:rPr>
                              <w:t>Januar 2021</w:t>
                            </w:r>
                          </w:p>
                          <w:p w14:paraId="7C350185" w14:textId="77777777" w:rsidR="00BA6D9F" w:rsidRPr="0050616E" w:rsidRDefault="00BA6D9F" w:rsidP="0050616E">
                            <w:pPr>
                              <w:pStyle w:val="NaslovnicanaslovUMAR"/>
                              <w:numPr>
                                <w:ilvl w:val="0"/>
                                <w:numId w:val="0"/>
                              </w:numPr>
                              <w:spacing w:line="760" w:lineRule="exact"/>
                              <w:rPr>
                                <w:color w:val="auto"/>
                                <w:sz w:val="52"/>
                                <w:szCs w:val="52"/>
                              </w:rPr>
                            </w:pPr>
                          </w:p>
                          <w:p w14:paraId="18883A10" w14:textId="6D85CF94" w:rsidR="00002CAF" w:rsidRPr="0050616E" w:rsidRDefault="00952D97" w:rsidP="0050616E">
                            <w:pPr>
                              <w:pStyle w:val="NaslovnicanaslovUMAR"/>
                              <w:numPr>
                                <w:ilvl w:val="0"/>
                                <w:numId w:val="0"/>
                              </w:numPr>
                              <w:spacing w:after="240" w:line="760" w:lineRule="exact"/>
                              <w:rPr>
                                <w:b w:val="0"/>
                                <w:bCs/>
                                <w:color w:val="auto"/>
                                <w:sz w:val="52"/>
                                <w:szCs w:val="52"/>
                              </w:rPr>
                            </w:pPr>
                            <w:r>
                              <w:rPr>
                                <w:b w:val="0"/>
                                <w:bCs/>
                                <w:color w:val="auto"/>
                                <w:sz w:val="52"/>
                                <w:szCs w:val="52"/>
                              </w:rPr>
                              <w:t>Urška Lušina, Branka Tavčar</w:t>
                            </w:r>
                          </w:p>
                          <w:p w14:paraId="4BC36884" w14:textId="1A8ACD6A" w:rsidR="00002CAF" w:rsidRPr="0050616E" w:rsidRDefault="00952D97" w:rsidP="0050616E">
                            <w:pPr>
                              <w:pStyle w:val="NaslovnicanaslovUMAR"/>
                              <w:numPr>
                                <w:ilvl w:val="0"/>
                                <w:numId w:val="0"/>
                              </w:numPr>
                              <w:spacing w:line="760" w:lineRule="exact"/>
                              <w:rPr>
                                <w:color w:val="auto"/>
                                <w:sz w:val="76"/>
                                <w:szCs w:val="76"/>
                              </w:rPr>
                            </w:pPr>
                            <w:r>
                              <w:rPr>
                                <w:color w:val="auto"/>
                                <w:sz w:val="76"/>
                                <w:szCs w:val="76"/>
                              </w:rPr>
                              <w:t xml:space="preserve">Izpostavljenost podjetniškega sektorja plačilni nesposobnosti </w:t>
                            </w:r>
                            <w:r w:rsidR="008216DE">
                              <w:rPr>
                                <w:color w:val="auto"/>
                                <w:sz w:val="76"/>
                                <w:szCs w:val="76"/>
                              </w:rPr>
                              <w:br/>
                            </w:r>
                            <w:r>
                              <w:rPr>
                                <w:color w:val="auto"/>
                                <w:sz w:val="76"/>
                                <w:szCs w:val="76"/>
                              </w:rPr>
                              <w:t>v letu 2020</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D7FCC" id="_x0000_t202" coordsize="21600,21600" o:spt="202" path="m,l,21600r21600,l21600,xe">
                <v:stroke joinstyle="miter"/>
                <v:path gradientshapeok="t" o:connecttype="rect"/>
              </v:shapetype>
              <v:shape id="Text Box 2" o:spid="_x0000_s1026" type="#_x0000_t202" style="position:absolute;margin-left:172.6pt;margin-top:79.35pt;width:325.5pt;height:635.1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" filled="f" stroked="f" strokeweight=".5pt">
                <v:textbox style="layout-flow:vertical;mso-layout-flow-alt:bottom-to-top" inset="0,0,.5mm,0">
                  <w:txbxContent>
                    <w:p w14:paraId="41F7ADC6" w14:textId="77777777" w:rsidR="00BA6D9F" w:rsidRPr="0050616E" w:rsidRDefault="00BA6D9F" w:rsidP="0050616E">
                      <w:pPr>
                        <w:pStyle w:val="NaslovnicanaslovUMAR"/>
                        <w:numPr>
                          <w:ilvl w:val="0"/>
                          <w:numId w:val="0"/>
                        </w:numPr>
                        <w:spacing w:line="760" w:lineRule="exact"/>
                        <w:rPr>
                          <w:color w:val="auto"/>
                          <w:sz w:val="76"/>
                          <w:szCs w:val="76"/>
                        </w:rPr>
                      </w:pPr>
                    </w:p>
                    <w:p w14:paraId="55D26630" w14:textId="77777777" w:rsidR="00BA6D9F" w:rsidRPr="0050616E" w:rsidRDefault="00BA6D9F" w:rsidP="0050616E">
                      <w:pPr>
                        <w:pStyle w:val="NaslovnicanaslovUMAR"/>
                        <w:numPr>
                          <w:ilvl w:val="0"/>
                          <w:numId w:val="0"/>
                        </w:numPr>
                        <w:spacing w:line="760" w:lineRule="exact"/>
                        <w:rPr>
                          <w:color w:val="auto"/>
                          <w:sz w:val="76"/>
                          <w:szCs w:val="76"/>
                        </w:rPr>
                      </w:pPr>
                    </w:p>
                    <w:p w14:paraId="03A71070" w14:textId="77777777" w:rsidR="00BA6D9F" w:rsidRPr="0050616E" w:rsidRDefault="00BA6D9F"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3B2E59BA" w14:textId="7C79203E" w:rsidR="00BA6D9F" w:rsidRPr="0050616E" w:rsidRDefault="00952D97" w:rsidP="0050616E">
                      <w:pPr>
                        <w:pStyle w:val="NaslovnicanaslovUMAR"/>
                        <w:numPr>
                          <w:ilvl w:val="0"/>
                          <w:numId w:val="0"/>
                        </w:numPr>
                        <w:spacing w:line="240" w:lineRule="auto"/>
                        <w:rPr>
                          <w:b w:val="0"/>
                          <w:bCs/>
                          <w:color w:val="auto"/>
                          <w:sz w:val="26"/>
                          <w:szCs w:val="26"/>
                        </w:rPr>
                      </w:pPr>
                      <w:r>
                        <w:rPr>
                          <w:b w:val="0"/>
                          <w:bCs/>
                          <w:color w:val="auto"/>
                          <w:sz w:val="26"/>
                          <w:szCs w:val="26"/>
                        </w:rPr>
                        <w:t>Januar 2021</w:t>
                      </w:r>
                    </w:p>
                    <w:p w14:paraId="7C350185" w14:textId="77777777" w:rsidR="00BA6D9F" w:rsidRPr="0050616E" w:rsidRDefault="00BA6D9F" w:rsidP="0050616E">
                      <w:pPr>
                        <w:pStyle w:val="NaslovnicanaslovUMAR"/>
                        <w:numPr>
                          <w:ilvl w:val="0"/>
                          <w:numId w:val="0"/>
                        </w:numPr>
                        <w:spacing w:line="760" w:lineRule="exact"/>
                        <w:rPr>
                          <w:color w:val="auto"/>
                          <w:sz w:val="52"/>
                          <w:szCs w:val="52"/>
                        </w:rPr>
                      </w:pPr>
                    </w:p>
                    <w:p w14:paraId="18883A10" w14:textId="6D85CF94" w:rsidR="00002CAF" w:rsidRPr="0050616E" w:rsidRDefault="00952D97" w:rsidP="0050616E">
                      <w:pPr>
                        <w:pStyle w:val="NaslovnicanaslovUMAR"/>
                        <w:numPr>
                          <w:ilvl w:val="0"/>
                          <w:numId w:val="0"/>
                        </w:numPr>
                        <w:spacing w:after="240" w:line="760" w:lineRule="exact"/>
                        <w:rPr>
                          <w:b w:val="0"/>
                          <w:bCs/>
                          <w:color w:val="auto"/>
                          <w:sz w:val="52"/>
                          <w:szCs w:val="52"/>
                        </w:rPr>
                      </w:pPr>
                      <w:r>
                        <w:rPr>
                          <w:b w:val="0"/>
                          <w:bCs/>
                          <w:color w:val="auto"/>
                          <w:sz w:val="52"/>
                          <w:szCs w:val="52"/>
                        </w:rPr>
                        <w:t>Urška Lušina, Branka Tavčar</w:t>
                      </w:r>
                    </w:p>
                    <w:p w14:paraId="4BC36884" w14:textId="1A8ACD6A" w:rsidR="00002CAF" w:rsidRPr="0050616E" w:rsidRDefault="00952D97" w:rsidP="0050616E">
                      <w:pPr>
                        <w:pStyle w:val="NaslovnicanaslovUMAR"/>
                        <w:numPr>
                          <w:ilvl w:val="0"/>
                          <w:numId w:val="0"/>
                        </w:numPr>
                        <w:spacing w:line="760" w:lineRule="exact"/>
                        <w:rPr>
                          <w:color w:val="auto"/>
                          <w:sz w:val="76"/>
                          <w:szCs w:val="76"/>
                        </w:rPr>
                      </w:pPr>
                      <w:r>
                        <w:rPr>
                          <w:color w:val="auto"/>
                          <w:sz w:val="76"/>
                          <w:szCs w:val="76"/>
                        </w:rPr>
                        <w:t xml:space="preserve">Izpostavljenost podjetniškega sektorja plačilni nesposobnosti </w:t>
                      </w:r>
                      <w:r w:rsidR="008216DE">
                        <w:rPr>
                          <w:color w:val="auto"/>
                          <w:sz w:val="76"/>
                          <w:szCs w:val="76"/>
                        </w:rPr>
                        <w:br/>
                      </w:r>
                      <w:r>
                        <w:rPr>
                          <w:color w:val="auto"/>
                          <w:sz w:val="76"/>
                          <w:szCs w:val="76"/>
                        </w:rPr>
                        <w:t>v letu 2020</w:t>
                      </w:r>
                    </w:p>
                  </w:txbxContent>
                </v:textbox>
              </v:shape>
            </w:pict>
          </mc:Fallback>
        </mc:AlternateContent>
      </w:r>
      <w:r w:rsidR="00276233">
        <w:rPr>
          <w:noProof/>
          <w:lang w:eastAsia="sl-SI"/>
        </w:rPr>
        <w:drawing>
          <wp:anchor distT="0" distB="0" distL="114300" distR="114300" simplePos="0" relativeHeight="251661312" behindDoc="0" locked="0" layoutInCell="1" allowOverlap="1" wp14:anchorId="0D360BC0" wp14:editId="51437E4C">
            <wp:simplePos x="0" y="0"/>
            <wp:positionH relativeFrom="column">
              <wp:posOffset>-900374</wp:posOffset>
            </wp:positionH>
            <wp:positionV relativeFrom="paragraph">
              <wp:posOffset>-1081405</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Pr>
          <w:noProof/>
          <w:lang w:eastAsia="sl-SI"/>
        </w:rPr>
        <w:drawing>
          <wp:anchor distT="0" distB="0" distL="114300" distR="114300" simplePos="0" relativeHeight="251663360" behindDoc="0" locked="0" layoutInCell="1" allowOverlap="1" wp14:anchorId="1E0E5F33" wp14:editId="63A05C52">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r>
        <w:tab/>
      </w:r>
      <w:r>
        <w:tab/>
      </w:r>
      <w:bookmarkStart w:id="1" w:name="_Toc525304171"/>
      <w:bookmarkStart w:id="2" w:name="_Toc527616894"/>
      <w:bookmarkStart w:id="3" w:name="_Toc528328881"/>
    </w:p>
    <w:bookmarkEnd w:id="1"/>
    <w:bookmarkEnd w:id="2"/>
    <w:bookmarkEnd w:id="3"/>
    <w:p w14:paraId="247A5DF0" w14:textId="0416916B" w:rsidR="00D23C8D" w:rsidRDefault="00D23C8D" w:rsidP="003C21D8">
      <w:pPr>
        <w:pStyle w:val="Heading1"/>
        <w:numPr>
          <w:ilvl w:val="0"/>
          <w:numId w:val="0"/>
        </w:numPr>
      </w:pPr>
      <w:r>
        <w:lastRenderedPageBreak/>
        <w:t>Povzetek</w:t>
      </w:r>
    </w:p>
    <w:p w14:paraId="43687FDE" w14:textId="3508BA53" w:rsidR="00D23C8D" w:rsidRDefault="00D23C8D" w:rsidP="00D23C8D">
      <w:pPr>
        <w:pStyle w:val="BesediloUMAR"/>
        <w:rPr>
          <w:b/>
          <w:bCs/>
        </w:rPr>
      </w:pPr>
      <w:r>
        <w:rPr>
          <w:b/>
          <w:bCs/>
        </w:rPr>
        <w:t xml:space="preserve">Izpostavljenost podjetniškega sektorja plačilni nesposobnosti se je v letu 2020 z nastopom </w:t>
      </w:r>
      <w:proofErr w:type="spellStart"/>
      <w:r>
        <w:rPr>
          <w:b/>
          <w:bCs/>
        </w:rPr>
        <w:t>koronavirusne</w:t>
      </w:r>
      <w:proofErr w:type="spellEnd"/>
      <w:r>
        <w:rPr>
          <w:b/>
          <w:bCs/>
        </w:rPr>
        <w:t xml:space="preserve"> krize precej povečala. Njeno povečanje uspešno blažijo ugodni pretekli poslovni rezultati podjetniškega sektorja – visoka donosnost, likvidnost in nizka zadolženost ter številni razmeroma zgodaj implementirani ukrepi za zagotavljanje pomoči in likvidnosti gospodarstvu, ki poskušajo slediti dinamiki virusa in naslavljajo najnujnejše težave v gospodarstvu, ob tem pa odpravljajo tudi </w:t>
      </w:r>
      <w:proofErr w:type="spellStart"/>
      <w:r>
        <w:rPr>
          <w:b/>
          <w:bCs/>
        </w:rPr>
        <w:t>pomankljivosti</w:t>
      </w:r>
      <w:proofErr w:type="spellEnd"/>
      <w:r>
        <w:rPr>
          <w:b/>
          <w:bCs/>
        </w:rPr>
        <w:t xml:space="preserve"> do sedaj sprejetih ukrepov.</w:t>
      </w:r>
    </w:p>
    <w:p w14:paraId="264E73A7" w14:textId="77777777" w:rsidR="00D23C8D" w:rsidRDefault="00D23C8D" w:rsidP="00D23C8D">
      <w:pPr>
        <w:pStyle w:val="BesediloUMAR"/>
        <w:rPr>
          <w:b/>
          <w:bCs/>
        </w:rPr>
      </w:pPr>
    </w:p>
    <w:p w14:paraId="0DB583E5" w14:textId="2AE0D121" w:rsidR="00D23C8D" w:rsidRDefault="00D23C8D" w:rsidP="00D23C8D">
      <w:pPr>
        <w:pStyle w:val="BesediloUMAR"/>
        <w:rPr>
          <w:b/>
          <w:bCs/>
        </w:rPr>
      </w:pPr>
      <w:r>
        <w:rPr>
          <w:b/>
          <w:bCs/>
        </w:rPr>
        <w:t xml:space="preserve">Kljub ugodnim preteklim poslovnim rezultatom večine podjetij pa so že pred nastopom </w:t>
      </w:r>
      <w:proofErr w:type="spellStart"/>
      <w:r>
        <w:rPr>
          <w:b/>
          <w:bCs/>
        </w:rPr>
        <w:t>koronavirusne</w:t>
      </w:r>
      <w:proofErr w:type="spellEnd"/>
      <w:r>
        <w:rPr>
          <w:b/>
          <w:bCs/>
        </w:rPr>
        <w:t xml:space="preserve"> krize obstajali nekateri ranljivejši segmenti v gospodarstvu – prezadolžena podjetja, katerih težave so se  zaradi ukrepov za blažitev posledic epidemije za večino le začasno odložile. Vendar ima njihov </w:t>
      </w:r>
      <w:proofErr w:type="spellStart"/>
      <w:r>
        <w:rPr>
          <w:b/>
          <w:bCs/>
        </w:rPr>
        <w:t>najranljivešji</w:t>
      </w:r>
      <w:proofErr w:type="spellEnd"/>
      <w:r>
        <w:rPr>
          <w:b/>
          <w:bCs/>
        </w:rPr>
        <w:t xml:space="preserve"> segment – najbolj problematična med prezadolženimi podjetji,  kljub ukrepom za pomoč gospodarstvu težave in je verjetnost </w:t>
      </w:r>
      <w:r w:rsidR="00170EC7">
        <w:rPr>
          <w:b/>
          <w:bCs/>
        </w:rPr>
        <w:t>njihovih</w:t>
      </w:r>
      <w:r>
        <w:rPr>
          <w:b/>
          <w:bCs/>
        </w:rPr>
        <w:t xml:space="preserve"> stečaje</w:t>
      </w:r>
      <w:r w:rsidR="00170EC7">
        <w:rPr>
          <w:b/>
          <w:bCs/>
        </w:rPr>
        <w:t>v</w:t>
      </w:r>
      <w:r>
        <w:rPr>
          <w:b/>
          <w:bCs/>
        </w:rPr>
        <w:t xml:space="preserve"> precej visoka. Večinoma so to holdingi in </w:t>
      </w:r>
      <w:proofErr w:type="spellStart"/>
      <w:r>
        <w:rPr>
          <w:b/>
          <w:bCs/>
        </w:rPr>
        <w:t>lizingi</w:t>
      </w:r>
      <w:proofErr w:type="spellEnd"/>
      <w:r>
        <w:rPr>
          <w:b/>
          <w:bCs/>
        </w:rPr>
        <w:t xml:space="preserve">, podjetja iz predelovalnih in strokovno-tehničnih dejavnosti oziroma po velikosti gledano </w:t>
      </w:r>
      <w:proofErr w:type="spellStart"/>
      <w:r>
        <w:rPr>
          <w:b/>
          <w:bCs/>
        </w:rPr>
        <w:t>mikro</w:t>
      </w:r>
      <w:proofErr w:type="spellEnd"/>
      <w:r>
        <w:rPr>
          <w:b/>
          <w:bCs/>
        </w:rPr>
        <w:t xml:space="preserve">, majhna in srednje velika podjetja. Poleg omenjenih pa se je v </w:t>
      </w:r>
      <w:r w:rsidR="00170EC7">
        <w:rPr>
          <w:b/>
          <w:bCs/>
        </w:rPr>
        <w:t xml:space="preserve">letu </w:t>
      </w:r>
      <w:r>
        <w:rPr>
          <w:b/>
          <w:bCs/>
        </w:rPr>
        <w:t>2020 verjetnost plačilne nesposobnosti povečala mnogim podjetjem iz storitvenih dejavnosti, ki morajo biti zaradi zajezitvenih ukrepov večinoma zaprta. Vendar so bili podatki glede plačilne nesposobnosti  do konca oktobra 2020 vzpodbudni. Večji porast plačilne nesposobnosti se tako pričakuje po izteku ukrepov – v drugi polovici 2021 in v 2022.</w:t>
      </w:r>
    </w:p>
    <w:p w14:paraId="7863FCE9" w14:textId="77777777" w:rsidR="00D23C8D" w:rsidRDefault="00D23C8D" w:rsidP="00D23C8D">
      <w:pPr>
        <w:pStyle w:val="BesediloUMAR"/>
        <w:rPr>
          <w:b/>
          <w:bCs/>
        </w:rPr>
      </w:pPr>
    </w:p>
    <w:p w14:paraId="6DF4904B" w14:textId="015541CA" w:rsidR="00D23C8D" w:rsidRDefault="00D23C8D" w:rsidP="00E60966">
      <w:pPr>
        <w:pStyle w:val="BesediloUMAR"/>
      </w:pPr>
    </w:p>
    <w:p w14:paraId="3EC982AD" w14:textId="53A70BB4" w:rsidR="00FF05A4" w:rsidRDefault="00FF05A4" w:rsidP="00E60966">
      <w:pPr>
        <w:pStyle w:val="BesediloUMAR"/>
      </w:pPr>
    </w:p>
    <w:p w14:paraId="4A78CA10" w14:textId="16ECA134" w:rsidR="00FF05A4" w:rsidRDefault="00FF05A4" w:rsidP="00E60966">
      <w:pPr>
        <w:pStyle w:val="BesediloUMAR"/>
      </w:pPr>
    </w:p>
    <w:p w14:paraId="0EF1161E" w14:textId="51EA48A6" w:rsidR="00FF05A4" w:rsidRDefault="00FF05A4" w:rsidP="00E60966">
      <w:pPr>
        <w:pStyle w:val="BesediloUMAR"/>
      </w:pPr>
    </w:p>
    <w:p w14:paraId="23F1FAA6" w14:textId="15296CD4" w:rsidR="00FF05A4" w:rsidRDefault="00FF05A4" w:rsidP="00E60966">
      <w:pPr>
        <w:pStyle w:val="BesediloUMAR"/>
      </w:pPr>
    </w:p>
    <w:p w14:paraId="7140AF2B" w14:textId="598D00A0" w:rsidR="00FF05A4" w:rsidRDefault="00FF05A4" w:rsidP="00E60966">
      <w:pPr>
        <w:pStyle w:val="BesediloUMAR"/>
      </w:pPr>
    </w:p>
    <w:p w14:paraId="115DEBA5" w14:textId="5B25D389" w:rsidR="00FF05A4" w:rsidRDefault="00FF05A4" w:rsidP="00E60966">
      <w:pPr>
        <w:pStyle w:val="BesediloUMAR"/>
      </w:pPr>
    </w:p>
    <w:p w14:paraId="55310A42" w14:textId="5563577F" w:rsidR="00FF05A4" w:rsidRDefault="00FF05A4" w:rsidP="00E60966">
      <w:pPr>
        <w:pStyle w:val="BesediloUMAR"/>
      </w:pPr>
    </w:p>
    <w:p w14:paraId="5F2094F4" w14:textId="7FFF2B1B" w:rsidR="00FF05A4" w:rsidRDefault="00FF05A4" w:rsidP="00E60966">
      <w:pPr>
        <w:pStyle w:val="BesediloUMAR"/>
      </w:pPr>
    </w:p>
    <w:p w14:paraId="7B259C2C" w14:textId="6CE53D71" w:rsidR="00FF05A4" w:rsidRDefault="00FF05A4" w:rsidP="00E60966">
      <w:pPr>
        <w:pStyle w:val="BesediloUMAR"/>
      </w:pPr>
    </w:p>
    <w:p w14:paraId="317302D3" w14:textId="24402C59" w:rsidR="00FF05A4" w:rsidRDefault="00FF05A4" w:rsidP="00E60966">
      <w:pPr>
        <w:pStyle w:val="BesediloUMAR"/>
      </w:pPr>
    </w:p>
    <w:p w14:paraId="4CF2280D" w14:textId="00F74CC6" w:rsidR="00FF05A4" w:rsidRDefault="00FF05A4" w:rsidP="00E60966">
      <w:pPr>
        <w:pStyle w:val="BesediloUMAR"/>
      </w:pPr>
    </w:p>
    <w:p w14:paraId="2A48F770" w14:textId="4C493D4F" w:rsidR="00FF05A4" w:rsidRDefault="00FF05A4" w:rsidP="00E60966">
      <w:pPr>
        <w:pStyle w:val="BesediloUMAR"/>
      </w:pPr>
    </w:p>
    <w:p w14:paraId="30C1D8D4" w14:textId="17A80600" w:rsidR="00FF05A4" w:rsidRDefault="00FF05A4" w:rsidP="00E60966">
      <w:pPr>
        <w:pStyle w:val="BesediloUMAR"/>
      </w:pPr>
    </w:p>
    <w:p w14:paraId="23FADE55" w14:textId="6A301C6C" w:rsidR="00FF05A4" w:rsidRDefault="00FF05A4" w:rsidP="00E60966">
      <w:pPr>
        <w:pStyle w:val="BesediloUMAR"/>
      </w:pPr>
    </w:p>
    <w:p w14:paraId="52BF4841" w14:textId="0F43CA78" w:rsidR="00FF05A4" w:rsidRDefault="00FF05A4" w:rsidP="00E60966">
      <w:pPr>
        <w:pStyle w:val="BesediloUMAR"/>
      </w:pPr>
    </w:p>
    <w:p w14:paraId="36BB23CD" w14:textId="445950E1" w:rsidR="00FF05A4" w:rsidRDefault="00FF05A4" w:rsidP="00E60966">
      <w:pPr>
        <w:pStyle w:val="BesediloUMAR"/>
      </w:pPr>
    </w:p>
    <w:p w14:paraId="3180A6AC" w14:textId="2F86F3A5" w:rsidR="00FF05A4" w:rsidRDefault="00FF05A4" w:rsidP="00E60966">
      <w:pPr>
        <w:pStyle w:val="BesediloUMAR"/>
      </w:pPr>
    </w:p>
    <w:p w14:paraId="673DCEA4" w14:textId="492D5147" w:rsidR="00FF05A4" w:rsidRDefault="00FF05A4" w:rsidP="00E60966">
      <w:pPr>
        <w:pStyle w:val="BesediloUMAR"/>
      </w:pPr>
    </w:p>
    <w:p w14:paraId="6A93F99E" w14:textId="49DC00A8" w:rsidR="00FF05A4" w:rsidRDefault="00FF05A4" w:rsidP="00E60966">
      <w:pPr>
        <w:pStyle w:val="BesediloUMAR"/>
      </w:pPr>
    </w:p>
    <w:p w14:paraId="18121A34" w14:textId="09840952" w:rsidR="00FF05A4" w:rsidRDefault="00FF05A4" w:rsidP="00E60966">
      <w:pPr>
        <w:pStyle w:val="BesediloUMAR"/>
      </w:pPr>
    </w:p>
    <w:p w14:paraId="29664CC2" w14:textId="549B6A45" w:rsidR="00FF05A4" w:rsidRDefault="00FF05A4" w:rsidP="00E60966">
      <w:pPr>
        <w:pStyle w:val="BesediloUMAR"/>
      </w:pPr>
    </w:p>
    <w:p w14:paraId="6948B0F5" w14:textId="24B98351" w:rsidR="00FF05A4" w:rsidRDefault="00FF05A4" w:rsidP="00E60966">
      <w:pPr>
        <w:pStyle w:val="BesediloUMAR"/>
      </w:pPr>
    </w:p>
    <w:p w14:paraId="7BEF8BDF" w14:textId="2FD5D4DC" w:rsidR="00FF05A4" w:rsidRDefault="00FF05A4" w:rsidP="00E60966">
      <w:pPr>
        <w:pStyle w:val="BesediloUMAR"/>
      </w:pPr>
    </w:p>
    <w:p w14:paraId="3953D6A9" w14:textId="605EE9F5" w:rsidR="00FF05A4" w:rsidRDefault="00FF05A4" w:rsidP="00E60966">
      <w:pPr>
        <w:pStyle w:val="BesediloUMAR"/>
      </w:pPr>
    </w:p>
    <w:p w14:paraId="075FFA9D" w14:textId="035A248E" w:rsidR="00A823DD" w:rsidRDefault="009638AF" w:rsidP="00A823DD">
      <w:pPr>
        <w:pStyle w:val="BesediloUMAR"/>
      </w:pPr>
      <w:r w:rsidRPr="009638AF">
        <w:rPr>
          <w:b/>
          <w:bCs/>
        </w:rPr>
        <w:lastRenderedPageBreak/>
        <w:t xml:space="preserve">Poslovno leto 2019 se je za večino podjetij zaključilo precej uspešno, nato pa </w:t>
      </w:r>
      <w:r w:rsidR="00D23C8D">
        <w:rPr>
          <w:b/>
          <w:bCs/>
        </w:rPr>
        <w:t>sta</w:t>
      </w:r>
      <w:r w:rsidRPr="009638AF">
        <w:rPr>
          <w:b/>
          <w:bCs/>
        </w:rPr>
        <w:t xml:space="preserve"> marca </w:t>
      </w:r>
      <w:r w:rsidR="00D23C8D">
        <w:rPr>
          <w:b/>
          <w:bCs/>
        </w:rPr>
        <w:t xml:space="preserve">in oktobra </w:t>
      </w:r>
      <w:r w:rsidRPr="009638AF">
        <w:rPr>
          <w:b/>
          <w:bCs/>
        </w:rPr>
        <w:t>2020 izbruhnil</w:t>
      </w:r>
      <w:r w:rsidR="00D23C8D">
        <w:rPr>
          <w:b/>
          <w:bCs/>
        </w:rPr>
        <w:t>i</w:t>
      </w:r>
      <w:r w:rsidRPr="009638AF">
        <w:rPr>
          <w:b/>
          <w:bCs/>
        </w:rPr>
        <w:t xml:space="preserve"> epidemij</w:t>
      </w:r>
      <w:r w:rsidR="00D23C8D">
        <w:rPr>
          <w:b/>
          <w:bCs/>
        </w:rPr>
        <w:t>i</w:t>
      </w:r>
      <w:r w:rsidRPr="009638AF">
        <w:rPr>
          <w:b/>
          <w:bCs/>
        </w:rPr>
        <w:t xml:space="preserve"> </w:t>
      </w:r>
      <w:proofErr w:type="spellStart"/>
      <w:r w:rsidRPr="009638AF">
        <w:rPr>
          <w:b/>
          <w:bCs/>
        </w:rPr>
        <w:t>koronavirusa</w:t>
      </w:r>
      <w:proofErr w:type="spellEnd"/>
      <w:r w:rsidRPr="009638AF">
        <w:rPr>
          <w:b/>
          <w:bCs/>
        </w:rPr>
        <w:t xml:space="preserve"> in sprejeti so bili številni zajezitveni ukrepi, ki so vplivali na gospodarsko aktivnosti in posledično </w:t>
      </w:r>
      <w:r>
        <w:rPr>
          <w:b/>
          <w:bCs/>
        </w:rPr>
        <w:t xml:space="preserve">na </w:t>
      </w:r>
      <w:r w:rsidRPr="009638AF">
        <w:rPr>
          <w:b/>
          <w:bCs/>
        </w:rPr>
        <w:t>likvidnost podjetij</w:t>
      </w:r>
      <w:r>
        <w:rPr>
          <w:b/>
          <w:bCs/>
        </w:rPr>
        <w:t>.</w:t>
      </w:r>
      <w:r w:rsidR="00A823DD" w:rsidRPr="00A823DD">
        <w:t xml:space="preserve"> </w:t>
      </w:r>
      <w:r w:rsidRPr="009638AF">
        <w:t xml:space="preserve">Ugodni pretekli poslovni rezultati podjetniškega sektorja - visoka donosnost, likvidnost in nizka zadolženost (glej Sliko </w:t>
      </w:r>
      <w:r>
        <w:t>1</w:t>
      </w:r>
      <w:r w:rsidRPr="009638AF">
        <w:t>) ter razmeroma zgodaj implementirani ukrepi za zagotavljanje pomoči in likvidnosti gospodarstvu so uspešno blažili negativne učinke na gospodarsko aktivnost.</w:t>
      </w:r>
      <w:r>
        <w:t xml:space="preserve"> Ukrepi</w:t>
      </w:r>
      <w:r w:rsidR="00A823DD" w:rsidRPr="00A823DD">
        <w:t xml:space="preserve"> </w:t>
      </w:r>
      <w:r>
        <w:t xml:space="preserve">tako </w:t>
      </w:r>
      <w:r w:rsidR="00A823DD" w:rsidRPr="00A823DD">
        <w:t>poskušajo slediti dinamiki virusa in naslavljati najnujnejše težave v gospodarstvu, ob tem pa odpravljati tudi pomanjkljivosti do sedaj sprejetih ukrepov (za povzetek likvidnostnih ukrepov in njihovo realizacijo glej Tabelo 1).</w:t>
      </w:r>
      <w:r w:rsidR="00A823DD" w:rsidRPr="00A823DD">
        <w:rPr>
          <w:vertAlign w:val="superscript"/>
        </w:rPr>
        <w:footnoteReference w:id="2"/>
      </w:r>
    </w:p>
    <w:p w14:paraId="3AFF0505" w14:textId="07490195" w:rsidR="00A823DD" w:rsidRDefault="00A823DD" w:rsidP="00A823DD">
      <w:pPr>
        <w:pStyle w:val="BesediloUMAR"/>
      </w:pPr>
    </w:p>
    <w:p w14:paraId="09DBFE9E" w14:textId="23A7CA24" w:rsidR="00A823DD" w:rsidRPr="00A823DD" w:rsidRDefault="00A823DD" w:rsidP="00A823DD">
      <w:pPr>
        <w:pStyle w:val="BesediloUMAR"/>
        <w:rPr>
          <w:b/>
          <w:bCs/>
        </w:rPr>
      </w:pPr>
      <w:r w:rsidRPr="00A823DD">
        <w:rPr>
          <w:b/>
          <w:bCs/>
        </w:rPr>
        <w:t xml:space="preserve">Slika </w:t>
      </w:r>
      <w:r w:rsidRPr="00A823DD">
        <w:rPr>
          <w:b/>
          <w:bCs/>
        </w:rPr>
        <w:fldChar w:fldCharType="begin"/>
      </w:r>
      <w:r w:rsidRPr="00A823DD">
        <w:rPr>
          <w:b/>
          <w:bCs/>
        </w:rPr>
        <w:instrText xml:space="preserve"> SEQ Slika \* ARABIC </w:instrText>
      </w:r>
      <w:r w:rsidRPr="00A823DD">
        <w:rPr>
          <w:b/>
          <w:bCs/>
        </w:rPr>
        <w:fldChar w:fldCharType="separate"/>
      </w:r>
      <w:r w:rsidRPr="00A823DD">
        <w:rPr>
          <w:b/>
          <w:bCs/>
        </w:rPr>
        <w:t>1</w:t>
      </w:r>
      <w:r w:rsidRPr="00A823DD">
        <w:fldChar w:fldCharType="end"/>
      </w:r>
      <w:r>
        <w:t xml:space="preserve">: </w:t>
      </w:r>
      <w:r w:rsidRPr="00A823DD">
        <w:rPr>
          <w:b/>
          <w:bCs/>
        </w:rPr>
        <w:t>Zadolženost, prezadolženost</w:t>
      </w:r>
      <w:r w:rsidRPr="00A823DD">
        <w:rPr>
          <w:b/>
          <w:bCs/>
          <w:vertAlign w:val="superscript"/>
        </w:rPr>
        <w:footnoteReference w:id="3"/>
      </w:r>
      <w:r w:rsidRPr="00A823DD">
        <w:rPr>
          <w:b/>
          <w:bCs/>
        </w:rPr>
        <w:t>, likvidnost in dobičkonosnost celotnega podjetniškega sektorja</w:t>
      </w:r>
      <w:r w:rsidR="002A0948">
        <w:rPr>
          <w:rStyle w:val="FootnoteReference"/>
          <w:b/>
          <w:bCs/>
        </w:rPr>
        <w:footnoteReference w:id="4"/>
      </w:r>
      <w:r w:rsidRPr="00A823DD">
        <w:rPr>
          <w:b/>
          <w:bCs/>
        </w:rPr>
        <w:t>, 2006-2019</w:t>
      </w:r>
    </w:p>
    <w:tbl>
      <w:tblPr>
        <w:tblStyle w:val="UMARenaba"/>
        <w:tblW w:w="0" w:type="auto"/>
        <w:tblLook w:val="04A0" w:firstRow="1" w:lastRow="0" w:firstColumn="1" w:lastColumn="0" w:noHBand="0" w:noVBand="1"/>
      </w:tblPr>
      <w:tblGrid>
        <w:gridCol w:w="4535"/>
        <w:gridCol w:w="4535"/>
      </w:tblGrid>
      <w:tr w:rsidR="00A823DD" w14:paraId="1B47C4E5" w14:textId="77777777" w:rsidTr="00A823DD">
        <w:tc>
          <w:tcPr>
            <w:tcW w:w="4535" w:type="dxa"/>
          </w:tcPr>
          <w:p w14:paraId="71E5380E" w14:textId="00C9D175" w:rsidR="00A823DD" w:rsidRDefault="00A823DD" w:rsidP="00A823DD">
            <w:pPr>
              <w:pStyle w:val="BesediloUMAR"/>
            </w:pPr>
            <w:r w:rsidRPr="00A823DD">
              <w:rPr>
                <w:noProof/>
                <w:lang w:eastAsia="sl-SI"/>
              </w:rPr>
              <w:drawing>
                <wp:inline distT="0" distB="0" distL="0" distR="0" wp14:anchorId="442454E7" wp14:editId="31191960">
                  <wp:extent cx="2750400" cy="225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0400" cy="2250000"/>
                          </a:xfrm>
                          <a:prstGeom prst="rect">
                            <a:avLst/>
                          </a:prstGeom>
                          <a:noFill/>
                          <a:ln>
                            <a:noFill/>
                          </a:ln>
                        </pic:spPr>
                      </pic:pic>
                    </a:graphicData>
                  </a:graphic>
                </wp:inline>
              </w:drawing>
            </w:r>
          </w:p>
        </w:tc>
        <w:tc>
          <w:tcPr>
            <w:tcW w:w="4535" w:type="dxa"/>
          </w:tcPr>
          <w:p w14:paraId="01A46873" w14:textId="43977086" w:rsidR="00A823DD" w:rsidRDefault="00A823DD" w:rsidP="00A823DD">
            <w:pPr>
              <w:pStyle w:val="BesediloUMAR"/>
            </w:pPr>
            <w:r w:rsidRPr="00A823DD">
              <w:rPr>
                <w:noProof/>
                <w:lang w:eastAsia="sl-SI"/>
              </w:rPr>
              <w:drawing>
                <wp:inline distT="0" distB="0" distL="0" distR="0" wp14:anchorId="4EA9A774" wp14:editId="4821F013">
                  <wp:extent cx="2750400" cy="225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0400" cy="2250000"/>
                          </a:xfrm>
                          <a:prstGeom prst="rect">
                            <a:avLst/>
                          </a:prstGeom>
                          <a:noFill/>
                          <a:ln>
                            <a:noFill/>
                          </a:ln>
                        </pic:spPr>
                      </pic:pic>
                    </a:graphicData>
                  </a:graphic>
                </wp:inline>
              </w:drawing>
            </w:r>
          </w:p>
        </w:tc>
      </w:tr>
    </w:tbl>
    <w:p w14:paraId="3EBEBA31" w14:textId="77777777" w:rsidR="00A823DD" w:rsidRPr="00A823DD" w:rsidRDefault="00A823DD" w:rsidP="00A823DD">
      <w:pPr>
        <w:pStyle w:val="BesediloUMAR"/>
        <w:rPr>
          <w:sz w:val="16"/>
          <w:szCs w:val="16"/>
        </w:rPr>
      </w:pPr>
      <w:r w:rsidRPr="00A823DD">
        <w:rPr>
          <w:sz w:val="16"/>
          <w:szCs w:val="16"/>
        </w:rPr>
        <w:t xml:space="preserve">Opomba: GD – IC – gospodarske družbe z obrestno pokritostjo (EBITDA / obresti); </w:t>
      </w:r>
      <w:proofErr w:type="spellStart"/>
      <w:r w:rsidRPr="00A823DD">
        <w:rPr>
          <w:sz w:val="16"/>
          <w:szCs w:val="16"/>
        </w:rPr>
        <w:t>d.o</w:t>
      </w:r>
      <w:proofErr w:type="spellEnd"/>
      <w:r w:rsidRPr="00A823DD">
        <w:rPr>
          <w:sz w:val="16"/>
          <w:szCs w:val="16"/>
        </w:rPr>
        <w:t>. – desna os.</w:t>
      </w:r>
    </w:p>
    <w:p w14:paraId="20C0DCBC" w14:textId="2E7EF2B1" w:rsidR="00A823DD" w:rsidRPr="00A823DD" w:rsidRDefault="00A823DD" w:rsidP="00A823DD">
      <w:pPr>
        <w:pStyle w:val="BesediloUMAR"/>
        <w:rPr>
          <w:sz w:val="16"/>
          <w:szCs w:val="16"/>
        </w:rPr>
      </w:pPr>
      <w:r w:rsidRPr="00A823DD">
        <w:rPr>
          <w:sz w:val="16"/>
          <w:szCs w:val="16"/>
        </w:rPr>
        <w:t>Vir: AJPES, preračuni UMAR.</w:t>
      </w:r>
      <w:r w:rsidRPr="00A823DD">
        <w:rPr>
          <w:sz w:val="16"/>
          <w:szCs w:val="16"/>
        </w:rPr>
        <w:tab/>
      </w:r>
    </w:p>
    <w:p w14:paraId="09781EF2" w14:textId="535F8365" w:rsidR="00A823DD" w:rsidRDefault="00A823DD" w:rsidP="00A823DD">
      <w:pPr>
        <w:pStyle w:val="BesediloUMAR"/>
      </w:pPr>
    </w:p>
    <w:p w14:paraId="12409661" w14:textId="52D5D52A" w:rsidR="002D13CD" w:rsidRDefault="002D13CD" w:rsidP="00A823DD">
      <w:pPr>
        <w:pStyle w:val="BesediloUMAR"/>
      </w:pPr>
    </w:p>
    <w:p w14:paraId="705F827F" w14:textId="1B1E44F7" w:rsidR="002D13CD" w:rsidRDefault="002D13CD" w:rsidP="00A823DD">
      <w:pPr>
        <w:pStyle w:val="BesediloUMAR"/>
      </w:pPr>
    </w:p>
    <w:p w14:paraId="734870E6" w14:textId="3D201819" w:rsidR="002D13CD" w:rsidRDefault="002D13CD" w:rsidP="00A823DD">
      <w:pPr>
        <w:pStyle w:val="BesediloUMAR"/>
      </w:pPr>
    </w:p>
    <w:p w14:paraId="13494A55" w14:textId="7DB54AC9" w:rsidR="002D13CD" w:rsidRDefault="002D13CD" w:rsidP="00A823DD">
      <w:pPr>
        <w:pStyle w:val="BesediloUMAR"/>
      </w:pPr>
    </w:p>
    <w:p w14:paraId="2F02EBCB" w14:textId="1E1C9E72" w:rsidR="002D13CD" w:rsidRDefault="002D13CD" w:rsidP="00A823DD">
      <w:pPr>
        <w:pStyle w:val="BesediloUMAR"/>
      </w:pPr>
    </w:p>
    <w:p w14:paraId="4AF72AC5" w14:textId="0730999E" w:rsidR="002D13CD" w:rsidRDefault="002D13CD" w:rsidP="00A823DD">
      <w:pPr>
        <w:pStyle w:val="BesediloUMAR"/>
      </w:pPr>
    </w:p>
    <w:p w14:paraId="78C377FA" w14:textId="67D04077" w:rsidR="00205E63" w:rsidRDefault="00205E63" w:rsidP="00A823DD">
      <w:pPr>
        <w:pStyle w:val="BesediloUMAR"/>
      </w:pPr>
    </w:p>
    <w:p w14:paraId="3B461296" w14:textId="77777777" w:rsidR="008216DE" w:rsidRDefault="008216DE" w:rsidP="00A823DD">
      <w:pPr>
        <w:pStyle w:val="BesediloUMAR"/>
      </w:pPr>
    </w:p>
    <w:p w14:paraId="124D2E19" w14:textId="35EE2A35" w:rsidR="009638AF" w:rsidRDefault="009638AF" w:rsidP="00A823DD">
      <w:pPr>
        <w:pStyle w:val="BesediloUMAR"/>
      </w:pPr>
    </w:p>
    <w:p w14:paraId="0CD604C8" w14:textId="098211C0" w:rsidR="009638AF" w:rsidRDefault="009638AF" w:rsidP="00A823DD">
      <w:pPr>
        <w:pStyle w:val="BesediloUMAR"/>
      </w:pPr>
    </w:p>
    <w:p w14:paraId="5DEFA2DA" w14:textId="4D477690" w:rsidR="009638AF" w:rsidRDefault="009638AF" w:rsidP="00A823DD">
      <w:pPr>
        <w:pStyle w:val="BesediloUMAR"/>
      </w:pPr>
    </w:p>
    <w:p w14:paraId="499C4555" w14:textId="54EE7711" w:rsidR="009638AF" w:rsidRDefault="009638AF" w:rsidP="00A823DD">
      <w:pPr>
        <w:pStyle w:val="BesediloUMAR"/>
      </w:pPr>
    </w:p>
    <w:p w14:paraId="5B5AA56F" w14:textId="77777777" w:rsidR="008216DE" w:rsidRDefault="008216DE" w:rsidP="00A823DD">
      <w:pPr>
        <w:pStyle w:val="BesediloUMAR"/>
      </w:pPr>
    </w:p>
    <w:p w14:paraId="45139867" w14:textId="77777777" w:rsidR="00331BA1" w:rsidRDefault="00331BA1" w:rsidP="00A823DD">
      <w:pPr>
        <w:pStyle w:val="BesediloUMAR"/>
      </w:pPr>
    </w:p>
    <w:p w14:paraId="16CE77F0" w14:textId="29912F5D" w:rsidR="00A823DD" w:rsidRPr="00D470F0" w:rsidRDefault="002D13CD" w:rsidP="00A823DD">
      <w:pPr>
        <w:pStyle w:val="BesediloUMAR"/>
        <w:rPr>
          <w:b/>
          <w:bCs/>
        </w:rPr>
      </w:pPr>
      <w:r w:rsidRPr="002D13CD">
        <w:rPr>
          <w:b/>
          <w:bCs/>
        </w:rPr>
        <w:lastRenderedPageBreak/>
        <w:t xml:space="preserve">Tabela </w:t>
      </w:r>
      <w:r w:rsidRPr="002D13CD">
        <w:rPr>
          <w:b/>
          <w:bCs/>
        </w:rPr>
        <w:fldChar w:fldCharType="begin"/>
      </w:r>
      <w:r w:rsidRPr="002D13CD">
        <w:rPr>
          <w:b/>
          <w:bCs/>
        </w:rPr>
        <w:instrText xml:space="preserve"> SEQ Tabela \* ARABIC </w:instrText>
      </w:r>
      <w:r w:rsidRPr="002D13CD">
        <w:rPr>
          <w:b/>
          <w:bCs/>
        </w:rPr>
        <w:fldChar w:fldCharType="separate"/>
      </w:r>
      <w:r w:rsidRPr="002D13CD">
        <w:rPr>
          <w:b/>
          <w:bCs/>
        </w:rPr>
        <w:t>1</w:t>
      </w:r>
      <w:r w:rsidRPr="002D13CD">
        <w:fldChar w:fldCharType="end"/>
      </w:r>
      <w:r>
        <w:rPr>
          <w:b/>
          <w:bCs/>
        </w:rPr>
        <w:t xml:space="preserve">: </w:t>
      </w:r>
      <w:r w:rsidRPr="002D13CD">
        <w:rPr>
          <w:b/>
          <w:bCs/>
        </w:rPr>
        <w:t>Pregled sprejetih likvidnostnih ukrepov</w:t>
      </w:r>
    </w:p>
    <w:p w14:paraId="2E868DC2" w14:textId="28B60C0F" w:rsidR="00D470F0" w:rsidRDefault="00854E57" w:rsidP="00CB5A97">
      <w:pPr>
        <w:pStyle w:val="BesediloUMAR"/>
        <w:rPr>
          <w:sz w:val="16"/>
          <w:szCs w:val="16"/>
        </w:rPr>
      </w:pPr>
      <w:r w:rsidRPr="00854E57">
        <w:rPr>
          <w:noProof/>
          <w:lang w:eastAsia="sl-SI"/>
        </w:rPr>
        <w:drawing>
          <wp:inline distT="0" distB="0" distL="0" distR="0" wp14:anchorId="2A1CE5E9" wp14:editId="6DCA99EE">
            <wp:extent cx="5759450" cy="37515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3751580"/>
                    </a:xfrm>
                    <a:prstGeom prst="rect">
                      <a:avLst/>
                    </a:prstGeom>
                    <a:noFill/>
                    <a:ln>
                      <a:noFill/>
                    </a:ln>
                  </pic:spPr>
                </pic:pic>
              </a:graphicData>
            </a:graphic>
          </wp:inline>
        </w:drawing>
      </w:r>
    </w:p>
    <w:p w14:paraId="2C1EB880" w14:textId="2D0C6697" w:rsidR="00CB5A97" w:rsidRPr="00CB5A97" w:rsidRDefault="00CB5A97" w:rsidP="00CB5A97">
      <w:pPr>
        <w:pStyle w:val="BesediloUMAR"/>
        <w:rPr>
          <w:sz w:val="16"/>
          <w:szCs w:val="16"/>
        </w:rPr>
      </w:pPr>
      <w:r w:rsidRPr="00CB5A97">
        <w:rPr>
          <w:sz w:val="16"/>
          <w:szCs w:val="16"/>
        </w:rPr>
        <w:t xml:space="preserve">Opomba: </w:t>
      </w:r>
      <w:r>
        <w:rPr>
          <w:sz w:val="16"/>
          <w:szCs w:val="16"/>
        </w:rPr>
        <w:t>PKP6 – šesti paket ukrepov za omilitev posledic epidemije; RS – Republika Slovenija.</w:t>
      </w:r>
    </w:p>
    <w:p w14:paraId="3198D939" w14:textId="41CA63CF" w:rsidR="00CB5A97" w:rsidRPr="00CB5A97" w:rsidRDefault="00CB5A97" w:rsidP="00CB5A97">
      <w:pPr>
        <w:pStyle w:val="BesediloUMAR"/>
        <w:rPr>
          <w:sz w:val="16"/>
          <w:szCs w:val="16"/>
        </w:rPr>
      </w:pPr>
      <w:r w:rsidRPr="00CB5A97">
        <w:rPr>
          <w:sz w:val="16"/>
          <w:szCs w:val="16"/>
        </w:rPr>
        <w:t>Vir: Banka Slovenije, SID banka in Slovenski podjetniški sklad.</w:t>
      </w:r>
      <w:r w:rsidRPr="00CB5A97">
        <w:rPr>
          <w:sz w:val="16"/>
          <w:szCs w:val="16"/>
        </w:rPr>
        <w:tab/>
      </w:r>
    </w:p>
    <w:p w14:paraId="2B627FC7" w14:textId="77777777" w:rsidR="00CB5A97" w:rsidRPr="00A823DD" w:rsidRDefault="00CB5A97" w:rsidP="00A823DD">
      <w:pPr>
        <w:pStyle w:val="BesediloUMAR"/>
      </w:pPr>
    </w:p>
    <w:p w14:paraId="76B58106" w14:textId="0DC3A3B3" w:rsidR="00927D2B" w:rsidRDefault="009638AF" w:rsidP="002A0948">
      <w:pPr>
        <w:pStyle w:val="BesediloUMAR"/>
      </w:pPr>
      <w:r w:rsidRPr="009638AF">
        <w:rPr>
          <w:b/>
          <w:bCs/>
        </w:rPr>
        <w:t xml:space="preserve">Kljub ugodnim poslovnim trendom večine podjetij pa so se nekatera prezadolžena podjetja že pred izbruhom </w:t>
      </w:r>
      <w:r w:rsidR="00D23C8D">
        <w:rPr>
          <w:b/>
          <w:bCs/>
        </w:rPr>
        <w:t xml:space="preserve">obeh </w:t>
      </w:r>
      <w:r w:rsidRPr="009638AF">
        <w:rPr>
          <w:b/>
          <w:bCs/>
        </w:rPr>
        <w:t>epidemij soočala s težavami, ki so jih sprejeti ukrepi za blažitev posledic epidemije le začasno odložili.</w:t>
      </w:r>
      <w:r w:rsidRPr="009638AF">
        <w:t xml:space="preserve"> </w:t>
      </w:r>
      <w:r>
        <w:t xml:space="preserve"> </w:t>
      </w:r>
      <w:r w:rsidR="002A0948" w:rsidRPr="002A0948">
        <w:t>Med prezadolženimi podjetji je bilo tako že v 2019 okoli 47 % dolga takšnega, da ga podjetja niso zmogla tekoče financirati, zaradi nizkega ali še celo negativnega  denarnega toka iz poslovanja (IC&lt;1)</w:t>
      </w:r>
      <w:r w:rsidR="002A0948" w:rsidRPr="002A0948">
        <w:rPr>
          <w:vertAlign w:val="superscript"/>
        </w:rPr>
        <w:footnoteReference w:id="5"/>
      </w:r>
      <w:r w:rsidR="002A0948" w:rsidRPr="002A0948">
        <w:t xml:space="preserve"> je bil pod vprašaj postavljen njihov obstoj (glej Sliko 1). Struktura prezadolženosti kaže, da je bilo v 2019 več kot 20 % skupne prezadolženosti skoncentrirane v holdingih in </w:t>
      </w:r>
      <w:proofErr w:type="spellStart"/>
      <w:r w:rsidR="002A0948" w:rsidRPr="002A0948">
        <w:t>lizingih</w:t>
      </w:r>
      <w:proofErr w:type="spellEnd"/>
      <w:r w:rsidR="002A0948" w:rsidRPr="002A0948">
        <w:t>, več kot 10 % pa so je imele še nepremičninska dejavnost, trgovina, predelovalne in strokovno-tehnične dejavnosti. Po velikosti gledano pa večino prezadolženih podjetij predstavljajo MSP (</w:t>
      </w:r>
      <w:r>
        <w:t>večinoma</w:t>
      </w:r>
      <w:r w:rsidR="002A0948" w:rsidRPr="002A0948">
        <w:t xml:space="preserve"> </w:t>
      </w:r>
      <w:proofErr w:type="spellStart"/>
      <w:r w:rsidR="002A0948" w:rsidRPr="002A0948">
        <w:t>mikro</w:t>
      </w:r>
      <w:proofErr w:type="spellEnd"/>
      <w:r w:rsidR="002A0948" w:rsidRPr="002A0948">
        <w:t xml:space="preserve"> podjetja</w:t>
      </w:r>
      <w:r>
        <w:t>; glej Tabelo 2</w:t>
      </w:r>
      <w:r w:rsidR="002A0948" w:rsidRPr="002A0948">
        <w:t>).</w:t>
      </w:r>
      <w:r w:rsidRPr="009638AF">
        <w:t xml:space="preserve"> Prezadolžena podjetja so tako svoje težave, predvsem zaradi različnih oblik pomoči za ohranjanje zaposlenosti, odlogov plačil davkov in obveznosti iz kreditnih pogodb (ZIUOPOK - kar tri četrtine vlog je bilo vloženih v prvem mesecu veljave zakona), samo začasno odložila in pričakuje se, da bodo njihove težave vidnejše po izteku ukrepov, kar naj bi bilo v drugi polovici 2021 in v 2022.</w:t>
      </w:r>
    </w:p>
    <w:p w14:paraId="7F26DF5B" w14:textId="11539268" w:rsidR="00927D2B" w:rsidRDefault="00927D2B" w:rsidP="002A0948">
      <w:pPr>
        <w:pStyle w:val="BesediloUMAR"/>
      </w:pPr>
    </w:p>
    <w:p w14:paraId="4E246C6F" w14:textId="6660B131" w:rsidR="00927D2B" w:rsidRDefault="00927D2B" w:rsidP="002A0948">
      <w:pPr>
        <w:pStyle w:val="BesediloUMAR"/>
      </w:pPr>
    </w:p>
    <w:p w14:paraId="6491AD5A" w14:textId="49943540" w:rsidR="00076D24" w:rsidRDefault="00076D24" w:rsidP="00D470F0">
      <w:pPr>
        <w:pStyle w:val="BesediloUMAR"/>
      </w:pPr>
    </w:p>
    <w:p w14:paraId="55CBBFE1" w14:textId="6DF98D29" w:rsidR="00076D24" w:rsidRDefault="00076D24" w:rsidP="00D470F0">
      <w:pPr>
        <w:pStyle w:val="BesediloUMAR"/>
      </w:pPr>
    </w:p>
    <w:p w14:paraId="32F021DF" w14:textId="41502A8C" w:rsidR="009638AF" w:rsidRDefault="009638AF" w:rsidP="00D470F0">
      <w:pPr>
        <w:pStyle w:val="BesediloUMAR"/>
      </w:pPr>
    </w:p>
    <w:p w14:paraId="3B7D2217" w14:textId="4A918F0B" w:rsidR="009638AF" w:rsidRDefault="009638AF" w:rsidP="00D470F0">
      <w:pPr>
        <w:pStyle w:val="BesediloUMAR"/>
      </w:pPr>
    </w:p>
    <w:p w14:paraId="4D2965CC" w14:textId="77777777" w:rsidR="009638AF" w:rsidRDefault="009638AF" w:rsidP="00D470F0">
      <w:pPr>
        <w:pStyle w:val="BesediloUMAR"/>
      </w:pPr>
    </w:p>
    <w:p w14:paraId="70BD4DDC" w14:textId="77777777" w:rsidR="00FF07D5" w:rsidRDefault="00FF07D5" w:rsidP="00D470F0">
      <w:pPr>
        <w:pStyle w:val="BesediloUMAR"/>
      </w:pPr>
    </w:p>
    <w:p w14:paraId="2A09C6CD" w14:textId="61F1155D" w:rsidR="00BE5BBA" w:rsidRPr="00BE5BBA" w:rsidRDefault="00D470F0" w:rsidP="00BE5BBA">
      <w:pPr>
        <w:pStyle w:val="Caption"/>
      </w:pPr>
      <w:r w:rsidRPr="00D470F0">
        <w:lastRenderedPageBreak/>
        <w:t xml:space="preserve">Tabela </w:t>
      </w:r>
      <w:r>
        <w:t xml:space="preserve">2: </w:t>
      </w:r>
      <w:r w:rsidRPr="00D470F0">
        <w:t xml:space="preserve"> </w:t>
      </w:r>
      <w:r w:rsidR="00770A50" w:rsidRPr="00770A50">
        <w:t xml:space="preserve">Struktura prezadolženosti, glede na velikost in izbrane dejavnosti prezadolženih podjetij </w:t>
      </w:r>
      <w:r w:rsidR="00770A50">
        <w:br/>
      </w:r>
      <w:r w:rsidR="00770A50" w:rsidRPr="00770A50">
        <w:t>(v %), 2019</w:t>
      </w:r>
    </w:p>
    <w:p w14:paraId="6048DEB6" w14:textId="6730FEF2" w:rsidR="00BE5BBA" w:rsidRDefault="00BE5BBA" w:rsidP="00770A50">
      <w:pPr>
        <w:pStyle w:val="BesediloUMAR"/>
        <w:rPr>
          <w:sz w:val="15"/>
          <w:szCs w:val="15"/>
        </w:rPr>
      </w:pPr>
      <w:r w:rsidRPr="00BE5BBA">
        <w:drawing>
          <wp:inline distT="0" distB="0" distL="0" distR="0" wp14:anchorId="0885D9E9" wp14:editId="64BEB840">
            <wp:extent cx="5759450" cy="22783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278380"/>
                    </a:xfrm>
                    <a:prstGeom prst="rect">
                      <a:avLst/>
                    </a:prstGeom>
                    <a:noFill/>
                    <a:ln>
                      <a:noFill/>
                    </a:ln>
                  </pic:spPr>
                </pic:pic>
              </a:graphicData>
            </a:graphic>
          </wp:inline>
        </w:drawing>
      </w:r>
    </w:p>
    <w:p w14:paraId="7604AAC0" w14:textId="541C6483" w:rsidR="00770A50" w:rsidRPr="009638AF" w:rsidRDefault="00770A50" w:rsidP="00770A50">
      <w:pPr>
        <w:pStyle w:val="BesediloUMAR"/>
        <w:rPr>
          <w:sz w:val="15"/>
          <w:szCs w:val="15"/>
        </w:rPr>
      </w:pPr>
      <w:r w:rsidRPr="009638AF">
        <w:rPr>
          <w:sz w:val="15"/>
          <w:szCs w:val="15"/>
        </w:rPr>
        <w:t xml:space="preserve">Opomba: MSP – </w:t>
      </w:r>
      <w:proofErr w:type="spellStart"/>
      <w:r w:rsidRPr="009638AF">
        <w:rPr>
          <w:sz w:val="15"/>
          <w:szCs w:val="15"/>
        </w:rPr>
        <w:t>mikro</w:t>
      </w:r>
      <w:proofErr w:type="spellEnd"/>
      <w:r w:rsidRPr="009638AF">
        <w:rPr>
          <w:sz w:val="15"/>
          <w:szCs w:val="15"/>
        </w:rPr>
        <w:t>, majhna in srednje velika podjetja; upoštevan kriterij za velikost podjetja: povprečno število delavcev v poslovnem letu.</w:t>
      </w:r>
    </w:p>
    <w:p w14:paraId="2CFBCB4B" w14:textId="77777777" w:rsidR="00770A50" w:rsidRPr="009638AF" w:rsidRDefault="00770A50" w:rsidP="00770A50">
      <w:pPr>
        <w:pStyle w:val="BesediloUMAR"/>
        <w:rPr>
          <w:sz w:val="15"/>
          <w:szCs w:val="15"/>
        </w:rPr>
      </w:pPr>
      <w:r w:rsidRPr="009638AF">
        <w:rPr>
          <w:sz w:val="15"/>
          <w:szCs w:val="15"/>
        </w:rPr>
        <w:t>Vir: AJPES, preračuni UMAR.</w:t>
      </w:r>
    </w:p>
    <w:p w14:paraId="01F2A256" w14:textId="77777777" w:rsidR="002950A0" w:rsidRDefault="002950A0" w:rsidP="00E60966">
      <w:pPr>
        <w:pStyle w:val="BesediloUMAR"/>
        <w:rPr>
          <w:sz w:val="16"/>
          <w:szCs w:val="16"/>
        </w:rPr>
      </w:pPr>
    </w:p>
    <w:p w14:paraId="0D1A161A" w14:textId="69F41DB0" w:rsidR="009638AF" w:rsidRPr="009638AF" w:rsidRDefault="009638AF" w:rsidP="009638AF">
      <w:pPr>
        <w:pStyle w:val="BesediloUMAR"/>
      </w:pPr>
      <w:r w:rsidRPr="009638AF">
        <w:rPr>
          <w:b/>
          <w:bCs/>
        </w:rPr>
        <w:t xml:space="preserve">Najbolj problematična med prezadolženimi podjetji iz leta 2019 imajo, kljub ukrepom za pomoč gospodarstvu, že sedaj precejšnje težave in verjetnost za njihove stečaje je razmeroma visoka. </w:t>
      </w:r>
      <w:r>
        <w:t xml:space="preserve">To so </w:t>
      </w:r>
      <w:r w:rsidR="002950A0" w:rsidRPr="002950A0">
        <w:t>podjetja, ki imajo finančni dolg in negativen EBITDA</w:t>
      </w:r>
      <w:r>
        <w:t>.</w:t>
      </w:r>
      <w:r w:rsidR="002950A0" w:rsidRPr="002950A0">
        <w:rPr>
          <w:vertAlign w:val="superscript"/>
        </w:rPr>
        <w:footnoteReference w:id="6"/>
      </w:r>
      <w:r w:rsidR="002950A0" w:rsidRPr="002950A0">
        <w:t xml:space="preserve"> Po velikosti gledano večino najbolj problematičnih podjetij predstavljajo MSP (skoraj 80 %</w:t>
      </w:r>
      <w:r w:rsidR="00230382">
        <w:t xml:space="preserve">; </w:t>
      </w:r>
      <w:r w:rsidR="002950A0" w:rsidRPr="002950A0">
        <w:t xml:space="preserve"> predvsem </w:t>
      </w:r>
      <w:proofErr w:type="spellStart"/>
      <w:r w:rsidR="002950A0" w:rsidRPr="002950A0">
        <w:t>mikro</w:t>
      </w:r>
      <w:proofErr w:type="spellEnd"/>
      <w:r w:rsidR="002950A0" w:rsidRPr="002950A0">
        <w:t xml:space="preserve"> podjetja). Po dejavnostih je bilo več kot 30 % skupne prezadolženosti teh podjetij skoncentrirane v holdingih in </w:t>
      </w:r>
      <w:proofErr w:type="spellStart"/>
      <w:r w:rsidR="002950A0" w:rsidRPr="002950A0">
        <w:t>lizingih</w:t>
      </w:r>
      <w:proofErr w:type="spellEnd"/>
      <w:r w:rsidR="002950A0" w:rsidRPr="002950A0">
        <w:t>, več kot 10 % pa so jih imele še predelovalne dejavnosti in strokovno-tehnične dejavnosti (glej Sliko 2).</w:t>
      </w:r>
    </w:p>
    <w:p w14:paraId="439BF39F" w14:textId="77777777" w:rsidR="00464106" w:rsidRDefault="00464106" w:rsidP="002950A0">
      <w:pPr>
        <w:pStyle w:val="BesediloUMAR"/>
      </w:pPr>
    </w:p>
    <w:p w14:paraId="5A6D0D8D" w14:textId="53CFB65D" w:rsidR="00745158" w:rsidRDefault="00745158" w:rsidP="00745158">
      <w:pPr>
        <w:pStyle w:val="BesediloUMAR"/>
        <w:rPr>
          <w:b/>
          <w:bCs/>
        </w:rPr>
      </w:pPr>
      <w:r w:rsidRPr="00745158">
        <w:rPr>
          <w:b/>
          <w:bCs/>
        </w:rPr>
        <w:t xml:space="preserve">Slika </w:t>
      </w:r>
      <w:r>
        <w:rPr>
          <w:b/>
          <w:bCs/>
        </w:rPr>
        <w:t xml:space="preserve">2: </w:t>
      </w:r>
      <w:r w:rsidRPr="00745158">
        <w:rPr>
          <w:b/>
          <w:bCs/>
        </w:rPr>
        <w:t>Struktura prezadolženosti (oz. finančnega dolga), glede na velikost in izbrane dejavnosti najbolj problematičnih podjetij (v %), 2019</w:t>
      </w:r>
    </w:p>
    <w:p w14:paraId="6293DEC8" w14:textId="77777777" w:rsidR="008216DE" w:rsidRPr="00745158" w:rsidRDefault="008216DE" w:rsidP="008216DE">
      <w:pPr>
        <w:pStyle w:val="VirUMAR"/>
        <w:spacing w:before="0"/>
      </w:pPr>
    </w:p>
    <w:tbl>
      <w:tblPr>
        <w:tblStyle w:val="UMARenaba"/>
        <w:tblW w:w="0" w:type="auto"/>
        <w:tblLook w:val="04A0" w:firstRow="1" w:lastRow="0" w:firstColumn="1" w:lastColumn="0" w:noHBand="0" w:noVBand="1"/>
      </w:tblPr>
      <w:tblGrid>
        <w:gridCol w:w="4544"/>
        <w:gridCol w:w="4526"/>
      </w:tblGrid>
      <w:tr w:rsidR="00464106" w14:paraId="2FBC7B59" w14:textId="77777777" w:rsidTr="009111C4">
        <w:tc>
          <w:tcPr>
            <w:tcW w:w="4544" w:type="dxa"/>
          </w:tcPr>
          <w:p w14:paraId="384209A5" w14:textId="25A3607F" w:rsidR="00745158" w:rsidRDefault="006903FF" w:rsidP="00745158">
            <w:pPr>
              <w:pStyle w:val="BesediloUMAR"/>
              <w:rPr>
                <w:b/>
                <w:bCs/>
              </w:rPr>
            </w:pPr>
            <w:r w:rsidRPr="006903FF">
              <w:rPr>
                <w:b/>
                <w:bCs/>
                <w:noProof/>
                <w:lang w:eastAsia="sl-SI"/>
              </w:rPr>
              <w:drawing>
                <wp:inline distT="0" distB="0" distL="0" distR="0" wp14:anchorId="57F29B02" wp14:editId="7AF7E038">
                  <wp:extent cx="2671200" cy="2210400"/>
                  <wp:effectExtent l="0" t="0" r="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1200" cy="2210400"/>
                          </a:xfrm>
                          <a:prstGeom prst="rect">
                            <a:avLst/>
                          </a:prstGeom>
                          <a:noFill/>
                          <a:ln>
                            <a:noFill/>
                          </a:ln>
                        </pic:spPr>
                      </pic:pic>
                    </a:graphicData>
                  </a:graphic>
                </wp:inline>
              </w:drawing>
            </w:r>
          </w:p>
        </w:tc>
        <w:tc>
          <w:tcPr>
            <w:tcW w:w="4526" w:type="dxa"/>
          </w:tcPr>
          <w:p w14:paraId="5878DCD3" w14:textId="546B5E1E" w:rsidR="00745158" w:rsidRDefault="00F83D37" w:rsidP="00745158">
            <w:pPr>
              <w:pStyle w:val="BesediloUMAR"/>
              <w:rPr>
                <w:b/>
                <w:bCs/>
              </w:rPr>
            </w:pPr>
            <w:r w:rsidRPr="00F83D37">
              <w:rPr>
                <w:b/>
                <w:bCs/>
                <w:noProof/>
                <w:lang w:eastAsia="sl-SI"/>
              </w:rPr>
              <w:drawing>
                <wp:inline distT="0" distB="0" distL="0" distR="0" wp14:anchorId="370CE2AB" wp14:editId="1261B2B7">
                  <wp:extent cx="2718000" cy="2170800"/>
                  <wp:effectExtent l="0" t="0" r="635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8000" cy="2170800"/>
                          </a:xfrm>
                          <a:prstGeom prst="rect">
                            <a:avLst/>
                          </a:prstGeom>
                          <a:noFill/>
                          <a:ln>
                            <a:noFill/>
                          </a:ln>
                        </pic:spPr>
                      </pic:pic>
                    </a:graphicData>
                  </a:graphic>
                </wp:inline>
              </w:drawing>
            </w:r>
          </w:p>
        </w:tc>
      </w:tr>
    </w:tbl>
    <w:p w14:paraId="51A7AB4A" w14:textId="77777777" w:rsidR="009638AF" w:rsidRPr="009638AF" w:rsidRDefault="009111C4" w:rsidP="00464106">
      <w:pPr>
        <w:pStyle w:val="BesediloUMAR"/>
        <w:spacing w:line="240" w:lineRule="auto"/>
        <w:rPr>
          <w:sz w:val="15"/>
          <w:szCs w:val="15"/>
        </w:rPr>
      </w:pPr>
      <w:r w:rsidRPr="009638AF">
        <w:rPr>
          <w:sz w:val="15"/>
          <w:szCs w:val="15"/>
        </w:rPr>
        <w:t xml:space="preserve">Opomba: : C – predelovalne dej., D+E – Energetika, F – gradbeništvo, G – trgovina, H – promet in skladiščenje, HL – holdingi in </w:t>
      </w:r>
      <w:proofErr w:type="spellStart"/>
      <w:r w:rsidRPr="009638AF">
        <w:rPr>
          <w:sz w:val="15"/>
          <w:szCs w:val="15"/>
        </w:rPr>
        <w:t>lizingi</w:t>
      </w:r>
      <w:proofErr w:type="spellEnd"/>
      <w:r w:rsidRPr="009638AF">
        <w:rPr>
          <w:sz w:val="15"/>
          <w:szCs w:val="15"/>
        </w:rPr>
        <w:t xml:space="preserve">, </w:t>
      </w:r>
      <w:r w:rsidRPr="009638AF">
        <w:rPr>
          <w:sz w:val="15"/>
          <w:szCs w:val="15"/>
        </w:rPr>
        <w:br/>
        <w:t>I – gostinstvo, J – komunikacijske dej., L – nepremičninska dej., M – strokovno-tehnične dej., OSTALO</w:t>
      </w:r>
      <w:r w:rsidRPr="009638AF">
        <w:rPr>
          <w:sz w:val="15"/>
          <w:szCs w:val="15"/>
          <w:vertAlign w:val="superscript"/>
        </w:rPr>
        <w:footnoteReference w:id="7"/>
      </w:r>
      <w:r w:rsidRPr="009638AF">
        <w:rPr>
          <w:sz w:val="15"/>
          <w:szCs w:val="15"/>
        </w:rPr>
        <w:t xml:space="preserve"> – A, B, del K, N, R, S, O-Q, U.</w:t>
      </w:r>
    </w:p>
    <w:p w14:paraId="2FE7D601" w14:textId="4911DF63" w:rsidR="009111C4" w:rsidRPr="008216DE" w:rsidRDefault="009111C4" w:rsidP="008216DE">
      <w:pPr>
        <w:pStyle w:val="BesediloUMAR"/>
        <w:spacing w:line="240" w:lineRule="auto"/>
        <w:rPr>
          <w:sz w:val="15"/>
          <w:szCs w:val="15"/>
        </w:rPr>
      </w:pPr>
      <w:r w:rsidRPr="009638AF">
        <w:rPr>
          <w:sz w:val="15"/>
          <w:szCs w:val="15"/>
        </w:rPr>
        <w:lastRenderedPageBreak/>
        <w:t>Vir: AJPES, preračuni UMAR.</w:t>
      </w:r>
    </w:p>
    <w:p w14:paraId="70FBD9A1" w14:textId="67AD7272" w:rsidR="00A95A40" w:rsidRPr="00A95A40" w:rsidRDefault="00BD775B" w:rsidP="00A95A40">
      <w:pPr>
        <w:pStyle w:val="BesediloUMAR"/>
      </w:pPr>
      <w:r w:rsidRPr="00BD775B">
        <w:rPr>
          <w:b/>
          <w:bCs/>
        </w:rPr>
        <w:t xml:space="preserve">Poleg problematičnih prezadolženih podjetji se </w:t>
      </w:r>
      <w:r w:rsidR="00331BA1">
        <w:rPr>
          <w:b/>
          <w:bCs/>
        </w:rPr>
        <w:t xml:space="preserve">je v 2020 </w:t>
      </w:r>
      <w:r w:rsidRPr="00BD775B">
        <w:rPr>
          <w:b/>
          <w:bCs/>
        </w:rPr>
        <w:t>poveč</w:t>
      </w:r>
      <w:r w:rsidR="00331BA1">
        <w:rPr>
          <w:b/>
          <w:bCs/>
        </w:rPr>
        <w:t>ala</w:t>
      </w:r>
      <w:r w:rsidRPr="00BD775B">
        <w:rPr>
          <w:b/>
          <w:bCs/>
        </w:rPr>
        <w:t xml:space="preserve"> verjetnost </w:t>
      </w:r>
      <w:r>
        <w:rPr>
          <w:b/>
          <w:bCs/>
        </w:rPr>
        <w:t xml:space="preserve">plačilne nesposobnosti </w:t>
      </w:r>
      <w:r w:rsidRPr="00BD775B">
        <w:rPr>
          <w:b/>
          <w:bCs/>
        </w:rPr>
        <w:t>mnogim podjetjem iz storitvenih dejavnosti, ki morajo biti v skladu s preventivnimi ukrepi za preprečevanje širitve virusa, zaprt</w:t>
      </w:r>
      <w:r>
        <w:rPr>
          <w:b/>
          <w:bCs/>
        </w:rPr>
        <w:t>a</w:t>
      </w:r>
      <w:r w:rsidRPr="00BD775B">
        <w:rPr>
          <w:b/>
          <w:bCs/>
        </w:rPr>
        <w:t xml:space="preserve">. </w:t>
      </w:r>
      <w:r>
        <w:rPr>
          <w:b/>
          <w:bCs/>
        </w:rPr>
        <w:t xml:space="preserve"> </w:t>
      </w:r>
      <w:r w:rsidRPr="00BD775B">
        <w:t>Podjetja iz: (i) gostinstva (katerega del je tudi turizem), (ii) prometa in skladiščenja – del, ki je močno vezan na turizem in (iii) kulturno, razvedrilnih in rekreacijskih dejavnosti in (iv) drugih dejavnosti</w:t>
      </w:r>
      <w:r w:rsidR="002D2B93">
        <w:t>,</w:t>
      </w:r>
      <w:r w:rsidRPr="00BD775B">
        <w:t xml:space="preserve"> morajo biti večinoma zaprta. Ukrepi delnega subvencioniranja fiksnih stroškov, različni ukrepi za ohranjanje</w:t>
      </w:r>
      <w:r>
        <w:t xml:space="preserve"> zaposlenosti</w:t>
      </w:r>
      <w:r w:rsidRPr="00BD775B">
        <w:t>, moratoriji na davke in kredite, obsežno likvidnostno financiranje vseh podjetij in namensko financiranje turizma, gostinstva ter naložb v raziskave, razvoj in inovacije s strani SID banke in Slovenskega podjetniškega sklada, morda ne bodo v celoti uspela nadomestiti izpada prihodkov, zaradi začasnega zaprtja.</w:t>
      </w:r>
      <w:r>
        <w:rPr>
          <w:b/>
          <w:bCs/>
        </w:rPr>
        <w:t xml:space="preserve"> </w:t>
      </w:r>
      <w:r w:rsidRPr="00BD775B">
        <w:rPr>
          <w:b/>
          <w:bCs/>
        </w:rPr>
        <w:t xml:space="preserve"> </w:t>
      </w:r>
      <w:r w:rsidR="00A95A40" w:rsidRPr="00A95A40">
        <w:t>Rizična so tudi nekatera start-up podjetja, iz strokovno-tehničnih dejavnosti (M), ki so za svoje poslovanje potrebovala precej zagonskega kapitala, a imajo sedaj omejene zmožnosti za lansiranje in prodajo svojih produktov na trgu.</w:t>
      </w:r>
      <w:r>
        <w:t xml:space="preserve"> </w:t>
      </w:r>
      <w:r w:rsidR="00A95A40" w:rsidRPr="00A95A40">
        <w:t>Kljub temu pa so podatki: (i) število pravnih oseb, po številu dni evidentiranih neporavnanih obveznosti, (ii) število začetih stečajnih postopkov nad gospodarskimi družbami in samostojnimi podjetniki ter (iii) število osebnih stečajev, za</w:t>
      </w:r>
      <w:r w:rsidR="007E612A">
        <w:t xml:space="preserve"> </w:t>
      </w:r>
      <w:r w:rsidR="00824B69" w:rsidRPr="00824B69">
        <w:t xml:space="preserve"> deset mesecev</w:t>
      </w:r>
      <w:r w:rsidR="00A95A40" w:rsidRPr="00A95A40">
        <w:t xml:space="preserve"> leta 2020 še dokaj vzpodbudni.</w:t>
      </w:r>
      <w:r w:rsidR="007E612A">
        <w:t xml:space="preserve"> </w:t>
      </w:r>
      <w:r w:rsidR="007E612A" w:rsidRPr="007E612A">
        <w:t>Povprečno mesečno število pravnih oseb z neporavnanimi obveznostmi je bilo v prvih desetih mesecih  letošnjega leta za 15,5 % manjše kot v enakem obdobju lani, povprečni dnevni neporavnani zneski pa so bili nižji za tretjino (33,4</w:t>
      </w:r>
      <w:r w:rsidR="002D2B93">
        <w:t xml:space="preserve"> %</w:t>
      </w:r>
      <w:r w:rsidR="00230382">
        <w:t xml:space="preserve">; </w:t>
      </w:r>
      <w:r w:rsidR="007E612A" w:rsidRPr="007E612A">
        <w:t>glej Sliko 3). Število neplačnikov se je zmanjšalo v vseh dejavnostih, najbolj v trgovini (128), gradbeništvu ter strokovnih, znanstvenih in tehničnih dejavnostih (po 88). Skoraj tri četrtine (71,7</w:t>
      </w:r>
      <w:r w:rsidR="00230382">
        <w:t xml:space="preserve"> </w:t>
      </w:r>
      <w:r w:rsidR="007E612A" w:rsidRPr="007E612A">
        <w:t xml:space="preserve">%) pravnih oseb z neporavnanimi obveznostmi je </w:t>
      </w:r>
      <w:proofErr w:type="spellStart"/>
      <w:r w:rsidR="007E612A" w:rsidRPr="007E612A">
        <w:t>mikro</w:t>
      </w:r>
      <w:proofErr w:type="spellEnd"/>
      <w:r w:rsidR="007E612A" w:rsidRPr="007E612A">
        <w:t xml:space="preserve"> družb, ki dolgujejo več kot polovico vseh dospelih neporavnanih obveznosti, medtem ko je delež malih družb 4 %, njihov delež povprečnega dnevnega zneska neporavnanih obveznosti pa je 19 %.</w:t>
      </w:r>
      <w:r w:rsidR="007E612A">
        <w:t xml:space="preserve"> </w:t>
      </w:r>
      <w:r w:rsidR="007E612A" w:rsidRPr="007E612A">
        <w:t>Podatki o številu začetih stečajev za prvih deset mesecev leta še niso dosegli najvišje točke (glej Tabeli 3 in 4). Njihovo število z zamikom narašča, saj je Zakon o interventnih ukrepih za zajezitev COVID-19 in omilitev njenih posledic za državljane in gospodarstvo (ZIUZEOP) odložil izvrševanje sklepov o izvršbi.</w:t>
      </w:r>
      <w:r w:rsidR="00230382" w:rsidRPr="00230382">
        <w:rPr>
          <w:vertAlign w:val="superscript"/>
        </w:rPr>
        <w:footnoteReference w:id="8"/>
      </w:r>
      <w:r w:rsidR="00230382">
        <w:rPr>
          <w:rFonts w:asciiTheme="minorHAnsi" w:hAnsiTheme="minorHAnsi"/>
          <w:sz w:val="22"/>
          <w:vertAlign w:val="superscript"/>
        </w:rPr>
        <w:t xml:space="preserve"> </w:t>
      </w:r>
      <w:r w:rsidR="007E612A" w:rsidRPr="007E612A">
        <w:t>Večji porast se pričakuje v začetku leta</w:t>
      </w:r>
      <w:r w:rsidR="002D2B93">
        <w:t xml:space="preserve"> 2021</w:t>
      </w:r>
      <w:r w:rsidR="00A95A40" w:rsidRPr="007E612A">
        <w:t>.</w:t>
      </w:r>
      <w:r w:rsidR="00A95A40" w:rsidRPr="00A95A40">
        <w:t xml:space="preserve"> Slednjega bi pa lahko v nadaljevanju blažila: (i) do 30.</w:t>
      </w:r>
      <w:r w:rsidR="002D2B93">
        <w:t xml:space="preserve"> </w:t>
      </w:r>
      <w:r w:rsidR="00A95A40" w:rsidRPr="00A95A40">
        <w:t>6.</w:t>
      </w:r>
      <w:r w:rsidR="002D2B93">
        <w:t xml:space="preserve"> </w:t>
      </w:r>
      <w:r w:rsidR="00A95A40" w:rsidRPr="00A95A40">
        <w:t>202</w:t>
      </w:r>
      <w:r w:rsidR="0048659B">
        <w:t>1</w:t>
      </w:r>
      <w:r w:rsidR="00A95A40" w:rsidRPr="00A95A40">
        <w:t xml:space="preserve"> podaljšana in s</w:t>
      </w:r>
      <w:r w:rsidR="00F96537" w:rsidRPr="00F96537">
        <w:t xml:space="preserve"> šesti</w:t>
      </w:r>
      <w:r w:rsidR="00F96537">
        <w:t>m</w:t>
      </w:r>
      <w:r w:rsidR="00F96537" w:rsidRPr="00F96537">
        <w:t xml:space="preserve"> paket</w:t>
      </w:r>
      <w:r w:rsidR="00F96537">
        <w:t>om</w:t>
      </w:r>
      <w:r w:rsidR="00F96537" w:rsidRPr="00F96537">
        <w:t xml:space="preserve"> ukrepov za omilitev posledic epidemije </w:t>
      </w:r>
      <w:r w:rsidR="00F96537">
        <w:t>(</w:t>
      </w:r>
      <w:r w:rsidR="00A95A40" w:rsidRPr="00A95A40">
        <w:t>PKP6</w:t>
      </w:r>
      <w:r w:rsidR="00F96537">
        <w:t>)</w:t>
      </w:r>
      <w:r w:rsidR="00A95A40" w:rsidRPr="00A95A40">
        <w:t xml:space="preserve"> tudi prilagojena ter do sedaj še v večini neizkoriščena shema jamstev </w:t>
      </w:r>
      <w:r w:rsidR="00F96537">
        <w:t>Republike Slovenije</w:t>
      </w:r>
      <w:r w:rsidR="00A95A40" w:rsidRPr="00A95A40">
        <w:t xml:space="preserve"> (po ZDLGPE) – na voljo je še 1.9</w:t>
      </w:r>
      <w:r w:rsidR="005009C2">
        <w:t>27</w:t>
      </w:r>
      <w:r w:rsidR="00A95A40" w:rsidRPr="00A95A40">
        <w:t>,</w:t>
      </w:r>
      <w:r w:rsidR="005009C2">
        <w:t>6</w:t>
      </w:r>
      <w:r w:rsidR="00A95A40" w:rsidRPr="00A95A40">
        <w:t xml:space="preserve"> mio EUR </w:t>
      </w:r>
      <w:r w:rsidR="00230382">
        <w:t xml:space="preserve"> </w:t>
      </w:r>
      <w:r w:rsidR="00A95A40" w:rsidRPr="00A95A40">
        <w:t>jamstev, (ii) do sedaj le v višini slabe tretjine izkoriščena shema jamstev R</w:t>
      </w:r>
      <w:r w:rsidR="00F96537">
        <w:t>epublike Slovenije</w:t>
      </w:r>
      <w:r w:rsidR="00A95A40" w:rsidRPr="00A95A40">
        <w:t xml:space="preserve"> (po ZIUZEOP) – na voljo je še 13</w:t>
      </w:r>
      <w:r w:rsidR="005009C2">
        <w:t>8</w:t>
      </w:r>
      <w:r w:rsidR="00A95A40" w:rsidRPr="00A95A40">
        <w:t>,</w:t>
      </w:r>
      <w:r w:rsidR="005009C2">
        <w:t>7</w:t>
      </w:r>
      <w:r w:rsidR="00A95A40" w:rsidRPr="00A95A40">
        <w:t xml:space="preserve"> mio EUR, (iii) podaljšani moratoriji na odplačevanje kreditov in (iv) različni likvidnostni krediti SID banke in Slovenskega podjetniškega sklada.</w:t>
      </w:r>
    </w:p>
    <w:p w14:paraId="63B0BC60" w14:textId="77777777" w:rsidR="00BD775B" w:rsidRDefault="00BD775B" w:rsidP="00A95A40">
      <w:pPr>
        <w:pStyle w:val="BesediloUMAR"/>
        <w:rPr>
          <w:b/>
          <w:bCs/>
        </w:rPr>
      </w:pPr>
    </w:p>
    <w:p w14:paraId="4756F33C" w14:textId="5630BD5C" w:rsidR="002620A7" w:rsidRPr="002620A7" w:rsidRDefault="00D741D2" w:rsidP="002620A7">
      <w:pPr>
        <w:pStyle w:val="BesediloUMAR"/>
        <w:rPr>
          <w:b/>
          <w:bCs/>
        </w:rPr>
      </w:pPr>
      <w:r w:rsidRPr="00A76AB8">
        <w:rPr>
          <w:b/>
          <w:bCs/>
        </w:rPr>
        <w:t xml:space="preserve">Slika 3: </w:t>
      </w:r>
      <w:r w:rsidR="002620A7" w:rsidRPr="00A76AB8">
        <w:rPr>
          <w:b/>
          <w:bCs/>
        </w:rPr>
        <w:t>Število pravnih oseb, po številu dni evidentiranih neporavnanih obveznostih, 2008–</w:t>
      </w:r>
      <w:r w:rsidR="00A76AB8" w:rsidRPr="00A76AB8">
        <w:rPr>
          <w:b/>
          <w:bCs/>
        </w:rPr>
        <w:t>oktober</w:t>
      </w:r>
      <w:r w:rsidR="002620A7" w:rsidRPr="00A76AB8">
        <w:rPr>
          <w:b/>
          <w:bCs/>
        </w:rPr>
        <w:t xml:space="preserve"> 2020</w:t>
      </w:r>
    </w:p>
    <w:p w14:paraId="74775E1C" w14:textId="367AC7BF" w:rsidR="00D741D2" w:rsidRDefault="00A76AB8" w:rsidP="00A95A40">
      <w:pPr>
        <w:pStyle w:val="BesediloUMAR"/>
        <w:rPr>
          <w:b/>
          <w:bCs/>
        </w:rPr>
      </w:pPr>
      <w:r w:rsidRPr="00A76AB8">
        <w:rPr>
          <w:noProof/>
          <w:lang w:eastAsia="sl-SI"/>
        </w:rPr>
        <w:drawing>
          <wp:inline distT="0" distB="0" distL="0" distR="0" wp14:anchorId="3EA3802D" wp14:editId="5B5FC690">
            <wp:extent cx="5759450" cy="20904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2090420"/>
                    </a:xfrm>
                    <a:prstGeom prst="rect">
                      <a:avLst/>
                    </a:prstGeom>
                    <a:noFill/>
                    <a:ln>
                      <a:noFill/>
                    </a:ln>
                  </pic:spPr>
                </pic:pic>
              </a:graphicData>
            </a:graphic>
          </wp:inline>
        </w:drawing>
      </w:r>
    </w:p>
    <w:p w14:paraId="0C292645" w14:textId="2B41DC77" w:rsidR="00D741D2" w:rsidRDefault="002620A7" w:rsidP="00A95A40">
      <w:pPr>
        <w:pStyle w:val="BesediloUMAR"/>
        <w:rPr>
          <w:sz w:val="16"/>
          <w:szCs w:val="16"/>
        </w:rPr>
      </w:pPr>
      <w:r w:rsidRPr="002620A7">
        <w:rPr>
          <w:sz w:val="16"/>
          <w:szCs w:val="16"/>
        </w:rPr>
        <w:t>Vir: AJPES.</w:t>
      </w:r>
    </w:p>
    <w:p w14:paraId="18B39E5E" w14:textId="6E000D2B" w:rsidR="002620A7" w:rsidRDefault="002620A7" w:rsidP="00A95A40">
      <w:pPr>
        <w:pStyle w:val="BesediloUMAR"/>
        <w:rPr>
          <w:sz w:val="16"/>
          <w:szCs w:val="16"/>
        </w:rPr>
      </w:pPr>
    </w:p>
    <w:p w14:paraId="130614A6" w14:textId="77777777" w:rsidR="008216DE" w:rsidRDefault="008216DE" w:rsidP="00A95A40">
      <w:pPr>
        <w:pStyle w:val="BesediloUMAR"/>
        <w:rPr>
          <w:sz w:val="16"/>
          <w:szCs w:val="16"/>
        </w:rPr>
      </w:pPr>
    </w:p>
    <w:p w14:paraId="1B0AF3F9" w14:textId="4D156A17" w:rsidR="00610ECB" w:rsidRPr="00610ECB" w:rsidRDefault="00610ECB" w:rsidP="00610ECB">
      <w:pPr>
        <w:pStyle w:val="BesediloUMAR"/>
        <w:rPr>
          <w:b/>
          <w:bCs/>
          <w:szCs w:val="20"/>
        </w:rPr>
      </w:pPr>
      <w:r w:rsidRPr="002A4446">
        <w:rPr>
          <w:b/>
          <w:bCs/>
          <w:szCs w:val="20"/>
        </w:rPr>
        <w:t xml:space="preserve">Tabela 3:  </w:t>
      </w:r>
      <w:r w:rsidR="002A4446" w:rsidRPr="002A4446">
        <w:rPr>
          <w:b/>
          <w:bCs/>
          <w:szCs w:val="20"/>
        </w:rPr>
        <w:t>Število začetih stečajnih postopkov, po dejavnostih, 2019 - prvih deset mesecev leta 2020</w:t>
      </w:r>
    </w:p>
    <w:p w14:paraId="0B533C8E" w14:textId="2CC2D4F8" w:rsidR="002620A7" w:rsidRDefault="002A4446" w:rsidP="00A95A40">
      <w:pPr>
        <w:pStyle w:val="BesediloUMAR"/>
        <w:rPr>
          <w:sz w:val="16"/>
          <w:szCs w:val="16"/>
        </w:rPr>
      </w:pPr>
      <w:r w:rsidRPr="002A4446">
        <w:rPr>
          <w:noProof/>
          <w:lang w:eastAsia="sl-SI"/>
        </w:rPr>
        <w:drawing>
          <wp:inline distT="0" distB="0" distL="0" distR="0" wp14:anchorId="64BC607B" wp14:editId="0BC20191">
            <wp:extent cx="3430905" cy="3892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0905" cy="3892550"/>
                    </a:xfrm>
                    <a:prstGeom prst="rect">
                      <a:avLst/>
                    </a:prstGeom>
                    <a:noFill/>
                    <a:ln>
                      <a:noFill/>
                    </a:ln>
                  </pic:spPr>
                </pic:pic>
              </a:graphicData>
            </a:graphic>
          </wp:inline>
        </w:drawing>
      </w:r>
    </w:p>
    <w:p w14:paraId="00DEB9C0" w14:textId="7B8F58E9" w:rsidR="009C22B5" w:rsidRDefault="009C22B5" w:rsidP="009C22B5">
      <w:pPr>
        <w:pStyle w:val="BesediloUMAR"/>
        <w:rPr>
          <w:sz w:val="16"/>
          <w:szCs w:val="16"/>
        </w:rPr>
      </w:pPr>
      <w:r w:rsidRPr="009C22B5">
        <w:rPr>
          <w:sz w:val="16"/>
          <w:szCs w:val="16"/>
        </w:rPr>
        <w:t>Vir: AJPES</w:t>
      </w:r>
      <w:r>
        <w:rPr>
          <w:sz w:val="16"/>
          <w:szCs w:val="16"/>
        </w:rPr>
        <w:t>, Poslovni register Slovenije.</w:t>
      </w:r>
    </w:p>
    <w:p w14:paraId="1B090B2A" w14:textId="77777777" w:rsidR="00E30B10" w:rsidRDefault="00E30B10" w:rsidP="009C22B5">
      <w:pPr>
        <w:pStyle w:val="BesediloUMAR"/>
        <w:rPr>
          <w:sz w:val="16"/>
          <w:szCs w:val="16"/>
        </w:rPr>
      </w:pPr>
    </w:p>
    <w:p w14:paraId="2B26A09C" w14:textId="0959CB22" w:rsidR="00A74FE0" w:rsidRDefault="00A74FE0" w:rsidP="00A74FE0">
      <w:pPr>
        <w:pStyle w:val="BesediloUMAR"/>
        <w:rPr>
          <w:b/>
          <w:bCs/>
          <w:szCs w:val="20"/>
        </w:rPr>
      </w:pPr>
      <w:r w:rsidRPr="002A4446">
        <w:rPr>
          <w:b/>
          <w:bCs/>
          <w:szCs w:val="20"/>
        </w:rPr>
        <w:t xml:space="preserve">Tabela 4:  </w:t>
      </w:r>
      <w:r w:rsidR="00E30B10" w:rsidRPr="002A4446">
        <w:rPr>
          <w:b/>
          <w:bCs/>
          <w:szCs w:val="20"/>
        </w:rPr>
        <w:t>Število osebnih stečajev in zneski prijavljenih terjatev (v mio EUR)</w:t>
      </w:r>
    </w:p>
    <w:tbl>
      <w:tblPr>
        <w:tblStyle w:val="TableGridLight"/>
        <w:tblW w:w="9072" w:type="dxa"/>
        <w:tblLook w:val="04A0" w:firstRow="1" w:lastRow="0" w:firstColumn="1" w:lastColumn="0" w:noHBand="0" w:noVBand="1"/>
      </w:tblPr>
      <w:tblGrid>
        <w:gridCol w:w="1134"/>
        <w:gridCol w:w="2410"/>
        <w:gridCol w:w="2268"/>
        <w:gridCol w:w="3260"/>
      </w:tblGrid>
      <w:tr w:rsidR="00EC4096" w:rsidRPr="00931E94" w14:paraId="49530DC5" w14:textId="77777777" w:rsidTr="00EC40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40B264D" w14:textId="77777777" w:rsidR="00EC4096" w:rsidRPr="00931E94" w:rsidRDefault="00EC4096" w:rsidP="00C84690">
            <w:pPr>
              <w:pStyle w:val="TabelaglavalevoUMAR"/>
            </w:pPr>
            <w:r>
              <w:t>L</w:t>
            </w:r>
            <w:r w:rsidRPr="00931E94">
              <w:t>et</w:t>
            </w:r>
            <w:r>
              <w:t>o</w:t>
            </w:r>
          </w:p>
        </w:tc>
        <w:tc>
          <w:tcPr>
            <w:tcW w:w="2410" w:type="dxa"/>
          </w:tcPr>
          <w:p w14:paraId="7AC92F43" w14:textId="77777777" w:rsidR="00EC4096" w:rsidRPr="00931E94" w:rsidRDefault="00EC4096" w:rsidP="00EC4096">
            <w:pPr>
              <w:pStyle w:val="TabelaglavadesnoUMAR"/>
              <w:cnfStyle w:val="100000000000" w:firstRow="1" w:lastRow="0" w:firstColumn="0" w:lastColumn="0" w:oddVBand="0" w:evenVBand="0" w:oddHBand="0" w:evenHBand="0" w:firstRowFirstColumn="0" w:firstRowLastColumn="0" w:lastRowFirstColumn="0" w:lastRowLastColumn="0"/>
            </w:pPr>
            <w:r w:rsidRPr="00931E94">
              <w:t>Začeti osebni stečaji</w:t>
            </w:r>
          </w:p>
        </w:tc>
        <w:tc>
          <w:tcPr>
            <w:tcW w:w="2268" w:type="dxa"/>
          </w:tcPr>
          <w:p w14:paraId="13270EA2" w14:textId="77777777" w:rsidR="00EC4096" w:rsidRPr="00931E94" w:rsidRDefault="00EC4096" w:rsidP="00EC4096">
            <w:pPr>
              <w:pStyle w:val="TabelaglavadesnoUMAR"/>
              <w:cnfStyle w:val="100000000000" w:firstRow="1" w:lastRow="0" w:firstColumn="0" w:lastColumn="0" w:oddVBand="0" w:evenVBand="0" w:oddHBand="0" w:evenHBand="0" w:firstRowFirstColumn="0" w:firstRowLastColumn="0" w:lastRowFirstColumn="0" w:lastRowLastColumn="0"/>
            </w:pPr>
            <w:r w:rsidRPr="00931E94">
              <w:t>Končani osebni stečaji</w:t>
            </w:r>
          </w:p>
        </w:tc>
        <w:tc>
          <w:tcPr>
            <w:tcW w:w="3260" w:type="dxa"/>
          </w:tcPr>
          <w:p w14:paraId="5C6928E7" w14:textId="77777777" w:rsidR="00EC4096" w:rsidRPr="00931E94" w:rsidRDefault="00EC4096" w:rsidP="00EC4096">
            <w:pPr>
              <w:pStyle w:val="TabelaglavadesnoUMAR"/>
              <w:cnfStyle w:val="100000000000" w:firstRow="1" w:lastRow="0" w:firstColumn="0" w:lastColumn="0" w:oddVBand="0" w:evenVBand="0" w:oddHBand="0" w:evenHBand="0" w:firstRowFirstColumn="0" w:firstRowLastColumn="0" w:lastRowFirstColumn="0" w:lastRowLastColumn="0"/>
            </w:pPr>
            <w:r w:rsidRPr="005B0A11">
              <w:rPr>
                <w:rStyle w:val="TabeladesnoUMARChar"/>
              </w:rPr>
              <w:t>Z</w:t>
            </w:r>
            <w:r w:rsidRPr="00931E94">
              <w:t>neski prijavljenih terjatev</w:t>
            </w:r>
            <w:r>
              <w:t xml:space="preserve"> </w:t>
            </w:r>
            <w:r w:rsidRPr="00931E94">
              <w:t xml:space="preserve"> v mio EUR</w:t>
            </w:r>
          </w:p>
        </w:tc>
      </w:tr>
      <w:tr w:rsidR="00EC4096" w:rsidRPr="00931E94" w14:paraId="2D94131D" w14:textId="77777777" w:rsidTr="00EC4096">
        <w:trPr>
          <w:trHeight w:val="227"/>
        </w:trPr>
        <w:tc>
          <w:tcPr>
            <w:cnfStyle w:val="001000000000" w:firstRow="0" w:lastRow="0" w:firstColumn="1" w:lastColumn="0" w:oddVBand="0" w:evenVBand="0" w:oddHBand="0" w:evenHBand="0" w:firstRowFirstColumn="0" w:firstRowLastColumn="0" w:lastRowFirstColumn="0" w:lastRowLastColumn="0"/>
            <w:tcW w:w="1134" w:type="dxa"/>
          </w:tcPr>
          <w:p w14:paraId="12440EF8" w14:textId="77777777" w:rsidR="00EC4096" w:rsidRPr="009C4867" w:rsidRDefault="00EC4096" w:rsidP="00C84690">
            <w:pPr>
              <w:pStyle w:val="TabelalevoUMAR"/>
            </w:pPr>
            <w:r w:rsidRPr="009C4867">
              <w:t>2019</w:t>
            </w:r>
          </w:p>
        </w:tc>
        <w:tc>
          <w:tcPr>
            <w:tcW w:w="2410" w:type="dxa"/>
          </w:tcPr>
          <w:p w14:paraId="57FEEFBF" w14:textId="77777777" w:rsidR="00EC4096" w:rsidRPr="00931E94" w:rsidRDefault="00EC4096" w:rsidP="00C84690">
            <w:pPr>
              <w:pStyle w:val="TabeladesnoUMAR"/>
              <w:cnfStyle w:val="000000000000" w:firstRow="0" w:lastRow="0" w:firstColumn="0" w:lastColumn="0" w:oddVBand="0" w:evenVBand="0" w:oddHBand="0" w:evenHBand="0" w:firstRowFirstColumn="0" w:firstRowLastColumn="0" w:lastRowFirstColumn="0" w:lastRowLastColumn="0"/>
            </w:pPr>
            <w:r w:rsidRPr="00931E94">
              <w:t>1.901</w:t>
            </w:r>
          </w:p>
        </w:tc>
        <w:tc>
          <w:tcPr>
            <w:tcW w:w="2268" w:type="dxa"/>
          </w:tcPr>
          <w:p w14:paraId="6A40604E" w14:textId="77777777" w:rsidR="00EC4096" w:rsidRPr="00931E94" w:rsidRDefault="00EC4096" w:rsidP="00C84690">
            <w:pPr>
              <w:pStyle w:val="TabeladesnoUMAR"/>
              <w:cnfStyle w:val="000000000000" w:firstRow="0" w:lastRow="0" w:firstColumn="0" w:lastColumn="0" w:oddVBand="0" w:evenVBand="0" w:oddHBand="0" w:evenHBand="0" w:firstRowFirstColumn="0" w:firstRowLastColumn="0" w:lastRowFirstColumn="0" w:lastRowLastColumn="0"/>
            </w:pPr>
            <w:r w:rsidRPr="00931E94">
              <w:t>3.502</w:t>
            </w:r>
          </w:p>
        </w:tc>
        <w:tc>
          <w:tcPr>
            <w:tcW w:w="3260" w:type="dxa"/>
          </w:tcPr>
          <w:p w14:paraId="42BB7C15" w14:textId="77777777" w:rsidR="00EC4096" w:rsidRPr="00931E94" w:rsidRDefault="00EC4096" w:rsidP="00C84690">
            <w:pPr>
              <w:pStyle w:val="TabeladesnoUMAR"/>
              <w:cnfStyle w:val="000000000000" w:firstRow="0" w:lastRow="0" w:firstColumn="0" w:lastColumn="0" w:oddVBand="0" w:evenVBand="0" w:oddHBand="0" w:evenHBand="0" w:firstRowFirstColumn="0" w:firstRowLastColumn="0" w:lastRowFirstColumn="0" w:lastRowLastColumn="0"/>
            </w:pPr>
            <w:r w:rsidRPr="00931E94">
              <w:t>369,9</w:t>
            </w:r>
          </w:p>
        </w:tc>
      </w:tr>
      <w:tr w:rsidR="00EC4096" w:rsidRPr="00931E94" w14:paraId="64255B8E" w14:textId="77777777" w:rsidTr="00EC4096">
        <w:trPr>
          <w:trHeight w:val="227"/>
        </w:trPr>
        <w:tc>
          <w:tcPr>
            <w:cnfStyle w:val="001000000000" w:firstRow="0" w:lastRow="0" w:firstColumn="1" w:lastColumn="0" w:oddVBand="0" w:evenVBand="0" w:oddHBand="0" w:evenHBand="0" w:firstRowFirstColumn="0" w:firstRowLastColumn="0" w:lastRowFirstColumn="0" w:lastRowLastColumn="0"/>
            <w:tcW w:w="1134" w:type="dxa"/>
          </w:tcPr>
          <w:p w14:paraId="24ADFF14" w14:textId="77777777" w:rsidR="00EC4096" w:rsidRPr="009C4867" w:rsidRDefault="00EC4096" w:rsidP="00C84690">
            <w:pPr>
              <w:pStyle w:val="TabelalevoUMAR"/>
            </w:pPr>
            <w:r w:rsidRPr="009C4867">
              <w:t xml:space="preserve">2020 </w:t>
            </w:r>
          </w:p>
        </w:tc>
        <w:tc>
          <w:tcPr>
            <w:tcW w:w="2410" w:type="dxa"/>
          </w:tcPr>
          <w:p w14:paraId="421F56F1" w14:textId="77777777" w:rsidR="00EC4096" w:rsidRPr="00931E94" w:rsidRDefault="00EC4096" w:rsidP="00C84690">
            <w:pPr>
              <w:pStyle w:val="TabeladesnoUMAR"/>
              <w:cnfStyle w:val="000000000000" w:firstRow="0" w:lastRow="0" w:firstColumn="0" w:lastColumn="0" w:oddVBand="0" w:evenVBand="0" w:oddHBand="0" w:evenHBand="0" w:firstRowFirstColumn="0" w:firstRowLastColumn="0" w:lastRowFirstColumn="0" w:lastRowLastColumn="0"/>
            </w:pPr>
            <w:r>
              <w:t>1.421</w:t>
            </w:r>
          </w:p>
        </w:tc>
        <w:tc>
          <w:tcPr>
            <w:tcW w:w="2268" w:type="dxa"/>
          </w:tcPr>
          <w:p w14:paraId="475729A0" w14:textId="77777777" w:rsidR="00EC4096" w:rsidRPr="00931E94" w:rsidRDefault="00EC4096" w:rsidP="00C84690">
            <w:pPr>
              <w:pStyle w:val="TabeladesnoUMAR"/>
              <w:cnfStyle w:val="000000000000" w:firstRow="0" w:lastRow="0" w:firstColumn="0" w:lastColumn="0" w:oddVBand="0" w:evenVBand="0" w:oddHBand="0" w:evenHBand="0" w:firstRowFirstColumn="0" w:firstRowLastColumn="0" w:lastRowFirstColumn="0" w:lastRowLastColumn="0"/>
            </w:pPr>
            <w:r>
              <w:t>2.478</w:t>
            </w:r>
          </w:p>
        </w:tc>
        <w:tc>
          <w:tcPr>
            <w:tcW w:w="3260" w:type="dxa"/>
          </w:tcPr>
          <w:p w14:paraId="75E4C34D" w14:textId="77777777" w:rsidR="00EC4096" w:rsidRPr="00931E94" w:rsidRDefault="00EC4096" w:rsidP="00C84690">
            <w:pPr>
              <w:pStyle w:val="TabeladesnoUMAR"/>
              <w:cnfStyle w:val="000000000000" w:firstRow="0" w:lastRow="0" w:firstColumn="0" w:lastColumn="0" w:oddVBand="0" w:evenVBand="0" w:oddHBand="0" w:evenHBand="0" w:firstRowFirstColumn="0" w:firstRowLastColumn="0" w:lastRowFirstColumn="0" w:lastRowLastColumn="0"/>
            </w:pPr>
            <w:r>
              <w:t>251,7</w:t>
            </w:r>
          </w:p>
        </w:tc>
      </w:tr>
    </w:tbl>
    <w:p w14:paraId="60A03CCD" w14:textId="385CD762" w:rsidR="0076087C" w:rsidRPr="0076087C" w:rsidRDefault="0076087C" w:rsidP="00EC4096">
      <w:pPr>
        <w:pStyle w:val="VirUMAR"/>
      </w:pPr>
      <w:r w:rsidRPr="0076087C">
        <w:t>Vir</w:t>
      </w:r>
      <w:r>
        <w:t xml:space="preserve">: </w:t>
      </w:r>
      <w:r w:rsidRPr="0076087C">
        <w:t>Vrhovno sodišče RS.</w:t>
      </w:r>
    </w:p>
    <w:p w14:paraId="66310F8D" w14:textId="728A26B7" w:rsidR="00A74FE0" w:rsidRDefault="00A74FE0" w:rsidP="009C22B5">
      <w:pPr>
        <w:pStyle w:val="BesediloUMAR"/>
        <w:rPr>
          <w:sz w:val="16"/>
          <w:szCs w:val="16"/>
        </w:rPr>
      </w:pPr>
    </w:p>
    <w:p w14:paraId="18F2CD4E" w14:textId="35BAE08F" w:rsidR="0002458B" w:rsidRDefault="0002458B" w:rsidP="00076D24">
      <w:pPr>
        <w:pStyle w:val="Heading3"/>
        <w:numPr>
          <w:ilvl w:val="0"/>
          <w:numId w:val="0"/>
        </w:numPr>
      </w:pPr>
    </w:p>
    <w:p w14:paraId="5D45A2C4" w14:textId="53822AB8" w:rsidR="0002458B" w:rsidRDefault="0002458B" w:rsidP="0002458B">
      <w:pPr>
        <w:pStyle w:val="BesediloUMAR"/>
      </w:pPr>
    </w:p>
    <w:p w14:paraId="43ADB5CD" w14:textId="7A2454F5" w:rsidR="0002458B" w:rsidRDefault="0002458B" w:rsidP="0002458B">
      <w:pPr>
        <w:pStyle w:val="BesediloUMAR"/>
      </w:pPr>
    </w:p>
    <w:p w14:paraId="5EDC32E3" w14:textId="40992048" w:rsidR="0002458B" w:rsidRDefault="0002458B" w:rsidP="0002458B">
      <w:pPr>
        <w:pStyle w:val="BesediloUMAR"/>
      </w:pPr>
    </w:p>
    <w:p w14:paraId="4D78409F" w14:textId="19540522" w:rsidR="0002458B" w:rsidRDefault="0002458B" w:rsidP="0002458B">
      <w:pPr>
        <w:pStyle w:val="BesediloUMAR"/>
      </w:pPr>
    </w:p>
    <w:p w14:paraId="47559602" w14:textId="3968AE75" w:rsidR="0002458B" w:rsidRDefault="0002458B" w:rsidP="0002458B">
      <w:pPr>
        <w:pStyle w:val="BesediloUMAR"/>
      </w:pPr>
    </w:p>
    <w:p w14:paraId="7FF98F46" w14:textId="23FA694B" w:rsidR="0002458B" w:rsidRDefault="0002458B" w:rsidP="0002458B">
      <w:pPr>
        <w:pStyle w:val="BesediloUMAR"/>
      </w:pPr>
    </w:p>
    <w:p w14:paraId="58A61545" w14:textId="768AECA7" w:rsidR="0002458B" w:rsidRDefault="0002458B" w:rsidP="0002458B">
      <w:pPr>
        <w:pStyle w:val="BesediloUMAR"/>
      </w:pPr>
    </w:p>
    <w:p w14:paraId="4AA5B4C9" w14:textId="52154F12" w:rsidR="0002458B" w:rsidRDefault="0002458B" w:rsidP="0002458B">
      <w:pPr>
        <w:pStyle w:val="BesediloUMAR"/>
      </w:pPr>
    </w:p>
    <w:p w14:paraId="16874D64" w14:textId="64D96507" w:rsidR="0002458B" w:rsidRDefault="0002458B" w:rsidP="0002458B">
      <w:pPr>
        <w:pStyle w:val="BesediloUMAR"/>
      </w:pPr>
    </w:p>
    <w:p w14:paraId="0305A15A" w14:textId="053B3118" w:rsidR="008257BE" w:rsidRDefault="008257BE" w:rsidP="0002458B">
      <w:pPr>
        <w:pStyle w:val="BesediloUMAR"/>
      </w:pPr>
    </w:p>
    <w:p w14:paraId="4AD71094" w14:textId="37A3D3B6" w:rsidR="00093BEF" w:rsidRDefault="00093BEF" w:rsidP="0002458B">
      <w:pPr>
        <w:pStyle w:val="BesediloUMAR"/>
      </w:pPr>
    </w:p>
    <w:p w14:paraId="22FDADB5" w14:textId="78FDC241" w:rsidR="00093BEF" w:rsidRDefault="00093BEF" w:rsidP="0002458B">
      <w:pPr>
        <w:pStyle w:val="BesediloUMAR"/>
      </w:pPr>
    </w:p>
    <w:p w14:paraId="1A0F5438" w14:textId="77777777" w:rsidR="008257BE" w:rsidRPr="0002458B" w:rsidRDefault="008257BE" w:rsidP="0002458B">
      <w:pPr>
        <w:pStyle w:val="BesediloUMAR"/>
      </w:pPr>
    </w:p>
    <w:p w14:paraId="2B77EE6E" w14:textId="1401825C" w:rsidR="00076D24" w:rsidRDefault="00076D24" w:rsidP="00076D24">
      <w:pPr>
        <w:pStyle w:val="Heading3"/>
        <w:numPr>
          <w:ilvl w:val="0"/>
          <w:numId w:val="0"/>
        </w:numPr>
      </w:pPr>
      <w:r>
        <w:lastRenderedPageBreak/>
        <w:t>Literatura in viri</w:t>
      </w:r>
    </w:p>
    <w:p w14:paraId="3302C5BB" w14:textId="77777777" w:rsidR="00076D24" w:rsidRDefault="00076D24" w:rsidP="008216DE">
      <w:pPr>
        <w:pStyle w:val="BesediloUMAR"/>
      </w:pPr>
    </w:p>
    <w:p w14:paraId="7685423B" w14:textId="474A923A" w:rsidR="00190C00" w:rsidRPr="00190C00" w:rsidRDefault="00190C00" w:rsidP="00093BEF">
      <w:pPr>
        <w:pStyle w:val="LiteraturaUMAR"/>
      </w:pPr>
      <w:r w:rsidRPr="00190C00">
        <w:rPr>
          <w:b/>
          <w:bCs/>
        </w:rPr>
        <w:t>Do sredine oktobra dobrih 24.000</w:t>
      </w:r>
      <w:r w:rsidR="0002458B">
        <w:rPr>
          <w:b/>
          <w:bCs/>
        </w:rPr>
        <w:t xml:space="preserve"> </w:t>
      </w:r>
      <w:r w:rsidRPr="00190C00">
        <w:rPr>
          <w:b/>
          <w:bCs/>
        </w:rPr>
        <w:t>vlog za odlog plačila kreditne obveznosti; podjetjem 390 mi</w:t>
      </w:r>
      <w:r w:rsidRPr="00093BEF">
        <w:rPr>
          <w:b/>
          <w:bCs/>
        </w:rPr>
        <w:t xml:space="preserve">o evrov likvidnostnih kreditov. </w:t>
      </w:r>
      <w:r w:rsidRPr="008F6E09">
        <w:t>(26.</w:t>
      </w:r>
      <w:r w:rsidR="002D2B93">
        <w:t xml:space="preserve"> </w:t>
      </w:r>
      <w:r w:rsidRPr="008F6E09">
        <w:t>10.</w:t>
      </w:r>
      <w:r w:rsidR="002D2B93">
        <w:t xml:space="preserve"> </w:t>
      </w:r>
      <w:r w:rsidRPr="008F6E09">
        <w:t>2020).</w:t>
      </w:r>
      <w:r>
        <w:t xml:space="preserve"> Ljubljana</w:t>
      </w:r>
      <w:r w:rsidR="004C6742">
        <w:t>. Pridobljeno na:</w:t>
      </w:r>
      <w:r>
        <w:t xml:space="preserve"> </w:t>
      </w:r>
      <w:hyperlink r:id="rId19" w:history="1">
        <w:r w:rsidRPr="000D1D3F">
          <w:rPr>
            <w:rStyle w:val="Hyperlink"/>
          </w:rPr>
          <w:t>https://www.bsi.si/mediji/1563/do-sredine-oktobra-dobrih-24000-vlog-za-odlog-placila-kreditne-obveznosti-podjetjem-390-mio-evrov-likvidnostnih-kreditov</w:t>
        </w:r>
      </w:hyperlink>
      <w:r w:rsidRPr="00093BEF">
        <w:rPr>
          <w:color w:val="000000" w:themeColor="text1"/>
        </w:rPr>
        <w:t xml:space="preserve">. </w:t>
      </w:r>
    </w:p>
    <w:p w14:paraId="73C0C2E4" w14:textId="7089A8D7" w:rsidR="00120FCF" w:rsidRPr="00E53095" w:rsidRDefault="00120FCF" w:rsidP="00A60AEF">
      <w:pPr>
        <w:pStyle w:val="LiteraturaUMAR"/>
      </w:pPr>
      <w:r w:rsidRPr="00120FCF">
        <w:rPr>
          <w:b/>
          <w:bCs/>
        </w:rPr>
        <w:t>Lušina, Urška.</w:t>
      </w:r>
      <w:r>
        <w:t xml:space="preserve"> (2020). </w:t>
      </w:r>
      <w:r w:rsidRPr="00120FCF">
        <w:t>Zadolženost podjetniškega sektorja</w:t>
      </w:r>
      <w:r>
        <w:t>. Ljubljana</w:t>
      </w:r>
      <w:r w:rsidR="004C6742">
        <w:t>. Pridobljeno na:</w:t>
      </w:r>
      <w:r>
        <w:t xml:space="preserve"> </w:t>
      </w:r>
      <w:hyperlink r:id="rId20" w:history="1">
        <w:r w:rsidRPr="00120FCF">
          <w:rPr>
            <w:rStyle w:val="Hyperlink"/>
          </w:rPr>
          <w:t>https://www.umar.gov.si/fileadmin/user_upload/publikacije/kratke_analize/2020_9_Zadolzenost_Lusina/Zadolzenost_podjetniskega_sektorja_.pdf</w:t>
        </w:r>
      </w:hyperlink>
      <w:r w:rsidRPr="00F216ED">
        <w:rPr>
          <w:color w:val="000000" w:themeColor="text1"/>
        </w:rPr>
        <w:t>.</w:t>
      </w:r>
      <w:r w:rsidRPr="00686C49">
        <w:rPr>
          <w:color w:val="000000" w:themeColor="text1"/>
        </w:rPr>
        <w:t xml:space="preserve"> </w:t>
      </w:r>
    </w:p>
    <w:p w14:paraId="6C1F209C" w14:textId="18AD6DA4" w:rsidR="00E53095" w:rsidRDefault="00E53095" w:rsidP="00A60AEF">
      <w:pPr>
        <w:pStyle w:val="LiteraturaUMAR"/>
      </w:pPr>
      <w:r>
        <w:rPr>
          <w:b/>
          <w:bCs/>
        </w:rPr>
        <w:t xml:space="preserve">Podjetja se iz </w:t>
      </w:r>
      <w:proofErr w:type="spellStart"/>
      <w:r>
        <w:rPr>
          <w:b/>
          <w:bCs/>
        </w:rPr>
        <w:t>covid</w:t>
      </w:r>
      <w:proofErr w:type="spellEnd"/>
      <w:r>
        <w:rPr>
          <w:b/>
          <w:bCs/>
        </w:rPr>
        <w:t xml:space="preserve"> zanke rešujejo tudi z zadolževanjem</w:t>
      </w:r>
      <w:r w:rsidRPr="00E53095">
        <w:t>.</w:t>
      </w:r>
      <w:r>
        <w:t xml:space="preserve"> (7.</w:t>
      </w:r>
      <w:r w:rsidR="002D2B93">
        <w:t xml:space="preserve"> </w:t>
      </w:r>
      <w:r>
        <w:t>12.</w:t>
      </w:r>
      <w:r w:rsidR="002D2B93">
        <w:t xml:space="preserve"> </w:t>
      </w:r>
      <w:r>
        <w:t xml:space="preserve">2020). Ljubljana. Pridobljeno na: </w:t>
      </w:r>
      <w:hyperlink r:id="rId21" w:history="1">
        <w:r w:rsidRPr="00EB1C4D">
          <w:rPr>
            <w:rStyle w:val="Hyperlink"/>
          </w:rPr>
          <w:t>https://www.sid.si/o-banki/mediji-o-nas</w:t>
        </w:r>
      </w:hyperlink>
      <w:r>
        <w:t xml:space="preserve">. </w:t>
      </w:r>
    </w:p>
    <w:p w14:paraId="2F87F9E9" w14:textId="3D14E744" w:rsidR="00B73682" w:rsidRDefault="00B73682" w:rsidP="00A60AEF">
      <w:pPr>
        <w:pStyle w:val="LiteraturaUMAR"/>
      </w:pPr>
      <w:r>
        <w:rPr>
          <w:b/>
          <w:bCs/>
        </w:rPr>
        <w:t>Poroštvo RS (ZDLGPE).</w:t>
      </w:r>
      <w:r>
        <w:t xml:space="preserve"> (</w:t>
      </w:r>
      <w:r w:rsidR="00E53095">
        <w:t>5</w:t>
      </w:r>
      <w:r>
        <w:t>.</w:t>
      </w:r>
      <w:r w:rsidR="002D2B93">
        <w:t xml:space="preserve"> </w:t>
      </w:r>
      <w:r>
        <w:t>1.</w:t>
      </w:r>
      <w:r w:rsidR="002D2B93">
        <w:t xml:space="preserve"> </w:t>
      </w:r>
      <w:r>
        <w:t>2020). Ljubljana</w:t>
      </w:r>
      <w:r w:rsidR="004C6742">
        <w:t>. Pridobljeno na:</w:t>
      </w:r>
      <w:r>
        <w:t xml:space="preserve"> </w:t>
      </w:r>
      <w:hyperlink r:id="rId22" w:history="1">
        <w:r w:rsidRPr="000D1D3F">
          <w:rPr>
            <w:rStyle w:val="Hyperlink"/>
          </w:rPr>
          <w:t>https://www.sid.si/banke/porostvo-rs-zdlgpe</w:t>
        </w:r>
      </w:hyperlink>
      <w:r w:rsidRPr="00F216ED">
        <w:rPr>
          <w:color w:val="000000" w:themeColor="text1"/>
        </w:rPr>
        <w:t xml:space="preserve">. </w:t>
      </w:r>
    </w:p>
    <w:p w14:paraId="12EE26FA" w14:textId="1B72015A" w:rsidR="00EF7186" w:rsidRPr="00686C49" w:rsidRDefault="00EF7186" w:rsidP="00A60AEF">
      <w:pPr>
        <w:pStyle w:val="LiteraturaUMAR"/>
        <w:rPr>
          <w:color w:val="000000" w:themeColor="text1"/>
        </w:rPr>
      </w:pPr>
      <w:r w:rsidRPr="00EF7186">
        <w:rPr>
          <w:b/>
          <w:bCs/>
        </w:rPr>
        <w:t>Poroštvo RS (ZIUZEOP).</w:t>
      </w:r>
      <w:r w:rsidRPr="00EF7186">
        <w:t xml:space="preserve"> (</w:t>
      </w:r>
      <w:r w:rsidR="00E53095">
        <w:t>5</w:t>
      </w:r>
      <w:r w:rsidRPr="00EF7186">
        <w:t>.</w:t>
      </w:r>
      <w:r w:rsidR="002D2B93">
        <w:t xml:space="preserve"> </w:t>
      </w:r>
      <w:r w:rsidRPr="00EF7186">
        <w:t>1.</w:t>
      </w:r>
      <w:r w:rsidR="002D2B93">
        <w:t xml:space="preserve"> </w:t>
      </w:r>
      <w:r w:rsidRPr="00EF7186">
        <w:t>2020). Ljubljana</w:t>
      </w:r>
      <w:r w:rsidR="004C6742">
        <w:t>. Pridobljeno na:</w:t>
      </w:r>
      <w:r w:rsidRPr="00EF7186">
        <w:t xml:space="preserve"> </w:t>
      </w:r>
      <w:hyperlink r:id="rId23" w:history="1">
        <w:r w:rsidRPr="000D1D3F">
          <w:rPr>
            <w:rStyle w:val="Hyperlink"/>
          </w:rPr>
          <w:t>https://www.sid.si/banke/porostvo-rs-ziuzeop</w:t>
        </w:r>
      </w:hyperlink>
      <w:r w:rsidRPr="00F216ED">
        <w:rPr>
          <w:color w:val="000000" w:themeColor="text1"/>
        </w:rPr>
        <w:t xml:space="preserve">. </w:t>
      </w:r>
      <w:hyperlink r:id="rId24" w:history="1">
        <w:r w:rsidRPr="000D1D3F">
          <w:rPr>
            <w:rStyle w:val="Hyperlink"/>
          </w:rPr>
          <w:t>https://www.sid.si/banke/porostvo-rs-ziuzeop</w:t>
        </w:r>
      </w:hyperlink>
      <w:r w:rsidRPr="00F216ED">
        <w:rPr>
          <w:color w:val="000000" w:themeColor="text1"/>
        </w:rPr>
        <w:t>.</w:t>
      </w:r>
    </w:p>
    <w:p w14:paraId="6356F212" w14:textId="34858DDC" w:rsidR="00E919D4" w:rsidRPr="00686C49" w:rsidRDefault="00E919D4" w:rsidP="00A60AEF">
      <w:pPr>
        <w:pStyle w:val="LiteraturaUMAR"/>
        <w:rPr>
          <w:color w:val="000000" w:themeColor="text1"/>
        </w:rPr>
      </w:pPr>
      <w:r w:rsidRPr="00E919D4">
        <w:rPr>
          <w:b/>
          <w:bCs/>
        </w:rPr>
        <w:t>SPS – Skupaj smo močnejši.</w:t>
      </w:r>
      <w:r w:rsidR="002D2B93">
        <w:rPr>
          <w:b/>
          <w:bCs/>
        </w:rPr>
        <w:t xml:space="preserve"> </w:t>
      </w:r>
      <w:r w:rsidRPr="0048659B">
        <w:rPr>
          <w:bCs/>
        </w:rPr>
        <w:t>(1</w:t>
      </w:r>
      <w:r w:rsidR="004F7C76" w:rsidRPr="0048659B">
        <w:rPr>
          <w:bCs/>
        </w:rPr>
        <w:t>9</w:t>
      </w:r>
      <w:r w:rsidRPr="0048659B">
        <w:rPr>
          <w:bCs/>
        </w:rPr>
        <w:t>.</w:t>
      </w:r>
      <w:r w:rsidR="002D2B93" w:rsidRPr="0048659B">
        <w:rPr>
          <w:bCs/>
        </w:rPr>
        <w:t xml:space="preserve"> </w:t>
      </w:r>
      <w:r w:rsidRPr="0048659B">
        <w:rPr>
          <w:bCs/>
        </w:rPr>
        <w:t>10.</w:t>
      </w:r>
      <w:r w:rsidR="002D2B93" w:rsidRPr="0048659B">
        <w:rPr>
          <w:bCs/>
        </w:rPr>
        <w:t xml:space="preserve"> </w:t>
      </w:r>
      <w:r w:rsidRPr="0048659B">
        <w:rPr>
          <w:bCs/>
        </w:rPr>
        <w:t>2020).</w:t>
      </w:r>
      <w:r w:rsidRPr="00E919D4">
        <w:t xml:space="preserve"> Maribor</w:t>
      </w:r>
      <w:r w:rsidR="004C6742">
        <w:t>.</w:t>
      </w:r>
      <w:r w:rsidRPr="00E919D4">
        <w:t xml:space="preserve">  </w:t>
      </w:r>
      <w:r w:rsidR="004C6742">
        <w:t xml:space="preserve">Pridobljeno na: </w:t>
      </w:r>
      <w:hyperlink r:id="rId25" w:history="1">
        <w:r w:rsidR="004C6742" w:rsidRPr="00EB1C4D">
          <w:rPr>
            <w:rStyle w:val="Hyperlink"/>
          </w:rPr>
          <w:t>https://podjetniskisklad.si/images/DOGODKI/SKUPAJSMOMOCNEJSI/SKUPAJ-SMO-MONEJI_16.10.2020.pdf</w:t>
        </w:r>
      </w:hyperlink>
      <w:r w:rsidRPr="00F216ED">
        <w:rPr>
          <w:color w:val="000000" w:themeColor="text1"/>
        </w:rPr>
        <w:t>.</w:t>
      </w:r>
    </w:p>
    <w:p w14:paraId="3849A92A" w14:textId="4EC723A9" w:rsidR="004E3300" w:rsidRDefault="008F6E09" w:rsidP="00A60AEF">
      <w:pPr>
        <w:pStyle w:val="LiteraturaUMAR"/>
      </w:pPr>
      <w:r>
        <w:rPr>
          <w:b/>
          <w:bCs/>
        </w:rPr>
        <w:t>SID banka:</w:t>
      </w:r>
      <w:r>
        <w:t xml:space="preserve"> </w:t>
      </w:r>
      <w:r w:rsidRPr="008F6E09">
        <w:rPr>
          <w:b/>
          <w:bCs/>
        </w:rPr>
        <w:t>Korona</w:t>
      </w:r>
      <w:r w:rsidRPr="008F6E09">
        <w:t>. (28.</w:t>
      </w:r>
      <w:r w:rsidR="002D2B93">
        <w:t xml:space="preserve"> </w:t>
      </w:r>
      <w:r w:rsidRPr="008F6E09">
        <w:t>11.</w:t>
      </w:r>
      <w:r w:rsidR="002D2B93">
        <w:t xml:space="preserve"> </w:t>
      </w:r>
      <w:r w:rsidRPr="008F6E09">
        <w:t>2020)</w:t>
      </w:r>
      <w:r>
        <w:t>. Ljubljana</w:t>
      </w:r>
      <w:r w:rsidR="004C6742">
        <w:t>. Pridobljeno na:</w:t>
      </w:r>
      <w:r>
        <w:t xml:space="preserve"> </w:t>
      </w:r>
      <w:hyperlink r:id="rId26" w:history="1">
        <w:r w:rsidR="00A73DAB" w:rsidRPr="000D1D3F">
          <w:rPr>
            <w:rStyle w:val="Hyperlink"/>
          </w:rPr>
          <w:t>https://www.sid.si/korona/</w:t>
        </w:r>
      </w:hyperlink>
      <w:r w:rsidR="00A73DAB" w:rsidRPr="00686C49">
        <w:rPr>
          <w:color w:val="000000" w:themeColor="text1"/>
        </w:rPr>
        <w:t>.</w:t>
      </w:r>
    </w:p>
    <w:p w14:paraId="178566A2" w14:textId="2012CC1E" w:rsidR="008F6E09" w:rsidRDefault="004E3300" w:rsidP="00A60AEF">
      <w:pPr>
        <w:pStyle w:val="LiteraturaUMAR"/>
      </w:pPr>
      <w:r w:rsidRPr="004E3300">
        <w:rPr>
          <w:b/>
          <w:bCs/>
        </w:rPr>
        <w:t>SID banka bo slovenskim podjetjem zaradi drugega vala epidemije COVID-</w:t>
      </w:r>
      <w:r w:rsidR="00A73DAB" w:rsidRPr="004E3300">
        <w:rPr>
          <w:b/>
          <w:bCs/>
        </w:rPr>
        <w:t xml:space="preserve"> </w:t>
      </w:r>
      <w:r w:rsidRPr="004E3300">
        <w:rPr>
          <w:b/>
          <w:bCs/>
        </w:rPr>
        <w:t>19 pomagala s prilagojenimi oblikami financiranj ter instrumenti zavarovanj.</w:t>
      </w:r>
      <w:r>
        <w:t xml:space="preserve"> (3.</w:t>
      </w:r>
      <w:r w:rsidR="002D2B93">
        <w:t xml:space="preserve"> </w:t>
      </w:r>
      <w:r>
        <w:t>11.</w:t>
      </w:r>
      <w:r w:rsidR="002D2B93">
        <w:t xml:space="preserve"> </w:t>
      </w:r>
      <w:r>
        <w:t>2020). Ljubljana</w:t>
      </w:r>
      <w:r w:rsidR="004C6742">
        <w:t>. Pridobljeno na:</w:t>
      </w:r>
      <w:r>
        <w:t xml:space="preserve"> </w:t>
      </w:r>
      <w:hyperlink r:id="rId27" w:history="1">
        <w:r w:rsidRPr="000D1D3F">
          <w:rPr>
            <w:rStyle w:val="Hyperlink"/>
          </w:rPr>
          <w:t>https://www.sid.si/sites/www.sid.si/files/documents/sporocilo_za_javnost_rri_in_sdmkv_drugi_val_epidemije_final_1.pdf</w:t>
        </w:r>
      </w:hyperlink>
      <w:r w:rsidRPr="00F216ED">
        <w:rPr>
          <w:color w:val="000000" w:themeColor="text1"/>
        </w:rPr>
        <w:t xml:space="preserve">. </w:t>
      </w:r>
    </w:p>
    <w:p w14:paraId="370C329E" w14:textId="45E753B6" w:rsidR="007E412B" w:rsidRDefault="007E412B" w:rsidP="00A60AEF">
      <w:pPr>
        <w:pStyle w:val="LiteraturaUMAR"/>
      </w:pPr>
      <w:r w:rsidRPr="007E412B">
        <w:rPr>
          <w:b/>
          <w:bCs/>
        </w:rPr>
        <w:t xml:space="preserve">Slovenski računovodski standardi 2006. </w:t>
      </w:r>
      <w:r w:rsidR="00F216ED" w:rsidRPr="00F216ED">
        <w:t>(27.</w:t>
      </w:r>
      <w:r w:rsidR="002D2B93">
        <w:t xml:space="preserve"> </w:t>
      </w:r>
      <w:r w:rsidR="00F216ED" w:rsidRPr="00F216ED">
        <w:t>12.</w:t>
      </w:r>
      <w:r w:rsidR="002D2B93">
        <w:t xml:space="preserve"> </w:t>
      </w:r>
      <w:r w:rsidR="00F216ED" w:rsidRPr="00F216ED">
        <w:t>2005). Ljubljana,</w:t>
      </w:r>
      <w:r w:rsidR="00F216ED">
        <w:rPr>
          <w:b/>
          <w:bCs/>
        </w:rPr>
        <w:t xml:space="preserve"> </w:t>
      </w:r>
      <w:r w:rsidRPr="007E412B">
        <w:t>Uradni list RS št. 118/2005.</w:t>
      </w:r>
    </w:p>
    <w:p w14:paraId="04597A00" w14:textId="6858EC5F" w:rsidR="00157A79" w:rsidRDefault="00157A79" w:rsidP="00A60AEF">
      <w:pPr>
        <w:pStyle w:val="LiteraturaUMAR"/>
      </w:pPr>
      <w:r w:rsidRPr="00157A79">
        <w:rPr>
          <w:b/>
          <w:bCs/>
        </w:rPr>
        <w:t>Standardna klasifikacija dejavnosti 2008.</w:t>
      </w:r>
      <w:r w:rsidRPr="00157A79">
        <w:t xml:space="preserve"> (2010).</w:t>
      </w:r>
      <w:r>
        <w:t xml:space="preserve"> Ljubljana</w:t>
      </w:r>
      <w:r w:rsidR="004C6742">
        <w:t>. Pridobljeno na:</w:t>
      </w:r>
      <w:r>
        <w:t xml:space="preserve"> </w:t>
      </w:r>
      <w:hyperlink r:id="rId28" w:history="1">
        <w:r w:rsidRPr="000D1D3F">
          <w:rPr>
            <w:rStyle w:val="Hyperlink"/>
          </w:rPr>
          <w:t>https://www.stat.si/doc/pub/skd.pdf</w:t>
        </w:r>
      </w:hyperlink>
      <w:r w:rsidRPr="00F216ED">
        <w:rPr>
          <w:color w:val="000000" w:themeColor="text1"/>
        </w:rPr>
        <w:t xml:space="preserve">. </w:t>
      </w:r>
    </w:p>
    <w:p w14:paraId="5F8DDC99" w14:textId="571D8199" w:rsidR="00157A79" w:rsidRDefault="00157A79" w:rsidP="00A60AEF">
      <w:pPr>
        <w:pStyle w:val="LiteraturaUMAR"/>
      </w:pPr>
      <w:r w:rsidRPr="00157A79">
        <w:rPr>
          <w:b/>
          <w:bCs/>
        </w:rPr>
        <w:t>Statistični podatki iz bilance stanja in izkaza poslovnega izida za gospodarske družbe.</w:t>
      </w:r>
      <w:r w:rsidRPr="00157A79">
        <w:t xml:space="preserve"> (različna leta). Ljubljana: AJPES.</w:t>
      </w:r>
    </w:p>
    <w:p w14:paraId="2A130489" w14:textId="595470BC" w:rsidR="00120FCF" w:rsidRDefault="00120FCF" w:rsidP="00A60AEF">
      <w:pPr>
        <w:pStyle w:val="LiteraturaUMAR"/>
      </w:pPr>
      <w:r>
        <w:rPr>
          <w:b/>
          <w:bCs/>
        </w:rPr>
        <w:t>Tavčar, Branka.</w:t>
      </w:r>
      <w:r>
        <w:t xml:space="preserve"> (2020). </w:t>
      </w:r>
      <w:r w:rsidRPr="00120FCF">
        <w:t>Plačilna sposobnost poslovnih subjektov v Sloveniji</w:t>
      </w:r>
      <w:r>
        <w:t>. Ljubljana</w:t>
      </w:r>
      <w:r w:rsidR="004C6742">
        <w:t>. Pridobljeno na:</w:t>
      </w:r>
      <w:r>
        <w:t xml:space="preserve"> </w:t>
      </w:r>
      <w:hyperlink r:id="rId29" w:history="1">
        <w:r w:rsidRPr="00120FCF">
          <w:rPr>
            <w:rStyle w:val="Hyperlink"/>
          </w:rPr>
          <w:t>https://www.umar.gov.si/fileadmin/user_upload/publikacije/kratke_analize/Placilna_sposobnost_poslovnih_subjektov_v_Sloveniji/Placilna_sposobnost_poslovnih_subjektov_v_Sloveniji_P.pdf</w:t>
        </w:r>
      </w:hyperlink>
      <w:r w:rsidRPr="00F216ED">
        <w:rPr>
          <w:color w:val="000000" w:themeColor="text1"/>
        </w:rPr>
        <w:t>.</w:t>
      </w:r>
      <w:r w:rsidRPr="00686C49">
        <w:rPr>
          <w:color w:val="000000" w:themeColor="text1"/>
        </w:rPr>
        <w:t xml:space="preserve"> </w:t>
      </w:r>
    </w:p>
    <w:p w14:paraId="02007A02" w14:textId="07CF9974" w:rsidR="00545914" w:rsidRPr="00F216ED" w:rsidRDefault="00686C49" w:rsidP="00076D24">
      <w:pPr>
        <w:pStyle w:val="LiteraturaUMAR"/>
        <w:rPr>
          <w:color w:val="000000" w:themeColor="text1"/>
        </w:rPr>
      </w:pPr>
      <w:r w:rsidRPr="00686C49">
        <w:rPr>
          <w:b/>
          <w:bCs/>
        </w:rPr>
        <w:t xml:space="preserve">Ukrepi Slovenskega podjetniškega sklada za omilitev posledic </w:t>
      </w:r>
      <w:proofErr w:type="spellStart"/>
      <w:r w:rsidRPr="00686C49">
        <w:rPr>
          <w:b/>
          <w:bCs/>
        </w:rPr>
        <w:t>koronavirusa</w:t>
      </w:r>
      <w:proofErr w:type="spellEnd"/>
      <w:r w:rsidRPr="00686C49">
        <w:rPr>
          <w:b/>
          <w:bCs/>
        </w:rPr>
        <w:t>.</w:t>
      </w:r>
      <w:r>
        <w:t xml:space="preserve"> (28.</w:t>
      </w:r>
      <w:r w:rsidR="002D2B93">
        <w:t xml:space="preserve"> </w:t>
      </w:r>
      <w:r>
        <w:t>11.</w:t>
      </w:r>
      <w:r w:rsidR="002D2B93">
        <w:t xml:space="preserve"> </w:t>
      </w:r>
      <w:r>
        <w:t>2020).</w:t>
      </w:r>
      <w:r w:rsidR="004C6742">
        <w:t xml:space="preserve"> Pridobljeno na:</w:t>
      </w:r>
      <w:r>
        <w:t xml:space="preserve"> Ljubljana, </w:t>
      </w:r>
      <w:hyperlink r:id="rId30" w:history="1">
        <w:r w:rsidRPr="000D1D3F">
          <w:rPr>
            <w:rStyle w:val="Hyperlink"/>
          </w:rPr>
          <w:t>https://www.podjetniskisklad.si/sl/novice-in-objave/novice/sporocila-za-javnost/687-ukrepi-slovenskega-podjetniskega-sklada-za-omilitev-posledic-koronavirusa</w:t>
        </w:r>
      </w:hyperlink>
      <w:r w:rsidRPr="00F216ED">
        <w:rPr>
          <w:color w:val="000000" w:themeColor="text1"/>
        </w:rPr>
        <w:t xml:space="preserve">. </w:t>
      </w:r>
    </w:p>
    <w:p w14:paraId="02F39E5B" w14:textId="777AD435" w:rsidR="00D75DE0" w:rsidRPr="00D75DE0" w:rsidRDefault="00D75DE0" w:rsidP="00D75DE0">
      <w:pPr>
        <w:pStyle w:val="LiteraturaUMAR"/>
      </w:pPr>
      <w:r w:rsidRPr="00D75DE0">
        <w:rPr>
          <w:b/>
          <w:bCs/>
        </w:rPr>
        <w:t>Zakon o interventnem ukrepu odloga plačila obveznosti kreditojemalcev (ZIUOPOK).</w:t>
      </w:r>
      <w:r>
        <w:rPr>
          <w:b/>
          <w:bCs/>
        </w:rPr>
        <w:t xml:space="preserve"> </w:t>
      </w:r>
      <w:r w:rsidRPr="00D75DE0">
        <w:t>(28.</w:t>
      </w:r>
      <w:r w:rsidR="002D2B93">
        <w:t xml:space="preserve"> </w:t>
      </w:r>
      <w:r w:rsidRPr="00D75DE0">
        <w:t>3.</w:t>
      </w:r>
      <w:r w:rsidR="002D2B93">
        <w:t xml:space="preserve"> </w:t>
      </w:r>
      <w:r w:rsidRPr="00D75DE0">
        <w:t>2020). Ljubljana</w:t>
      </w:r>
      <w:r w:rsidR="004C6742">
        <w:t>. Pridobljeno na:</w:t>
      </w:r>
      <w:r w:rsidRPr="00D75DE0">
        <w:t xml:space="preserve"> </w:t>
      </w:r>
      <w:hyperlink r:id="rId31" w:history="1">
        <w:r w:rsidRPr="000D1D3F">
          <w:rPr>
            <w:rStyle w:val="Hyperlink"/>
          </w:rPr>
          <w:t>http://www.pisrs.si/Pis.web/pregledPredpisa?id=ZAKO8184</w:t>
        </w:r>
      </w:hyperlink>
      <w:r w:rsidRPr="00D75DE0">
        <w:rPr>
          <w:color w:val="000000" w:themeColor="text1"/>
        </w:rPr>
        <w:t>.</w:t>
      </w:r>
      <w:r>
        <w:t xml:space="preserve">  </w:t>
      </w:r>
    </w:p>
    <w:p w14:paraId="43D61745" w14:textId="36CDA2C1" w:rsidR="00195C74" w:rsidRDefault="00195C74" w:rsidP="00076D24">
      <w:pPr>
        <w:pStyle w:val="LiteraturaUMAR"/>
      </w:pPr>
      <w:r w:rsidRPr="00195C74">
        <w:rPr>
          <w:b/>
          <w:bCs/>
        </w:rPr>
        <w:t>Zakon o interventnih ukrepih za omilitev posledic drugega vala epidemije COVID-19 (ZIUOPDVE).</w:t>
      </w:r>
      <w:r>
        <w:t xml:space="preserve"> (25.</w:t>
      </w:r>
      <w:r w:rsidR="002D2B93">
        <w:t xml:space="preserve"> </w:t>
      </w:r>
      <w:r>
        <w:t>11.</w:t>
      </w:r>
      <w:r w:rsidR="002D2B93">
        <w:t xml:space="preserve"> </w:t>
      </w:r>
      <w:r>
        <w:t>2020). Ljubljana</w:t>
      </w:r>
      <w:r w:rsidR="004C6742">
        <w:t>. Pridobljeno na:</w:t>
      </w:r>
      <w:r>
        <w:t xml:space="preserve"> </w:t>
      </w:r>
      <w:hyperlink r:id="rId32" w:history="1">
        <w:r w:rsidR="002E263A" w:rsidRPr="000D1D3F">
          <w:rPr>
            <w:rStyle w:val="Hyperlink"/>
          </w:rPr>
          <w:t>https://imss.dz-rs.si/IMiS/ImisAdmin.nsf/ImisnetAgent?OpenAgent&amp;2&amp;DZ-MSS-01/e2eba6dc03fbeb1e34ce614e8b0cb72b2b28660e8e36c06d99e00b9dd7ab159f</w:t>
        </w:r>
      </w:hyperlink>
      <w:r w:rsidR="002E263A">
        <w:t xml:space="preserve">. </w:t>
      </w:r>
    </w:p>
    <w:p w14:paraId="535EE65E" w14:textId="5F37AD04" w:rsidR="00D75DE0" w:rsidRPr="00D75DE0" w:rsidRDefault="00D75DE0" w:rsidP="00D75DE0">
      <w:pPr>
        <w:pStyle w:val="LiteraturaUMAR"/>
      </w:pPr>
      <w:r w:rsidRPr="00D75DE0">
        <w:rPr>
          <w:b/>
          <w:bCs/>
        </w:rPr>
        <w:t>Zakon o interventnih ukrepih za zajezitev epidemije COVID-19 in omilitev njenih posledic za državljane in gospodarstvo (ZIUZEOP).</w:t>
      </w:r>
      <w:r w:rsidRPr="00D75DE0">
        <w:t xml:space="preserve"> </w:t>
      </w:r>
      <w:r>
        <w:t>(10.</w:t>
      </w:r>
      <w:r w:rsidR="002D2B93">
        <w:t xml:space="preserve"> </w:t>
      </w:r>
      <w:r>
        <w:t>4.</w:t>
      </w:r>
      <w:r w:rsidR="002D2B93">
        <w:t xml:space="preserve"> </w:t>
      </w:r>
      <w:r>
        <w:t>2020). Ljubljana</w:t>
      </w:r>
      <w:r w:rsidR="004C6742">
        <w:t>. Pridobljeno na:</w:t>
      </w:r>
      <w:r>
        <w:t xml:space="preserve"> </w:t>
      </w:r>
      <w:hyperlink r:id="rId33" w:history="1">
        <w:r w:rsidR="00C34601" w:rsidRPr="000D1D3F">
          <w:rPr>
            <w:rStyle w:val="Hyperlink"/>
          </w:rPr>
          <w:t>http://www.pisrs.si/Pis.web/pregledPredpisa?id=ZAKO8190#</w:t>
        </w:r>
      </w:hyperlink>
      <w:r w:rsidR="00C34601">
        <w:t xml:space="preserve">. </w:t>
      </w:r>
    </w:p>
    <w:p w14:paraId="64F38A00" w14:textId="5E4BCD1D" w:rsidR="00821A30" w:rsidRPr="00821A30" w:rsidRDefault="00821A30" w:rsidP="00821A30">
      <w:pPr>
        <w:pStyle w:val="LiteraturaUMAR"/>
      </w:pPr>
      <w:r w:rsidRPr="00821A30">
        <w:rPr>
          <w:b/>
          <w:bCs/>
        </w:rPr>
        <w:t>Zakon o spremembah in dopolnitvah Zakona o gospodarskih družbah (ZGD-1L).</w:t>
      </w:r>
      <w:r w:rsidRPr="00821A30">
        <w:t xml:space="preserve"> </w:t>
      </w:r>
      <w:r w:rsidR="007B0A1C">
        <w:t>(24.</w:t>
      </w:r>
      <w:r w:rsidR="002D2B93">
        <w:t xml:space="preserve"> </w:t>
      </w:r>
      <w:r w:rsidR="007B0A1C">
        <w:t>7.</w:t>
      </w:r>
      <w:r w:rsidR="002D2B93">
        <w:t xml:space="preserve"> </w:t>
      </w:r>
      <w:r w:rsidR="007B0A1C">
        <w:t>2015). Ljubljana</w:t>
      </w:r>
      <w:r w:rsidR="004C6742">
        <w:t>. Pridobljeno na:</w:t>
      </w:r>
      <w:r w:rsidR="007B0A1C">
        <w:t xml:space="preserve"> </w:t>
      </w:r>
      <w:hyperlink r:id="rId34" w:history="1">
        <w:r w:rsidR="007B0A1C" w:rsidRPr="000D1D3F">
          <w:rPr>
            <w:rStyle w:val="Hyperlink"/>
          </w:rPr>
          <w:t>http://www.pisrs.si/Pis.web/pregledPredpisa?id=ZAKO6845</w:t>
        </w:r>
      </w:hyperlink>
      <w:r w:rsidRPr="00821A30">
        <w:t>.</w:t>
      </w:r>
    </w:p>
    <w:p w14:paraId="5625E8B5" w14:textId="7554DD7C" w:rsidR="004C6742" w:rsidRPr="00E53095" w:rsidRDefault="00F0718B" w:rsidP="00276233">
      <w:pPr>
        <w:pStyle w:val="LiteraturaUMAR"/>
        <w:rPr>
          <w:color w:val="000000" w:themeColor="text1"/>
        </w:rPr>
        <w:sectPr w:rsidR="004C6742" w:rsidRPr="00E53095" w:rsidSect="004D03B3">
          <w:headerReference w:type="default" r:id="rId35"/>
          <w:pgSz w:w="11906" w:h="16838"/>
          <w:pgMar w:top="1701" w:right="1418" w:bottom="1418" w:left="1418" w:header="567" w:footer="1134" w:gutter="0"/>
          <w:pgNumType w:start="1"/>
          <w:cols w:space="708"/>
          <w:docGrid w:linePitch="360"/>
        </w:sectPr>
      </w:pPr>
      <w:r w:rsidRPr="00F0718B">
        <w:rPr>
          <w:b/>
          <w:bCs/>
        </w:rPr>
        <w:lastRenderedPageBreak/>
        <w:t>Zakon o zagotovitvi dodatne likvidnosti gospodarstvu za omilitev posledic epidemije COVID-19 (ZDLGPE).</w:t>
      </w:r>
      <w:r>
        <w:rPr>
          <w:b/>
          <w:bCs/>
        </w:rPr>
        <w:t xml:space="preserve"> </w:t>
      </w:r>
      <w:r w:rsidRPr="00F0718B">
        <w:t>(30.</w:t>
      </w:r>
      <w:r w:rsidR="002D2B93">
        <w:t xml:space="preserve"> </w:t>
      </w:r>
      <w:r w:rsidRPr="00F0718B">
        <w:t>4.</w:t>
      </w:r>
      <w:r w:rsidR="002D2B93">
        <w:t xml:space="preserve"> </w:t>
      </w:r>
      <w:r w:rsidRPr="00F0718B">
        <w:t>2020). Ljubljana</w:t>
      </w:r>
      <w:r w:rsidR="004C6742">
        <w:t>. Pridobljeno na:</w:t>
      </w:r>
      <w:r w:rsidRPr="00F0718B">
        <w:t xml:space="preserve"> </w:t>
      </w:r>
      <w:hyperlink r:id="rId36" w:history="1">
        <w:r w:rsidRPr="00F0718B">
          <w:rPr>
            <w:rStyle w:val="Hyperlink"/>
          </w:rPr>
          <w:t>http://www.pisrs.si/Pis.web/pregledPredpisa?id=ZAKO8197</w:t>
        </w:r>
      </w:hyperlink>
      <w:r w:rsidRPr="00F0718B">
        <w:rPr>
          <w:color w:val="000000" w:themeColor="text1"/>
        </w:rPr>
        <w:t>.</w:t>
      </w:r>
    </w:p>
    <w:bookmarkEnd w:id="0"/>
    <w:p w14:paraId="212B17A0" w14:textId="3DF7EE2C" w:rsidR="00433EC8" w:rsidRPr="00276233" w:rsidRDefault="00276233" w:rsidP="00C34570">
      <w:pPr>
        <w:pStyle w:val="BesediloUMAR"/>
      </w:pPr>
      <w:r>
        <w:rPr>
          <w:noProof/>
          <w:lang w:eastAsia="sl-SI"/>
        </w:rPr>
        <w:lastRenderedPageBreak/>
        <w:drawing>
          <wp:anchor distT="0" distB="0" distL="114300" distR="114300" simplePos="0" relativeHeight="251665408" behindDoc="0" locked="0" layoutInCell="1" allowOverlap="1" wp14:anchorId="0494B1CA" wp14:editId="5C491A53">
            <wp:simplePos x="0" y="0"/>
            <wp:positionH relativeFrom="margin">
              <wp:align>center</wp:align>
            </wp:positionH>
            <wp:positionV relativeFrom="paragraph">
              <wp:posOffset>-897649</wp:posOffset>
            </wp:positionV>
            <wp:extent cx="6723380" cy="9895697"/>
            <wp:effectExtent l="0" t="0" r="1270" b="0"/>
            <wp:wrapNone/>
            <wp:docPr id="1" name="Picture 1" descr="Infografika s priporočili za ravnanje glede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ografika s priporočili za ravnanje glede Covid-19"/>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723380" cy="9895697"/>
                    </a:xfrm>
                    <a:prstGeom prst="rect">
                      <a:avLst/>
                    </a:prstGeom>
                  </pic:spPr>
                </pic:pic>
              </a:graphicData>
            </a:graphic>
            <wp14:sizeRelH relativeFrom="page">
              <wp14:pctWidth>0</wp14:pctWidth>
            </wp14:sizeRelH>
            <wp14:sizeRelV relativeFrom="page">
              <wp14:pctHeight>0</wp14:pctHeight>
            </wp14:sizeRelV>
          </wp:anchor>
        </w:drawing>
      </w:r>
    </w:p>
    <w:sectPr w:rsidR="00433EC8" w:rsidRPr="00276233" w:rsidSect="00AA705D">
      <w:pgSz w:w="11906" w:h="16838"/>
      <w:pgMar w:top="1701" w:right="1418" w:bottom="1418" w:left="1418" w:header="624"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0F435" w14:textId="77777777" w:rsidR="0005216D" w:rsidRDefault="0005216D" w:rsidP="009E1648">
      <w:r>
        <w:separator/>
      </w:r>
    </w:p>
    <w:p w14:paraId="3D058E7D" w14:textId="77777777" w:rsidR="0005216D" w:rsidRDefault="0005216D" w:rsidP="009E1648"/>
    <w:p w14:paraId="19382735" w14:textId="77777777" w:rsidR="0005216D" w:rsidRDefault="0005216D" w:rsidP="009E1648"/>
    <w:p w14:paraId="1A44CEE8" w14:textId="77777777" w:rsidR="0005216D" w:rsidRDefault="0005216D" w:rsidP="009E1648"/>
    <w:p w14:paraId="5CC26C07" w14:textId="77777777" w:rsidR="0005216D" w:rsidRDefault="0005216D" w:rsidP="009E1648"/>
    <w:p w14:paraId="29B728E7" w14:textId="77777777" w:rsidR="0005216D" w:rsidRDefault="0005216D" w:rsidP="009E1648"/>
    <w:p w14:paraId="72A8F005" w14:textId="77777777" w:rsidR="0005216D" w:rsidRDefault="0005216D" w:rsidP="009E1648"/>
    <w:p w14:paraId="560CE24E" w14:textId="77777777" w:rsidR="0005216D" w:rsidRDefault="0005216D" w:rsidP="009E1648"/>
    <w:p w14:paraId="4752B928" w14:textId="77777777" w:rsidR="0005216D" w:rsidRDefault="0005216D"/>
    <w:p w14:paraId="4B95FFCF" w14:textId="77777777" w:rsidR="0005216D" w:rsidRDefault="0005216D"/>
    <w:p w14:paraId="54837E97" w14:textId="77777777" w:rsidR="0005216D" w:rsidRDefault="0005216D" w:rsidP="00A540FA"/>
    <w:p w14:paraId="539C5141" w14:textId="77777777" w:rsidR="0005216D" w:rsidRDefault="0005216D" w:rsidP="00A540FA"/>
    <w:p w14:paraId="2EE601C2" w14:textId="77777777" w:rsidR="0005216D" w:rsidRDefault="0005216D" w:rsidP="00A540FA"/>
    <w:p w14:paraId="48DE2C78" w14:textId="77777777" w:rsidR="0005216D" w:rsidRDefault="0005216D" w:rsidP="00A540FA"/>
    <w:p w14:paraId="0E5CCBE4" w14:textId="77777777" w:rsidR="0005216D" w:rsidRDefault="0005216D" w:rsidP="00A540FA"/>
    <w:p w14:paraId="1906AA92" w14:textId="77777777" w:rsidR="0005216D" w:rsidRDefault="0005216D"/>
  </w:endnote>
  <w:endnote w:type="continuationSeparator" w:id="0">
    <w:p w14:paraId="0009DBC5" w14:textId="77777777" w:rsidR="0005216D" w:rsidRDefault="0005216D" w:rsidP="009E1648">
      <w:r>
        <w:continuationSeparator/>
      </w:r>
    </w:p>
    <w:p w14:paraId="1540B204" w14:textId="77777777" w:rsidR="0005216D" w:rsidRDefault="0005216D" w:rsidP="009E1648"/>
    <w:p w14:paraId="6DFA05B0" w14:textId="77777777" w:rsidR="0005216D" w:rsidRDefault="0005216D" w:rsidP="009E1648"/>
    <w:p w14:paraId="2BB92E50" w14:textId="77777777" w:rsidR="0005216D" w:rsidRDefault="0005216D" w:rsidP="009E1648"/>
    <w:p w14:paraId="7A3280C3" w14:textId="77777777" w:rsidR="0005216D" w:rsidRDefault="0005216D" w:rsidP="009E1648"/>
    <w:p w14:paraId="7E82A089" w14:textId="77777777" w:rsidR="0005216D" w:rsidRDefault="0005216D" w:rsidP="009E1648"/>
    <w:p w14:paraId="7455B6F4" w14:textId="77777777" w:rsidR="0005216D" w:rsidRDefault="0005216D" w:rsidP="009E1648"/>
    <w:p w14:paraId="1758B357" w14:textId="77777777" w:rsidR="0005216D" w:rsidRDefault="0005216D" w:rsidP="009E1648"/>
    <w:p w14:paraId="40E4DE75" w14:textId="77777777" w:rsidR="0005216D" w:rsidRDefault="0005216D"/>
    <w:p w14:paraId="2736FDC8" w14:textId="77777777" w:rsidR="0005216D" w:rsidRDefault="0005216D"/>
    <w:p w14:paraId="03B29BE1" w14:textId="77777777" w:rsidR="0005216D" w:rsidRDefault="0005216D" w:rsidP="00A540FA"/>
    <w:p w14:paraId="7612BF62" w14:textId="77777777" w:rsidR="0005216D" w:rsidRDefault="0005216D" w:rsidP="00A540FA"/>
    <w:p w14:paraId="4844F8BB" w14:textId="77777777" w:rsidR="0005216D" w:rsidRDefault="0005216D" w:rsidP="00A540FA"/>
    <w:p w14:paraId="1906E797" w14:textId="77777777" w:rsidR="0005216D" w:rsidRDefault="0005216D" w:rsidP="00A540FA"/>
    <w:p w14:paraId="38EF5489" w14:textId="77777777" w:rsidR="0005216D" w:rsidRDefault="0005216D" w:rsidP="00A540FA"/>
    <w:p w14:paraId="508AECF3" w14:textId="77777777" w:rsidR="0005216D" w:rsidRDefault="0005216D"/>
  </w:endnote>
  <w:endnote w:type="continuationNotice" w:id="1">
    <w:p w14:paraId="30BF89A5" w14:textId="77777777" w:rsidR="0005216D" w:rsidRDefault="000521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4AAAA" w14:textId="77777777" w:rsidR="0005216D" w:rsidRPr="009B56EE" w:rsidRDefault="0005216D" w:rsidP="009B56EE">
      <w:pPr>
        <w:pStyle w:val="BesediloUMAR"/>
      </w:pPr>
      <w:r w:rsidRPr="009B56EE">
        <w:separator/>
      </w:r>
    </w:p>
  </w:footnote>
  <w:footnote w:type="continuationSeparator" w:id="0">
    <w:p w14:paraId="0901B9AB" w14:textId="77777777" w:rsidR="0005216D" w:rsidRDefault="0005216D">
      <w:r>
        <w:separator/>
      </w:r>
    </w:p>
  </w:footnote>
  <w:footnote w:type="continuationNotice" w:id="1">
    <w:p w14:paraId="04F86249" w14:textId="77777777" w:rsidR="0005216D" w:rsidRDefault="0005216D">
      <w:pPr>
        <w:spacing w:line="240" w:lineRule="auto"/>
      </w:pPr>
    </w:p>
  </w:footnote>
  <w:footnote w:id="2">
    <w:p w14:paraId="081DFCEF" w14:textId="213C99F9" w:rsidR="00A823DD" w:rsidRDefault="00A823DD" w:rsidP="00A823DD">
      <w:pPr>
        <w:pStyle w:val="FootnoteText"/>
      </w:pPr>
      <w:r>
        <w:rPr>
          <w:rStyle w:val="FootnoteReference"/>
        </w:rPr>
        <w:footnoteRef/>
      </w:r>
      <w:r>
        <w:t xml:space="preserve"> Več </w:t>
      </w:r>
      <w:r w:rsidR="00205E63">
        <w:t>gl</w:t>
      </w:r>
      <w:r w:rsidR="006B3DA8">
        <w:t xml:space="preserve">ej </w:t>
      </w:r>
      <w:r w:rsidR="00205E63">
        <w:t xml:space="preserve"> v Lušina, 2020.</w:t>
      </w:r>
    </w:p>
  </w:footnote>
  <w:footnote w:id="3">
    <w:p w14:paraId="203A22B4" w14:textId="60F301B7" w:rsidR="00A823DD" w:rsidRDefault="00A823DD" w:rsidP="00A823DD">
      <w:pPr>
        <w:pStyle w:val="FootnoteText"/>
      </w:pPr>
      <w:r>
        <w:rPr>
          <w:rStyle w:val="FootnoteReference"/>
        </w:rPr>
        <w:footnoteRef/>
      </w:r>
      <w:r>
        <w:t xml:space="preserve"> Prezadolženost</w:t>
      </w:r>
      <w:r w:rsidRPr="006503CB">
        <w:t xml:space="preserve"> je merjena kot vsota vsega finančnega dolga, ki je višji od petkratnika EBITDA (če je FV≥5), ali kot celotni finančni dolg (če je EBITDA</w:t>
      </w:r>
      <w:r>
        <w:t>&lt;0)</w:t>
      </w:r>
      <w:r w:rsidR="002A0948">
        <w:t>; FV – finančni vzvod (finančni dolg / EBITDA).</w:t>
      </w:r>
      <w:r w:rsidR="00FD5F69">
        <w:t xml:space="preserve"> </w:t>
      </w:r>
      <w:r w:rsidR="00FD5F69" w:rsidRPr="00FD5F69">
        <w:t>EBITDA (angl. Earnings Before Interest, Taxes, Depreciation and Amortization) je prosti denarni tok iz poslovanja (dobiček pred obrestmi, davki, depreciacijo in amortizacijo).</w:t>
      </w:r>
    </w:p>
  </w:footnote>
  <w:footnote w:id="4">
    <w:p w14:paraId="7702893D" w14:textId="3B26A757" w:rsidR="002A0948" w:rsidRDefault="002A0948">
      <w:pPr>
        <w:pStyle w:val="FootnoteText"/>
      </w:pPr>
      <w:r>
        <w:rPr>
          <w:rStyle w:val="FootnoteReference"/>
        </w:rPr>
        <w:footnoteRef/>
      </w:r>
      <w:r>
        <w:t xml:space="preserve"> Analiza je narejena na podatkih za gospodarske družbe.</w:t>
      </w:r>
      <w:r w:rsidR="0045014A">
        <w:t xml:space="preserve"> </w:t>
      </w:r>
      <w:r w:rsidR="0045014A" w:rsidRPr="0045014A">
        <w:t>S poslovnim letom 2016 so se spremenila merila za velikost podjetij (za podrobnosti glej ZGD-1L; čisti prihodki od prodaje in vrednost aktive), tako da v tej analizi za kriterij velikosti uporabljamo edini v obdobju opazovanja nespremenjeni kriterij – povprečno število delavcev v poslovnem letu.</w:t>
      </w:r>
    </w:p>
  </w:footnote>
  <w:footnote w:id="5">
    <w:p w14:paraId="23D56B6D" w14:textId="77777777" w:rsidR="002A0948" w:rsidRDefault="002A0948" w:rsidP="002A0948">
      <w:pPr>
        <w:pStyle w:val="FootnoteText"/>
      </w:pPr>
      <w:r>
        <w:rPr>
          <w:rStyle w:val="FootnoteReference"/>
        </w:rPr>
        <w:footnoteRef/>
      </w:r>
      <w:r>
        <w:t xml:space="preserve"> IC – obrestna pokritost (EBITDA / obresti).</w:t>
      </w:r>
    </w:p>
  </w:footnote>
  <w:footnote w:id="6">
    <w:p w14:paraId="0F047E1C" w14:textId="16716EFE" w:rsidR="002950A0" w:rsidRPr="001510A2" w:rsidRDefault="002950A0" w:rsidP="002950A0">
      <w:pPr>
        <w:pStyle w:val="FootnoteText"/>
        <w:rPr>
          <w:color w:val="FF0000"/>
        </w:rPr>
      </w:pPr>
      <w:r w:rsidRPr="009638AF">
        <w:rPr>
          <w:rStyle w:val="FootnoteReference"/>
        </w:rPr>
        <w:footnoteRef/>
      </w:r>
      <w:r w:rsidRPr="009638AF">
        <w:t xml:space="preserve"> V 2019 je bilo takih 15,7 % vseh podjetij, ki so zaposlovala 5,4 % vseh zaposlenih in so ustvarila 1,6 % dodane vrednosti vseh podjetij. Njihova prezadolženost oz. finančni dolg je znašal 4,7 mrd EUR (kar </w:t>
      </w:r>
      <w:r w:rsidR="00BE647E" w:rsidRPr="009638AF">
        <w:t>predstavlja</w:t>
      </w:r>
      <w:r w:rsidRPr="009638AF">
        <w:t xml:space="preserve"> 43,8 % </w:t>
      </w:r>
      <w:r w:rsidR="00BE647E" w:rsidRPr="009638AF">
        <w:t xml:space="preserve"> </w:t>
      </w:r>
      <w:r w:rsidRPr="009638AF">
        <w:t>prezadolženosti</w:t>
      </w:r>
      <w:r w:rsidR="00BE647E" w:rsidRPr="009638AF">
        <w:t xml:space="preserve"> oz. 16,4 % finančnega dolga vsega podjetniškega sektorja</w:t>
      </w:r>
      <w:r w:rsidRPr="009638AF">
        <w:t xml:space="preserve">). Njihov </w:t>
      </w:r>
      <w:r w:rsidR="00BE647E" w:rsidRPr="009638AF">
        <w:t xml:space="preserve">delež v celotnem bančnem dolgu </w:t>
      </w:r>
      <w:r w:rsidRPr="009638AF">
        <w:t xml:space="preserve">bančni dolg </w:t>
      </w:r>
      <w:r w:rsidR="00BE647E" w:rsidRPr="009638AF">
        <w:t xml:space="preserve">pa je </w:t>
      </w:r>
      <w:r w:rsidRPr="009638AF">
        <w:t xml:space="preserve"> </w:t>
      </w:r>
      <w:r w:rsidR="00BE647E" w:rsidRPr="009638AF">
        <w:t xml:space="preserve">bil  </w:t>
      </w:r>
      <w:r w:rsidRPr="009638AF">
        <w:t>5,7</w:t>
      </w:r>
      <w:r w:rsidR="00230382" w:rsidRPr="009638AF">
        <w:t xml:space="preserve"> %</w:t>
      </w:r>
      <w:r w:rsidR="00BE647E" w:rsidRPr="009638AF">
        <w:t>.</w:t>
      </w:r>
    </w:p>
  </w:footnote>
  <w:footnote w:id="7">
    <w:p w14:paraId="7415147D" w14:textId="77777777" w:rsidR="009111C4" w:rsidRDefault="009111C4" w:rsidP="009111C4">
      <w:pPr>
        <w:pStyle w:val="FootnoteText"/>
      </w:pPr>
      <w:r>
        <w:rPr>
          <w:rStyle w:val="FootnoteReference"/>
        </w:rPr>
        <w:footnoteRef/>
      </w:r>
      <w:r>
        <w:t xml:space="preserve"> </w:t>
      </w:r>
      <w:r w:rsidRPr="009111C4">
        <w:t>OSTALO (A, B, del K, N, R, S, O-Q, U) – A – Kmetijstvo in lov, gozdarstvo, ribištvo, B – Rudarstvo, del K – Finančne in zavarovalniške dejavnosti, N – Druge raznovrstne poslovne dejavnosti, O – Dejavnost javne uprave in obrambe; dejavnost obvezne socialne varnosti, P – Izobraževanje, Q – Zdravstvo in socialno varstvo, R – Kulturne, razvedrilne in rekreacijske dejavnosti, S – Druge storitvene dejavnosti, T – Dejavnost gospodinjstev z zaposlenim hišnim osebjem; proizvodnja za lastno rabo, U – Dejavnost eksteritorialnih organizacij in teles.</w:t>
      </w:r>
    </w:p>
  </w:footnote>
  <w:footnote w:id="8">
    <w:p w14:paraId="7FB0A466" w14:textId="77777777" w:rsidR="00230382" w:rsidRDefault="00230382" w:rsidP="00230382">
      <w:pPr>
        <w:pStyle w:val="FootnoteText"/>
      </w:pPr>
      <w:r>
        <w:rPr>
          <w:rStyle w:val="FootnoteReference"/>
        </w:rPr>
        <w:footnoteRef/>
      </w:r>
      <w:r>
        <w:t xml:space="preserve"> Več glej  v Tavčar,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CellMar>
        <w:left w:w="0" w:type="dxa"/>
        <w:right w:w="0" w:type="dxa"/>
      </w:tblCellMar>
      <w:tblLook w:val="04A0" w:firstRow="1" w:lastRow="0" w:firstColumn="1" w:lastColumn="0" w:noHBand="0" w:noVBand="1"/>
    </w:tblPr>
    <w:tblGrid>
      <w:gridCol w:w="8276"/>
      <w:gridCol w:w="796"/>
    </w:tblGrid>
    <w:tr w:rsidR="00076D24" w:rsidRPr="00A540FA" w14:paraId="0B77C117" w14:textId="77777777" w:rsidTr="00B11D66">
      <w:trPr>
        <w:trHeight w:val="552"/>
      </w:trPr>
      <w:tc>
        <w:tcPr>
          <w:tcW w:w="8276" w:type="dxa"/>
        </w:tcPr>
        <w:p w14:paraId="05162FBF" w14:textId="23712799" w:rsidR="00076D24" w:rsidRPr="00F43CB0" w:rsidRDefault="00076D24" w:rsidP="00076D24">
          <w:pPr>
            <w:pStyle w:val="Header"/>
            <w:tabs>
              <w:tab w:val="clear" w:pos="4536"/>
              <w:tab w:val="clear" w:pos="9072"/>
              <w:tab w:val="right" w:pos="8276"/>
            </w:tabs>
            <w:spacing w:line="240" w:lineRule="auto"/>
            <w:rPr>
              <w:rFonts w:cstheme="minorHAnsi"/>
              <w:b/>
              <w:sz w:val="16"/>
            </w:rPr>
          </w:pPr>
          <w:r>
            <w:rPr>
              <w:rFonts w:cstheme="minorHAnsi"/>
              <w:b/>
              <w:sz w:val="16"/>
            </w:rPr>
            <w:t xml:space="preserve">UMAR </w:t>
          </w:r>
          <w:r w:rsidRPr="00F43CB0">
            <w:rPr>
              <w:rFonts w:cstheme="minorHAnsi"/>
              <w:b/>
              <w:sz w:val="16"/>
            </w:rPr>
            <w:t xml:space="preserve"> </w:t>
          </w:r>
          <w:r w:rsidRPr="00F43CB0">
            <w:rPr>
              <w:rFonts w:cstheme="minorHAnsi"/>
              <w:noProof/>
              <w:lang w:eastAsia="sl-SI"/>
            </w:rPr>
            <w:drawing>
              <wp:inline distT="0" distB="0" distL="0" distR="0" wp14:anchorId="0C374682" wp14:editId="3F9890B7">
                <wp:extent cx="58825" cy="76332"/>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Pr>
              <w:rFonts w:cstheme="minorHAnsi"/>
              <w:b/>
              <w:sz w:val="16"/>
            </w:rPr>
            <w:t xml:space="preserve">  </w:t>
          </w:r>
          <w:r w:rsidR="00952D97">
            <w:rPr>
              <w:rFonts w:cstheme="minorHAnsi"/>
              <w:b/>
              <w:sz w:val="16"/>
            </w:rPr>
            <w:t>Izpostavljenost podjetniškega sektorja plačilni nesposobnosti v letu 2020</w:t>
          </w:r>
          <w:r>
            <w:rPr>
              <w:rFonts w:cstheme="minorHAnsi"/>
              <w:b/>
              <w:sz w:val="16"/>
            </w:rPr>
            <w:tab/>
          </w:r>
        </w:p>
      </w:tc>
      <w:tc>
        <w:tcPr>
          <w:tcW w:w="796" w:type="dxa"/>
        </w:tcPr>
        <w:p w14:paraId="3F3265CA" w14:textId="77777777" w:rsidR="00076D24" w:rsidRPr="00B607E3" w:rsidRDefault="00076D24" w:rsidP="00076D24">
          <w:pPr>
            <w:pStyle w:val="Header"/>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sidR="002D2B93">
            <w:rPr>
              <w:rFonts w:cstheme="minorHAnsi"/>
              <w:b/>
              <w:noProof/>
              <w:sz w:val="16"/>
              <w:szCs w:val="16"/>
            </w:rPr>
            <w:t>1</w:t>
          </w:r>
          <w:r w:rsidRPr="00B607E3">
            <w:rPr>
              <w:rFonts w:cstheme="minorHAnsi"/>
              <w:b/>
              <w:sz w:val="16"/>
              <w:szCs w:val="16"/>
            </w:rPr>
            <w:fldChar w:fldCharType="end"/>
          </w:r>
        </w:p>
      </w:tc>
    </w:tr>
  </w:tbl>
  <w:p w14:paraId="456649FF" w14:textId="77777777" w:rsidR="00F76910" w:rsidRDefault="00F769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CellMar>
        <w:left w:w="0" w:type="dxa"/>
        <w:right w:w="0" w:type="dxa"/>
      </w:tblCellMar>
      <w:tblLook w:val="04A0" w:firstRow="1" w:lastRow="0" w:firstColumn="1" w:lastColumn="0" w:noHBand="0" w:noVBand="1"/>
    </w:tblPr>
    <w:tblGrid>
      <w:gridCol w:w="8276"/>
      <w:gridCol w:w="796"/>
    </w:tblGrid>
    <w:tr w:rsidR="004D03B3" w:rsidRPr="00A540FA" w14:paraId="79A024CE" w14:textId="77777777" w:rsidTr="00B11D66">
      <w:trPr>
        <w:trHeight w:val="552"/>
      </w:trPr>
      <w:tc>
        <w:tcPr>
          <w:tcW w:w="8276" w:type="dxa"/>
        </w:tcPr>
        <w:p w14:paraId="05577F48" w14:textId="77777777" w:rsidR="004D03B3" w:rsidRPr="00F43CB0" w:rsidRDefault="004D03B3" w:rsidP="00076D24">
          <w:pPr>
            <w:pStyle w:val="Header"/>
            <w:tabs>
              <w:tab w:val="clear" w:pos="4536"/>
              <w:tab w:val="clear" w:pos="9072"/>
              <w:tab w:val="right" w:pos="8276"/>
            </w:tabs>
            <w:spacing w:line="240" w:lineRule="auto"/>
            <w:rPr>
              <w:rFonts w:cstheme="minorHAnsi"/>
              <w:b/>
              <w:sz w:val="16"/>
            </w:rPr>
          </w:pPr>
          <w:r>
            <w:rPr>
              <w:rFonts w:cstheme="minorHAnsi"/>
              <w:b/>
              <w:sz w:val="16"/>
            </w:rPr>
            <w:t xml:space="preserve">UMAR </w:t>
          </w:r>
          <w:r w:rsidRPr="00F43CB0">
            <w:rPr>
              <w:rFonts w:cstheme="minorHAnsi"/>
              <w:b/>
              <w:sz w:val="16"/>
            </w:rPr>
            <w:t xml:space="preserve"> </w:t>
          </w:r>
          <w:r w:rsidRPr="00F43CB0">
            <w:rPr>
              <w:rFonts w:cstheme="minorHAnsi"/>
              <w:noProof/>
              <w:lang w:eastAsia="sl-SI"/>
            </w:rPr>
            <w:drawing>
              <wp:inline distT="0" distB="0" distL="0" distR="0" wp14:anchorId="13852BA7" wp14:editId="76E874A4">
                <wp:extent cx="58825" cy="763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Pr>
              <w:rFonts w:cstheme="minorHAnsi"/>
              <w:b/>
              <w:sz w:val="16"/>
            </w:rPr>
            <w:t xml:space="preserve">  Izpostavljenost podjetniškega sektorja plačilni nesposobnosti v letu 2020</w:t>
          </w:r>
          <w:r>
            <w:rPr>
              <w:rFonts w:cstheme="minorHAnsi"/>
              <w:b/>
              <w:sz w:val="16"/>
            </w:rPr>
            <w:tab/>
          </w:r>
        </w:p>
      </w:tc>
      <w:tc>
        <w:tcPr>
          <w:tcW w:w="796" w:type="dxa"/>
        </w:tcPr>
        <w:p w14:paraId="08BA9984" w14:textId="77777777" w:rsidR="004D03B3" w:rsidRPr="00B607E3" w:rsidRDefault="004D03B3" w:rsidP="00076D24">
          <w:pPr>
            <w:pStyle w:val="Header"/>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Pr>
              <w:rFonts w:cstheme="minorHAnsi"/>
              <w:b/>
              <w:noProof/>
              <w:sz w:val="16"/>
              <w:szCs w:val="16"/>
            </w:rPr>
            <w:t>1</w:t>
          </w:r>
          <w:r w:rsidRPr="00B607E3">
            <w:rPr>
              <w:rFonts w:cstheme="minorHAnsi"/>
              <w:b/>
              <w:sz w:val="16"/>
              <w:szCs w:val="16"/>
            </w:rPr>
            <w:fldChar w:fldCharType="end"/>
          </w:r>
        </w:p>
      </w:tc>
    </w:tr>
  </w:tbl>
  <w:p w14:paraId="0FB0FA76" w14:textId="77777777" w:rsidR="004D03B3" w:rsidRDefault="004D03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060CD8"/>
    <w:multiLevelType w:val="multilevel"/>
    <w:tmpl w:val="3E48A548"/>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EDC2F8D"/>
    <w:multiLevelType w:val="hybridMultilevel"/>
    <w:tmpl w:val="EE68B9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CB66A94"/>
    <w:multiLevelType w:val="singleLevel"/>
    <w:tmpl w:val="BEAEA458"/>
    <w:lvl w:ilvl="0">
      <w:start w:val="1"/>
      <w:numFmt w:val="decimal"/>
      <w:pStyle w:val="LiteraturaUMAR"/>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C77"/>
    <w:rsid w:val="000026EC"/>
    <w:rsid w:val="00002CAF"/>
    <w:rsid w:val="000032F1"/>
    <w:rsid w:val="00003E9D"/>
    <w:rsid w:val="00004DAC"/>
    <w:rsid w:val="00006657"/>
    <w:rsid w:val="00006975"/>
    <w:rsid w:val="00006BC6"/>
    <w:rsid w:val="000071B5"/>
    <w:rsid w:val="00007719"/>
    <w:rsid w:val="00011C77"/>
    <w:rsid w:val="00013848"/>
    <w:rsid w:val="000141E1"/>
    <w:rsid w:val="00014DA7"/>
    <w:rsid w:val="00021109"/>
    <w:rsid w:val="00021509"/>
    <w:rsid w:val="00023A5C"/>
    <w:rsid w:val="00023FFD"/>
    <w:rsid w:val="0002452C"/>
    <w:rsid w:val="0002458B"/>
    <w:rsid w:val="00024FA0"/>
    <w:rsid w:val="000267E2"/>
    <w:rsid w:val="00026ACB"/>
    <w:rsid w:val="0003011B"/>
    <w:rsid w:val="00033FF7"/>
    <w:rsid w:val="00035FBD"/>
    <w:rsid w:val="000365D0"/>
    <w:rsid w:val="0003751E"/>
    <w:rsid w:val="00037DDD"/>
    <w:rsid w:val="0004147D"/>
    <w:rsid w:val="00041BCA"/>
    <w:rsid w:val="00042B8F"/>
    <w:rsid w:val="000438D4"/>
    <w:rsid w:val="0005216D"/>
    <w:rsid w:val="00054645"/>
    <w:rsid w:val="0005475A"/>
    <w:rsid w:val="000547F0"/>
    <w:rsid w:val="000572B9"/>
    <w:rsid w:val="00057C74"/>
    <w:rsid w:val="00060302"/>
    <w:rsid w:val="00066A45"/>
    <w:rsid w:val="0007025B"/>
    <w:rsid w:val="00070B55"/>
    <w:rsid w:val="00072E0A"/>
    <w:rsid w:val="0007354C"/>
    <w:rsid w:val="00075D73"/>
    <w:rsid w:val="00076D24"/>
    <w:rsid w:val="00077993"/>
    <w:rsid w:val="00077C63"/>
    <w:rsid w:val="00077E9C"/>
    <w:rsid w:val="0008109A"/>
    <w:rsid w:val="00083E22"/>
    <w:rsid w:val="00084484"/>
    <w:rsid w:val="000918F3"/>
    <w:rsid w:val="0009247A"/>
    <w:rsid w:val="000929C6"/>
    <w:rsid w:val="00092DA8"/>
    <w:rsid w:val="000936DA"/>
    <w:rsid w:val="00093BEF"/>
    <w:rsid w:val="000968B4"/>
    <w:rsid w:val="000969D0"/>
    <w:rsid w:val="00096DB6"/>
    <w:rsid w:val="000A1F78"/>
    <w:rsid w:val="000A528A"/>
    <w:rsid w:val="000A6E55"/>
    <w:rsid w:val="000A78C0"/>
    <w:rsid w:val="000B0C7C"/>
    <w:rsid w:val="000B177F"/>
    <w:rsid w:val="000B1E80"/>
    <w:rsid w:val="000B2CC4"/>
    <w:rsid w:val="000B3619"/>
    <w:rsid w:val="000B48FF"/>
    <w:rsid w:val="000B75F3"/>
    <w:rsid w:val="000C1C5A"/>
    <w:rsid w:val="000C2CAF"/>
    <w:rsid w:val="000C43BF"/>
    <w:rsid w:val="000C4E62"/>
    <w:rsid w:val="000C5063"/>
    <w:rsid w:val="000C66F6"/>
    <w:rsid w:val="000D0C8F"/>
    <w:rsid w:val="000D1E72"/>
    <w:rsid w:val="000D4CA8"/>
    <w:rsid w:val="000E0B25"/>
    <w:rsid w:val="000E1358"/>
    <w:rsid w:val="000E3BEC"/>
    <w:rsid w:val="000E70CE"/>
    <w:rsid w:val="000E7B27"/>
    <w:rsid w:val="000E7BCB"/>
    <w:rsid w:val="000F0B06"/>
    <w:rsid w:val="000F23D6"/>
    <w:rsid w:val="000F2B1C"/>
    <w:rsid w:val="000F37C8"/>
    <w:rsid w:val="000F6AC0"/>
    <w:rsid w:val="000F6F5D"/>
    <w:rsid w:val="00100DB9"/>
    <w:rsid w:val="00102756"/>
    <w:rsid w:val="0010366B"/>
    <w:rsid w:val="0010507E"/>
    <w:rsid w:val="00105A87"/>
    <w:rsid w:val="00105D95"/>
    <w:rsid w:val="00106B4D"/>
    <w:rsid w:val="00106BE5"/>
    <w:rsid w:val="00107A6B"/>
    <w:rsid w:val="00107A7C"/>
    <w:rsid w:val="00110C49"/>
    <w:rsid w:val="00110FEB"/>
    <w:rsid w:val="00115051"/>
    <w:rsid w:val="001153EC"/>
    <w:rsid w:val="0011551D"/>
    <w:rsid w:val="001170C5"/>
    <w:rsid w:val="00117115"/>
    <w:rsid w:val="00117342"/>
    <w:rsid w:val="0011783D"/>
    <w:rsid w:val="00120FCF"/>
    <w:rsid w:val="00121772"/>
    <w:rsid w:val="00124C9D"/>
    <w:rsid w:val="00127B1E"/>
    <w:rsid w:val="00130A1A"/>
    <w:rsid w:val="0013312D"/>
    <w:rsid w:val="0013548A"/>
    <w:rsid w:val="001357F0"/>
    <w:rsid w:val="00135CF8"/>
    <w:rsid w:val="00137AB5"/>
    <w:rsid w:val="001406F5"/>
    <w:rsid w:val="00140706"/>
    <w:rsid w:val="00141E1A"/>
    <w:rsid w:val="00143E7F"/>
    <w:rsid w:val="001455D8"/>
    <w:rsid w:val="00150E9F"/>
    <w:rsid w:val="0015528E"/>
    <w:rsid w:val="00157A79"/>
    <w:rsid w:val="00161445"/>
    <w:rsid w:val="00161611"/>
    <w:rsid w:val="0016173F"/>
    <w:rsid w:val="00162561"/>
    <w:rsid w:val="00165810"/>
    <w:rsid w:val="001673B5"/>
    <w:rsid w:val="001673FC"/>
    <w:rsid w:val="001709CB"/>
    <w:rsid w:val="00170EC7"/>
    <w:rsid w:val="00175219"/>
    <w:rsid w:val="00175D93"/>
    <w:rsid w:val="001764AB"/>
    <w:rsid w:val="001770F0"/>
    <w:rsid w:val="001800CD"/>
    <w:rsid w:val="00181502"/>
    <w:rsid w:val="00181CCA"/>
    <w:rsid w:val="0018519C"/>
    <w:rsid w:val="001908FD"/>
    <w:rsid w:val="00190C00"/>
    <w:rsid w:val="001910C2"/>
    <w:rsid w:val="001917B6"/>
    <w:rsid w:val="00195C74"/>
    <w:rsid w:val="00195F97"/>
    <w:rsid w:val="0019720D"/>
    <w:rsid w:val="001A0885"/>
    <w:rsid w:val="001A1629"/>
    <w:rsid w:val="001B2F40"/>
    <w:rsid w:val="001B6398"/>
    <w:rsid w:val="001C20B3"/>
    <w:rsid w:val="001C3A0A"/>
    <w:rsid w:val="001C487D"/>
    <w:rsid w:val="001C4D46"/>
    <w:rsid w:val="001C5AF2"/>
    <w:rsid w:val="001D0A6E"/>
    <w:rsid w:val="001D0B2F"/>
    <w:rsid w:val="001D1834"/>
    <w:rsid w:val="001D3A3F"/>
    <w:rsid w:val="001D65E7"/>
    <w:rsid w:val="001D663D"/>
    <w:rsid w:val="001E07FD"/>
    <w:rsid w:val="001E0960"/>
    <w:rsid w:val="001E7BEE"/>
    <w:rsid w:val="001F0482"/>
    <w:rsid w:val="001F1537"/>
    <w:rsid w:val="001F166C"/>
    <w:rsid w:val="001F1F26"/>
    <w:rsid w:val="001F379C"/>
    <w:rsid w:val="001F60CF"/>
    <w:rsid w:val="001F62CF"/>
    <w:rsid w:val="00203C04"/>
    <w:rsid w:val="00205616"/>
    <w:rsid w:val="00205E63"/>
    <w:rsid w:val="002111FC"/>
    <w:rsid w:val="00212697"/>
    <w:rsid w:val="00214084"/>
    <w:rsid w:val="00214A8B"/>
    <w:rsid w:val="00217E32"/>
    <w:rsid w:val="00220A86"/>
    <w:rsid w:val="00220E84"/>
    <w:rsid w:val="002225D3"/>
    <w:rsid w:val="00225170"/>
    <w:rsid w:val="0022533F"/>
    <w:rsid w:val="002257A9"/>
    <w:rsid w:val="00230382"/>
    <w:rsid w:val="00230DE5"/>
    <w:rsid w:val="00232BBE"/>
    <w:rsid w:val="0023463D"/>
    <w:rsid w:val="00234DFD"/>
    <w:rsid w:val="00235E12"/>
    <w:rsid w:val="00243D25"/>
    <w:rsid w:val="00244E0B"/>
    <w:rsid w:val="00250B99"/>
    <w:rsid w:val="00252660"/>
    <w:rsid w:val="00252F81"/>
    <w:rsid w:val="002531D4"/>
    <w:rsid w:val="00253567"/>
    <w:rsid w:val="002572F0"/>
    <w:rsid w:val="002577FF"/>
    <w:rsid w:val="002620A7"/>
    <w:rsid w:val="002628DA"/>
    <w:rsid w:val="00263E3D"/>
    <w:rsid w:val="00265B02"/>
    <w:rsid w:val="00265E7B"/>
    <w:rsid w:val="00266B89"/>
    <w:rsid w:val="00272C68"/>
    <w:rsid w:val="00274A6B"/>
    <w:rsid w:val="002750B5"/>
    <w:rsid w:val="00275CAC"/>
    <w:rsid w:val="00276233"/>
    <w:rsid w:val="002800D2"/>
    <w:rsid w:val="00281355"/>
    <w:rsid w:val="00282A01"/>
    <w:rsid w:val="00287C4E"/>
    <w:rsid w:val="002901C9"/>
    <w:rsid w:val="00291052"/>
    <w:rsid w:val="00291B55"/>
    <w:rsid w:val="0029204B"/>
    <w:rsid w:val="002950A0"/>
    <w:rsid w:val="00295489"/>
    <w:rsid w:val="00296655"/>
    <w:rsid w:val="00296ADF"/>
    <w:rsid w:val="00296B59"/>
    <w:rsid w:val="002A0948"/>
    <w:rsid w:val="002A0E59"/>
    <w:rsid w:val="002A14EE"/>
    <w:rsid w:val="002A1940"/>
    <w:rsid w:val="002A368E"/>
    <w:rsid w:val="002A4446"/>
    <w:rsid w:val="002A6C97"/>
    <w:rsid w:val="002B06FB"/>
    <w:rsid w:val="002B3773"/>
    <w:rsid w:val="002B3890"/>
    <w:rsid w:val="002B3FA8"/>
    <w:rsid w:val="002B5937"/>
    <w:rsid w:val="002B5D48"/>
    <w:rsid w:val="002B631F"/>
    <w:rsid w:val="002C0909"/>
    <w:rsid w:val="002C0D76"/>
    <w:rsid w:val="002C42D3"/>
    <w:rsid w:val="002D0D1B"/>
    <w:rsid w:val="002D13CD"/>
    <w:rsid w:val="002D1D30"/>
    <w:rsid w:val="002D2B93"/>
    <w:rsid w:val="002D4281"/>
    <w:rsid w:val="002D460E"/>
    <w:rsid w:val="002D5102"/>
    <w:rsid w:val="002E032A"/>
    <w:rsid w:val="002E263A"/>
    <w:rsid w:val="002E37AA"/>
    <w:rsid w:val="002E45C6"/>
    <w:rsid w:val="002F36AC"/>
    <w:rsid w:val="002F5D0F"/>
    <w:rsid w:val="002F62CB"/>
    <w:rsid w:val="0030011D"/>
    <w:rsid w:val="003014DC"/>
    <w:rsid w:val="00305924"/>
    <w:rsid w:val="00306706"/>
    <w:rsid w:val="003119D2"/>
    <w:rsid w:val="00315406"/>
    <w:rsid w:val="0031550F"/>
    <w:rsid w:val="00330829"/>
    <w:rsid w:val="0033107B"/>
    <w:rsid w:val="003312A2"/>
    <w:rsid w:val="00331BA1"/>
    <w:rsid w:val="00334607"/>
    <w:rsid w:val="00336899"/>
    <w:rsid w:val="00340546"/>
    <w:rsid w:val="0034152B"/>
    <w:rsid w:val="00341E37"/>
    <w:rsid w:val="00341EEF"/>
    <w:rsid w:val="00343039"/>
    <w:rsid w:val="00344940"/>
    <w:rsid w:val="00344FE4"/>
    <w:rsid w:val="00347515"/>
    <w:rsid w:val="0035126D"/>
    <w:rsid w:val="00351BD0"/>
    <w:rsid w:val="003529F5"/>
    <w:rsid w:val="00353175"/>
    <w:rsid w:val="00353D73"/>
    <w:rsid w:val="00354A68"/>
    <w:rsid w:val="00355D20"/>
    <w:rsid w:val="00363A1A"/>
    <w:rsid w:val="00364CEA"/>
    <w:rsid w:val="003656BC"/>
    <w:rsid w:val="00365B36"/>
    <w:rsid w:val="00365CA9"/>
    <w:rsid w:val="003663C9"/>
    <w:rsid w:val="00367549"/>
    <w:rsid w:val="00371E0A"/>
    <w:rsid w:val="00373951"/>
    <w:rsid w:val="00373E63"/>
    <w:rsid w:val="00374268"/>
    <w:rsid w:val="003743DD"/>
    <w:rsid w:val="00374A64"/>
    <w:rsid w:val="00375C3D"/>
    <w:rsid w:val="00376234"/>
    <w:rsid w:val="00380DEB"/>
    <w:rsid w:val="00383F11"/>
    <w:rsid w:val="003844E5"/>
    <w:rsid w:val="00385490"/>
    <w:rsid w:val="00386ACD"/>
    <w:rsid w:val="0038783C"/>
    <w:rsid w:val="00390A78"/>
    <w:rsid w:val="00391645"/>
    <w:rsid w:val="003926AD"/>
    <w:rsid w:val="003936E4"/>
    <w:rsid w:val="00394200"/>
    <w:rsid w:val="003944B6"/>
    <w:rsid w:val="00394B17"/>
    <w:rsid w:val="00395593"/>
    <w:rsid w:val="00396660"/>
    <w:rsid w:val="003A130C"/>
    <w:rsid w:val="003A1CC3"/>
    <w:rsid w:val="003A2EB1"/>
    <w:rsid w:val="003A4B98"/>
    <w:rsid w:val="003A4C58"/>
    <w:rsid w:val="003A5848"/>
    <w:rsid w:val="003A6C2F"/>
    <w:rsid w:val="003A7D45"/>
    <w:rsid w:val="003A7F44"/>
    <w:rsid w:val="003B1BDA"/>
    <w:rsid w:val="003B2E0E"/>
    <w:rsid w:val="003B3D3D"/>
    <w:rsid w:val="003B5F73"/>
    <w:rsid w:val="003B64A5"/>
    <w:rsid w:val="003B7CD1"/>
    <w:rsid w:val="003C21D8"/>
    <w:rsid w:val="003C3E4B"/>
    <w:rsid w:val="003D2EFD"/>
    <w:rsid w:val="003D39EE"/>
    <w:rsid w:val="003D431F"/>
    <w:rsid w:val="003D65E1"/>
    <w:rsid w:val="003D7EE3"/>
    <w:rsid w:val="003E0B22"/>
    <w:rsid w:val="003E193D"/>
    <w:rsid w:val="003E1D01"/>
    <w:rsid w:val="003E2BA4"/>
    <w:rsid w:val="003E31F6"/>
    <w:rsid w:val="003E3A2D"/>
    <w:rsid w:val="003E4990"/>
    <w:rsid w:val="003E5C63"/>
    <w:rsid w:val="003F058C"/>
    <w:rsid w:val="003F090C"/>
    <w:rsid w:val="003F18D2"/>
    <w:rsid w:val="003F1B14"/>
    <w:rsid w:val="003F1D22"/>
    <w:rsid w:val="003F26A8"/>
    <w:rsid w:val="003F33CD"/>
    <w:rsid w:val="003F5FD3"/>
    <w:rsid w:val="003F6AB1"/>
    <w:rsid w:val="00400465"/>
    <w:rsid w:val="00400DE5"/>
    <w:rsid w:val="004016AB"/>
    <w:rsid w:val="00402400"/>
    <w:rsid w:val="004029BB"/>
    <w:rsid w:val="00402B00"/>
    <w:rsid w:val="00404473"/>
    <w:rsid w:val="004046E7"/>
    <w:rsid w:val="00404841"/>
    <w:rsid w:val="004049B7"/>
    <w:rsid w:val="00407C0D"/>
    <w:rsid w:val="00407E3C"/>
    <w:rsid w:val="00411FE9"/>
    <w:rsid w:val="00413A61"/>
    <w:rsid w:val="004155C8"/>
    <w:rsid w:val="00415D75"/>
    <w:rsid w:val="00416D9C"/>
    <w:rsid w:val="0042350D"/>
    <w:rsid w:val="00423D6C"/>
    <w:rsid w:val="004248C0"/>
    <w:rsid w:val="0042577D"/>
    <w:rsid w:val="00427E7B"/>
    <w:rsid w:val="00430947"/>
    <w:rsid w:val="004316F7"/>
    <w:rsid w:val="00431FB3"/>
    <w:rsid w:val="00433EC8"/>
    <w:rsid w:val="00435423"/>
    <w:rsid w:val="00437CB6"/>
    <w:rsid w:val="00440FB2"/>
    <w:rsid w:val="00441504"/>
    <w:rsid w:val="0044242E"/>
    <w:rsid w:val="0044421E"/>
    <w:rsid w:val="004448D1"/>
    <w:rsid w:val="00446186"/>
    <w:rsid w:val="0044754D"/>
    <w:rsid w:val="00447A71"/>
    <w:rsid w:val="0045014A"/>
    <w:rsid w:val="00452B84"/>
    <w:rsid w:val="00454751"/>
    <w:rsid w:val="00457C59"/>
    <w:rsid w:val="004603DE"/>
    <w:rsid w:val="004610CF"/>
    <w:rsid w:val="00461535"/>
    <w:rsid w:val="00463654"/>
    <w:rsid w:val="0046366D"/>
    <w:rsid w:val="00464106"/>
    <w:rsid w:val="00467B42"/>
    <w:rsid w:val="00470031"/>
    <w:rsid w:val="00471237"/>
    <w:rsid w:val="00471568"/>
    <w:rsid w:val="00471713"/>
    <w:rsid w:val="00471D85"/>
    <w:rsid w:val="004730B8"/>
    <w:rsid w:val="00474F4F"/>
    <w:rsid w:val="0047533F"/>
    <w:rsid w:val="0047635E"/>
    <w:rsid w:val="004774EA"/>
    <w:rsid w:val="004774F9"/>
    <w:rsid w:val="00477DBE"/>
    <w:rsid w:val="00481B30"/>
    <w:rsid w:val="00481E14"/>
    <w:rsid w:val="00484DF1"/>
    <w:rsid w:val="00485096"/>
    <w:rsid w:val="00485174"/>
    <w:rsid w:val="004856A5"/>
    <w:rsid w:val="0048594C"/>
    <w:rsid w:val="0048599C"/>
    <w:rsid w:val="0048659B"/>
    <w:rsid w:val="00487357"/>
    <w:rsid w:val="00487D9F"/>
    <w:rsid w:val="00487DB9"/>
    <w:rsid w:val="00487FA1"/>
    <w:rsid w:val="004901C2"/>
    <w:rsid w:val="0049345B"/>
    <w:rsid w:val="0049356B"/>
    <w:rsid w:val="004945BD"/>
    <w:rsid w:val="00495854"/>
    <w:rsid w:val="00495889"/>
    <w:rsid w:val="00496165"/>
    <w:rsid w:val="004964EE"/>
    <w:rsid w:val="004966FB"/>
    <w:rsid w:val="00497805"/>
    <w:rsid w:val="004A318E"/>
    <w:rsid w:val="004A3312"/>
    <w:rsid w:val="004A45DA"/>
    <w:rsid w:val="004B275E"/>
    <w:rsid w:val="004B3384"/>
    <w:rsid w:val="004B3752"/>
    <w:rsid w:val="004B39ED"/>
    <w:rsid w:val="004B4B54"/>
    <w:rsid w:val="004C0235"/>
    <w:rsid w:val="004C1588"/>
    <w:rsid w:val="004C1673"/>
    <w:rsid w:val="004C22C6"/>
    <w:rsid w:val="004C4982"/>
    <w:rsid w:val="004C5AD3"/>
    <w:rsid w:val="004C6742"/>
    <w:rsid w:val="004C6B99"/>
    <w:rsid w:val="004D03B3"/>
    <w:rsid w:val="004D1933"/>
    <w:rsid w:val="004D1C81"/>
    <w:rsid w:val="004D22FB"/>
    <w:rsid w:val="004D2B31"/>
    <w:rsid w:val="004D33D1"/>
    <w:rsid w:val="004D372F"/>
    <w:rsid w:val="004D51EA"/>
    <w:rsid w:val="004D5670"/>
    <w:rsid w:val="004D6D6F"/>
    <w:rsid w:val="004D78A9"/>
    <w:rsid w:val="004E26C0"/>
    <w:rsid w:val="004E3300"/>
    <w:rsid w:val="004E538D"/>
    <w:rsid w:val="004F09ED"/>
    <w:rsid w:val="004F0F3E"/>
    <w:rsid w:val="004F1872"/>
    <w:rsid w:val="004F25F6"/>
    <w:rsid w:val="004F2BE3"/>
    <w:rsid w:val="004F38FC"/>
    <w:rsid w:val="004F3C08"/>
    <w:rsid w:val="004F54A2"/>
    <w:rsid w:val="004F62F9"/>
    <w:rsid w:val="004F6889"/>
    <w:rsid w:val="004F7C76"/>
    <w:rsid w:val="0050010C"/>
    <w:rsid w:val="005009C2"/>
    <w:rsid w:val="00501B23"/>
    <w:rsid w:val="00501BD9"/>
    <w:rsid w:val="00502FA8"/>
    <w:rsid w:val="0050550D"/>
    <w:rsid w:val="0050616E"/>
    <w:rsid w:val="00507640"/>
    <w:rsid w:val="0050798F"/>
    <w:rsid w:val="00510461"/>
    <w:rsid w:val="005139FA"/>
    <w:rsid w:val="00513F8E"/>
    <w:rsid w:val="0051582D"/>
    <w:rsid w:val="0051702C"/>
    <w:rsid w:val="00520E00"/>
    <w:rsid w:val="005237FD"/>
    <w:rsid w:val="0052552A"/>
    <w:rsid w:val="00525FE4"/>
    <w:rsid w:val="00530590"/>
    <w:rsid w:val="0053228F"/>
    <w:rsid w:val="00532FEB"/>
    <w:rsid w:val="005331FB"/>
    <w:rsid w:val="00534995"/>
    <w:rsid w:val="00537053"/>
    <w:rsid w:val="0054083E"/>
    <w:rsid w:val="00543646"/>
    <w:rsid w:val="00543748"/>
    <w:rsid w:val="00545914"/>
    <w:rsid w:val="0054632F"/>
    <w:rsid w:val="0054650F"/>
    <w:rsid w:val="005472C7"/>
    <w:rsid w:val="00550662"/>
    <w:rsid w:val="00551677"/>
    <w:rsid w:val="00555663"/>
    <w:rsid w:val="0055724C"/>
    <w:rsid w:val="00560321"/>
    <w:rsid w:val="005604EC"/>
    <w:rsid w:val="0056113D"/>
    <w:rsid w:val="00562453"/>
    <w:rsid w:val="005633C7"/>
    <w:rsid w:val="00564898"/>
    <w:rsid w:val="005727D4"/>
    <w:rsid w:val="00575C6D"/>
    <w:rsid w:val="00577D88"/>
    <w:rsid w:val="00585C7B"/>
    <w:rsid w:val="005861F1"/>
    <w:rsid w:val="0058622D"/>
    <w:rsid w:val="00586C8F"/>
    <w:rsid w:val="00587AA5"/>
    <w:rsid w:val="00590676"/>
    <w:rsid w:val="0059231A"/>
    <w:rsid w:val="00593328"/>
    <w:rsid w:val="00594ACA"/>
    <w:rsid w:val="00594B4F"/>
    <w:rsid w:val="005955CD"/>
    <w:rsid w:val="00595F06"/>
    <w:rsid w:val="00596071"/>
    <w:rsid w:val="00596BFA"/>
    <w:rsid w:val="005A1D18"/>
    <w:rsid w:val="005A265B"/>
    <w:rsid w:val="005A7F55"/>
    <w:rsid w:val="005B0540"/>
    <w:rsid w:val="005B0D84"/>
    <w:rsid w:val="005B1EC0"/>
    <w:rsid w:val="005B3500"/>
    <w:rsid w:val="005B3B73"/>
    <w:rsid w:val="005B4654"/>
    <w:rsid w:val="005B6E4D"/>
    <w:rsid w:val="005C00FC"/>
    <w:rsid w:val="005C161F"/>
    <w:rsid w:val="005C2526"/>
    <w:rsid w:val="005C2CEA"/>
    <w:rsid w:val="005C441B"/>
    <w:rsid w:val="005C5C18"/>
    <w:rsid w:val="005C60C3"/>
    <w:rsid w:val="005C6830"/>
    <w:rsid w:val="005D0DF9"/>
    <w:rsid w:val="005D1010"/>
    <w:rsid w:val="005D17C6"/>
    <w:rsid w:val="005D1D02"/>
    <w:rsid w:val="005D1FEF"/>
    <w:rsid w:val="005D40BC"/>
    <w:rsid w:val="005D46FD"/>
    <w:rsid w:val="005D50A8"/>
    <w:rsid w:val="005D6BEE"/>
    <w:rsid w:val="005D6EE4"/>
    <w:rsid w:val="005D741E"/>
    <w:rsid w:val="005E2A7C"/>
    <w:rsid w:val="005E3DEA"/>
    <w:rsid w:val="005F333F"/>
    <w:rsid w:val="005F3BD9"/>
    <w:rsid w:val="005F3C8A"/>
    <w:rsid w:val="005F4578"/>
    <w:rsid w:val="005F4B6E"/>
    <w:rsid w:val="005F52F4"/>
    <w:rsid w:val="005F7F5A"/>
    <w:rsid w:val="006000A1"/>
    <w:rsid w:val="006040E6"/>
    <w:rsid w:val="00604372"/>
    <w:rsid w:val="00605B8A"/>
    <w:rsid w:val="00610ECB"/>
    <w:rsid w:val="006119CB"/>
    <w:rsid w:val="00612404"/>
    <w:rsid w:val="006134EC"/>
    <w:rsid w:val="0061384F"/>
    <w:rsid w:val="006151CF"/>
    <w:rsid w:val="0061586C"/>
    <w:rsid w:val="00617A5B"/>
    <w:rsid w:val="00617F94"/>
    <w:rsid w:val="006217FD"/>
    <w:rsid w:val="00622948"/>
    <w:rsid w:val="0062351D"/>
    <w:rsid w:val="00626525"/>
    <w:rsid w:val="006276CC"/>
    <w:rsid w:val="0063281E"/>
    <w:rsid w:val="00632C88"/>
    <w:rsid w:val="00633AA6"/>
    <w:rsid w:val="00634D6B"/>
    <w:rsid w:val="00637ECF"/>
    <w:rsid w:val="00641386"/>
    <w:rsid w:val="0064491A"/>
    <w:rsid w:val="006501DA"/>
    <w:rsid w:val="006556AC"/>
    <w:rsid w:val="00655CD6"/>
    <w:rsid w:val="00657894"/>
    <w:rsid w:val="0066357F"/>
    <w:rsid w:val="006658A7"/>
    <w:rsid w:val="006667FE"/>
    <w:rsid w:val="00666BE2"/>
    <w:rsid w:val="006674A7"/>
    <w:rsid w:val="0066780A"/>
    <w:rsid w:val="0067227C"/>
    <w:rsid w:val="006730C0"/>
    <w:rsid w:val="00674223"/>
    <w:rsid w:val="0067505F"/>
    <w:rsid w:val="00677435"/>
    <w:rsid w:val="006839FC"/>
    <w:rsid w:val="00686C49"/>
    <w:rsid w:val="00686F72"/>
    <w:rsid w:val="006903FF"/>
    <w:rsid w:val="006909E4"/>
    <w:rsid w:val="00691861"/>
    <w:rsid w:val="00693AF7"/>
    <w:rsid w:val="00693BD3"/>
    <w:rsid w:val="006954CB"/>
    <w:rsid w:val="006966BC"/>
    <w:rsid w:val="006969C3"/>
    <w:rsid w:val="006A00C4"/>
    <w:rsid w:val="006A2EF0"/>
    <w:rsid w:val="006B1D3D"/>
    <w:rsid w:val="006B20DE"/>
    <w:rsid w:val="006B2E64"/>
    <w:rsid w:val="006B3DA8"/>
    <w:rsid w:val="006B7AE0"/>
    <w:rsid w:val="006C086E"/>
    <w:rsid w:val="006C09F7"/>
    <w:rsid w:val="006C1815"/>
    <w:rsid w:val="006C403C"/>
    <w:rsid w:val="006C4B8D"/>
    <w:rsid w:val="006C4DBB"/>
    <w:rsid w:val="006C6647"/>
    <w:rsid w:val="006C680F"/>
    <w:rsid w:val="006C7E4C"/>
    <w:rsid w:val="006D0C34"/>
    <w:rsid w:val="006D1872"/>
    <w:rsid w:val="006D1AFD"/>
    <w:rsid w:val="006D48B0"/>
    <w:rsid w:val="006D4C24"/>
    <w:rsid w:val="006D7195"/>
    <w:rsid w:val="006E2C8C"/>
    <w:rsid w:val="006E4FDE"/>
    <w:rsid w:val="006E78F4"/>
    <w:rsid w:val="006E7C25"/>
    <w:rsid w:val="006E7DEF"/>
    <w:rsid w:val="006F4BBF"/>
    <w:rsid w:val="006F5351"/>
    <w:rsid w:val="00701097"/>
    <w:rsid w:val="00701E95"/>
    <w:rsid w:val="00703342"/>
    <w:rsid w:val="00704190"/>
    <w:rsid w:val="00704A07"/>
    <w:rsid w:val="00705590"/>
    <w:rsid w:val="00706494"/>
    <w:rsid w:val="0070699D"/>
    <w:rsid w:val="0071002E"/>
    <w:rsid w:val="007123CD"/>
    <w:rsid w:val="0071240A"/>
    <w:rsid w:val="0071423C"/>
    <w:rsid w:val="007149B8"/>
    <w:rsid w:val="00717AD3"/>
    <w:rsid w:val="007209FA"/>
    <w:rsid w:val="00722488"/>
    <w:rsid w:val="0072522B"/>
    <w:rsid w:val="00725D56"/>
    <w:rsid w:val="00727AA2"/>
    <w:rsid w:val="00731841"/>
    <w:rsid w:val="00732BAD"/>
    <w:rsid w:val="00733E66"/>
    <w:rsid w:val="007340C3"/>
    <w:rsid w:val="007345C0"/>
    <w:rsid w:val="00736DB1"/>
    <w:rsid w:val="0073783D"/>
    <w:rsid w:val="007439FD"/>
    <w:rsid w:val="007444E2"/>
    <w:rsid w:val="007444EC"/>
    <w:rsid w:val="00744F0D"/>
    <w:rsid w:val="00745158"/>
    <w:rsid w:val="00747002"/>
    <w:rsid w:val="007532FA"/>
    <w:rsid w:val="007538F0"/>
    <w:rsid w:val="00753CE9"/>
    <w:rsid w:val="00756DFB"/>
    <w:rsid w:val="00757564"/>
    <w:rsid w:val="0076087C"/>
    <w:rsid w:val="00761FD7"/>
    <w:rsid w:val="00763700"/>
    <w:rsid w:val="00763CDB"/>
    <w:rsid w:val="00765C58"/>
    <w:rsid w:val="007661DC"/>
    <w:rsid w:val="00770703"/>
    <w:rsid w:val="00770A50"/>
    <w:rsid w:val="00771744"/>
    <w:rsid w:val="00772268"/>
    <w:rsid w:val="007731CD"/>
    <w:rsid w:val="007736C3"/>
    <w:rsid w:val="00774B58"/>
    <w:rsid w:val="00774D84"/>
    <w:rsid w:val="007759EA"/>
    <w:rsid w:val="00776801"/>
    <w:rsid w:val="00781D29"/>
    <w:rsid w:val="00781F66"/>
    <w:rsid w:val="0078243B"/>
    <w:rsid w:val="00784074"/>
    <w:rsid w:val="00784670"/>
    <w:rsid w:val="007860F8"/>
    <w:rsid w:val="00787735"/>
    <w:rsid w:val="00787EC1"/>
    <w:rsid w:val="00787F5E"/>
    <w:rsid w:val="007915C0"/>
    <w:rsid w:val="00792BEF"/>
    <w:rsid w:val="007960DF"/>
    <w:rsid w:val="00796692"/>
    <w:rsid w:val="007A3179"/>
    <w:rsid w:val="007A3C64"/>
    <w:rsid w:val="007B0A1C"/>
    <w:rsid w:val="007B34D6"/>
    <w:rsid w:val="007B6137"/>
    <w:rsid w:val="007B7666"/>
    <w:rsid w:val="007B7CC6"/>
    <w:rsid w:val="007C26AB"/>
    <w:rsid w:val="007C3A38"/>
    <w:rsid w:val="007C58E1"/>
    <w:rsid w:val="007C5ADD"/>
    <w:rsid w:val="007C6528"/>
    <w:rsid w:val="007D02D4"/>
    <w:rsid w:val="007D22BF"/>
    <w:rsid w:val="007D4FDE"/>
    <w:rsid w:val="007D5FE5"/>
    <w:rsid w:val="007D6B1B"/>
    <w:rsid w:val="007E2B35"/>
    <w:rsid w:val="007E412B"/>
    <w:rsid w:val="007E56AE"/>
    <w:rsid w:val="007E5FB3"/>
    <w:rsid w:val="007E612A"/>
    <w:rsid w:val="007F1CC9"/>
    <w:rsid w:val="007F24FB"/>
    <w:rsid w:val="007F3981"/>
    <w:rsid w:val="00803E1C"/>
    <w:rsid w:val="00804622"/>
    <w:rsid w:val="00805108"/>
    <w:rsid w:val="00806D14"/>
    <w:rsid w:val="008101ED"/>
    <w:rsid w:val="008118B7"/>
    <w:rsid w:val="00811F1B"/>
    <w:rsid w:val="00812202"/>
    <w:rsid w:val="008135D9"/>
    <w:rsid w:val="008139D4"/>
    <w:rsid w:val="00813F73"/>
    <w:rsid w:val="00816849"/>
    <w:rsid w:val="00816CD8"/>
    <w:rsid w:val="008216DE"/>
    <w:rsid w:val="00821A30"/>
    <w:rsid w:val="0082247E"/>
    <w:rsid w:val="00824448"/>
    <w:rsid w:val="00824B69"/>
    <w:rsid w:val="00825445"/>
    <w:rsid w:val="008257BE"/>
    <w:rsid w:val="00825CC5"/>
    <w:rsid w:val="008261A9"/>
    <w:rsid w:val="00826216"/>
    <w:rsid w:val="00830962"/>
    <w:rsid w:val="0083280E"/>
    <w:rsid w:val="00833551"/>
    <w:rsid w:val="008336EA"/>
    <w:rsid w:val="00835CBB"/>
    <w:rsid w:val="00835D43"/>
    <w:rsid w:val="008374CD"/>
    <w:rsid w:val="008416E2"/>
    <w:rsid w:val="00841F72"/>
    <w:rsid w:val="00847855"/>
    <w:rsid w:val="00847870"/>
    <w:rsid w:val="008507C3"/>
    <w:rsid w:val="00852D36"/>
    <w:rsid w:val="008542A0"/>
    <w:rsid w:val="008544BC"/>
    <w:rsid w:val="008544ED"/>
    <w:rsid w:val="00854E57"/>
    <w:rsid w:val="008577F4"/>
    <w:rsid w:val="008621D2"/>
    <w:rsid w:val="00863095"/>
    <w:rsid w:val="008639E8"/>
    <w:rsid w:val="00865904"/>
    <w:rsid w:val="00867CC9"/>
    <w:rsid w:val="00870DED"/>
    <w:rsid w:val="0087311A"/>
    <w:rsid w:val="0087606A"/>
    <w:rsid w:val="00880D8D"/>
    <w:rsid w:val="00880DE7"/>
    <w:rsid w:val="00881457"/>
    <w:rsid w:val="00886E25"/>
    <w:rsid w:val="00887956"/>
    <w:rsid w:val="00890FA1"/>
    <w:rsid w:val="00895B4C"/>
    <w:rsid w:val="00897D11"/>
    <w:rsid w:val="008A3347"/>
    <w:rsid w:val="008A5C0C"/>
    <w:rsid w:val="008A5FC7"/>
    <w:rsid w:val="008B068D"/>
    <w:rsid w:val="008B18F0"/>
    <w:rsid w:val="008B4AB1"/>
    <w:rsid w:val="008B6EC2"/>
    <w:rsid w:val="008B7525"/>
    <w:rsid w:val="008C2631"/>
    <w:rsid w:val="008C4268"/>
    <w:rsid w:val="008C44ED"/>
    <w:rsid w:val="008D0E22"/>
    <w:rsid w:val="008D64B9"/>
    <w:rsid w:val="008E1911"/>
    <w:rsid w:val="008E1ECC"/>
    <w:rsid w:val="008E2858"/>
    <w:rsid w:val="008E32CA"/>
    <w:rsid w:val="008E4D1E"/>
    <w:rsid w:val="008F0A52"/>
    <w:rsid w:val="008F1409"/>
    <w:rsid w:val="008F19FA"/>
    <w:rsid w:val="008F27B7"/>
    <w:rsid w:val="008F3146"/>
    <w:rsid w:val="008F329B"/>
    <w:rsid w:val="008F35C6"/>
    <w:rsid w:val="008F4F89"/>
    <w:rsid w:val="008F5E24"/>
    <w:rsid w:val="008F6E09"/>
    <w:rsid w:val="00900064"/>
    <w:rsid w:val="00901025"/>
    <w:rsid w:val="0090185E"/>
    <w:rsid w:val="00901ACE"/>
    <w:rsid w:val="009111C4"/>
    <w:rsid w:val="00912B20"/>
    <w:rsid w:val="009138CB"/>
    <w:rsid w:val="00914772"/>
    <w:rsid w:val="00921E98"/>
    <w:rsid w:val="00922D25"/>
    <w:rsid w:val="00923AFA"/>
    <w:rsid w:val="00923B83"/>
    <w:rsid w:val="0092535E"/>
    <w:rsid w:val="00925373"/>
    <w:rsid w:val="00927D2B"/>
    <w:rsid w:val="00932310"/>
    <w:rsid w:val="00932E92"/>
    <w:rsid w:val="00933E33"/>
    <w:rsid w:val="00936DB4"/>
    <w:rsid w:val="009400F0"/>
    <w:rsid w:val="00941D0A"/>
    <w:rsid w:val="0094225F"/>
    <w:rsid w:val="009436C9"/>
    <w:rsid w:val="009457C6"/>
    <w:rsid w:val="00947E74"/>
    <w:rsid w:val="009525B3"/>
    <w:rsid w:val="00952D97"/>
    <w:rsid w:val="00956337"/>
    <w:rsid w:val="009627CD"/>
    <w:rsid w:val="00963048"/>
    <w:rsid w:val="009638AF"/>
    <w:rsid w:val="00965315"/>
    <w:rsid w:val="00967DEC"/>
    <w:rsid w:val="0097063C"/>
    <w:rsid w:val="0097070F"/>
    <w:rsid w:val="00973B3C"/>
    <w:rsid w:val="00977E7C"/>
    <w:rsid w:val="00986CB8"/>
    <w:rsid w:val="00987E90"/>
    <w:rsid w:val="0099400D"/>
    <w:rsid w:val="0099612C"/>
    <w:rsid w:val="00996BF0"/>
    <w:rsid w:val="009A02AF"/>
    <w:rsid w:val="009A0AA1"/>
    <w:rsid w:val="009A3A04"/>
    <w:rsid w:val="009A7FC8"/>
    <w:rsid w:val="009B0030"/>
    <w:rsid w:val="009B0A34"/>
    <w:rsid w:val="009B1EFB"/>
    <w:rsid w:val="009B469A"/>
    <w:rsid w:val="009B56EE"/>
    <w:rsid w:val="009B5D75"/>
    <w:rsid w:val="009B7C4C"/>
    <w:rsid w:val="009C1561"/>
    <w:rsid w:val="009C22B5"/>
    <w:rsid w:val="009C2471"/>
    <w:rsid w:val="009C2527"/>
    <w:rsid w:val="009C27DC"/>
    <w:rsid w:val="009C4DDF"/>
    <w:rsid w:val="009C5658"/>
    <w:rsid w:val="009C6C39"/>
    <w:rsid w:val="009D02DD"/>
    <w:rsid w:val="009D0F39"/>
    <w:rsid w:val="009D4A53"/>
    <w:rsid w:val="009D6F28"/>
    <w:rsid w:val="009D702B"/>
    <w:rsid w:val="009E1648"/>
    <w:rsid w:val="009E2576"/>
    <w:rsid w:val="009E3791"/>
    <w:rsid w:val="009E60E6"/>
    <w:rsid w:val="009E627A"/>
    <w:rsid w:val="009E660C"/>
    <w:rsid w:val="009E6EA1"/>
    <w:rsid w:val="009F174F"/>
    <w:rsid w:val="009F2785"/>
    <w:rsid w:val="009F330F"/>
    <w:rsid w:val="009F5424"/>
    <w:rsid w:val="00A01F8A"/>
    <w:rsid w:val="00A02AF2"/>
    <w:rsid w:val="00A02FC4"/>
    <w:rsid w:val="00A030BA"/>
    <w:rsid w:val="00A03F4D"/>
    <w:rsid w:val="00A04ED7"/>
    <w:rsid w:val="00A0586D"/>
    <w:rsid w:val="00A05D92"/>
    <w:rsid w:val="00A10664"/>
    <w:rsid w:val="00A109EA"/>
    <w:rsid w:val="00A1240D"/>
    <w:rsid w:val="00A12E4C"/>
    <w:rsid w:val="00A148E1"/>
    <w:rsid w:val="00A149C2"/>
    <w:rsid w:val="00A21F90"/>
    <w:rsid w:val="00A23281"/>
    <w:rsid w:val="00A242AE"/>
    <w:rsid w:val="00A271A3"/>
    <w:rsid w:val="00A30109"/>
    <w:rsid w:val="00A30C4A"/>
    <w:rsid w:val="00A32666"/>
    <w:rsid w:val="00A33A1F"/>
    <w:rsid w:val="00A3547C"/>
    <w:rsid w:val="00A35AF0"/>
    <w:rsid w:val="00A4374F"/>
    <w:rsid w:val="00A479C5"/>
    <w:rsid w:val="00A50610"/>
    <w:rsid w:val="00A51E1C"/>
    <w:rsid w:val="00A52DF1"/>
    <w:rsid w:val="00A53E2D"/>
    <w:rsid w:val="00A540FA"/>
    <w:rsid w:val="00A56E31"/>
    <w:rsid w:val="00A57D65"/>
    <w:rsid w:val="00A600FE"/>
    <w:rsid w:val="00A60AEF"/>
    <w:rsid w:val="00A61130"/>
    <w:rsid w:val="00A62BAF"/>
    <w:rsid w:val="00A63099"/>
    <w:rsid w:val="00A637C9"/>
    <w:rsid w:val="00A6402E"/>
    <w:rsid w:val="00A647F3"/>
    <w:rsid w:val="00A65C05"/>
    <w:rsid w:val="00A7070D"/>
    <w:rsid w:val="00A716E2"/>
    <w:rsid w:val="00A71860"/>
    <w:rsid w:val="00A73DAB"/>
    <w:rsid w:val="00A7408A"/>
    <w:rsid w:val="00A74277"/>
    <w:rsid w:val="00A74EFF"/>
    <w:rsid w:val="00A74FE0"/>
    <w:rsid w:val="00A76AB8"/>
    <w:rsid w:val="00A77D2B"/>
    <w:rsid w:val="00A81144"/>
    <w:rsid w:val="00A8210E"/>
    <w:rsid w:val="00A823DD"/>
    <w:rsid w:val="00A836E7"/>
    <w:rsid w:val="00A83835"/>
    <w:rsid w:val="00A8446A"/>
    <w:rsid w:val="00A87994"/>
    <w:rsid w:val="00A9191A"/>
    <w:rsid w:val="00A92A65"/>
    <w:rsid w:val="00A947DF"/>
    <w:rsid w:val="00A95A40"/>
    <w:rsid w:val="00AA0164"/>
    <w:rsid w:val="00AA0F51"/>
    <w:rsid w:val="00AA1566"/>
    <w:rsid w:val="00AA1A80"/>
    <w:rsid w:val="00AA1D6E"/>
    <w:rsid w:val="00AA5404"/>
    <w:rsid w:val="00AA5EF3"/>
    <w:rsid w:val="00AA6CE9"/>
    <w:rsid w:val="00AA705D"/>
    <w:rsid w:val="00AA796C"/>
    <w:rsid w:val="00AB09C9"/>
    <w:rsid w:val="00AB1E38"/>
    <w:rsid w:val="00AB276E"/>
    <w:rsid w:val="00AB2BDC"/>
    <w:rsid w:val="00AB2D21"/>
    <w:rsid w:val="00AB514D"/>
    <w:rsid w:val="00AB770E"/>
    <w:rsid w:val="00AC0949"/>
    <w:rsid w:val="00AC2293"/>
    <w:rsid w:val="00AC23C3"/>
    <w:rsid w:val="00AC5AF3"/>
    <w:rsid w:val="00AD1692"/>
    <w:rsid w:val="00AD208C"/>
    <w:rsid w:val="00AD46D5"/>
    <w:rsid w:val="00AD492E"/>
    <w:rsid w:val="00AD53FA"/>
    <w:rsid w:val="00AD78D7"/>
    <w:rsid w:val="00AD7EE1"/>
    <w:rsid w:val="00AE10D2"/>
    <w:rsid w:val="00AE2805"/>
    <w:rsid w:val="00AE3561"/>
    <w:rsid w:val="00AE35C2"/>
    <w:rsid w:val="00AE438F"/>
    <w:rsid w:val="00AF2E43"/>
    <w:rsid w:val="00AF40F3"/>
    <w:rsid w:val="00AF4BD4"/>
    <w:rsid w:val="00AF5825"/>
    <w:rsid w:val="00B00D38"/>
    <w:rsid w:val="00B045D1"/>
    <w:rsid w:val="00B1008F"/>
    <w:rsid w:val="00B107CA"/>
    <w:rsid w:val="00B10C74"/>
    <w:rsid w:val="00B11BE2"/>
    <w:rsid w:val="00B122B4"/>
    <w:rsid w:val="00B12FF0"/>
    <w:rsid w:val="00B155DD"/>
    <w:rsid w:val="00B15C74"/>
    <w:rsid w:val="00B1676B"/>
    <w:rsid w:val="00B16F29"/>
    <w:rsid w:val="00B201D8"/>
    <w:rsid w:val="00B22F4C"/>
    <w:rsid w:val="00B35647"/>
    <w:rsid w:val="00B3615D"/>
    <w:rsid w:val="00B36A91"/>
    <w:rsid w:val="00B3702F"/>
    <w:rsid w:val="00B371B2"/>
    <w:rsid w:val="00B37623"/>
    <w:rsid w:val="00B426E6"/>
    <w:rsid w:val="00B434E0"/>
    <w:rsid w:val="00B438C8"/>
    <w:rsid w:val="00B44E41"/>
    <w:rsid w:val="00B45979"/>
    <w:rsid w:val="00B514FD"/>
    <w:rsid w:val="00B54069"/>
    <w:rsid w:val="00B550F2"/>
    <w:rsid w:val="00B560A6"/>
    <w:rsid w:val="00B607E3"/>
    <w:rsid w:val="00B63504"/>
    <w:rsid w:val="00B63676"/>
    <w:rsid w:val="00B64CD8"/>
    <w:rsid w:val="00B65FA9"/>
    <w:rsid w:val="00B724BA"/>
    <w:rsid w:val="00B73682"/>
    <w:rsid w:val="00B75916"/>
    <w:rsid w:val="00B75EE2"/>
    <w:rsid w:val="00B7609F"/>
    <w:rsid w:val="00B767D7"/>
    <w:rsid w:val="00B77A5C"/>
    <w:rsid w:val="00B80CF5"/>
    <w:rsid w:val="00B813D7"/>
    <w:rsid w:val="00B81785"/>
    <w:rsid w:val="00B81A22"/>
    <w:rsid w:val="00B82E45"/>
    <w:rsid w:val="00B83BE7"/>
    <w:rsid w:val="00B83EB7"/>
    <w:rsid w:val="00B84351"/>
    <w:rsid w:val="00B85066"/>
    <w:rsid w:val="00B85FA5"/>
    <w:rsid w:val="00B904AA"/>
    <w:rsid w:val="00B91D24"/>
    <w:rsid w:val="00B92FB5"/>
    <w:rsid w:val="00B93C61"/>
    <w:rsid w:val="00B94849"/>
    <w:rsid w:val="00B94B1F"/>
    <w:rsid w:val="00B951D5"/>
    <w:rsid w:val="00B95EA1"/>
    <w:rsid w:val="00B96F89"/>
    <w:rsid w:val="00BA0EC6"/>
    <w:rsid w:val="00BA23F1"/>
    <w:rsid w:val="00BA3AE0"/>
    <w:rsid w:val="00BA4571"/>
    <w:rsid w:val="00BA5C15"/>
    <w:rsid w:val="00BA6D9F"/>
    <w:rsid w:val="00BB1C7E"/>
    <w:rsid w:val="00BB213C"/>
    <w:rsid w:val="00BB247E"/>
    <w:rsid w:val="00BB3F75"/>
    <w:rsid w:val="00BB539F"/>
    <w:rsid w:val="00BB5712"/>
    <w:rsid w:val="00BB6382"/>
    <w:rsid w:val="00BC1C29"/>
    <w:rsid w:val="00BC4993"/>
    <w:rsid w:val="00BC4F2C"/>
    <w:rsid w:val="00BD4DE8"/>
    <w:rsid w:val="00BD5C16"/>
    <w:rsid w:val="00BD775B"/>
    <w:rsid w:val="00BE0341"/>
    <w:rsid w:val="00BE117F"/>
    <w:rsid w:val="00BE3732"/>
    <w:rsid w:val="00BE3DAE"/>
    <w:rsid w:val="00BE4897"/>
    <w:rsid w:val="00BE49D4"/>
    <w:rsid w:val="00BE55C3"/>
    <w:rsid w:val="00BE5BBA"/>
    <w:rsid w:val="00BE5E05"/>
    <w:rsid w:val="00BE647E"/>
    <w:rsid w:val="00BE662E"/>
    <w:rsid w:val="00BF00D5"/>
    <w:rsid w:val="00BF3456"/>
    <w:rsid w:val="00BF3D71"/>
    <w:rsid w:val="00BF688F"/>
    <w:rsid w:val="00BF7667"/>
    <w:rsid w:val="00C0037D"/>
    <w:rsid w:val="00C0057E"/>
    <w:rsid w:val="00C02607"/>
    <w:rsid w:val="00C047F1"/>
    <w:rsid w:val="00C055A6"/>
    <w:rsid w:val="00C0565A"/>
    <w:rsid w:val="00C07CEA"/>
    <w:rsid w:val="00C166CD"/>
    <w:rsid w:val="00C200C8"/>
    <w:rsid w:val="00C23E2B"/>
    <w:rsid w:val="00C2435B"/>
    <w:rsid w:val="00C24E64"/>
    <w:rsid w:val="00C30182"/>
    <w:rsid w:val="00C32C57"/>
    <w:rsid w:val="00C340DE"/>
    <w:rsid w:val="00C34570"/>
    <w:rsid w:val="00C34601"/>
    <w:rsid w:val="00C36BAB"/>
    <w:rsid w:val="00C40038"/>
    <w:rsid w:val="00C40E92"/>
    <w:rsid w:val="00C41181"/>
    <w:rsid w:val="00C42146"/>
    <w:rsid w:val="00C43BBD"/>
    <w:rsid w:val="00C453A8"/>
    <w:rsid w:val="00C475AF"/>
    <w:rsid w:val="00C500CC"/>
    <w:rsid w:val="00C50BE0"/>
    <w:rsid w:val="00C518DD"/>
    <w:rsid w:val="00C52313"/>
    <w:rsid w:val="00C52E1F"/>
    <w:rsid w:val="00C52FC3"/>
    <w:rsid w:val="00C5357A"/>
    <w:rsid w:val="00C53A1A"/>
    <w:rsid w:val="00C53A5D"/>
    <w:rsid w:val="00C54592"/>
    <w:rsid w:val="00C56118"/>
    <w:rsid w:val="00C5680B"/>
    <w:rsid w:val="00C56B2A"/>
    <w:rsid w:val="00C5740D"/>
    <w:rsid w:val="00C5748F"/>
    <w:rsid w:val="00C57DED"/>
    <w:rsid w:val="00C60027"/>
    <w:rsid w:val="00C63E97"/>
    <w:rsid w:val="00C64AD2"/>
    <w:rsid w:val="00C66804"/>
    <w:rsid w:val="00C70492"/>
    <w:rsid w:val="00C71B4C"/>
    <w:rsid w:val="00C72360"/>
    <w:rsid w:val="00C73240"/>
    <w:rsid w:val="00C76913"/>
    <w:rsid w:val="00C7748A"/>
    <w:rsid w:val="00C7779E"/>
    <w:rsid w:val="00C77FD3"/>
    <w:rsid w:val="00C824F7"/>
    <w:rsid w:val="00C85995"/>
    <w:rsid w:val="00C86814"/>
    <w:rsid w:val="00C92340"/>
    <w:rsid w:val="00C9246C"/>
    <w:rsid w:val="00C92F5E"/>
    <w:rsid w:val="00C93B11"/>
    <w:rsid w:val="00C94362"/>
    <w:rsid w:val="00CA1D5E"/>
    <w:rsid w:val="00CA37B1"/>
    <w:rsid w:val="00CA387F"/>
    <w:rsid w:val="00CA4C1C"/>
    <w:rsid w:val="00CA6C96"/>
    <w:rsid w:val="00CB06BD"/>
    <w:rsid w:val="00CB36AD"/>
    <w:rsid w:val="00CB4E86"/>
    <w:rsid w:val="00CB560C"/>
    <w:rsid w:val="00CB5A97"/>
    <w:rsid w:val="00CB6664"/>
    <w:rsid w:val="00CB7058"/>
    <w:rsid w:val="00CC1DD1"/>
    <w:rsid w:val="00CC2626"/>
    <w:rsid w:val="00CC28D2"/>
    <w:rsid w:val="00CC6A51"/>
    <w:rsid w:val="00CC7CC0"/>
    <w:rsid w:val="00CC7E33"/>
    <w:rsid w:val="00CD40DF"/>
    <w:rsid w:val="00CD432D"/>
    <w:rsid w:val="00CD605E"/>
    <w:rsid w:val="00CE03CD"/>
    <w:rsid w:val="00CE0A6D"/>
    <w:rsid w:val="00CE0C27"/>
    <w:rsid w:val="00CE1396"/>
    <w:rsid w:val="00CE2225"/>
    <w:rsid w:val="00CE5E57"/>
    <w:rsid w:val="00CE6D73"/>
    <w:rsid w:val="00CE7996"/>
    <w:rsid w:val="00CF24CE"/>
    <w:rsid w:val="00CF5DDE"/>
    <w:rsid w:val="00CF623C"/>
    <w:rsid w:val="00D01AE0"/>
    <w:rsid w:val="00D01EB5"/>
    <w:rsid w:val="00D01F75"/>
    <w:rsid w:val="00D02F94"/>
    <w:rsid w:val="00D100FC"/>
    <w:rsid w:val="00D1060A"/>
    <w:rsid w:val="00D11999"/>
    <w:rsid w:val="00D1212F"/>
    <w:rsid w:val="00D12E86"/>
    <w:rsid w:val="00D142E1"/>
    <w:rsid w:val="00D146D5"/>
    <w:rsid w:val="00D15EE0"/>
    <w:rsid w:val="00D17034"/>
    <w:rsid w:val="00D22697"/>
    <w:rsid w:val="00D22DA7"/>
    <w:rsid w:val="00D23C8D"/>
    <w:rsid w:val="00D26069"/>
    <w:rsid w:val="00D302CC"/>
    <w:rsid w:val="00D3263F"/>
    <w:rsid w:val="00D364AA"/>
    <w:rsid w:val="00D36E92"/>
    <w:rsid w:val="00D37EFE"/>
    <w:rsid w:val="00D41181"/>
    <w:rsid w:val="00D4386F"/>
    <w:rsid w:val="00D44FE5"/>
    <w:rsid w:val="00D470F0"/>
    <w:rsid w:val="00D50AB4"/>
    <w:rsid w:val="00D5190D"/>
    <w:rsid w:val="00D52C76"/>
    <w:rsid w:val="00D56DEC"/>
    <w:rsid w:val="00D61039"/>
    <w:rsid w:val="00D63900"/>
    <w:rsid w:val="00D63DB9"/>
    <w:rsid w:val="00D64796"/>
    <w:rsid w:val="00D6595C"/>
    <w:rsid w:val="00D66667"/>
    <w:rsid w:val="00D67382"/>
    <w:rsid w:val="00D71159"/>
    <w:rsid w:val="00D741D2"/>
    <w:rsid w:val="00D75DE0"/>
    <w:rsid w:val="00D77D88"/>
    <w:rsid w:val="00D82C2A"/>
    <w:rsid w:val="00D83D84"/>
    <w:rsid w:val="00D85442"/>
    <w:rsid w:val="00D86267"/>
    <w:rsid w:val="00D862F1"/>
    <w:rsid w:val="00D86C63"/>
    <w:rsid w:val="00D90D0F"/>
    <w:rsid w:val="00D92B68"/>
    <w:rsid w:val="00D95305"/>
    <w:rsid w:val="00D963ED"/>
    <w:rsid w:val="00DA02F7"/>
    <w:rsid w:val="00DA1F19"/>
    <w:rsid w:val="00DA2EAA"/>
    <w:rsid w:val="00DA3486"/>
    <w:rsid w:val="00DA7D75"/>
    <w:rsid w:val="00DB1C17"/>
    <w:rsid w:val="00DB2577"/>
    <w:rsid w:val="00DB2A47"/>
    <w:rsid w:val="00DB3F24"/>
    <w:rsid w:val="00DB5113"/>
    <w:rsid w:val="00DC1380"/>
    <w:rsid w:val="00DC1B9A"/>
    <w:rsid w:val="00DC26E4"/>
    <w:rsid w:val="00DC26F6"/>
    <w:rsid w:val="00DC2848"/>
    <w:rsid w:val="00DC305D"/>
    <w:rsid w:val="00DC37F8"/>
    <w:rsid w:val="00DC4347"/>
    <w:rsid w:val="00DC694E"/>
    <w:rsid w:val="00DC7DF8"/>
    <w:rsid w:val="00DD4080"/>
    <w:rsid w:val="00DE26F9"/>
    <w:rsid w:val="00DE3607"/>
    <w:rsid w:val="00DE5022"/>
    <w:rsid w:val="00DE6D08"/>
    <w:rsid w:val="00DF1FEA"/>
    <w:rsid w:val="00DF3078"/>
    <w:rsid w:val="00DF567A"/>
    <w:rsid w:val="00DF709F"/>
    <w:rsid w:val="00DF777C"/>
    <w:rsid w:val="00E01653"/>
    <w:rsid w:val="00E100BA"/>
    <w:rsid w:val="00E1338F"/>
    <w:rsid w:val="00E14771"/>
    <w:rsid w:val="00E162C5"/>
    <w:rsid w:val="00E171D2"/>
    <w:rsid w:val="00E2567D"/>
    <w:rsid w:val="00E30B10"/>
    <w:rsid w:val="00E35522"/>
    <w:rsid w:val="00E402B8"/>
    <w:rsid w:val="00E4053F"/>
    <w:rsid w:val="00E41A80"/>
    <w:rsid w:val="00E42EFE"/>
    <w:rsid w:val="00E43059"/>
    <w:rsid w:val="00E4547C"/>
    <w:rsid w:val="00E47687"/>
    <w:rsid w:val="00E47F60"/>
    <w:rsid w:val="00E47F9F"/>
    <w:rsid w:val="00E52D30"/>
    <w:rsid w:val="00E53095"/>
    <w:rsid w:val="00E56ECC"/>
    <w:rsid w:val="00E56FBC"/>
    <w:rsid w:val="00E571AD"/>
    <w:rsid w:val="00E57AD2"/>
    <w:rsid w:val="00E60966"/>
    <w:rsid w:val="00E71624"/>
    <w:rsid w:val="00E71E41"/>
    <w:rsid w:val="00E72ACF"/>
    <w:rsid w:val="00E7465A"/>
    <w:rsid w:val="00E81D39"/>
    <w:rsid w:val="00E8317D"/>
    <w:rsid w:val="00E838DA"/>
    <w:rsid w:val="00E855DE"/>
    <w:rsid w:val="00E87633"/>
    <w:rsid w:val="00E8774C"/>
    <w:rsid w:val="00E919D4"/>
    <w:rsid w:val="00E9270C"/>
    <w:rsid w:val="00E95014"/>
    <w:rsid w:val="00EA0B3A"/>
    <w:rsid w:val="00EA1B99"/>
    <w:rsid w:val="00EA61C6"/>
    <w:rsid w:val="00EA61C7"/>
    <w:rsid w:val="00EA7277"/>
    <w:rsid w:val="00EB071D"/>
    <w:rsid w:val="00EB5559"/>
    <w:rsid w:val="00EB5B82"/>
    <w:rsid w:val="00EB5C23"/>
    <w:rsid w:val="00EB67A4"/>
    <w:rsid w:val="00EC02BB"/>
    <w:rsid w:val="00EC293E"/>
    <w:rsid w:val="00EC2E5D"/>
    <w:rsid w:val="00EC35DA"/>
    <w:rsid w:val="00EC3F6C"/>
    <w:rsid w:val="00EC4096"/>
    <w:rsid w:val="00EC78CF"/>
    <w:rsid w:val="00EC7E96"/>
    <w:rsid w:val="00ED12FD"/>
    <w:rsid w:val="00ED1C7D"/>
    <w:rsid w:val="00ED1EFE"/>
    <w:rsid w:val="00ED222C"/>
    <w:rsid w:val="00ED53E3"/>
    <w:rsid w:val="00ED6923"/>
    <w:rsid w:val="00ED71F8"/>
    <w:rsid w:val="00ED7E59"/>
    <w:rsid w:val="00EE0022"/>
    <w:rsid w:val="00EE5402"/>
    <w:rsid w:val="00EE6BD9"/>
    <w:rsid w:val="00EE6DFB"/>
    <w:rsid w:val="00EE7B76"/>
    <w:rsid w:val="00EF00FF"/>
    <w:rsid w:val="00EF1FAC"/>
    <w:rsid w:val="00EF351C"/>
    <w:rsid w:val="00EF4A8B"/>
    <w:rsid w:val="00EF4C70"/>
    <w:rsid w:val="00EF4DF5"/>
    <w:rsid w:val="00EF6D2F"/>
    <w:rsid w:val="00EF7186"/>
    <w:rsid w:val="00F00DBD"/>
    <w:rsid w:val="00F0161D"/>
    <w:rsid w:val="00F02AD4"/>
    <w:rsid w:val="00F02E77"/>
    <w:rsid w:val="00F044BD"/>
    <w:rsid w:val="00F04AA9"/>
    <w:rsid w:val="00F04C07"/>
    <w:rsid w:val="00F04C77"/>
    <w:rsid w:val="00F067C5"/>
    <w:rsid w:val="00F0718B"/>
    <w:rsid w:val="00F146F6"/>
    <w:rsid w:val="00F14F84"/>
    <w:rsid w:val="00F168D8"/>
    <w:rsid w:val="00F177CE"/>
    <w:rsid w:val="00F20854"/>
    <w:rsid w:val="00F20BAD"/>
    <w:rsid w:val="00F21006"/>
    <w:rsid w:val="00F216ED"/>
    <w:rsid w:val="00F22E73"/>
    <w:rsid w:val="00F266D5"/>
    <w:rsid w:val="00F267DB"/>
    <w:rsid w:val="00F314E4"/>
    <w:rsid w:val="00F326B5"/>
    <w:rsid w:val="00F32F09"/>
    <w:rsid w:val="00F34E4E"/>
    <w:rsid w:val="00F356EA"/>
    <w:rsid w:val="00F371DB"/>
    <w:rsid w:val="00F37B0C"/>
    <w:rsid w:val="00F43CB0"/>
    <w:rsid w:val="00F45418"/>
    <w:rsid w:val="00F45BA7"/>
    <w:rsid w:val="00F468ED"/>
    <w:rsid w:val="00F47618"/>
    <w:rsid w:val="00F47EDC"/>
    <w:rsid w:val="00F50628"/>
    <w:rsid w:val="00F50D6E"/>
    <w:rsid w:val="00F54777"/>
    <w:rsid w:val="00F54E0F"/>
    <w:rsid w:val="00F56F61"/>
    <w:rsid w:val="00F57C55"/>
    <w:rsid w:val="00F61C64"/>
    <w:rsid w:val="00F63C84"/>
    <w:rsid w:val="00F6642F"/>
    <w:rsid w:val="00F6783F"/>
    <w:rsid w:val="00F7040B"/>
    <w:rsid w:val="00F70E22"/>
    <w:rsid w:val="00F70EC1"/>
    <w:rsid w:val="00F72346"/>
    <w:rsid w:val="00F758B8"/>
    <w:rsid w:val="00F7645B"/>
    <w:rsid w:val="00F76910"/>
    <w:rsid w:val="00F76BF2"/>
    <w:rsid w:val="00F76F39"/>
    <w:rsid w:val="00F8044E"/>
    <w:rsid w:val="00F80B42"/>
    <w:rsid w:val="00F8107B"/>
    <w:rsid w:val="00F81B2B"/>
    <w:rsid w:val="00F81F7D"/>
    <w:rsid w:val="00F8318F"/>
    <w:rsid w:val="00F83532"/>
    <w:rsid w:val="00F838A6"/>
    <w:rsid w:val="00F83D37"/>
    <w:rsid w:val="00F85D25"/>
    <w:rsid w:val="00F86AD3"/>
    <w:rsid w:val="00F91B32"/>
    <w:rsid w:val="00F92DA9"/>
    <w:rsid w:val="00F935C1"/>
    <w:rsid w:val="00F938A5"/>
    <w:rsid w:val="00F944CB"/>
    <w:rsid w:val="00F96537"/>
    <w:rsid w:val="00F9728B"/>
    <w:rsid w:val="00FA02D9"/>
    <w:rsid w:val="00FA2BC2"/>
    <w:rsid w:val="00FA3974"/>
    <w:rsid w:val="00FA51E5"/>
    <w:rsid w:val="00FA6FE2"/>
    <w:rsid w:val="00FA703B"/>
    <w:rsid w:val="00FB1AC1"/>
    <w:rsid w:val="00FB5F5D"/>
    <w:rsid w:val="00FB63FA"/>
    <w:rsid w:val="00FB6FB0"/>
    <w:rsid w:val="00FB7A1E"/>
    <w:rsid w:val="00FC17BD"/>
    <w:rsid w:val="00FC225E"/>
    <w:rsid w:val="00FC2624"/>
    <w:rsid w:val="00FC27DC"/>
    <w:rsid w:val="00FC2FDB"/>
    <w:rsid w:val="00FC4A55"/>
    <w:rsid w:val="00FC69C8"/>
    <w:rsid w:val="00FC7274"/>
    <w:rsid w:val="00FD013A"/>
    <w:rsid w:val="00FD10AF"/>
    <w:rsid w:val="00FD227E"/>
    <w:rsid w:val="00FD2392"/>
    <w:rsid w:val="00FD2422"/>
    <w:rsid w:val="00FD5276"/>
    <w:rsid w:val="00FD5F69"/>
    <w:rsid w:val="00FD6A49"/>
    <w:rsid w:val="00FE0769"/>
    <w:rsid w:val="00FE334C"/>
    <w:rsid w:val="00FE374D"/>
    <w:rsid w:val="00FE3914"/>
    <w:rsid w:val="00FE4644"/>
    <w:rsid w:val="00FE4B4C"/>
    <w:rsid w:val="00FF05A4"/>
    <w:rsid w:val="00FF07D5"/>
    <w:rsid w:val="00FF2D03"/>
    <w:rsid w:val="00FF6180"/>
    <w:rsid w:val="00FF695F"/>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81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8"/>
    <w:lsdException w:name="heading 5" w:uiPriority="8"/>
    <w:lsdException w:name="heading 6" w:uiPriority="8"/>
    <w:lsdException w:name="heading 7" w:semiHidden="1" w:uiPriority="8" w:unhideWhenUsed="1"/>
    <w:lsdException w:name="heading 8" w:semiHidden="1" w:uiPriority="8" w:unhideWhenUsed="1"/>
    <w:lsdException w:name="heading 9" w:semiHidden="1" w:uiPriority="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BBA"/>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_UMAR"/>
    <w:next w:val="BesediloUMAR"/>
    <w:link w:val="Heading1Char"/>
    <w:uiPriority w:val="1"/>
    <w:qFormat/>
    <w:rsid w:val="0048659B"/>
    <w:pPr>
      <w:keepNext/>
      <w:keepLines/>
      <w:pageBreakBefore/>
      <w:numPr>
        <w:numId w:val="2"/>
      </w:numPr>
      <w:spacing w:before="200" w:after="100" w:line="288" w:lineRule="auto"/>
      <w:ind w:left="357" w:hanging="357"/>
      <w:outlineLvl w:val="0"/>
    </w:pPr>
    <w:rPr>
      <w:rFonts w:ascii="Myriad Pro" w:eastAsiaTheme="minorHAnsi" w:hAnsi="Myriad Pro" w:cs="Arial"/>
      <w:b/>
      <w:bCs/>
      <w:color w:val="9E001A" w:themeColor="accent1"/>
      <w:kern w:val="32"/>
      <w:sz w:val="28"/>
      <w:szCs w:val="22"/>
      <w:lang w:eastAsia="en-US"/>
    </w:rPr>
  </w:style>
  <w:style w:type="paragraph" w:styleId="Heading2">
    <w:name w:val="heading 2"/>
    <w:aliases w:val="Heading 2_UMAR"/>
    <w:next w:val="BesediloUMAR"/>
    <w:link w:val="Heading2Char"/>
    <w:uiPriority w:val="2"/>
    <w:qFormat/>
    <w:rsid w:val="0048659B"/>
    <w:pPr>
      <w:keepNext/>
      <w:keepLines/>
      <w:numPr>
        <w:ilvl w:val="1"/>
        <w:numId w:val="2"/>
      </w:numPr>
      <w:spacing w:before="200" w:after="100" w:line="288" w:lineRule="auto"/>
      <w:contextualSpacing/>
      <w:outlineLvl w:val="1"/>
    </w:pPr>
    <w:rPr>
      <w:rFonts w:ascii="Myriad Pro" w:eastAsiaTheme="minorHAnsi" w:hAnsi="Myriad Pro" w:cstheme="minorBidi"/>
      <w:b/>
      <w:color w:val="9E001A" w:themeColor="accent1"/>
      <w:sz w:val="24"/>
      <w:szCs w:val="22"/>
      <w:lang w:eastAsia="en-US"/>
    </w:rPr>
  </w:style>
  <w:style w:type="paragraph" w:styleId="Heading3">
    <w:name w:val="heading 3"/>
    <w:aliases w:val="Heading 3_UMAR"/>
    <w:next w:val="BesediloUMAR"/>
    <w:link w:val="Heading3Char"/>
    <w:uiPriority w:val="3"/>
    <w:qFormat/>
    <w:rsid w:val="0048659B"/>
    <w:pPr>
      <w:keepNext/>
      <w:keepLines/>
      <w:numPr>
        <w:ilvl w:val="2"/>
        <w:numId w:val="2"/>
      </w:numPr>
      <w:spacing w:before="200" w:after="100" w:line="288" w:lineRule="auto"/>
      <w:contextualSpacing/>
      <w:outlineLvl w:val="2"/>
    </w:pPr>
    <w:rPr>
      <w:rFonts w:ascii="Myriad Pro" w:eastAsiaTheme="minorHAnsi" w:hAnsi="Myriad Pro" w:cs="Arial"/>
      <w:b/>
      <w:bCs/>
      <w:color w:val="9E001A" w:themeColor="accent1"/>
      <w:sz w:val="24"/>
      <w:szCs w:val="26"/>
      <w:lang w:eastAsia="en-US"/>
    </w:rPr>
  </w:style>
  <w:style w:type="paragraph" w:styleId="Heading4">
    <w:name w:val="heading 4"/>
    <w:basedOn w:val="Normal"/>
    <w:next w:val="Normal"/>
    <w:uiPriority w:val="8"/>
    <w:unhideWhenUsed/>
    <w:rsid w:val="0048659B"/>
    <w:pPr>
      <w:keepNext/>
      <w:numPr>
        <w:ilvl w:val="3"/>
        <w:numId w:val="2"/>
      </w:numPr>
      <w:spacing w:before="360" w:after="240"/>
      <w:outlineLvl w:val="3"/>
    </w:pPr>
    <w:rPr>
      <w:rFonts w:ascii="Myriad Pro" w:hAnsi="Myriad Pro"/>
      <w:b/>
      <w:bCs/>
    </w:rPr>
  </w:style>
  <w:style w:type="paragraph" w:styleId="Heading5">
    <w:name w:val="heading 5"/>
    <w:basedOn w:val="Normal"/>
    <w:next w:val="Normal"/>
    <w:uiPriority w:val="8"/>
    <w:unhideWhenUsed/>
    <w:rsid w:val="0048659B"/>
    <w:pPr>
      <w:numPr>
        <w:ilvl w:val="4"/>
        <w:numId w:val="2"/>
      </w:numPr>
      <w:spacing w:before="240" w:after="60"/>
      <w:outlineLvl w:val="4"/>
    </w:pPr>
    <w:rPr>
      <w:rFonts w:ascii="Myriad Pro" w:hAnsi="Myriad Pro"/>
      <w:b/>
      <w:bCs/>
      <w:iCs/>
      <w:szCs w:val="26"/>
    </w:rPr>
  </w:style>
  <w:style w:type="paragraph" w:styleId="Heading6">
    <w:name w:val="heading 6"/>
    <w:basedOn w:val="Normal"/>
    <w:next w:val="Normal"/>
    <w:uiPriority w:val="8"/>
    <w:unhideWhenUsed/>
    <w:rsid w:val="0048659B"/>
    <w:pPr>
      <w:numPr>
        <w:ilvl w:val="5"/>
        <w:numId w:val="2"/>
      </w:numPr>
      <w:spacing w:before="240" w:after="60"/>
      <w:outlineLvl w:val="5"/>
    </w:pPr>
    <w:rPr>
      <w:rFonts w:ascii="Myriad Pro" w:hAnsi="Myriad Pro"/>
      <w:b/>
      <w:bCs/>
    </w:rPr>
  </w:style>
  <w:style w:type="paragraph" w:styleId="Heading7">
    <w:name w:val="heading 7"/>
    <w:basedOn w:val="Normal"/>
    <w:next w:val="Normal"/>
    <w:uiPriority w:val="8"/>
    <w:unhideWhenUsed/>
    <w:rsid w:val="0048659B"/>
    <w:pPr>
      <w:numPr>
        <w:ilvl w:val="6"/>
        <w:numId w:val="2"/>
      </w:numPr>
      <w:spacing w:before="240" w:after="60"/>
      <w:outlineLvl w:val="6"/>
    </w:pPr>
    <w:rPr>
      <w:rFonts w:ascii="Myriad Pro" w:hAnsi="Myriad Pro"/>
    </w:rPr>
  </w:style>
  <w:style w:type="paragraph" w:styleId="Heading8">
    <w:name w:val="heading 8"/>
    <w:basedOn w:val="Normal"/>
    <w:next w:val="Normal"/>
    <w:uiPriority w:val="8"/>
    <w:unhideWhenUsed/>
    <w:rsid w:val="0048659B"/>
    <w:pPr>
      <w:numPr>
        <w:ilvl w:val="7"/>
        <w:numId w:val="2"/>
      </w:numPr>
      <w:spacing w:before="240" w:after="60"/>
      <w:outlineLvl w:val="7"/>
    </w:pPr>
    <w:rPr>
      <w:rFonts w:ascii="Myriad Pro" w:hAnsi="Myriad Pro"/>
      <w:i/>
      <w:iCs/>
    </w:rPr>
  </w:style>
  <w:style w:type="paragraph" w:styleId="Heading9">
    <w:name w:val="heading 9"/>
    <w:basedOn w:val="Normal"/>
    <w:next w:val="Normal"/>
    <w:uiPriority w:val="8"/>
    <w:unhideWhenUsed/>
    <w:rsid w:val="0048659B"/>
    <w:pPr>
      <w:numPr>
        <w:ilvl w:val="8"/>
        <w:numId w:val="2"/>
      </w:numPr>
      <w:spacing w:before="240" w:after="60"/>
      <w:outlineLvl w:val="8"/>
    </w:pPr>
    <w:rPr>
      <w:rFonts w:ascii="Myriad Pro" w:hAnsi="Myriad Pro" w:cs="Arial"/>
    </w:rPr>
  </w:style>
  <w:style w:type="character" w:default="1" w:styleId="DefaultParagraphFont">
    <w:name w:val="Default Paragraph Font"/>
    <w:uiPriority w:val="1"/>
    <w:semiHidden/>
    <w:unhideWhenUsed/>
    <w:rsid w:val="00BE5B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5BBA"/>
  </w:style>
  <w:style w:type="paragraph" w:styleId="FootnoteText">
    <w:name w:val="footnote text"/>
    <w:basedOn w:val="BesediloUMAR"/>
    <w:link w:val="FootnoteTextChar"/>
    <w:autoRedefine/>
    <w:uiPriority w:val="8"/>
    <w:qFormat/>
    <w:rsid w:val="0048659B"/>
    <w:rPr>
      <w:sz w:val="16"/>
      <w:szCs w:val="14"/>
    </w:rPr>
  </w:style>
  <w:style w:type="character" w:customStyle="1" w:styleId="FootnoteTextChar">
    <w:name w:val="Footnote Text Char"/>
    <w:basedOn w:val="DefaultParagraphFont"/>
    <w:link w:val="FootnoteText"/>
    <w:uiPriority w:val="8"/>
    <w:rsid w:val="0048659B"/>
    <w:rPr>
      <w:rFonts w:ascii="Myriad Pro" w:eastAsiaTheme="minorHAnsi" w:hAnsi="Myriad Pro" w:cstheme="minorBidi"/>
      <w:sz w:val="16"/>
      <w:szCs w:val="14"/>
      <w:lang w:eastAsia="en-US"/>
    </w:rPr>
  </w:style>
  <w:style w:type="character" w:styleId="FootnoteReference">
    <w:name w:val="footnote reference"/>
    <w:basedOn w:val="DefaultParagraphFont"/>
    <w:uiPriority w:val="8"/>
    <w:rsid w:val="0048659B"/>
    <w:rPr>
      <w:rFonts w:ascii="Myriad Pro" w:hAnsi="Myriad Pro"/>
      <w:sz w:val="18"/>
      <w:vertAlign w:val="superscript"/>
    </w:rPr>
  </w:style>
  <w:style w:type="paragraph" w:styleId="Caption">
    <w:name w:val="caption"/>
    <w:aliases w:val="Okvir/Slika/Tabela_UMAR"/>
    <w:basedOn w:val="TableofFigures"/>
    <w:next w:val="BesediloUMAR"/>
    <w:link w:val="CaptionChar"/>
    <w:uiPriority w:val="4"/>
    <w:qFormat/>
    <w:rsid w:val="0048659B"/>
    <w:pPr>
      <w:keepNext/>
      <w:keepLines/>
      <w:spacing w:before="240" w:after="60"/>
      <w:contextualSpacing/>
    </w:pPr>
    <w:rPr>
      <w:b/>
      <w:bCs/>
    </w:rPr>
  </w:style>
  <w:style w:type="paragraph" w:styleId="Footer">
    <w:name w:val="footer"/>
    <w:basedOn w:val="Normal"/>
    <w:next w:val="Normal"/>
    <w:link w:val="FooterChar"/>
    <w:autoRedefine/>
    <w:uiPriority w:val="99"/>
    <w:rsid w:val="0048659B"/>
    <w:pPr>
      <w:framePr w:wrap="around" w:vAnchor="text" w:hAnchor="margin" w:xAlign="center" w:y="1"/>
      <w:tabs>
        <w:tab w:val="center" w:pos="4536"/>
        <w:tab w:val="right" w:pos="9072"/>
      </w:tabs>
      <w:spacing w:after="0" w:line="288" w:lineRule="auto"/>
      <w:jc w:val="center"/>
    </w:pPr>
    <w:rPr>
      <w:rFonts w:ascii="Myriad Pro" w:hAnsi="Myriad Pro"/>
      <w:noProof/>
      <w:sz w:val="16"/>
      <w:szCs w:val="16"/>
    </w:rPr>
  </w:style>
  <w:style w:type="paragraph" w:styleId="TableofFigures">
    <w:name w:val="table of figures"/>
    <w:basedOn w:val="BesediloUMAR"/>
    <w:next w:val="BesediloUMAR"/>
    <w:autoRedefine/>
    <w:uiPriority w:val="99"/>
    <w:rsid w:val="0048659B"/>
    <w:pPr>
      <w:tabs>
        <w:tab w:val="right" w:leader="dot" w:pos="9070"/>
      </w:tabs>
    </w:pPr>
    <w:rPr>
      <w:noProof/>
      <w:szCs w:val="20"/>
    </w:rPr>
  </w:style>
  <w:style w:type="paragraph" w:styleId="TableofAuthorities">
    <w:name w:val="table of authorities"/>
    <w:basedOn w:val="Normal"/>
    <w:next w:val="Normal"/>
    <w:semiHidden/>
    <w:rsid w:val="0048659B"/>
    <w:pPr>
      <w:ind w:left="220" w:hanging="220"/>
    </w:pPr>
  </w:style>
  <w:style w:type="paragraph" w:styleId="TOAHeading">
    <w:name w:val="toa heading"/>
    <w:basedOn w:val="Normal"/>
    <w:next w:val="Normal"/>
    <w:semiHidden/>
    <w:rsid w:val="0048659B"/>
    <w:pPr>
      <w:spacing w:before="120"/>
    </w:pPr>
    <w:rPr>
      <w:rFonts w:cs="Arial"/>
      <w:b/>
      <w:bCs/>
    </w:rPr>
  </w:style>
  <w:style w:type="paragraph" w:styleId="TOC1">
    <w:name w:val="toc 1"/>
    <w:basedOn w:val="BesediloUMAR"/>
    <w:next w:val="BesediloUMAR"/>
    <w:autoRedefine/>
    <w:uiPriority w:val="39"/>
    <w:rsid w:val="0048659B"/>
    <w:pPr>
      <w:tabs>
        <w:tab w:val="left" w:pos="340"/>
        <w:tab w:val="right" w:leader="dot" w:pos="9070"/>
      </w:tabs>
      <w:spacing w:before="100" w:after="100"/>
    </w:pPr>
    <w:rPr>
      <w:rFonts w:cs="Arial"/>
      <w:noProof/>
      <w:szCs w:val="20"/>
    </w:rPr>
  </w:style>
  <w:style w:type="paragraph" w:styleId="TOC2">
    <w:name w:val="toc 2"/>
    <w:basedOn w:val="BesediloUMAR"/>
    <w:next w:val="BesediloUMAR"/>
    <w:autoRedefine/>
    <w:uiPriority w:val="39"/>
    <w:rsid w:val="0048659B"/>
    <w:pPr>
      <w:tabs>
        <w:tab w:val="right" w:leader="dot" w:pos="9070"/>
      </w:tabs>
      <w:spacing w:before="100" w:after="100"/>
      <w:ind w:left="340"/>
    </w:pPr>
    <w:rPr>
      <w:noProof/>
    </w:rPr>
  </w:style>
  <w:style w:type="paragraph" w:styleId="TOC3">
    <w:name w:val="toc 3"/>
    <w:next w:val="BesediloUMAR"/>
    <w:autoRedefine/>
    <w:uiPriority w:val="39"/>
    <w:rsid w:val="0048659B"/>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TOC4">
    <w:name w:val="toc 4"/>
    <w:basedOn w:val="Normal"/>
    <w:autoRedefine/>
    <w:semiHidden/>
    <w:rsid w:val="0048659B"/>
    <w:pPr>
      <w:spacing w:after="20"/>
      <w:ind w:left="340"/>
      <w:contextualSpacing/>
    </w:pPr>
  </w:style>
  <w:style w:type="paragraph" w:styleId="TOC5">
    <w:name w:val="toc 5"/>
    <w:basedOn w:val="Normal"/>
    <w:autoRedefine/>
    <w:semiHidden/>
    <w:rsid w:val="0048659B"/>
    <w:pPr>
      <w:spacing w:after="20"/>
      <w:contextualSpacing/>
    </w:pPr>
  </w:style>
  <w:style w:type="paragraph" w:styleId="TOC6">
    <w:name w:val="toc 6"/>
    <w:basedOn w:val="Normal"/>
    <w:next w:val="Normal"/>
    <w:autoRedefine/>
    <w:semiHidden/>
    <w:rsid w:val="0048659B"/>
    <w:pPr>
      <w:ind w:left="1100"/>
    </w:pPr>
  </w:style>
  <w:style w:type="paragraph" w:styleId="TOC7">
    <w:name w:val="toc 7"/>
    <w:basedOn w:val="Normal"/>
    <w:next w:val="Normal"/>
    <w:autoRedefine/>
    <w:semiHidden/>
    <w:rsid w:val="0048659B"/>
    <w:pPr>
      <w:ind w:left="1320"/>
    </w:pPr>
  </w:style>
  <w:style w:type="paragraph" w:styleId="TOC8">
    <w:name w:val="toc 8"/>
    <w:basedOn w:val="Normal"/>
    <w:next w:val="Normal"/>
    <w:autoRedefine/>
    <w:semiHidden/>
    <w:rsid w:val="0048659B"/>
    <w:pPr>
      <w:ind w:left="1540"/>
    </w:pPr>
  </w:style>
  <w:style w:type="paragraph" w:styleId="TOC9">
    <w:name w:val="toc 9"/>
    <w:basedOn w:val="Normal"/>
    <w:next w:val="Normal"/>
    <w:autoRedefine/>
    <w:semiHidden/>
    <w:rsid w:val="0048659B"/>
    <w:pPr>
      <w:ind w:left="1760"/>
    </w:pPr>
  </w:style>
  <w:style w:type="paragraph" w:styleId="CommentText">
    <w:name w:val="annotation text"/>
    <w:basedOn w:val="Normal"/>
    <w:link w:val="CommentTextChar"/>
    <w:semiHidden/>
    <w:rsid w:val="0048659B"/>
    <w:rPr>
      <w:szCs w:val="20"/>
    </w:rPr>
  </w:style>
  <w:style w:type="character" w:styleId="CommentReference">
    <w:name w:val="annotation reference"/>
    <w:basedOn w:val="DefaultParagraphFont"/>
    <w:semiHidden/>
    <w:rsid w:val="0048659B"/>
    <w:rPr>
      <w:sz w:val="16"/>
      <w:szCs w:val="16"/>
    </w:rPr>
  </w:style>
  <w:style w:type="paragraph" w:styleId="EndnoteText">
    <w:name w:val="endnote text"/>
    <w:basedOn w:val="Normal"/>
    <w:autoRedefine/>
    <w:semiHidden/>
    <w:rsid w:val="0048659B"/>
    <w:rPr>
      <w:szCs w:val="20"/>
    </w:rPr>
  </w:style>
  <w:style w:type="character" w:styleId="EndnoteReference">
    <w:name w:val="endnote reference"/>
    <w:basedOn w:val="DefaultParagraphFont"/>
    <w:semiHidden/>
    <w:rsid w:val="0048659B"/>
    <w:rPr>
      <w:vertAlign w:val="superscript"/>
    </w:rPr>
  </w:style>
  <w:style w:type="paragraph" w:styleId="MacroText">
    <w:name w:val="macro"/>
    <w:semiHidden/>
    <w:rsid w:val="0048659B"/>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Index1">
    <w:name w:val="index 1"/>
    <w:basedOn w:val="Normal"/>
    <w:next w:val="Normal"/>
    <w:autoRedefine/>
    <w:semiHidden/>
    <w:rsid w:val="0048659B"/>
    <w:pPr>
      <w:ind w:left="220" w:hanging="220"/>
    </w:pPr>
  </w:style>
  <w:style w:type="paragraph" w:styleId="IndexHeading">
    <w:name w:val="index heading"/>
    <w:basedOn w:val="Normal"/>
    <w:next w:val="Index1"/>
    <w:semiHidden/>
    <w:rsid w:val="0048659B"/>
    <w:rPr>
      <w:rFonts w:cs="Arial"/>
      <w:b/>
      <w:bCs/>
    </w:rPr>
  </w:style>
  <w:style w:type="paragraph" w:styleId="Index2">
    <w:name w:val="index 2"/>
    <w:basedOn w:val="Normal"/>
    <w:next w:val="Normal"/>
    <w:autoRedefine/>
    <w:semiHidden/>
    <w:rsid w:val="0048659B"/>
    <w:pPr>
      <w:ind w:left="440" w:hanging="220"/>
    </w:pPr>
  </w:style>
  <w:style w:type="paragraph" w:styleId="Index3">
    <w:name w:val="index 3"/>
    <w:basedOn w:val="Normal"/>
    <w:next w:val="Normal"/>
    <w:autoRedefine/>
    <w:semiHidden/>
    <w:rsid w:val="0048659B"/>
    <w:pPr>
      <w:ind w:left="660" w:hanging="220"/>
    </w:pPr>
  </w:style>
  <w:style w:type="paragraph" w:styleId="Index4">
    <w:name w:val="index 4"/>
    <w:basedOn w:val="Normal"/>
    <w:next w:val="Normal"/>
    <w:autoRedefine/>
    <w:semiHidden/>
    <w:rsid w:val="0048659B"/>
    <w:pPr>
      <w:ind w:left="880" w:hanging="220"/>
    </w:pPr>
  </w:style>
  <w:style w:type="paragraph" w:styleId="Index5">
    <w:name w:val="index 5"/>
    <w:basedOn w:val="Normal"/>
    <w:next w:val="Normal"/>
    <w:autoRedefine/>
    <w:semiHidden/>
    <w:rsid w:val="0048659B"/>
    <w:pPr>
      <w:ind w:left="1100" w:hanging="220"/>
    </w:pPr>
  </w:style>
  <w:style w:type="paragraph" w:styleId="Index6">
    <w:name w:val="index 6"/>
    <w:basedOn w:val="Normal"/>
    <w:next w:val="Normal"/>
    <w:autoRedefine/>
    <w:semiHidden/>
    <w:rsid w:val="0048659B"/>
    <w:pPr>
      <w:ind w:left="1320" w:hanging="220"/>
    </w:pPr>
  </w:style>
  <w:style w:type="paragraph" w:styleId="Index7">
    <w:name w:val="index 7"/>
    <w:basedOn w:val="Normal"/>
    <w:next w:val="Normal"/>
    <w:autoRedefine/>
    <w:semiHidden/>
    <w:rsid w:val="0048659B"/>
    <w:pPr>
      <w:ind w:left="1540" w:hanging="220"/>
    </w:pPr>
  </w:style>
  <w:style w:type="paragraph" w:styleId="Index8">
    <w:name w:val="index 8"/>
    <w:basedOn w:val="Normal"/>
    <w:next w:val="Normal"/>
    <w:autoRedefine/>
    <w:semiHidden/>
    <w:rsid w:val="0048659B"/>
    <w:pPr>
      <w:ind w:left="1760" w:hanging="220"/>
    </w:pPr>
  </w:style>
  <w:style w:type="paragraph" w:styleId="Index9">
    <w:name w:val="index 9"/>
    <w:basedOn w:val="Normal"/>
    <w:next w:val="Normal"/>
    <w:autoRedefine/>
    <w:semiHidden/>
    <w:rsid w:val="0048659B"/>
    <w:pPr>
      <w:ind w:left="1980" w:hanging="220"/>
    </w:pPr>
  </w:style>
  <w:style w:type="paragraph" w:styleId="DocumentMap">
    <w:name w:val="Document Map"/>
    <w:basedOn w:val="Normal"/>
    <w:semiHidden/>
    <w:rsid w:val="0048659B"/>
    <w:pPr>
      <w:shd w:val="clear" w:color="auto" w:fill="000080"/>
    </w:pPr>
    <w:rPr>
      <w:rFonts w:ascii="Tahoma" w:hAnsi="Tahoma" w:cs="Tahoma"/>
      <w:szCs w:val="20"/>
    </w:rPr>
  </w:style>
  <w:style w:type="character" w:customStyle="1" w:styleId="VodilnistavekUMAR">
    <w:name w:val="Vodilni stavek_UMAR"/>
    <w:basedOn w:val="DefaultParagraphFont"/>
    <w:qFormat/>
    <w:rsid w:val="0048659B"/>
    <w:rPr>
      <w:b/>
    </w:rPr>
  </w:style>
  <w:style w:type="paragraph" w:styleId="BalloonText">
    <w:name w:val="Balloon Text"/>
    <w:basedOn w:val="Normal"/>
    <w:semiHidden/>
    <w:rsid w:val="0048659B"/>
    <w:rPr>
      <w:rFonts w:ascii="Tahoma" w:hAnsi="Tahoma" w:cs="Tahoma"/>
      <w:sz w:val="16"/>
      <w:szCs w:val="16"/>
    </w:rPr>
  </w:style>
  <w:style w:type="character" w:customStyle="1" w:styleId="HeaderChar">
    <w:name w:val="Header Char"/>
    <w:basedOn w:val="DefaultParagraphFont"/>
    <w:link w:val="Header"/>
    <w:uiPriority w:val="99"/>
    <w:rsid w:val="0048659B"/>
    <w:rPr>
      <w:rFonts w:ascii="Myriad Pro" w:eastAsiaTheme="minorHAnsi" w:hAnsi="Myriad Pro" w:cstheme="minorBidi"/>
      <w:sz w:val="22"/>
      <w:szCs w:val="22"/>
      <w:lang w:eastAsia="en-US"/>
    </w:rPr>
  </w:style>
  <w:style w:type="table" w:styleId="TableGrid">
    <w:name w:val="Table Grid"/>
    <w:basedOn w:val="TableNormal"/>
    <w:uiPriority w:val="59"/>
    <w:rsid w:val="0048659B"/>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48659B"/>
    <w:pPr>
      <w:tabs>
        <w:tab w:val="center" w:pos="4536"/>
        <w:tab w:val="right" w:pos="9072"/>
      </w:tabs>
    </w:pPr>
    <w:rPr>
      <w:rFonts w:ascii="Myriad Pro" w:hAnsi="Myriad Pro"/>
    </w:rPr>
  </w:style>
  <w:style w:type="character" w:styleId="Hyperlink">
    <w:name w:val="Hyperlink"/>
    <w:basedOn w:val="BesediloUMARChar"/>
    <w:uiPriority w:val="99"/>
    <w:rsid w:val="0048659B"/>
    <w:rPr>
      <w:rFonts w:ascii="Myriad Pro" w:eastAsiaTheme="minorHAnsi" w:hAnsi="Myriad Pro" w:cstheme="minorBidi"/>
      <w:color w:val="0000FF"/>
      <w:szCs w:val="22"/>
      <w:u w:val="single"/>
      <w:lang w:eastAsia="en-US"/>
    </w:rPr>
  </w:style>
  <w:style w:type="character" w:styleId="Emphasis">
    <w:name w:val="Emphasis"/>
    <w:aliases w:val="Italic poudarek_UMAR"/>
    <w:basedOn w:val="BesediloUMARChar"/>
    <w:qFormat/>
    <w:rsid w:val="0048659B"/>
    <w:rPr>
      <w:rFonts w:ascii="Myriad Pro" w:eastAsiaTheme="minorHAnsi" w:hAnsi="Myriad Pro" w:cstheme="minorBidi"/>
      <w:i/>
      <w:iCs/>
      <w:szCs w:val="22"/>
      <w:lang w:eastAsia="en-US"/>
    </w:rPr>
  </w:style>
  <w:style w:type="character" w:customStyle="1" w:styleId="Heading3Char">
    <w:name w:val="Heading 3 Char"/>
    <w:aliases w:val="Heading 3_UMAR Char"/>
    <w:basedOn w:val="DefaultParagraphFont"/>
    <w:link w:val="Heading3"/>
    <w:uiPriority w:val="3"/>
    <w:rsid w:val="0048659B"/>
    <w:rPr>
      <w:rFonts w:ascii="Myriad Pro" w:eastAsiaTheme="minorHAnsi" w:hAnsi="Myriad Pro" w:cs="Arial"/>
      <w:b/>
      <w:bCs/>
      <w:color w:val="9E001A" w:themeColor="accent1"/>
      <w:sz w:val="24"/>
      <w:szCs w:val="26"/>
      <w:lang w:eastAsia="en-US"/>
    </w:rPr>
  </w:style>
  <w:style w:type="character" w:customStyle="1" w:styleId="Heading2Char">
    <w:name w:val="Heading 2 Char"/>
    <w:aliases w:val="Heading 2_UMAR Char"/>
    <w:basedOn w:val="DefaultParagraphFont"/>
    <w:link w:val="Heading2"/>
    <w:uiPriority w:val="2"/>
    <w:rsid w:val="0048659B"/>
    <w:rPr>
      <w:rFonts w:ascii="Myriad Pro" w:eastAsiaTheme="minorHAnsi" w:hAnsi="Myriad Pro" w:cstheme="minorBidi"/>
      <w:b/>
      <w:color w:val="9E001A" w:themeColor="accent1"/>
      <w:sz w:val="24"/>
      <w:szCs w:val="22"/>
      <w:lang w:eastAsia="en-US"/>
    </w:rPr>
  </w:style>
  <w:style w:type="character" w:customStyle="1" w:styleId="Heading1Char">
    <w:name w:val="Heading 1 Char"/>
    <w:aliases w:val="Heading 1_UMAR Char"/>
    <w:basedOn w:val="DefaultParagraphFont"/>
    <w:link w:val="Heading1"/>
    <w:uiPriority w:val="1"/>
    <w:rsid w:val="0048659B"/>
    <w:rPr>
      <w:rFonts w:ascii="Myriad Pro" w:eastAsiaTheme="minorHAnsi" w:hAnsi="Myriad Pro" w:cs="Arial"/>
      <w:b/>
      <w:bCs/>
      <w:color w:val="9E001A" w:themeColor="accent1"/>
      <w:kern w:val="32"/>
      <w:sz w:val="28"/>
      <w:szCs w:val="22"/>
      <w:lang w:eastAsia="en-US"/>
    </w:rPr>
  </w:style>
  <w:style w:type="character" w:styleId="PlaceholderText">
    <w:name w:val="Placeholder Text"/>
    <w:basedOn w:val="DefaultParagraphFont"/>
    <w:uiPriority w:val="99"/>
    <w:semiHidden/>
    <w:rsid w:val="0048659B"/>
    <w:rPr>
      <w:color w:val="808080"/>
    </w:rPr>
  </w:style>
  <w:style w:type="character" w:customStyle="1" w:styleId="FooterChar">
    <w:name w:val="Footer Char"/>
    <w:basedOn w:val="DefaultParagraphFont"/>
    <w:link w:val="Footer"/>
    <w:uiPriority w:val="99"/>
    <w:rsid w:val="0048659B"/>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48659B"/>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DefaultParagraphFont"/>
    <w:link w:val="BesediloUMAR"/>
    <w:rsid w:val="0048659B"/>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48659B"/>
    <w:pPr>
      <w:spacing w:before="40" w:line="240" w:lineRule="auto"/>
    </w:pPr>
    <w:rPr>
      <w:sz w:val="16"/>
    </w:rPr>
  </w:style>
  <w:style w:type="character" w:customStyle="1" w:styleId="VirUMARChar">
    <w:name w:val="Vir_UMAR Char"/>
    <w:basedOn w:val="DefaultParagraphFont"/>
    <w:link w:val="VirUMAR"/>
    <w:uiPriority w:val="6"/>
    <w:rsid w:val="0048659B"/>
    <w:rPr>
      <w:rFonts w:ascii="Myriad Pro" w:eastAsiaTheme="minorHAnsi" w:hAnsi="Myriad Pro" w:cstheme="minorBidi"/>
      <w:sz w:val="16"/>
      <w:szCs w:val="22"/>
      <w:lang w:eastAsia="en-US"/>
    </w:rPr>
  </w:style>
  <w:style w:type="character" w:customStyle="1" w:styleId="CaptionChar">
    <w:name w:val="Caption Char"/>
    <w:aliases w:val="Okvir/Slika/Tabela_UMAR Char"/>
    <w:basedOn w:val="DefaultParagraphFont"/>
    <w:link w:val="Caption"/>
    <w:uiPriority w:val="4"/>
    <w:rsid w:val="0048659B"/>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48659B"/>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DefaultParagraphFont"/>
    <w:link w:val="TabelaglavadesnoUMAR"/>
    <w:uiPriority w:val="5"/>
    <w:rsid w:val="0048659B"/>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48659B"/>
    <w:pPr>
      <w:jc w:val="left"/>
    </w:pPr>
  </w:style>
  <w:style w:type="paragraph" w:customStyle="1" w:styleId="TabelalevoUMAR">
    <w:name w:val="Tabela levo_UMAR"/>
    <w:basedOn w:val="TabelaglavalevoUMAR"/>
    <w:link w:val="TabelalevoUMARChar"/>
    <w:uiPriority w:val="5"/>
    <w:qFormat/>
    <w:rsid w:val="0048659B"/>
    <w:rPr>
      <w:b w:val="0"/>
    </w:rPr>
  </w:style>
  <w:style w:type="character" w:customStyle="1" w:styleId="TabelaglavalevoUMARChar">
    <w:name w:val="Tabela glava levo_UMAR Char"/>
    <w:basedOn w:val="TabelaglavadesnoUMARChar"/>
    <w:link w:val="TabelaglavalevoUMAR"/>
    <w:uiPriority w:val="5"/>
    <w:rsid w:val="0048659B"/>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48659B"/>
    <w:rPr>
      <w:b w:val="0"/>
    </w:rPr>
  </w:style>
  <w:style w:type="character" w:customStyle="1" w:styleId="TabelalevoUMARChar">
    <w:name w:val="Tabela levo_UMAR Char"/>
    <w:basedOn w:val="TabelaglavalevoUMARChar"/>
    <w:link w:val="TabelalevoUMAR"/>
    <w:uiPriority w:val="5"/>
    <w:rsid w:val="0048659B"/>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48659B"/>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48659B"/>
    <w:rPr>
      <w:rFonts w:ascii="Myriad Pro" w:eastAsiaTheme="minorHAnsi" w:hAnsi="Myriad Pro" w:cstheme="minorBidi"/>
      <w:b/>
      <w:szCs w:val="22"/>
      <w:lang w:eastAsia="en-US"/>
    </w:rPr>
  </w:style>
  <w:style w:type="paragraph" w:customStyle="1" w:styleId="NaslovnicanaslovUMAR">
    <w:name w:val="Naslovnica_naslov_UMAR"/>
    <w:basedOn w:val="Heading2"/>
    <w:link w:val="NaslovnicanaslovUMARChar"/>
    <w:uiPriority w:val="99"/>
    <w:qFormat/>
    <w:rsid w:val="0048659B"/>
  </w:style>
  <w:style w:type="character" w:customStyle="1" w:styleId="NaslovnicanaslovUMARChar">
    <w:name w:val="Naslovnica_naslov_UMAR Char"/>
    <w:basedOn w:val="DefaultParagraphFont"/>
    <w:link w:val="NaslovnicanaslovUMAR"/>
    <w:uiPriority w:val="99"/>
    <w:rsid w:val="0048659B"/>
    <w:rPr>
      <w:rFonts w:ascii="Myriad Pro" w:eastAsiaTheme="minorHAnsi" w:hAnsi="Myriad Pro" w:cstheme="minorBidi"/>
      <w:b/>
      <w:color w:val="9E001A" w:themeColor="accent1"/>
      <w:sz w:val="24"/>
      <w:szCs w:val="22"/>
      <w:lang w:eastAsia="en-US"/>
    </w:rPr>
  </w:style>
  <w:style w:type="table" w:styleId="TableGridLight">
    <w:name w:val="Grid Table Light"/>
    <w:aliases w:val="UMAR tabela"/>
    <w:basedOn w:val="TableNormal"/>
    <w:uiPriority w:val="40"/>
    <w:rsid w:val="0048659B"/>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PlainTable1">
    <w:name w:val="Plain Table 1"/>
    <w:basedOn w:val="TableNormal"/>
    <w:uiPriority w:val="41"/>
    <w:rsid w:val="004865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865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865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865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865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4865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48659B"/>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48659B"/>
    <w:pPr>
      <w:spacing w:line="240" w:lineRule="auto"/>
    </w:pPr>
    <w:rPr>
      <w:b/>
      <w:bCs/>
    </w:rPr>
  </w:style>
  <w:style w:type="character" w:customStyle="1" w:styleId="CommentTextChar">
    <w:name w:val="Comment Text Char"/>
    <w:basedOn w:val="DefaultParagraphFont"/>
    <w:link w:val="CommentText"/>
    <w:semiHidden/>
    <w:rsid w:val="0048659B"/>
    <w:rPr>
      <w:rFonts w:asciiTheme="minorHAnsi" w:eastAsiaTheme="minorHAnsi" w:hAnsiTheme="minorHAnsi" w:cstheme="minorBidi"/>
      <w:sz w:val="22"/>
      <w:lang w:eastAsia="en-US"/>
    </w:rPr>
  </w:style>
  <w:style w:type="character" w:customStyle="1" w:styleId="CommentSubjectChar">
    <w:name w:val="Comment Subject Char"/>
    <w:basedOn w:val="CommentTextChar"/>
    <w:link w:val="CommentSubject"/>
    <w:semiHidden/>
    <w:rsid w:val="0048659B"/>
    <w:rPr>
      <w:rFonts w:asciiTheme="minorHAnsi" w:eastAsiaTheme="minorHAnsi" w:hAnsiTheme="minorHAnsi" w:cstheme="minorBidi"/>
      <w:b/>
      <w:bCs/>
      <w:sz w:val="22"/>
      <w:lang w:eastAsia="en-US"/>
    </w:rPr>
  </w:style>
  <w:style w:type="table" w:customStyle="1" w:styleId="UMARokvir">
    <w:name w:val="UMAR okvir"/>
    <w:basedOn w:val="TableNormal"/>
    <w:uiPriority w:val="99"/>
    <w:rsid w:val="0048659B"/>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TableNormal"/>
    <w:uiPriority w:val="99"/>
    <w:rsid w:val="0048659B"/>
    <w:pPr>
      <w:jc w:val="center"/>
    </w:pPr>
    <w:rPr>
      <w:rFonts w:ascii="Myriad Pro" w:hAnsi="Myriad Pro"/>
    </w:rPr>
    <w:tblPr/>
    <w:tcPr>
      <w:vAlign w:val="center"/>
    </w:tcPr>
    <w:tblStylePr w:type="lastCol">
      <w:pPr>
        <w:jc w:val="right"/>
      </w:pPr>
    </w:tblStylePr>
  </w:style>
  <w:style w:type="paragraph" w:styleId="TOCHeading">
    <w:name w:val="TOC Heading"/>
    <w:basedOn w:val="Heading1"/>
    <w:next w:val="Normal"/>
    <w:uiPriority w:val="39"/>
    <w:unhideWhenUsed/>
    <w:rsid w:val="0048659B"/>
    <w:pPr>
      <w:numPr>
        <w:numId w:val="0"/>
      </w:numPr>
      <w:spacing w:before="240" w:after="0" w:line="259" w:lineRule="auto"/>
      <w:outlineLvl w:val="9"/>
    </w:pPr>
    <w:rPr>
      <w:rFonts w:eastAsiaTheme="majorEastAsia" w:cstheme="majorBidi"/>
      <w:b w:val="0"/>
      <w:bCs w:val="0"/>
      <w:color w:val="760013" w:themeColor="accent1" w:themeShade="BF"/>
      <w:kern w:val="0"/>
      <w:sz w:val="32"/>
      <w:szCs w:val="32"/>
      <w:lang w:val="en-US"/>
    </w:rPr>
  </w:style>
  <w:style w:type="paragraph" w:styleId="ListParagraph">
    <w:name w:val="List Paragraph"/>
    <w:basedOn w:val="Normal"/>
    <w:uiPriority w:val="34"/>
    <w:rsid w:val="0048659B"/>
    <w:pPr>
      <w:ind w:left="720"/>
      <w:contextualSpacing/>
    </w:pPr>
    <w:rPr>
      <w:rFonts w:ascii="Myriad Pro" w:hAnsi="Myriad Pro"/>
    </w:rPr>
  </w:style>
  <w:style w:type="paragraph" w:customStyle="1" w:styleId="LiteraturaUMAR">
    <w:name w:val="Literatura_UMAR"/>
    <w:basedOn w:val="BesediloUMAR"/>
    <w:link w:val="LiteraturaUMARChar"/>
    <w:uiPriority w:val="7"/>
    <w:qFormat/>
    <w:rsid w:val="0048659B"/>
    <w:pPr>
      <w:numPr>
        <w:numId w:val="1"/>
      </w:numPr>
      <w:jc w:val="left"/>
    </w:pPr>
  </w:style>
  <w:style w:type="character" w:customStyle="1" w:styleId="LiteraturaUMARChar">
    <w:name w:val="Literatura_UMAR Char"/>
    <w:basedOn w:val="BesediloUMARChar"/>
    <w:link w:val="LiteraturaUMAR"/>
    <w:uiPriority w:val="7"/>
    <w:rsid w:val="0048659B"/>
    <w:rPr>
      <w:rFonts w:ascii="Myriad Pro" w:eastAsiaTheme="minorHAnsi" w:hAnsi="Myriad Pro" w:cstheme="minorBidi"/>
      <w:szCs w:val="22"/>
      <w:lang w:eastAsia="en-US"/>
    </w:rPr>
  </w:style>
  <w:style w:type="character" w:customStyle="1" w:styleId="UnresolvedMention1">
    <w:name w:val="Unresolved Mention1"/>
    <w:basedOn w:val="DefaultParagraphFont"/>
    <w:uiPriority w:val="99"/>
    <w:semiHidden/>
    <w:unhideWhenUsed/>
    <w:rsid w:val="00120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627080580">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sid.si/korona/" TargetMode="External"/><Relationship Id="rId39" Type="http://schemas.openxmlformats.org/officeDocument/2006/relationships/theme" Target="theme/theme1.xml"/><Relationship Id="rId21" Type="http://schemas.openxmlformats.org/officeDocument/2006/relationships/hyperlink" Target="https://www.sid.si/o-banki/mediji-o-nas" TargetMode="External"/><Relationship Id="rId34" Type="http://schemas.openxmlformats.org/officeDocument/2006/relationships/hyperlink" Target="http://www.pisrs.si/Pis.web/pregledPredpisa?id=ZAKO6845"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s://podjetniskisklad.si/images/DOGODKI/SKUPAJSMOMOCNEJSI/SKUPAJ-SMO-MONEJI_16.10.2020.pdf" TargetMode="External"/><Relationship Id="rId33" Type="http://schemas.openxmlformats.org/officeDocument/2006/relationships/hyperlink" Target="http://www.pisrs.si/Pis.web/pregledPredpisa?id=ZAKO819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www.umar.gov.si/fileadmin/user_upload/publikacije/kratke_analize/2020_9_Zadolzenost_Lusina/Zadolzenost_podjetniskega_sektorja_.pdf" TargetMode="External"/><Relationship Id="rId29" Type="http://schemas.openxmlformats.org/officeDocument/2006/relationships/hyperlink" Target="https://www.umar.gov.si/fileadmin/user_upload/publikacije/kratke_analize/Placilna_sposobnost_poslovnih_subjektov_v_Sloveniji/Placilna_sposobnost_poslovnih_subjektov_v_Sloveniji_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sid.si/banke/porostvo-rs-ziuzeop" TargetMode="External"/><Relationship Id="rId32" Type="http://schemas.openxmlformats.org/officeDocument/2006/relationships/hyperlink" Target="https://imss.dz-rs.si/IMiS/ImisAdmin.nsf/ImisnetAgent?OpenAgent&amp;2&amp;DZ-MSS-01/e2eba6dc03fbeb1e34ce614e8b0cb72b2b28660e8e36c06d99e00b9dd7ab159f" TargetMode="External"/><Relationship Id="rId37"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www.sid.si/banke/porostvo-rs-ziuzeop" TargetMode="External"/><Relationship Id="rId28" Type="http://schemas.openxmlformats.org/officeDocument/2006/relationships/hyperlink" Target="https://www.stat.si/doc/pub/skd.pdf" TargetMode="External"/><Relationship Id="rId36" Type="http://schemas.openxmlformats.org/officeDocument/2006/relationships/hyperlink" Target="http://www.pisrs.si/Pis.web/pregledPredpisa?id=ZAKO8197" TargetMode="External"/><Relationship Id="rId10" Type="http://schemas.openxmlformats.org/officeDocument/2006/relationships/image" Target="media/image3.jpeg"/><Relationship Id="rId19" Type="http://schemas.openxmlformats.org/officeDocument/2006/relationships/hyperlink" Target="https://www.bsi.si/mediji/1563/do-sredine-oktobra-dobrih-24000-vlog-za-odlog-placila-kreditne-obveznosti-podjetjem-390-mio-evrov-likvidnostnih-kreditov" TargetMode="External"/><Relationship Id="rId31" Type="http://schemas.openxmlformats.org/officeDocument/2006/relationships/hyperlink" Target="http://www.pisrs.si/Pis.web/pregledPredpisa?id=ZAKO818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yperlink" Target="https://www.sid.si/banke/porostvo-rs-zdlgpe" TargetMode="External"/><Relationship Id="rId27" Type="http://schemas.openxmlformats.org/officeDocument/2006/relationships/hyperlink" Target="https://www.sid.si/sites/www.sid.si/files/documents/sporocilo_za_javnost_rri_in_sdmkv_drugi_val_epidemije_final_1.pdf" TargetMode="External"/><Relationship Id="rId30" Type="http://schemas.openxmlformats.org/officeDocument/2006/relationships/hyperlink" Target="https://www.podjetniskisklad.si/sl/novice-in-objave/novice/sporocila-za-javnost/687-ukrepi-slovenskega-podjetniskega-sklada-za-omilitev-posledic-koronavirusa" TargetMode="External"/><Relationship Id="rId35" Type="http://schemas.openxmlformats.org/officeDocument/2006/relationships/header" Target="header2.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74A7D-3A23-4F0F-93DF-CF0AAC3A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1541</Words>
  <Characters>12658</Characters>
  <Application>Microsoft Office Word</Application>
  <DocSecurity>0</DocSecurity>
  <Lines>105</Lines>
  <Paragraphs>28</Paragraphs>
  <ScaleCrop>false</ScaleCrop>
  <Company/>
  <LinksUpToDate>false</LinksUpToDate>
  <CharactersWithSpaces>14171</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2021-01-21T07:32:00Z</dcterms:created>
  <dcterms:modified xsi:type="dcterms:W3CDTF">2021-01-21T07:32:00Z</dcterms:modified>
</cp:coreProperties>
</file>