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8F69" w14:textId="77777777" w:rsidR="0050616E" w:rsidRPr="0050616E" w:rsidRDefault="00471713" w:rsidP="0050616E">
      <w:pPr>
        <w:pStyle w:val="Heading2"/>
        <w:numPr>
          <w:ilvl w:val="0"/>
          <w:numId w:val="0"/>
        </w:num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4B3E50D" wp14:editId="1466FF4A">
            <wp:simplePos x="0" y="0"/>
            <wp:positionH relativeFrom="column">
              <wp:posOffset>-900374</wp:posOffset>
            </wp:positionH>
            <wp:positionV relativeFrom="paragraph">
              <wp:posOffset>-1081405</wp:posOffset>
            </wp:positionV>
            <wp:extent cx="4737100" cy="10815955"/>
            <wp:effectExtent l="0" t="0" r="6350" b="4445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081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E37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E5C6C02" wp14:editId="4AA8766C">
            <wp:simplePos x="0" y="0"/>
            <wp:positionH relativeFrom="column">
              <wp:posOffset>4939343</wp:posOffset>
            </wp:positionH>
            <wp:positionV relativeFrom="paragraph">
              <wp:posOffset>-626110</wp:posOffset>
            </wp:positionV>
            <wp:extent cx="1294227" cy="365859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MA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7" cy="36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96DA2" w14:textId="77777777" w:rsidR="0050616E" w:rsidRPr="0050616E" w:rsidRDefault="00D66667" w:rsidP="0050616E">
      <w:pPr>
        <w:tabs>
          <w:tab w:val="left" w:pos="7227"/>
        </w:tabs>
        <w:sectPr w:rsidR="0050616E" w:rsidRPr="0050616E" w:rsidSect="007C3A38">
          <w:footerReference w:type="default" r:id="rId10"/>
          <w:pgSz w:w="11906" w:h="16838"/>
          <w:pgMar w:top="1701" w:right="1418" w:bottom="1418" w:left="1418" w:header="709" w:footer="709" w:gutter="0"/>
          <w:pgNumType w:fmt="lowerRoman" w:start="1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3BD3E414" wp14:editId="4AE19ABF">
                <wp:simplePos x="0" y="0"/>
                <wp:positionH relativeFrom="column">
                  <wp:posOffset>2694750</wp:posOffset>
                </wp:positionH>
                <wp:positionV relativeFrom="paragraph">
                  <wp:posOffset>556895</wp:posOffset>
                </wp:positionV>
                <wp:extent cx="3680460" cy="8066405"/>
                <wp:effectExtent l="0" t="0" r="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806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A84E3D" w14:textId="77777777" w:rsidR="00062FF7" w:rsidRPr="0050616E" w:rsidRDefault="00062FF7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</w:p>
                          <w:p w14:paraId="6ECE4E27" w14:textId="77777777" w:rsidR="00062FF7" w:rsidRPr="0050616E" w:rsidRDefault="00062FF7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</w:p>
                          <w:p w14:paraId="7B991FC2" w14:textId="77777777" w:rsidR="00062FF7" w:rsidRPr="0050616E" w:rsidRDefault="00062FF7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0616E">
                              <w:rPr>
                                <w:color w:val="auto"/>
                                <w:sz w:val="26"/>
                                <w:szCs w:val="26"/>
                              </w:rPr>
                              <w:t>Kratke analize</w:t>
                            </w:r>
                          </w:p>
                          <w:p w14:paraId="3C643D67" w14:textId="22B6F504" w:rsidR="00062FF7" w:rsidRPr="0050616E" w:rsidRDefault="00062FF7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 w:val="0"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auto"/>
                                <w:sz w:val="26"/>
                                <w:szCs w:val="26"/>
                              </w:rPr>
                              <w:t>December 2020</w:t>
                            </w:r>
                          </w:p>
                          <w:p w14:paraId="159423CA" w14:textId="293074EF" w:rsidR="00062FF7" w:rsidRPr="0050616E" w:rsidRDefault="00062FF7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after="240" w:line="760" w:lineRule="exact"/>
                              <w:rPr>
                                <w:b w:val="0"/>
                                <w:bCs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auto"/>
                                <w:sz w:val="52"/>
                                <w:szCs w:val="52"/>
                              </w:rPr>
                              <w:t>Mag. Mateja Kovač</w:t>
                            </w:r>
                          </w:p>
                          <w:p w14:paraId="0933499E" w14:textId="77777777" w:rsidR="00062FF7" w:rsidRDefault="00062FF7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auto"/>
                                <w:sz w:val="76"/>
                                <w:szCs w:val="76"/>
                              </w:rPr>
                              <w:t xml:space="preserve">Izpusti toplogrednih plinov </w:t>
                            </w:r>
                          </w:p>
                          <w:p w14:paraId="06FAE2D4" w14:textId="06201264" w:rsidR="00062FF7" w:rsidRPr="0050616E" w:rsidRDefault="00062FF7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auto"/>
                                <w:sz w:val="76"/>
                                <w:szCs w:val="76"/>
                              </w:rPr>
                              <w:t>v Sloveniji in EU v luči spremljanja prizadevanj za njihovo zmanjševanje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1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E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pt;margin-top:43.85pt;width:289.8pt;height:635.1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" filled="f" stroked="f" strokeweight=".5pt">
                <v:textbox style="layout-flow:vertical;mso-layout-flow-alt:bottom-to-top" inset="0,0,.5mm,0">
                  <w:txbxContent>
                    <w:p w14:paraId="57A84E3D" w14:textId="77777777" w:rsidR="00062FF7" w:rsidRPr="0050616E" w:rsidRDefault="00062FF7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</w:p>
                    <w:p w14:paraId="6ECE4E27" w14:textId="77777777" w:rsidR="00062FF7" w:rsidRPr="0050616E" w:rsidRDefault="00062FF7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</w:p>
                    <w:p w14:paraId="7B991FC2" w14:textId="77777777" w:rsidR="00062FF7" w:rsidRPr="0050616E" w:rsidRDefault="00062FF7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0616E">
                        <w:rPr>
                          <w:color w:val="auto"/>
                          <w:sz w:val="26"/>
                          <w:szCs w:val="26"/>
                        </w:rPr>
                        <w:t>Kratke analize</w:t>
                      </w:r>
                    </w:p>
                    <w:p w14:paraId="3C643D67" w14:textId="22B6F504" w:rsidR="00062FF7" w:rsidRPr="0050616E" w:rsidRDefault="00062FF7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 w:val="0"/>
                          <w:bC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olor w:val="auto"/>
                          <w:sz w:val="26"/>
                          <w:szCs w:val="26"/>
                        </w:rPr>
                        <w:t>December 2020</w:t>
                      </w:r>
                    </w:p>
                    <w:p w14:paraId="159423CA" w14:textId="293074EF" w:rsidR="00062FF7" w:rsidRPr="0050616E" w:rsidRDefault="00062FF7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after="240" w:line="760" w:lineRule="exact"/>
                        <w:rPr>
                          <w:b w:val="0"/>
                          <w:bCs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b w:val="0"/>
                          <w:bCs/>
                          <w:color w:val="auto"/>
                          <w:sz w:val="52"/>
                          <w:szCs w:val="52"/>
                        </w:rPr>
                        <w:t>Mag. Mateja Kovač</w:t>
                      </w:r>
                    </w:p>
                    <w:p w14:paraId="0933499E" w14:textId="77777777" w:rsidR="00062FF7" w:rsidRDefault="00062FF7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  <w:r>
                        <w:rPr>
                          <w:color w:val="auto"/>
                          <w:sz w:val="76"/>
                          <w:szCs w:val="76"/>
                        </w:rPr>
                        <w:t xml:space="preserve">Izpusti toplogrednih plinov </w:t>
                      </w:r>
                    </w:p>
                    <w:p w14:paraId="06FAE2D4" w14:textId="06201264" w:rsidR="00062FF7" w:rsidRPr="0050616E" w:rsidRDefault="00062FF7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  <w:r>
                        <w:rPr>
                          <w:color w:val="auto"/>
                          <w:sz w:val="76"/>
                          <w:szCs w:val="76"/>
                        </w:rPr>
                        <w:t>v Sloveniji in EU v luči spremljanja prizadevanj za njihovo zmanjševanje</w:t>
                      </w:r>
                    </w:p>
                  </w:txbxContent>
                </v:textbox>
              </v:shape>
            </w:pict>
          </mc:Fallback>
        </mc:AlternateContent>
      </w:r>
      <w:r w:rsidR="0050616E">
        <w:tab/>
      </w:r>
    </w:p>
    <w:p w14:paraId="7DAFD7EC" w14:textId="77777777" w:rsidR="00471713" w:rsidRDefault="00471713" w:rsidP="00471713">
      <w:pPr>
        <w:pStyle w:val="Heading1"/>
        <w:numPr>
          <w:ilvl w:val="0"/>
          <w:numId w:val="0"/>
        </w:numPr>
        <w:rPr>
          <w:rStyle w:val="VodilnistavekUMAR"/>
        </w:rPr>
      </w:pPr>
      <w:bookmarkStart w:id="0" w:name="_Toc525304171"/>
      <w:bookmarkStart w:id="1" w:name="_Toc527616894"/>
      <w:bookmarkStart w:id="2" w:name="_Toc528328881"/>
      <w:r w:rsidRPr="00471713">
        <w:lastRenderedPageBreak/>
        <w:t>Povzetek</w:t>
      </w:r>
    </w:p>
    <w:p w14:paraId="35D53604" w14:textId="5FFD2A0B" w:rsidR="00903395" w:rsidRDefault="00DF39AE" w:rsidP="003F33CD">
      <w:pPr>
        <w:pStyle w:val="BesediloUMAR"/>
        <w:rPr>
          <w:b/>
          <w:bCs/>
        </w:rPr>
      </w:pPr>
      <w:r>
        <w:rPr>
          <w:b/>
        </w:rPr>
        <w:t xml:space="preserve">V </w:t>
      </w:r>
      <w:r w:rsidRPr="00AA7226">
        <w:rPr>
          <w:b/>
        </w:rPr>
        <w:t xml:space="preserve">Sloveniji </w:t>
      </w:r>
      <w:r>
        <w:rPr>
          <w:b/>
        </w:rPr>
        <w:t xml:space="preserve">so </w:t>
      </w:r>
      <w:r w:rsidR="00A526EB">
        <w:rPr>
          <w:b/>
        </w:rPr>
        <w:t xml:space="preserve">se </w:t>
      </w:r>
      <w:r>
        <w:rPr>
          <w:b/>
        </w:rPr>
        <w:t xml:space="preserve">izpusti toplogrednih plinov, ki so eden </w:t>
      </w:r>
      <w:r w:rsidRPr="007901E7">
        <w:rPr>
          <w:b/>
        </w:rPr>
        <w:t>osnovni</w:t>
      </w:r>
      <w:r>
        <w:rPr>
          <w:b/>
        </w:rPr>
        <w:t>h</w:t>
      </w:r>
      <w:r w:rsidRPr="007901E7">
        <w:rPr>
          <w:b/>
        </w:rPr>
        <w:t xml:space="preserve"> kazalnik</w:t>
      </w:r>
      <w:r>
        <w:rPr>
          <w:b/>
        </w:rPr>
        <w:t>ov</w:t>
      </w:r>
      <w:r w:rsidRPr="007901E7">
        <w:rPr>
          <w:b/>
        </w:rPr>
        <w:t xml:space="preserve"> uspešnosti podnebne politike</w:t>
      </w:r>
      <w:r>
        <w:rPr>
          <w:b/>
        </w:rPr>
        <w:t xml:space="preserve">, </w:t>
      </w:r>
      <w:r w:rsidR="00A526EB">
        <w:rPr>
          <w:b/>
        </w:rPr>
        <w:t xml:space="preserve">v gospodarski in finančni krizi do leta 2014 pričakovano zniževali, se nato nekoliko zvišali in </w:t>
      </w:r>
      <w:r w:rsidRPr="00AA7226">
        <w:rPr>
          <w:b/>
        </w:rPr>
        <w:t>v obdobju 2016–2018 osta</w:t>
      </w:r>
      <w:r>
        <w:rPr>
          <w:b/>
        </w:rPr>
        <w:t>li na približno isti ravni.</w:t>
      </w:r>
      <w:r w:rsidR="00A526EB">
        <w:rPr>
          <w:b/>
        </w:rPr>
        <w:t xml:space="preserve"> </w:t>
      </w:r>
      <w:r w:rsidR="00F848C1" w:rsidRPr="00DF39AE">
        <w:rPr>
          <w:b/>
          <w:bCs/>
        </w:rPr>
        <w:t xml:space="preserve">V </w:t>
      </w:r>
      <w:r w:rsidR="00F848C1">
        <w:rPr>
          <w:b/>
          <w:bCs/>
        </w:rPr>
        <w:t xml:space="preserve">letu 2018, </w:t>
      </w:r>
      <w:r w:rsidR="005B2378">
        <w:rPr>
          <w:b/>
          <w:bCs/>
        </w:rPr>
        <w:t>ki je leto</w:t>
      </w:r>
      <w:r w:rsidR="00F848C1">
        <w:rPr>
          <w:b/>
          <w:bCs/>
        </w:rPr>
        <w:t xml:space="preserve"> z zadnjimi razp</w:t>
      </w:r>
      <w:r w:rsidR="00D80107">
        <w:rPr>
          <w:b/>
          <w:bCs/>
        </w:rPr>
        <w:t>o</w:t>
      </w:r>
      <w:r w:rsidR="00F848C1">
        <w:rPr>
          <w:b/>
          <w:bCs/>
        </w:rPr>
        <w:t xml:space="preserve">ložljivimi podatki, so bili glede na leto 1990 nižji za </w:t>
      </w:r>
      <w:r w:rsidR="00F848C1" w:rsidRPr="00DF39AE">
        <w:rPr>
          <w:b/>
          <w:bCs/>
        </w:rPr>
        <w:t xml:space="preserve">6 %, </w:t>
      </w:r>
      <w:r w:rsidR="00F848C1">
        <w:rPr>
          <w:b/>
          <w:bCs/>
        </w:rPr>
        <w:t xml:space="preserve">kar je precej manj kot v </w:t>
      </w:r>
      <w:r w:rsidR="00F848C1" w:rsidRPr="00DF39AE">
        <w:rPr>
          <w:b/>
          <w:bCs/>
        </w:rPr>
        <w:t>povprečju EU</w:t>
      </w:r>
      <w:r w:rsidR="00062FF7">
        <w:rPr>
          <w:b/>
          <w:bCs/>
        </w:rPr>
        <w:t>-</w:t>
      </w:r>
      <w:r w:rsidR="00F848C1" w:rsidRPr="00DF39AE">
        <w:rPr>
          <w:b/>
          <w:bCs/>
        </w:rPr>
        <w:t>28.</w:t>
      </w:r>
      <w:r w:rsidR="00F848C1">
        <w:rPr>
          <w:b/>
          <w:bCs/>
        </w:rPr>
        <w:t xml:space="preserve"> </w:t>
      </w:r>
      <w:r w:rsidR="0015448C">
        <w:rPr>
          <w:b/>
          <w:bCs/>
        </w:rPr>
        <w:t xml:space="preserve">V strukturi izstopajo razmeroma veliki </w:t>
      </w:r>
      <w:r w:rsidR="0031686D">
        <w:rPr>
          <w:b/>
          <w:bCs/>
        </w:rPr>
        <w:t xml:space="preserve">in naraščajoči </w:t>
      </w:r>
      <w:r w:rsidR="0015448C">
        <w:rPr>
          <w:b/>
          <w:bCs/>
        </w:rPr>
        <w:t xml:space="preserve">izpusti iz prometa; v EU je </w:t>
      </w:r>
      <w:r w:rsidR="0086661E">
        <w:rPr>
          <w:b/>
          <w:bCs/>
        </w:rPr>
        <w:t>ta</w:t>
      </w:r>
      <w:r w:rsidR="0015448C">
        <w:rPr>
          <w:b/>
          <w:bCs/>
        </w:rPr>
        <w:t xml:space="preserve"> delež višji le v eni članici. </w:t>
      </w:r>
      <w:r w:rsidR="00903395">
        <w:rPr>
          <w:b/>
          <w:bCs/>
        </w:rPr>
        <w:t>V ob</w:t>
      </w:r>
      <w:r w:rsidR="0015448C">
        <w:rPr>
          <w:b/>
          <w:bCs/>
        </w:rPr>
        <w:t>d</w:t>
      </w:r>
      <w:r w:rsidR="00903395">
        <w:rPr>
          <w:b/>
          <w:bCs/>
        </w:rPr>
        <w:t>obju 2005</w:t>
      </w:r>
      <w:r w:rsidR="0086661E">
        <w:rPr>
          <w:b/>
          <w:bCs/>
        </w:rPr>
        <w:t>–</w:t>
      </w:r>
      <w:r w:rsidR="00903395">
        <w:rPr>
          <w:b/>
          <w:bCs/>
        </w:rPr>
        <w:t xml:space="preserve">2018, </w:t>
      </w:r>
      <w:r w:rsidR="0015448C">
        <w:rPr>
          <w:b/>
          <w:bCs/>
        </w:rPr>
        <w:t xml:space="preserve">to je </w:t>
      </w:r>
      <w:r w:rsidR="00903395">
        <w:rPr>
          <w:b/>
          <w:bCs/>
        </w:rPr>
        <w:t>po</w:t>
      </w:r>
      <w:r w:rsidR="0086661E">
        <w:rPr>
          <w:b/>
          <w:bCs/>
        </w:rPr>
        <w:t xml:space="preserve"> začetku delovanja </w:t>
      </w:r>
      <w:r w:rsidR="00903395">
        <w:rPr>
          <w:b/>
          <w:bCs/>
        </w:rPr>
        <w:t xml:space="preserve">sistema </w:t>
      </w:r>
      <w:r w:rsidR="00B56F70">
        <w:rPr>
          <w:b/>
          <w:bCs/>
        </w:rPr>
        <w:t xml:space="preserve">EU </w:t>
      </w:r>
      <w:r w:rsidR="00903395">
        <w:rPr>
          <w:b/>
          <w:bCs/>
        </w:rPr>
        <w:t>za trgovanje</w:t>
      </w:r>
      <w:r w:rsidR="006E59B9">
        <w:rPr>
          <w:b/>
          <w:bCs/>
        </w:rPr>
        <w:t xml:space="preserve">, so se </w:t>
      </w:r>
      <w:r w:rsidR="0015448C">
        <w:rPr>
          <w:b/>
          <w:bCs/>
        </w:rPr>
        <w:t xml:space="preserve">izpusti </w:t>
      </w:r>
      <w:r w:rsidR="00903395">
        <w:rPr>
          <w:b/>
          <w:bCs/>
        </w:rPr>
        <w:t>v sektorju</w:t>
      </w:r>
      <w:r w:rsidR="00B56F70">
        <w:rPr>
          <w:b/>
          <w:bCs/>
        </w:rPr>
        <w:t>, ki je vključen v ta sistem (ETS sektor),</w:t>
      </w:r>
      <w:r w:rsidR="00903395">
        <w:rPr>
          <w:b/>
          <w:bCs/>
        </w:rPr>
        <w:t xml:space="preserve"> z</w:t>
      </w:r>
      <w:r w:rsidR="005B2378">
        <w:rPr>
          <w:b/>
          <w:bCs/>
        </w:rPr>
        <w:t>manjšali</w:t>
      </w:r>
      <w:r w:rsidR="00903395">
        <w:rPr>
          <w:b/>
          <w:bCs/>
        </w:rPr>
        <w:t xml:space="preserve"> za okoli četrtino (v po</w:t>
      </w:r>
      <w:r w:rsidR="005B2378">
        <w:rPr>
          <w:b/>
          <w:bCs/>
        </w:rPr>
        <w:t>v</w:t>
      </w:r>
      <w:r w:rsidR="00903395">
        <w:rPr>
          <w:b/>
          <w:bCs/>
        </w:rPr>
        <w:t>prečju EU za okoli 30 %), v ne</w:t>
      </w:r>
      <w:r w:rsidR="00D80107">
        <w:rPr>
          <w:b/>
          <w:bCs/>
        </w:rPr>
        <w:t>–</w:t>
      </w:r>
      <w:r w:rsidR="00903395">
        <w:rPr>
          <w:b/>
          <w:bCs/>
        </w:rPr>
        <w:t>ETS pa za okoli 6 % (v povprečju EU za okoli 11 %)</w:t>
      </w:r>
      <w:r w:rsidR="0086661E">
        <w:rPr>
          <w:b/>
          <w:bCs/>
        </w:rPr>
        <w:t>. Razmeroma nizko zastavljen cilj do leta 2020</w:t>
      </w:r>
      <w:r w:rsidR="00CB2F8F">
        <w:rPr>
          <w:b/>
          <w:bCs/>
        </w:rPr>
        <w:t xml:space="preserve"> pa</w:t>
      </w:r>
      <w:r w:rsidR="0086661E">
        <w:rPr>
          <w:b/>
          <w:bCs/>
        </w:rPr>
        <w:t xml:space="preserve"> je bil s tem </w:t>
      </w:r>
      <w:r w:rsidR="000757BB">
        <w:rPr>
          <w:b/>
          <w:bCs/>
        </w:rPr>
        <w:t>ob nižji gospodarski aktivnosti od pričakovane</w:t>
      </w:r>
      <w:r w:rsidR="00062FF7">
        <w:rPr>
          <w:b/>
          <w:bCs/>
        </w:rPr>
        <w:t>,</w:t>
      </w:r>
      <w:r w:rsidR="000757BB">
        <w:rPr>
          <w:b/>
          <w:bCs/>
        </w:rPr>
        <w:t xml:space="preserve"> </w:t>
      </w:r>
      <w:r w:rsidR="0086661E">
        <w:rPr>
          <w:b/>
          <w:bCs/>
        </w:rPr>
        <w:t xml:space="preserve">že presežen. </w:t>
      </w:r>
      <w:r w:rsidR="000757BB">
        <w:rPr>
          <w:b/>
          <w:bCs/>
        </w:rPr>
        <w:t>Doseganje ambic</w:t>
      </w:r>
      <w:r w:rsidR="006E59B9">
        <w:rPr>
          <w:b/>
          <w:bCs/>
        </w:rPr>
        <w:t>i</w:t>
      </w:r>
      <w:r w:rsidR="000757BB">
        <w:rPr>
          <w:b/>
          <w:bCs/>
        </w:rPr>
        <w:t xml:space="preserve">oznejših ciljev </w:t>
      </w:r>
      <w:r w:rsidR="0015448C">
        <w:rPr>
          <w:b/>
          <w:bCs/>
        </w:rPr>
        <w:t xml:space="preserve"> </w:t>
      </w:r>
      <w:proofErr w:type="spellStart"/>
      <w:r w:rsidR="006E59B9">
        <w:rPr>
          <w:b/>
          <w:bCs/>
        </w:rPr>
        <w:t>nadaljnega</w:t>
      </w:r>
      <w:proofErr w:type="spellEnd"/>
      <w:r w:rsidR="006E59B9">
        <w:rPr>
          <w:b/>
          <w:bCs/>
        </w:rPr>
        <w:t xml:space="preserve"> </w:t>
      </w:r>
      <w:r w:rsidR="00737A98">
        <w:rPr>
          <w:b/>
          <w:bCs/>
        </w:rPr>
        <w:t>hitrejše</w:t>
      </w:r>
      <w:r w:rsidR="000757BB">
        <w:rPr>
          <w:b/>
          <w:bCs/>
        </w:rPr>
        <w:t>ga</w:t>
      </w:r>
      <w:r w:rsidR="0015448C">
        <w:rPr>
          <w:b/>
          <w:bCs/>
        </w:rPr>
        <w:t xml:space="preserve"> nižanj</w:t>
      </w:r>
      <w:r w:rsidR="000757BB">
        <w:rPr>
          <w:b/>
          <w:bCs/>
        </w:rPr>
        <w:t>a</w:t>
      </w:r>
      <w:r w:rsidR="0015448C">
        <w:rPr>
          <w:b/>
          <w:bCs/>
        </w:rPr>
        <w:t xml:space="preserve"> neto izpustov bo</w:t>
      </w:r>
      <w:r w:rsidR="000757BB">
        <w:rPr>
          <w:b/>
          <w:bCs/>
        </w:rPr>
        <w:t xml:space="preserve"> težje dosegljivo, </w:t>
      </w:r>
      <w:r w:rsidR="00A44D90">
        <w:rPr>
          <w:b/>
          <w:bCs/>
        </w:rPr>
        <w:t xml:space="preserve">tudi </w:t>
      </w:r>
      <w:r w:rsidR="006E59B9">
        <w:rPr>
          <w:b/>
          <w:bCs/>
        </w:rPr>
        <w:t xml:space="preserve">zaradi </w:t>
      </w:r>
      <w:r w:rsidR="0015448C">
        <w:rPr>
          <w:b/>
          <w:bCs/>
        </w:rPr>
        <w:t xml:space="preserve">v zadnjih letih občutno </w:t>
      </w:r>
      <w:r w:rsidR="005B2378">
        <w:rPr>
          <w:b/>
          <w:bCs/>
        </w:rPr>
        <w:t>manjši</w:t>
      </w:r>
      <w:r w:rsidR="000757BB">
        <w:rPr>
          <w:b/>
          <w:bCs/>
        </w:rPr>
        <w:t>h</w:t>
      </w:r>
      <w:r w:rsidR="0015448C">
        <w:rPr>
          <w:b/>
          <w:bCs/>
        </w:rPr>
        <w:t xml:space="preserve"> p</w:t>
      </w:r>
      <w:r w:rsidR="003406F7">
        <w:rPr>
          <w:b/>
          <w:bCs/>
        </w:rPr>
        <w:t>onor</w:t>
      </w:r>
      <w:r w:rsidR="000757BB">
        <w:rPr>
          <w:b/>
          <w:bCs/>
        </w:rPr>
        <w:t>ov</w:t>
      </w:r>
      <w:r w:rsidR="003406F7">
        <w:rPr>
          <w:b/>
          <w:bCs/>
        </w:rPr>
        <w:t xml:space="preserve"> v gozdovih</w:t>
      </w:r>
      <w:r w:rsidR="0015448C">
        <w:rPr>
          <w:b/>
          <w:bCs/>
        </w:rPr>
        <w:t>.</w:t>
      </w:r>
      <w:r w:rsidR="003406F7">
        <w:rPr>
          <w:b/>
          <w:bCs/>
        </w:rPr>
        <w:t xml:space="preserve"> Emisijska produktivnost </w:t>
      </w:r>
      <w:r w:rsidR="0015448C">
        <w:rPr>
          <w:b/>
          <w:bCs/>
        </w:rPr>
        <w:t>se</w:t>
      </w:r>
      <w:r w:rsidR="003406F7">
        <w:rPr>
          <w:b/>
          <w:bCs/>
        </w:rPr>
        <w:t xml:space="preserve"> </w:t>
      </w:r>
      <w:r w:rsidR="005B2378">
        <w:rPr>
          <w:b/>
          <w:bCs/>
        </w:rPr>
        <w:t xml:space="preserve">je </w:t>
      </w:r>
      <w:r w:rsidR="003406F7">
        <w:rPr>
          <w:b/>
          <w:bCs/>
        </w:rPr>
        <w:t>ob hitrejšem povečevanju BDP</w:t>
      </w:r>
      <w:r w:rsidR="00062FF7">
        <w:rPr>
          <w:b/>
          <w:bCs/>
        </w:rPr>
        <w:t>-ja</w:t>
      </w:r>
      <w:r w:rsidR="003406F7">
        <w:rPr>
          <w:b/>
          <w:bCs/>
        </w:rPr>
        <w:t xml:space="preserve"> kot izpustov </w:t>
      </w:r>
      <w:r w:rsidR="0015448C">
        <w:rPr>
          <w:b/>
          <w:bCs/>
        </w:rPr>
        <w:t xml:space="preserve">dolgoročno </w:t>
      </w:r>
      <w:r w:rsidR="003406F7">
        <w:rPr>
          <w:b/>
          <w:bCs/>
        </w:rPr>
        <w:t>zviš</w:t>
      </w:r>
      <w:r w:rsidR="005B2378">
        <w:rPr>
          <w:b/>
          <w:bCs/>
        </w:rPr>
        <w:t>evala</w:t>
      </w:r>
      <w:r w:rsidR="003406F7">
        <w:rPr>
          <w:b/>
          <w:bCs/>
        </w:rPr>
        <w:t xml:space="preserve">, </w:t>
      </w:r>
      <w:r w:rsidR="00836568">
        <w:rPr>
          <w:b/>
          <w:bCs/>
        </w:rPr>
        <w:t xml:space="preserve">a je </w:t>
      </w:r>
      <w:r w:rsidR="005B2378">
        <w:rPr>
          <w:b/>
          <w:bCs/>
        </w:rPr>
        <w:t xml:space="preserve">bila </w:t>
      </w:r>
      <w:r w:rsidR="00836568">
        <w:rPr>
          <w:b/>
          <w:bCs/>
        </w:rPr>
        <w:t>nižja</w:t>
      </w:r>
      <w:r w:rsidR="00D371A3">
        <w:rPr>
          <w:b/>
          <w:bCs/>
        </w:rPr>
        <w:t xml:space="preserve"> kot </w:t>
      </w:r>
      <w:r w:rsidR="00836568">
        <w:rPr>
          <w:b/>
          <w:bCs/>
        </w:rPr>
        <w:t xml:space="preserve">v povprečju EU. </w:t>
      </w:r>
      <w:r w:rsidR="0086661E">
        <w:rPr>
          <w:b/>
          <w:bCs/>
        </w:rPr>
        <w:t>Prv</w:t>
      </w:r>
      <w:r w:rsidR="00A44D90">
        <w:rPr>
          <w:b/>
          <w:bCs/>
        </w:rPr>
        <w:t>e</w:t>
      </w:r>
      <w:r w:rsidR="0086661E">
        <w:rPr>
          <w:b/>
          <w:bCs/>
        </w:rPr>
        <w:t xml:space="preserve"> preliminarn</w:t>
      </w:r>
      <w:r w:rsidR="00D371A3">
        <w:rPr>
          <w:b/>
          <w:bCs/>
        </w:rPr>
        <w:t>e ocene</w:t>
      </w:r>
      <w:r w:rsidR="00CB2F8F">
        <w:rPr>
          <w:b/>
          <w:bCs/>
        </w:rPr>
        <w:t xml:space="preserve"> </w:t>
      </w:r>
      <w:r w:rsidR="0086661E">
        <w:rPr>
          <w:b/>
          <w:bCs/>
        </w:rPr>
        <w:t>kažejo na nižje izpuste tudi v let</w:t>
      </w:r>
      <w:r w:rsidR="005B2378">
        <w:rPr>
          <w:b/>
          <w:bCs/>
        </w:rPr>
        <w:t xml:space="preserve">ih </w:t>
      </w:r>
      <w:r w:rsidR="0086661E">
        <w:rPr>
          <w:b/>
          <w:bCs/>
        </w:rPr>
        <w:t>2019</w:t>
      </w:r>
      <w:r w:rsidR="005B2378">
        <w:rPr>
          <w:b/>
          <w:bCs/>
        </w:rPr>
        <w:t xml:space="preserve"> in </w:t>
      </w:r>
      <w:r w:rsidR="00D371A3">
        <w:rPr>
          <w:b/>
          <w:bCs/>
        </w:rPr>
        <w:t xml:space="preserve">predvsem v </w:t>
      </w:r>
      <w:r w:rsidR="005B2378">
        <w:rPr>
          <w:b/>
          <w:bCs/>
        </w:rPr>
        <w:t xml:space="preserve">2020, ki je leto epidemije </w:t>
      </w:r>
      <w:proofErr w:type="spellStart"/>
      <w:r w:rsidR="005B2378">
        <w:rPr>
          <w:b/>
          <w:bCs/>
        </w:rPr>
        <w:t>covid</w:t>
      </w:r>
      <w:proofErr w:type="spellEnd"/>
      <w:r w:rsidR="005B2378">
        <w:rPr>
          <w:b/>
          <w:bCs/>
        </w:rPr>
        <w:t xml:space="preserve">–19 in s tem povezane nižje gospodarske aktivnosti. </w:t>
      </w:r>
    </w:p>
    <w:p w14:paraId="0F4ECD5A" w14:textId="5E7106EF" w:rsidR="0015448C" w:rsidRDefault="0015448C" w:rsidP="003F33CD">
      <w:pPr>
        <w:pStyle w:val="BesediloUMAR"/>
        <w:rPr>
          <w:b/>
          <w:bCs/>
        </w:rPr>
      </w:pPr>
    </w:p>
    <w:p w14:paraId="3123D6A4" w14:textId="77777777" w:rsidR="00A1426A" w:rsidRDefault="00A1426A" w:rsidP="003F33CD">
      <w:pPr>
        <w:pStyle w:val="BesediloUMAR"/>
        <w:rPr>
          <w:b/>
          <w:bCs/>
        </w:rPr>
      </w:pPr>
    </w:p>
    <w:p w14:paraId="6A4C68D3" w14:textId="105E472A" w:rsidR="00836568" w:rsidRDefault="00836568" w:rsidP="003F33CD">
      <w:pPr>
        <w:pStyle w:val="BesediloUMAR"/>
        <w:rPr>
          <w:b/>
          <w:bCs/>
        </w:rPr>
      </w:pPr>
    </w:p>
    <w:p w14:paraId="44F7DD61" w14:textId="77777777" w:rsidR="002C20B1" w:rsidRDefault="002C20B1" w:rsidP="002C20B1">
      <w:pPr>
        <w:pStyle w:val="BesediloUMAR"/>
      </w:pPr>
    </w:p>
    <w:p w14:paraId="04C60C96" w14:textId="1091CD9A" w:rsidR="00D54FEE" w:rsidRDefault="00D54FEE">
      <w:pPr>
        <w:spacing w:after="0" w:line="240" w:lineRule="auto"/>
        <w:rPr>
          <w:rFonts w:ascii="Myriad Pro" w:hAnsi="Myriad Pro"/>
          <w:sz w:val="20"/>
        </w:rPr>
      </w:pPr>
      <w:r>
        <w:br w:type="page"/>
      </w:r>
    </w:p>
    <w:bookmarkEnd w:id="0"/>
    <w:bookmarkEnd w:id="1"/>
    <w:bookmarkEnd w:id="2"/>
    <w:p w14:paraId="13CB3885" w14:textId="7A5B0059" w:rsidR="00F839C5" w:rsidRPr="00F839C5" w:rsidRDefault="00F03E2E" w:rsidP="009515F5">
      <w:pPr>
        <w:pStyle w:val="Heading1"/>
      </w:pPr>
      <w:r>
        <w:lastRenderedPageBreak/>
        <w:t xml:space="preserve">Prizadevanja in cilji </w:t>
      </w:r>
      <w:r w:rsidR="00540094" w:rsidRPr="007901E7">
        <w:t>z</w:t>
      </w:r>
      <w:r>
        <w:t>a z</w:t>
      </w:r>
      <w:r w:rsidR="00540094" w:rsidRPr="007901E7">
        <w:t>manjš</w:t>
      </w:r>
      <w:r w:rsidR="00FB7665">
        <w:t>anj</w:t>
      </w:r>
      <w:r>
        <w:t>e</w:t>
      </w:r>
      <w:r w:rsidR="00FB7665">
        <w:t xml:space="preserve"> </w:t>
      </w:r>
      <w:r w:rsidR="00540094" w:rsidRPr="007901E7">
        <w:t>izpustov</w:t>
      </w:r>
      <w:bookmarkStart w:id="3" w:name="_Hlk56793564"/>
    </w:p>
    <w:p w14:paraId="50CE1D93" w14:textId="1D2403D4" w:rsidR="009515F5" w:rsidRPr="007901E7" w:rsidRDefault="00585A9B" w:rsidP="009515F5">
      <w:pPr>
        <w:pStyle w:val="BesediloUMAR"/>
      </w:pPr>
      <w:r>
        <w:rPr>
          <w:b/>
        </w:rPr>
        <w:t>T</w:t>
      </w:r>
      <w:r w:rsidR="009515F5" w:rsidRPr="007901E7">
        <w:rPr>
          <w:b/>
        </w:rPr>
        <w:t>oplogredni plini (TGP</w:t>
      </w:r>
      <w:r w:rsidR="00506FFF">
        <w:rPr>
          <w:b/>
        </w:rPr>
        <w:t xml:space="preserve">, ang. GHG; </w:t>
      </w:r>
      <w:proofErr w:type="spellStart"/>
      <w:r w:rsidR="00506FFF">
        <w:rPr>
          <w:b/>
        </w:rPr>
        <w:t>G</w:t>
      </w:r>
      <w:r w:rsidR="00506FFF" w:rsidRPr="00506FFF">
        <w:rPr>
          <w:b/>
        </w:rPr>
        <w:t>reen</w:t>
      </w:r>
      <w:r w:rsidR="00506FFF">
        <w:rPr>
          <w:b/>
        </w:rPr>
        <w:t>H</w:t>
      </w:r>
      <w:r w:rsidR="00506FFF" w:rsidRPr="00506FFF">
        <w:rPr>
          <w:b/>
        </w:rPr>
        <w:t>ouse</w:t>
      </w:r>
      <w:proofErr w:type="spellEnd"/>
      <w:r w:rsidR="00506FFF" w:rsidRPr="00506FFF">
        <w:rPr>
          <w:b/>
        </w:rPr>
        <w:t xml:space="preserve"> </w:t>
      </w:r>
      <w:proofErr w:type="spellStart"/>
      <w:r w:rsidR="00506FFF">
        <w:rPr>
          <w:b/>
        </w:rPr>
        <w:t>G</w:t>
      </w:r>
      <w:r w:rsidR="00506FFF" w:rsidRPr="00506FFF">
        <w:rPr>
          <w:b/>
        </w:rPr>
        <w:t>ases</w:t>
      </w:r>
      <w:proofErr w:type="spellEnd"/>
      <w:r w:rsidR="009515F5" w:rsidRPr="007901E7">
        <w:rPr>
          <w:b/>
        </w:rPr>
        <w:t xml:space="preserve">) </w:t>
      </w:r>
      <w:r>
        <w:rPr>
          <w:b/>
        </w:rPr>
        <w:t xml:space="preserve">so </w:t>
      </w:r>
      <w:r w:rsidR="009515F5" w:rsidRPr="007901E7">
        <w:rPr>
          <w:b/>
        </w:rPr>
        <w:t>razpoznani kot glavni povzročitelj globalnega segrevanja in s tem  podnebnih sprememb,</w:t>
      </w:r>
      <w:r>
        <w:rPr>
          <w:b/>
        </w:rPr>
        <w:t xml:space="preserve"> zato</w:t>
      </w:r>
      <w:r w:rsidR="009515F5" w:rsidRPr="007901E7">
        <w:rPr>
          <w:b/>
        </w:rPr>
        <w:t xml:space="preserve"> je spremljanje </w:t>
      </w:r>
      <w:r w:rsidR="005508DE">
        <w:rPr>
          <w:b/>
        </w:rPr>
        <w:t xml:space="preserve">obsega </w:t>
      </w:r>
      <w:r w:rsidR="009E2D53">
        <w:rPr>
          <w:b/>
        </w:rPr>
        <w:t xml:space="preserve">njihovih </w:t>
      </w:r>
      <w:r w:rsidR="009515F5" w:rsidRPr="007901E7">
        <w:rPr>
          <w:b/>
        </w:rPr>
        <w:t xml:space="preserve">izpustov osnovni kazalnik uspešnosti podnebne politike. </w:t>
      </w:r>
      <w:r w:rsidR="00496EFC" w:rsidRPr="00496EFC">
        <w:t xml:space="preserve">Decembra 2015 je </w:t>
      </w:r>
      <w:r w:rsidR="003260A4">
        <w:t xml:space="preserve">okoli </w:t>
      </w:r>
      <w:r w:rsidR="00496EFC" w:rsidRPr="00496EFC">
        <w:t>190 držav na podnebni konferenci v Parizu sklenilo zavezo za prizadevanja, da globalna rast temperature ne bo presegla 1,5 </w:t>
      </w:r>
      <w:proofErr w:type="spellStart"/>
      <w:r w:rsidR="00496EFC" w:rsidRPr="00496EFC">
        <w:rPr>
          <w:vertAlign w:val="superscript"/>
        </w:rPr>
        <w:t>o</w:t>
      </w:r>
      <w:r w:rsidR="00496EFC" w:rsidRPr="00496EFC">
        <w:t>C</w:t>
      </w:r>
      <w:proofErr w:type="spellEnd"/>
      <w:r w:rsidR="00496EFC" w:rsidRPr="00496EFC">
        <w:t xml:space="preserve"> glede na predindustrijsko obdobje.</w:t>
      </w:r>
      <w:r w:rsidR="00496EFC">
        <w:t xml:space="preserve"> </w:t>
      </w:r>
      <w:r w:rsidR="009515F5" w:rsidRPr="007901E7">
        <w:t xml:space="preserve">TGP nastajajo zaradi naravnih procesov in antropogenih dejavnikov, a ker slednji vse bolj ogrožajo stabilnost podnebnega sistema, je </w:t>
      </w:r>
      <w:r w:rsidR="00E84977">
        <w:t xml:space="preserve">nujna </w:t>
      </w:r>
      <w:r w:rsidR="009515F5" w:rsidRPr="007901E7">
        <w:t xml:space="preserve">njihova </w:t>
      </w:r>
      <w:r w:rsidR="005508DE">
        <w:t xml:space="preserve">korenita </w:t>
      </w:r>
      <w:r w:rsidR="009515F5" w:rsidRPr="007901E7">
        <w:t xml:space="preserve">omejitev. </w:t>
      </w:r>
      <w:r w:rsidR="00061E44" w:rsidRPr="007901E7">
        <w:t>Zdržno raven</w:t>
      </w:r>
      <w:r w:rsidR="009515F5" w:rsidRPr="007901E7">
        <w:t xml:space="preserve"> naj bi dosegli v časovnem obdobju, v katerem bo še možen trajnostni gospodarski razvoj, nemotena pridelava hrane in naravna prilagoditev ekosistemov na podnebne spremembe.</w:t>
      </w:r>
      <w:r w:rsidR="009515F5" w:rsidRPr="007901E7">
        <w:rPr>
          <w:vertAlign w:val="superscript"/>
        </w:rPr>
        <w:footnoteReference w:id="2"/>
      </w:r>
      <w:r w:rsidR="009515F5" w:rsidRPr="007901E7">
        <w:t xml:space="preserve"> </w:t>
      </w:r>
    </w:p>
    <w:p w14:paraId="0E516C6B" w14:textId="77777777" w:rsidR="009515F5" w:rsidRPr="007901E7" w:rsidRDefault="009515F5" w:rsidP="009515F5">
      <w:pPr>
        <w:pStyle w:val="BesediloUMAR"/>
      </w:pPr>
    </w:p>
    <w:p w14:paraId="64B8FA71" w14:textId="4285BE57" w:rsidR="009515F5" w:rsidRPr="007901E7" w:rsidRDefault="00E84977" w:rsidP="00B50C66">
      <w:pPr>
        <w:pStyle w:val="BesediloUMAR"/>
      </w:pPr>
      <w:r>
        <w:rPr>
          <w:b/>
        </w:rPr>
        <w:t>V</w:t>
      </w:r>
      <w:r w:rsidR="009515F5" w:rsidRPr="007901E7">
        <w:rPr>
          <w:b/>
        </w:rPr>
        <w:t xml:space="preserve"> spodbudo stroškovno in ekonomsko učinkovitemu zmanjševanju izpustov </w:t>
      </w:r>
      <w:r>
        <w:rPr>
          <w:b/>
        </w:rPr>
        <w:t xml:space="preserve">je EU </w:t>
      </w:r>
      <w:r w:rsidR="009515F5" w:rsidRPr="007901E7">
        <w:rPr>
          <w:b/>
        </w:rPr>
        <w:t>vzpostavila sistem za trgovanje</w:t>
      </w:r>
      <w:r w:rsidR="00705372">
        <w:rPr>
          <w:b/>
        </w:rPr>
        <w:t xml:space="preserve"> z izpusti</w:t>
      </w:r>
      <w:r w:rsidR="009515F5" w:rsidRPr="007901E7">
        <w:rPr>
          <w:b/>
        </w:rPr>
        <w:t xml:space="preserve"> (ETS; ang. </w:t>
      </w:r>
      <w:proofErr w:type="spellStart"/>
      <w:r w:rsidR="00705372">
        <w:rPr>
          <w:b/>
        </w:rPr>
        <w:t>Emissions</w:t>
      </w:r>
      <w:proofErr w:type="spellEnd"/>
      <w:r w:rsidR="00705372" w:rsidRPr="007901E7">
        <w:rPr>
          <w:b/>
        </w:rPr>
        <w:t xml:space="preserve"> </w:t>
      </w:r>
      <w:proofErr w:type="spellStart"/>
      <w:r w:rsidR="009515F5" w:rsidRPr="007901E7">
        <w:rPr>
          <w:b/>
        </w:rPr>
        <w:t>Trad</w:t>
      </w:r>
      <w:r w:rsidR="00705372">
        <w:rPr>
          <w:b/>
        </w:rPr>
        <w:t>ing</w:t>
      </w:r>
      <w:proofErr w:type="spellEnd"/>
      <w:r w:rsidR="009515F5" w:rsidRPr="007901E7">
        <w:rPr>
          <w:b/>
        </w:rPr>
        <w:t xml:space="preserve"> </w:t>
      </w:r>
      <w:proofErr w:type="spellStart"/>
      <w:r w:rsidR="009515F5" w:rsidRPr="007901E7">
        <w:rPr>
          <w:b/>
        </w:rPr>
        <w:t>S</w:t>
      </w:r>
      <w:r w:rsidR="00705372">
        <w:rPr>
          <w:b/>
        </w:rPr>
        <w:t>y</w:t>
      </w:r>
      <w:r w:rsidR="009515F5" w:rsidRPr="007901E7">
        <w:rPr>
          <w:b/>
        </w:rPr>
        <w:t>stem</w:t>
      </w:r>
      <w:proofErr w:type="spellEnd"/>
      <w:r w:rsidR="009515F5" w:rsidRPr="007901E7">
        <w:rPr>
          <w:b/>
        </w:rPr>
        <w:t>).</w:t>
      </w:r>
      <w:r w:rsidR="009B56ED">
        <w:rPr>
          <w:bCs/>
        </w:rPr>
        <w:t xml:space="preserve"> V </w:t>
      </w:r>
      <w:r w:rsidR="005508DE">
        <w:rPr>
          <w:bCs/>
        </w:rPr>
        <w:t>ta sistem</w:t>
      </w:r>
      <w:r w:rsidR="00B50C66">
        <w:rPr>
          <w:bCs/>
        </w:rPr>
        <w:t xml:space="preserve">, ki je začel delovati leta 2005, </w:t>
      </w:r>
      <w:r w:rsidR="009515F5" w:rsidRPr="007901E7">
        <w:rPr>
          <w:bCs/>
        </w:rPr>
        <w:t xml:space="preserve">so </w:t>
      </w:r>
      <w:r w:rsidR="009515F5" w:rsidRPr="007901E7">
        <w:t>vključeni vsi večji proizvajalci električne energije in toplote ter vsa energetsko potratna industrija ter letalstvo.</w:t>
      </w:r>
      <w:r w:rsidR="009515F5" w:rsidRPr="007901E7">
        <w:rPr>
          <w:vertAlign w:val="superscript"/>
        </w:rPr>
        <w:footnoteReference w:id="3"/>
      </w:r>
      <w:r w:rsidR="009515F5" w:rsidRPr="007901E7">
        <w:t xml:space="preserve"> Raven izpustov iz tega vira je določena oz. omejena s tem, da podjetja brezplačno prejmejo dogovorjeno količino individualnih pravic do izpustov, to je </w:t>
      </w:r>
      <w:proofErr w:type="spellStart"/>
      <w:r w:rsidR="009515F5" w:rsidRPr="007901E7">
        <w:t>ogljičnih</w:t>
      </w:r>
      <w:proofErr w:type="spellEnd"/>
      <w:r w:rsidR="009515F5" w:rsidRPr="007901E7">
        <w:t xml:space="preserve"> kuponov. </w:t>
      </w:r>
      <w:r w:rsidR="00B50C66" w:rsidRPr="00B50C66">
        <w:rPr>
          <w:bCs/>
        </w:rPr>
        <w:t xml:space="preserve">Količina brezplačnih kuponov je podeljena na osnovi enotnih, </w:t>
      </w:r>
      <w:proofErr w:type="spellStart"/>
      <w:r w:rsidR="00B50C66" w:rsidRPr="00B50C66">
        <w:rPr>
          <w:bCs/>
        </w:rPr>
        <w:t>harmoniziranih</w:t>
      </w:r>
      <w:proofErr w:type="spellEnd"/>
      <w:r w:rsidR="00B50C66" w:rsidRPr="00B50C66">
        <w:rPr>
          <w:bCs/>
        </w:rPr>
        <w:t xml:space="preserve"> pravil na ravni EU.</w:t>
      </w:r>
      <w:r w:rsidR="00B50C66">
        <w:rPr>
          <w:b/>
        </w:rPr>
        <w:t xml:space="preserve"> </w:t>
      </w:r>
      <w:r w:rsidR="009515F5" w:rsidRPr="007901E7">
        <w:t>Dovoljeno je trgovanje z njimi</w:t>
      </w:r>
      <w:r w:rsidR="009B56ED">
        <w:t xml:space="preserve">, to je dokupovanje in prodaja. </w:t>
      </w:r>
      <w:r w:rsidR="009515F5" w:rsidRPr="007901E7">
        <w:t>Število razpoložljivih kuponov se z leti zmanjšuje, njihova vrednost pa zvišuje</w:t>
      </w:r>
      <w:r w:rsidR="00061E44" w:rsidRPr="007901E7">
        <w:t>.</w:t>
      </w:r>
      <w:r w:rsidR="009515F5" w:rsidRPr="007901E7">
        <w:rPr>
          <w:vertAlign w:val="superscript"/>
        </w:rPr>
        <w:footnoteReference w:id="4"/>
      </w:r>
      <w:r w:rsidR="009515F5" w:rsidRPr="007901E7">
        <w:t xml:space="preserve"> S pripisovanjem denarne vrednosti ogljiku so družbe spodbujene, da poiščejo stroškovno najučinkovitejše rešitve za zmanjšanje izpustov in vlagajo v čiste </w:t>
      </w:r>
      <w:proofErr w:type="spellStart"/>
      <w:r w:rsidR="009515F5" w:rsidRPr="007901E7">
        <w:t>nizkoogljične</w:t>
      </w:r>
      <w:proofErr w:type="spellEnd"/>
      <w:r w:rsidR="009515F5" w:rsidRPr="007901E7">
        <w:t xml:space="preserve"> tehnologije. </w:t>
      </w:r>
    </w:p>
    <w:p w14:paraId="4B4DA78D" w14:textId="77777777" w:rsidR="00D54FEE" w:rsidRDefault="00D54FEE" w:rsidP="009515F5">
      <w:pPr>
        <w:pStyle w:val="BesediloUMAR"/>
        <w:rPr>
          <w:b/>
          <w:bCs/>
        </w:rPr>
      </w:pPr>
    </w:p>
    <w:p w14:paraId="1183D4B2" w14:textId="1FE3D66A" w:rsidR="009515F5" w:rsidRDefault="009515F5" w:rsidP="009515F5">
      <w:pPr>
        <w:pStyle w:val="BesediloUMAR"/>
      </w:pPr>
      <w:r w:rsidRPr="007901E7">
        <w:rPr>
          <w:b/>
          <w:bCs/>
        </w:rPr>
        <w:t>Izpusti iz sektorjev, ki niso vključeni v sistem za trgovanje (ne-ETS oz</w:t>
      </w:r>
      <w:r w:rsidR="00E56829">
        <w:rPr>
          <w:b/>
          <w:bCs/>
        </w:rPr>
        <w:t>iroma</w:t>
      </w:r>
      <w:r w:rsidRPr="007901E7">
        <w:rPr>
          <w:b/>
          <w:bCs/>
        </w:rPr>
        <w:t xml:space="preserve"> ESD; ang. </w:t>
      </w:r>
      <w:proofErr w:type="spellStart"/>
      <w:r w:rsidRPr="007901E7">
        <w:rPr>
          <w:b/>
          <w:bCs/>
        </w:rPr>
        <w:t>Effort</w:t>
      </w:r>
      <w:proofErr w:type="spellEnd"/>
      <w:r w:rsidRPr="007901E7">
        <w:rPr>
          <w:b/>
          <w:bCs/>
        </w:rPr>
        <w:t xml:space="preserve"> </w:t>
      </w:r>
      <w:proofErr w:type="spellStart"/>
      <w:r w:rsidRPr="007901E7">
        <w:rPr>
          <w:b/>
          <w:bCs/>
        </w:rPr>
        <w:t>Sharing</w:t>
      </w:r>
      <w:proofErr w:type="spellEnd"/>
      <w:r w:rsidRPr="007901E7">
        <w:rPr>
          <w:b/>
          <w:bCs/>
        </w:rPr>
        <w:t xml:space="preserve"> </w:t>
      </w:r>
      <w:proofErr w:type="spellStart"/>
      <w:r w:rsidRPr="007901E7">
        <w:rPr>
          <w:b/>
          <w:bCs/>
        </w:rPr>
        <w:t>Decision</w:t>
      </w:r>
      <w:proofErr w:type="spellEnd"/>
      <w:r w:rsidRPr="007901E7">
        <w:rPr>
          <w:b/>
          <w:bCs/>
        </w:rPr>
        <w:t xml:space="preserve">), </w:t>
      </w:r>
      <w:r w:rsidR="00E1682E">
        <w:rPr>
          <w:b/>
          <w:bCs/>
        </w:rPr>
        <w:t xml:space="preserve">so predmet pravno zavezujočih nacionalnih </w:t>
      </w:r>
      <w:r w:rsidR="00150A78">
        <w:rPr>
          <w:b/>
          <w:bCs/>
        </w:rPr>
        <w:t>usmeritev</w:t>
      </w:r>
      <w:r w:rsidR="00E1682E">
        <w:rPr>
          <w:b/>
          <w:bCs/>
        </w:rPr>
        <w:t xml:space="preserve">. </w:t>
      </w:r>
      <w:r w:rsidRPr="007901E7">
        <w:t xml:space="preserve">V ne-ETS  sodijo vsi preostali sektorji, kot so transport, stavbe, kmetijstvo in odpadki.  Za doseganje zniževanja izpustov iz teh sektorjev so </w:t>
      </w:r>
      <w:r w:rsidR="00061E44" w:rsidRPr="007901E7">
        <w:t xml:space="preserve">se </w:t>
      </w:r>
      <w:r w:rsidRPr="007901E7">
        <w:t xml:space="preserve">članice EU </w:t>
      </w:r>
      <w:r w:rsidR="00061E44" w:rsidRPr="007901E7">
        <w:t>dogovorile za</w:t>
      </w:r>
      <w:r w:rsidRPr="007901E7">
        <w:t xml:space="preserve"> nacionalne </w:t>
      </w:r>
      <w:r w:rsidR="00150A78">
        <w:t xml:space="preserve">cilje </w:t>
      </w:r>
      <w:r w:rsidRPr="007901E7">
        <w:t>do leta 2030</w:t>
      </w:r>
      <w:r w:rsidR="00150A78">
        <w:t xml:space="preserve">, ki pa </w:t>
      </w:r>
      <w:r w:rsidR="00761FC0">
        <w:t>za</w:t>
      </w:r>
      <w:r w:rsidRPr="007901E7">
        <w:t xml:space="preserve"> posamezn</w:t>
      </w:r>
      <w:r w:rsidR="00761FC0">
        <w:t>e</w:t>
      </w:r>
      <w:r w:rsidRPr="007901E7">
        <w:t xml:space="preserve"> </w:t>
      </w:r>
      <w:r w:rsidR="00977BCF">
        <w:t>članic</w:t>
      </w:r>
      <w:r w:rsidR="00761FC0">
        <w:t>e</w:t>
      </w:r>
      <w:r w:rsidRPr="007901E7">
        <w:t xml:space="preserve"> niso zastavljeni enako. Večje breme skupnega zniževanja nosijo razvitejše, manj razvite pa lahko izpuste v prvih letih po dogovoru celo zvišajo in jih </w:t>
      </w:r>
      <w:r w:rsidR="007901E7" w:rsidRPr="007901E7">
        <w:t xml:space="preserve">nato </w:t>
      </w:r>
      <w:r w:rsidRPr="007901E7">
        <w:t xml:space="preserve">znižajo šele v naslednjem desetletju. Slovenija je sprejela obveznost, da </w:t>
      </w:r>
      <w:r w:rsidR="00977BCF" w:rsidRPr="007901E7">
        <w:t xml:space="preserve">v primerjavi z letom 2005 </w:t>
      </w:r>
      <w:r w:rsidRPr="007901E7">
        <w:t xml:space="preserve">izpuste iz ne-ETS do leta 2020 ne poveča za več kot za 4 %, </w:t>
      </w:r>
      <w:r w:rsidR="007901E7" w:rsidRPr="007901E7">
        <w:t xml:space="preserve">do leta 2030 </w:t>
      </w:r>
      <w:r w:rsidRPr="007901E7">
        <w:t>pa jih zniža za 15 %.</w:t>
      </w:r>
      <w:r w:rsidR="002A2386" w:rsidRPr="007901E7">
        <w:rPr>
          <w:vertAlign w:val="superscript"/>
        </w:rPr>
        <w:footnoteReference w:id="5"/>
      </w:r>
      <w:r w:rsidR="002A2386" w:rsidRPr="007901E7">
        <w:t xml:space="preserve"> </w:t>
      </w:r>
      <w:r w:rsidRPr="007901E7">
        <w:t xml:space="preserve">Slednji cilj je bil </w:t>
      </w:r>
      <w:r w:rsidR="00977BCF">
        <w:t>kasne</w:t>
      </w:r>
      <w:r w:rsidRPr="007901E7">
        <w:t>je z Nacionalnim energetskim načrtom (NEPN) zas</w:t>
      </w:r>
      <w:r w:rsidR="007901E7" w:rsidRPr="007901E7">
        <w:t>t</w:t>
      </w:r>
      <w:r w:rsidRPr="007901E7">
        <w:t xml:space="preserve">avljen bolj ambiciozno, na zmanjšanje za petino. </w:t>
      </w:r>
    </w:p>
    <w:p w14:paraId="72D065B3" w14:textId="77777777" w:rsidR="00B50C66" w:rsidRPr="007901E7" w:rsidRDefault="00B50C66" w:rsidP="009515F5">
      <w:pPr>
        <w:pStyle w:val="BesediloUMAR"/>
      </w:pPr>
    </w:p>
    <w:p w14:paraId="35A9C6BB" w14:textId="7A420EF6" w:rsidR="00B65CEB" w:rsidRPr="007901E7" w:rsidRDefault="00B65CEB" w:rsidP="00B65CEB">
      <w:pPr>
        <w:pStyle w:val="Caption"/>
        <w:rPr>
          <w:noProof w:val="0"/>
        </w:rPr>
      </w:pPr>
      <w:bookmarkStart w:id="4" w:name="_Hlk56793865"/>
      <w:r w:rsidRPr="007901E7">
        <w:rPr>
          <w:noProof w:val="0"/>
        </w:rPr>
        <w:t xml:space="preserve">Tabela </w:t>
      </w:r>
      <w:r w:rsidRPr="007901E7">
        <w:rPr>
          <w:noProof w:val="0"/>
        </w:rPr>
        <w:fldChar w:fldCharType="begin"/>
      </w:r>
      <w:r w:rsidRPr="007901E7">
        <w:rPr>
          <w:noProof w:val="0"/>
        </w:rPr>
        <w:instrText xml:space="preserve"> SEQ Tabela \* ARABIC </w:instrText>
      </w:r>
      <w:r w:rsidRPr="007901E7">
        <w:rPr>
          <w:noProof w:val="0"/>
        </w:rPr>
        <w:fldChar w:fldCharType="separate"/>
      </w:r>
      <w:r w:rsidR="007901E7" w:rsidRPr="007901E7">
        <w:rPr>
          <w:noProof w:val="0"/>
        </w:rPr>
        <w:t>1</w:t>
      </w:r>
      <w:r w:rsidRPr="007901E7">
        <w:rPr>
          <w:noProof w:val="0"/>
        </w:rPr>
        <w:fldChar w:fldCharType="end"/>
      </w:r>
      <w:r w:rsidRPr="007901E7">
        <w:rPr>
          <w:noProof w:val="0"/>
        </w:rPr>
        <w:t>: Zaveze zniževanja izpustov TGP</w:t>
      </w:r>
      <w:bookmarkEnd w:id="4"/>
      <w:r w:rsidRPr="007901E7">
        <w:rPr>
          <w:noProof w:val="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1559"/>
        <w:gridCol w:w="1689"/>
      </w:tblGrid>
      <w:tr w:rsidR="007D0330" w:rsidRPr="007901E7" w14:paraId="561E6FF7" w14:textId="77777777" w:rsidTr="00D54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42980E" w14:textId="77777777" w:rsidR="007D0330" w:rsidRPr="00D54FEE" w:rsidRDefault="007D0330" w:rsidP="00D54FEE">
            <w:pPr>
              <w:pStyle w:val="TabelalevoUMAR"/>
            </w:pPr>
          </w:p>
        </w:tc>
        <w:tc>
          <w:tcPr>
            <w:tcW w:w="3685" w:type="dxa"/>
            <w:gridSpan w:val="2"/>
          </w:tcPr>
          <w:p w14:paraId="3B6D7EE2" w14:textId="440427D1" w:rsidR="007D0330" w:rsidRPr="007901E7" w:rsidRDefault="007D0330" w:rsidP="00D54FEE">
            <w:pPr>
              <w:pStyle w:val="TabelalevoUMA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Evropska unija</w:t>
            </w:r>
          </w:p>
        </w:tc>
        <w:tc>
          <w:tcPr>
            <w:tcW w:w="3248" w:type="dxa"/>
            <w:gridSpan w:val="2"/>
          </w:tcPr>
          <w:p w14:paraId="6AB8FF13" w14:textId="2BCF111E" w:rsidR="007D0330" w:rsidRPr="007901E7" w:rsidRDefault="007D0330" w:rsidP="00D54FEE">
            <w:pPr>
              <w:pStyle w:val="TabelalevoUMA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Slovenija</w:t>
            </w:r>
          </w:p>
        </w:tc>
      </w:tr>
      <w:tr w:rsidR="00B65CEB" w:rsidRPr="007901E7" w14:paraId="74887DDB" w14:textId="77777777" w:rsidTr="00D54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BA3E6E" w14:textId="31EB85CF" w:rsidR="00B65CEB" w:rsidRPr="00D54FEE" w:rsidRDefault="00B65CEB" w:rsidP="00D54FEE">
            <w:pPr>
              <w:pStyle w:val="TabelalevoUMAR"/>
            </w:pPr>
          </w:p>
        </w:tc>
        <w:tc>
          <w:tcPr>
            <w:tcW w:w="1701" w:type="dxa"/>
            <w:shd w:val="clear" w:color="auto" w:fill="DBDBDB" w:themeFill="background2"/>
          </w:tcPr>
          <w:p w14:paraId="4BF9EAC9" w14:textId="2E7DFEF9" w:rsidR="00B65CEB" w:rsidRPr="007901E7" w:rsidRDefault="00826326" w:rsidP="00826326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2020/1990</w:t>
            </w:r>
          </w:p>
        </w:tc>
        <w:tc>
          <w:tcPr>
            <w:tcW w:w="1984" w:type="dxa"/>
            <w:shd w:val="clear" w:color="auto" w:fill="DBDBDB" w:themeFill="background2"/>
          </w:tcPr>
          <w:p w14:paraId="4DB0FF47" w14:textId="7395F1DC" w:rsidR="00B65CEB" w:rsidRPr="007901E7" w:rsidRDefault="00826326" w:rsidP="00826326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2030/1990</w:t>
            </w:r>
          </w:p>
        </w:tc>
        <w:tc>
          <w:tcPr>
            <w:tcW w:w="1559" w:type="dxa"/>
            <w:shd w:val="clear" w:color="auto" w:fill="DBDBDB" w:themeFill="background2"/>
          </w:tcPr>
          <w:p w14:paraId="1A3E33F7" w14:textId="29C2D2F1" w:rsidR="00B65CEB" w:rsidRPr="007901E7" w:rsidRDefault="00826326" w:rsidP="00826326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2020/1990</w:t>
            </w:r>
          </w:p>
        </w:tc>
        <w:tc>
          <w:tcPr>
            <w:tcW w:w="1689" w:type="dxa"/>
            <w:shd w:val="clear" w:color="auto" w:fill="DBDBDB" w:themeFill="background2"/>
          </w:tcPr>
          <w:p w14:paraId="5F5C5728" w14:textId="3BDE319A" w:rsidR="00B65CEB" w:rsidRPr="007901E7" w:rsidRDefault="00826326" w:rsidP="00826326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2030/1990</w:t>
            </w:r>
          </w:p>
        </w:tc>
      </w:tr>
      <w:tr w:rsidR="00B65CEB" w:rsidRPr="007901E7" w14:paraId="6BD940E2" w14:textId="77777777" w:rsidTr="00D54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33514314" w14:textId="30611016" w:rsidR="00B65CEB" w:rsidRPr="00D54FEE" w:rsidRDefault="00826326" w:rsidP="00D54FEE">
            <w:pPr>
              <w:pStyle w:val="TabelalevoUMAR"/>
            </w:pPr>
            <w:r w:rsidRPr="00D54FEE">
              <w:t>SKUPAJ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872E4E" w14:textId="5ABAFC3D" w:rsidR="00B65CEB" w:rsidRPr="007901E7" w:rsidRDefault="007D0330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-</w:t>
            </w:r>
            <w:r w:rsidR="00826326" w:rsidRPr="007901E7">
              <w:t>20 %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085096" w14:textId="420DE501" w:rsidR="00B65CEB" w:rsidRPr="007901E7" w:rsidRDefault="007D0330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-</w:t>
            </w:r>
            <w:r w:rsidR="00826326" w:rsidRPr="007901E7">
              <w:t>40 %</w:t>
            </w:r>
            <w:r w:rsidRPr="007901E7">
              <w:t xml:space="preserve"> (predlog: - 55%)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0853B3" w14:textId="25812929" w:rsidR="00B65CEB" w:rsidRPr="007901E7" w:rsidRDefault="00826326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1C7FBF43" w14:textId="6714DB31" w:rsidR="00B65CEB" w:rsidRPr="007901E7" w:rsidRDefault="00826326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-</w:t>
            </w:r>
          </w:p>
        </w:tc>
      </w:tr>
      <w:tr w:rsidR="00B65CEB" w:rsidRPr="007901E7" w14:paraId="0B3BDD60" w14:textId="77777777" w:rsidTr="00D54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nil"/>
            </w:tcBorders>
          </w:tcPr>
          <w:p w14:paraId="089B0C40" w14:textId="77777777" w:rsidR="00B65CEB" w:rsidRPr="00D54FEE" w:rsidRDefault="00B65CEB" w:rsidP="00D54FEE">
            <w:pPr>
              <w:pStyle w:val="TabelalevoUMA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F31A753" w14:textId="77777777" w:rsidR="00B65CEB" w:rsidRPr="007901E7" w:rsidRDefault="00B65CEB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EECFE34" w14:textId="064E2AED" w:rsidR="00B65CEB" w:rsidRPr="007901E7" w:rsidRDefault="00B65CEB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4E1160B" w14:textId="77777777" w:rsidR="00B65CEB" w:rsidRPr="007901E7" w:rsidRDefault="00B65CEB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9" w:type="dxa"/>
            <w:tcBorders>
              <w:left w:val="nil"/>
            </w:tcBorders>
          </w:tcPr>
          <w:p w14:paraId="1A174EEF" w14:textId="77777777" w:rsidR="00B65CEB" w:rsidRPr="007901E7" w:rsidRDefault="00B65CEB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5CEB" w:rsidRPr="007901E7" w14:paraId="625DB019" w14:textId="77777777" w:rsidTr="00D54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A86858" w14:textId="77777777" w:rsidR="00B65CEB" w:rsidRPr="00D54FEE" w:rsidRDefault="00B65CEB" w:rsidP="00D54FEE">
            <w:pPr>
              <w:pStyle w:val="TabelalevoUMAR"/>
            </w:pPr>
          </w:p>
        </w:tc>
        <w:tc>
          <w:tcPr>
            <w:tcW w:w="1701" w:type="dxa"/>
            <w:shd w:val="clear" w:color="auto" w:fill="DBDBDB" w:themeFill="background2"/>
          </w:tcPr>
          <w:p w14:paraId="61B7C1D9" w14:textId="504E9E50" w:rsidR="00B65CEB" w:rsidRPr="007901E7" w:rsidRDefault="00826326" w:rsidP="00826326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2020/2005</w:t>
            </w:r>
          </w:p>
        </w:tc>
        <w:tc>
          <w:tcPr>
            <w:tcW w:w="1984" w:type="dxa"/>
            <w:shd w:val="clear" w:color="auto" w:fill="DBDBDB" w:themeFill="background2"/>
          </w:tcPr>
          <w:p w14:paraId="61947F6A" w14:textId="661935A1" w:rsidR="00B65CEB" w:rsidRPr="007901E7" w:rsidRDefault="00826326" w:rsidP="00826326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2030/2005</w:t>
            </w:r>
          </w:p>
        </w:tc>
        <w:tc>
          <w:tcPr>
            <w:tcW w:w="1559" w:type="dxa"/>
            <w:shd w:val="clear" w:color="auto" w:fill="DBDBDB" w:themeFill="background2"/>
          </w:tcPr>
          <w:p w14:paraId="18E900B1" w14:textId="2BCBF87D" w:rsidR="00B65CEB" w:rsidRPr="007901E7" w:rsidRDefault="00826326" w:rsidP="00826326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2020/2005</w:t>
            </w:r>
          </w:p>
        </w:tc>
        <w:tc>
          <w:tcPr>
            <w:tcW w:w="1689" w:type="dxa"/>
            <w:shd w:val="clear" w:color="auto" w:fill="DBDBDB" w:themeFill="background2"/>
          </w:tcPr>
          <w:p w14:paraId="3DCC5174" w14:textId="4554EEB4" w:rsidR="00B65CEB" w:rsidRPr="007901E7" w:rsidRDefault="00826326" w:rsidP="00826326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2030/2005</w:t>
            </w:r>
          </w:p>
        </w:tc>
      </w:tr>
      <w:tr w:rsidR="00B65CEB" w:rsidRPr="007901E7" w14:paraId="5B5EC76E" w14:textId="77777777" w:rsidTr="00D54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398A92" w14:textId="26253057" w:rsidR="00B65CEB" w:rsidRPr="00D54FEE" w:rsidRDefault="007D0330" w:rsidP="00D54FEE">
            <w:pPr>
              <w:pStyle w:val="TabelalevoUMAR"/>
            </w:pPr>
            <w:r w:rsidRPr="00D54FEE">
              <w:t>v</w:t>
            </w:r>
            <w:r w:rsidR="00826326" w:rsidRPr="00D54FEE">
              <w:t xml:space="preserve"> tem: </w:t>
            </w:r>
            <w:r w:rsidRPr="00D54FEE">
              <w:t xml:space="preserve"> </w:t>
            </w:r>
            <w:r w:rsidR="00826326" w:rsidRPr="00D54FEE">
              <w:t>EU ETS sektorji</w:t>
            </w:r>
          </w:p>
        </w:tc>
        <w:tc>
          <w:tcPr>
            <w:tcW w:w="1701" w:type="dxa"/>
          </w:tcPr>
          <w:p w14:paraId="1D85D490" w14:textId="526BA1FA" w:rsidR="00B65CEB" w:rsidRPr="007901E7" w:rsidRDefault="007D0330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-</w:t>
            </w:r>
            <w:r w:rsidR="00826326" w:rsidRPr="007901E7">
              <w:t>21 %</w:t>
            </w:r>
          </w:p>
        </w:tc>
        <w:tc>
          <w:tcPr>
            <w:tcW w:w="1984" w:type="dxa"/>
          </w:tcPr>
          <w:p w14:paraId="323863C4" w14:textId="5649A879" w:rsidR="00B65CEB" w:rsidRPr="007901E7" w:rsidRDefault="00826326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-43 %</w:t>
            </w:r>
          </w:p>
        </w:tc>
        <w:tc>
          <w:tcPr>
            <w:tcW w:w="1559" w:type="dxa"/>
          </w:tcPr>
          <w:p w14:paraId="38582CAC" w14:textId="62D11B79" w:rsidR="00B65CEB" w:rsidRPr="007901E7" w:rsidRDefault="00826326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-</w:t>
            </w:r>
          </w:p>
        </w:tc>
        <w:tc>
          <w:tcPr>
            <w:tcW w:w="1689" w:type="dxa"/>
          </w:tcPr>
          <w:p w14:paraId="29B68D7D" w14:textId="0B17D1EB" w:rsidR="00B65CEB" w:rsidRPr="007901E7" w:rsidRDefault="00826326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-</w:t>
            </w:r>
          </w:p>
        </w:tc>
      </w:tr>
      <w:tr w:rsidR="00B65CEB" w:rsidRPr="007901E7" w14:paraId="08B05299" w14:textId="77777777" w:rsidTr="00D54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15AAB0" w14:textId="7EE7AC74" w:rsidR="00B65CEB" w:rsidRPr="00D54FEE" w:rsidRDefault="00D54FEE" w:rsidP="00D54FEE">
            <w:pPr>
              <w:pStyle w:val="TabelalevoUMAR"/>
            </w:pPr>
            <w:r>
              <w:t xml:space="preserve">               </w:t>
            </w:r>
            <w:r w:rsidR="00826326" w:rsidRPr="00D54FEE">
              <w:t>EU ne</w:t>
            </w:r>
            <w:r w:rsidR="00CD3EF2" w:rsidRPr="00D54FEE">
              <w:t>–</w:t>
            </w:r>
            <w:r w:rsidR="00826326" w:rsidRPr="00D54FEE">
              <w:t>ETS sektorji</w:t>
            </w:r>
          </w:p>
        </w:tc>
        <w:tc>
          <w:tcPr>
            <w:tcW w:w="1701" w:type="dxa"/>
          </w:tcPr>
          <w:p w14:paraId="00421914" w14:textId="0631D8AD" w:rsidR="00B65CEB" w:rsidRPr="007901E7" w:rsidRDefault="007D0330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-</w:t>
            </w:r>
            <w:r w:rsidR="00826326" w:rsidRPr="007901E7">
              <w:t>10 %</w:t>
            </w:r>
          </w:p>
        </w:tc>
        <w:tc>
          <w:tcPr>
            <w:tcW w:w="1984" w:type="dxa"/>
          </w:tcPr>
          <w:p w14:paraId="02C8C067" w14:textId="41522B0E" w:rsidR="00B65CEB" w:rsidRPr="007901E7" w:rsidRDefault="007D0330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-</w:t>
            </w:r>
            <w:r w:rsidR="00826326" w:rsidRPr="007901E7">
              <w:t>30 %</w:t>
            </w:r>
          </w:p>
        </w:tc>
        <w:tc>
          <w:tcPr>
            <w:tcW w:w="1559" w:type="dxa"/>
          </w:tcPr>
          <w:p w14:paraId="6A89E25E" w14:textId="41E2B167" w:rsidR="00B65CEB" w:rsidRPr="007901E7" w:rsidRDefault="00826326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+ 4 %</w:t>
            </w:r>
          </w:p>
        </w:tc>
        <w:tc>
          <w:tcPr>
            <w:tcW w:w="1689" w:type="dxa"/>
          </w:tcPr>
          <w:p w14:paraId="46BE2C25" w14:textId="63D02DC4" w:rsidR="00B65CEB" w:rsidRPr="007901E7" w:rsidRDefault="00826326" w:rsidP="00826326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1E7">
              <w:t>-15 %</w:t>
            </w:r>
            <w:r w:rsidR="007D0330" w:rsidRPr="007901E7">
              <w:t xml:space="preserve"> (NEPN: -20 %)</w:t>
            </w:r>
          </w:p>
        </w:tc>
      </w:tr>
    </w:tbl>
    <w:p w14:paraId="79AB0A0F" w14:textId="33BB162C" w:rsidR="00214DE4" w:rsidRPr="007901E7" w:rsidRDefault="00214DE4" w:rsidP="00214DE4">
      <w:pPr>
        <w:pStyle w:val="VirUMAR"/>
      </w:pPr>
      <w:r w:rsidRPr="007901E7">
        <w:t>Vir: Odločba št. 406/2009/E</w:t>
      </w:r>
      <w:r w:rsidR="003260A4">
        <w:t>S</w:t>
      </w:r>
      <w:r w:rsidRPr="007901E7">
        <w:t xml:space="preserve">; Uredba </w:t>
      </w:r>
      <w:r w:rsidR="002A2386">
        <w:t>(</w:t>
      </w:r>
      <w:r w:rsidRPr="007901E7">
        <w:t>EU</w:t>
      </w:r>
      <w:r w:rsidR="002A2386">
        <w:t>)</w:t>
      </w:r>
      <w:r w:rsidRPr="007901E7">
        <w:t xml:space="preserve"> 2018/842; </w:t>
      </w:r>
      <w:r w:rsidR="002E4764" w:rsidRPr="007901E7">
        <w:t xml:space="preserve">2030 </w:t>
      </w:r>
      <w:proofErr w:type="spellStart"/>
      <w:r w:rsidR="002E4764" w:rsidRPr="007901E7">
        <w:t>Climate</w:t>
      </w:r>
      <w:proofErr w:type="spellEnd"/>
      <w:r w:rsidR="002E4764" w:rsidRPr="007901E7">
        <w:t xml:space="preserve"> </w:t>
      </w:r>
      <w:proofErr w:type="spellStart"/>
      <w:r w:rsidR="002E4764" w:rsidRPr="007901E7">
        <w:t>Target</w:t>
      </w:r>
      <w:proofErr w:type="spellEnd"/>
      <w:r w:rsidR="002E4764" w:rsidRPr="007901E7">
        <w:t xml:space="preserve"> Plan</w:t>
      </w:r>
      <w:r w:rsidR="00977BCF">
        <w:t>;</w:t>
      </w:r>
      <w:r w:rsidR="002E4764" w:rsidRPr="007901E7">
        <w:t xml:space="preserve"> NEPN.</w:t>
      </w:r>
      <w:r w:rsidR="002E4764">
        <w:t xml:space="preserve"> </w:t>
      </w:r>
    </w:p>
    <w:p w14:paraId="79DEC140" w14:textId="4D19A4E6" w:rsidR="00B65CEB" w:rsidRDefault="00B65CEB" w:rsidP="00B65CEB">
      <w:pPr>
        <w:pStyle w:val="BesediloUMAR"/>
      </w:pPr>
    </w:p>
    <w:p w14:paraId="6BD7DD99" w14:textId="77777777" w:rsidR="00FE695D" w:rsidRDefault="00FE695D" w:rsidP="00B65CEB">
      <w:pPr>
        <w:pStyle w:val="BesediloUMAR"/>
      </w:pPr>
    </w:p>
    <w:p w14:paraId="422FB475" w14:textId="2D91EAFB" w:rsidR="00214DE4" w:rsidRDefault="00214DE4" w:rsidP="00214DE4">
      <w:pPr>
        <w:pStyle w:val="BesediloUMAR"/>
      </w:pPr>
      <w:r w:rsidRPr="007901E7">
        <w:rPr>
          <w:b/>
        </w:rPr>
        <w:t xml:space="preserve">Reševanje </w:t>
      </w:r>
      <w:r w:rsidR="00977BCF">
        <w:rPr>
          <w:b/>
        </w:rPr>
        <w:t>epidemi</w:t>
      </w:r>
      <w:r w:rsidR="005D16CD">
        <w:rPr>
          <w:b/>
        </w:rPr>
        <w:t>ološke krize</w:t>
      </w:r>
      <w:r w:rsidRPr="007901E7">
        <w:rPr>
          <w:b/>
        </w:rPr>
        <w:t xml:space="preserve"> </w:t>
      </w:r>
      <w:proofErr w:type="spellStart"/>
      <w:r w:rsidR="00F03E2E">
        <w:rPr>
          <w:b/>
        </w:rPr>
        <w:t>c</w:t>
      </w:r>
      <w:r w:rsidRPr="007901E7">
        <w:rPr>
          <w:b/>
        </w:rPr>
        <w:t>ovid</w:t>
      </w:r>
      <w:proofErr w:type="spellEnd"/>
      <w:r w:rsidR="00CD3EF2">
        <w:rPr>
          <w:b/>
        </w:rPr>
        <w:t>–</w:t>
      </w:r>
      <w:r w:rsidRPr="007901E7">
        <w:rPr>
          <w:b/>
        </w:rPr>
        <w:t xml:space="preserve">19 je priložnost za pospešitev prehoda </w:t>
      </w:r>
      <w:r w:rsidR="00BD058B">
        <w:rPr>
          <w:b/>
        </w:rPr>
        <w:t>v</w:t>
      </w:r>
      <w:r w:rsidRPr="007901E7">
        <w:rPr>
          <w:b/>
        </w:rPr>
        <w:t xml:space="preserve"> podnebno nevtralno gospodarstvo.</w:t>
      </w:r>
      <w:r w:rsidRPr="007901E7">
        <w:t xml:space="preserve"> E</w:t>
      </w:r>
      <w:r w:rsidR="007901E7" w:rsidRPr="007901E7">
        <w:t>vropska komisija p</w:t>
      </w:r>
      <w:r w:rsidRPr="007901E7">
        <w:t>ouda</w:t>
      </w:r>
      <w:r w:rsidR="00D5123F" w:rsidRPr="007901E7">
        <w:t>r</w:t>
      </w:r>
      <w:r w:rsidRPr="007901E7">
        <w:t xml:space="preserve">ja, da je treba sredstva, namenjena </w:t>
      </w:r>
      <w:r w:rsidR="00D5123F" w:rsidRPr="007901E7">
        <w:t xml:space="preserve">gospodarskemu </w:t>
      </w:r>
      <w:r w:rsidRPr="007901E7">
        <w:t xml:space="preserve">okrevanju, </w:t>
      </w:r>
      <w:r w:rsidR="00CF232E">
        <w:t>povezati</w:t>
      </w:r>
      <w:r w:rsidRPr="007901E7">
        <w:t xml:space="preserve"> z ambicioznim podnebnim ukrepanjem ter spodbu</w:t>
      </w:r>
      <w:r w:rsidR="00540094" w:rsidRPr="007901E7">
        <w:t>diti</w:t>
      </w:r>
      <w:r w:rsidRPr="007901E7">
        <w:t xml:space="preserve"> naložbe v inovativne in </w:t>
      </w:r>
      <w:proofErr w:type="spellStart"/>
      <w:r w:rsidRPr="007901E7">
        <w:t>nizkoogljične</w:t>
      </w:r>
      <w:proofErr w:type="spellEnd"/>
      <w:r w:rsidRPr="007901E7">
        <w:t xml:space="preserve"> tehnologije</w:t>
      </w:r>
      <w:r w:rsidR="00761FC0">
        <w:t xml:space="preserve">. S tem bo </w:t>
      </w:r>
      <w:r w:rsidRPr="007901E7">
        <w:t>gospodarstvo postalo sodobno in zeleno.</w:t>
      </w:r>
      <w:r w:rsidR="00B50C66">
        <w:t xml:space="preserve"> </w:t>
      </w:r>
      <w:r w:rsidR="00540094" w:rsidRPr="007901E7">
        <w:t>EU načrtuje, da bo Evropa do leta 2050 postala prva  podnebno nevtralna celina</w:t>
      </w:r>
      <w:r w:rsidR="007901E7" w:rsidRPr="007901E7">
        <w:t>.</w:t>
      </w:r>
      <w:r w:rsidR="00540094" w:rsidRPr="007901E7">
        <w:t xml:space="preserve"> Pri tem je ključnega pomena r</w:t>
      </w:r>
      <w:r w:rsidRPr="007901E7">
        <w:t>azogl</w:t>
      </w:r>
      <w:r w:rsidR="00E56829">
        <w:t>j</w:t>
      </w:r>
      <w:r w:rsidRPr="007901E7">
        <w:t xml:space="preserve">ičenje oskrbe z energijo </w:t>
      </w:r>
      <w:r w:rsidR="005D16CD">
        <w:t>ter</w:t>
      </w:r>
      <w:r w:rsidRPr="007901E7">
        <w:t xml:space="preserve"> </w:t>
      </w:r>
      <w:r w:rsidR="005D16CD">
        <w:t xml:space="preserve">prilagoditev </w:t>
      </w:r>
      <w:r w:rsidRPr="007901E7">
        <w:lastRenderedPageBreak/>
        <w:t>povpraševanja</w:t>
      </w:r>
      <w:r w:rsidR="00761FC0">
        <w:t xml:space="preserve"> po njej. T</w:t>
      </w:r>
      <w:r w:rsidRPr="007901E7">
        <w:t xml:space="preserve">reba </w:t>
      </w:r>
      <w:r w:rsidR="00540094" w:rsidRPr="007901E7">
        <w:t xml:space="preserve">bo </w:t>
      </w:r>
      <w:r w:rsidRPr="007901E7">
        <w:t xml:space="preserve">prekiniti rabo črnega premoga, lignita in drugih fosilnih goriv, ob tem pa povečati delež </w:t>
      </w:r>
      <w:r w:rsidR="00F03E2E">
        <w:t>obnovljivih virov</w:t>
      </w:r>
      <w:r w:rsidRPr="007901E7">
        <w:t>.</w:t>
      </w:r>
      <w:r w:rsidRPr="007901E7">
        <w:rPr>
          <w:vertAlign w:val="superscript"/>
        </w:rPr>
        <w:footnoteReference w:id="6"/>
      </w:r>
      <w:r w:rsidRPr="007901E7">
        <w:t xml:space="preserve"> </w:t>
      </w:r>
      <w:r w:rsidR="00540094" w:rsidRPr="007901E7">
        <w:t xml:space="preserve">Ker </w:t>
      </w:r>
      <w:r w:rsidR="00761FC0">
        <w:t xml:space="preserve">pa </w:t>
      </w:r>
      <w:r w:rsidR="007901E7" w:rsidRPr="007901E7">
        <w:t>največji del</w:t>
      </w:r>
      <w:r w:rsidR="00540094" w:rsidRPr="007901E7">
        <w:t xml:space="preserve"> izpustov </w:t>
      </w:r>
      <w:r w:rsidR="00761FC0" w:rsidRPr="007901E7">
        <w:t xml:space="preserve">v Sloveniji </w:t>
      </w:r>
      <w:r w:rsidR="00540094" w:rsidRPr="007901E7">
        <w:t xml:space="preserve">izhaja iz prometa, je </w:t>
      </w:r>
      <w:r w:rsidR="007901E7" w:rsidRPr="007901E7">
        <w:t xml:space="preserve">prav </w:t>
      </w:r>
      <w:r w:rsidR="00540094" w:rsidRPr="007901E7">
        <w:t xml:space="preserve">reševanju tega problema treba posvetiti </w:t>
      </w:r>
      <w:r w:rsidR="007901E7" w:rsidRPr="007901E7">
        <w:t xml:space="preserve">občutno </w:t>
      </w:r>
      <w:r w:rsidR="00540094" w:rsidRPr="007901E7">
        <w:t xml:space="preserve">več pozornosti. </w:t>
      </w:r>
      <w:r w:rsidR="00761FC0">
        <w:t>Č</w:t>
      </w:r>
      <w:r w:rsidRPr="007901E7">
        <w:t xml:space="preserve">lanice EU so </w:t>
      </w:r>
      <w:r w:rsidR="005D16CD">
        <w:t xml:space="preserve">si zastavile </w:t>
      </w:r>
      <w:r w:rsidRPr="007901E7">
        <w:t xml:space="preserve">cilje za znižanje izpustov do leta 2020 in do leta 2030, </w:t>
      </w:r>
      <w:r w:rsidR="005D16CD">
        <w:t xml:space="preserve">a ob povečevanju zavedanja </w:t>
      </w:r>
      <w:r w:rsidR="00A043E8">
        <w:t xml:space="preserve">o resnosti podnebne krize </w:t>
      </w:r>
      <w:r w:rsidR="005D16CD">
        <w:t xml:space="preserve">se </w:t>
      </w:r>
      <w:r w:rsidRPr="007901E7">
        <w:t xml:space="preserve">oblikujejo novi, ambicioznejši </w:t>
      </w:r>
      <w:r w:rsidR="00A043E8">
        <w:t xml:space="preserve">podnebni </w:t>
      </w:r>
      <w:r w:rsidRPr="007901E7">
        <w:t>cilji.</w:t>
      </w:r>
      <w:r w:rsidR="005D16CD">
        <w:t xml:space="preserve"> Evrop</w:t>
      </w:r>
      <w:r w:rsidR="00FC72F7">
        <w:t>s</w:t>
      </w:r>
      <w:r w:rsidR="005D16CD">
        <w:t xml:space="preserve">ki parlament bo predvidoma do konca leta 2020 </w:t>
      </w:r>
      <w:r w:rsidR="00FC72F7">
        <w:t xml:space="preserve">odločal o predlogu, da se zdaj veljavni </w:t>
      </w:r>
      <w:r w:rsidR="00761FC0">
        <w:t xml:space="preserve">skupni EU </w:t>
      </w:r>
      <w:r w:rsidR="00FC72F7">
        <w:t>cilj za leto 2030, ki je znižanje za 40 % glede na leto 1990, zastavi na znižanje za 55 %.</w:t>
      </w:r>
      <w:r w:rsidRPr="007901E7">
        <w:rPr>
          <w:vertAlign w:val="superscript"/>
        </w:rPr>
        <w:footnoteReference w:id="7"/>
      </w:r>
      <w:r w:rsidRPr="007901E7">
        <w:t xml:space="preserve"> </w:t>
      </w:r>
    </w:p>
    <w:p w14:paraId="768AFD05" w14:textId="77777777" w:rsidR="00FE695D" w:rsidRDefault="00FE695D" w:rsidP="00214DE4">
      <w:pPr>
        <w:pStyle w:val="BesediloUMAR"/>
      </w:pPr>
    </w:p>
    <w:p w14:paraId="2AEF1A1B" w14:textId="2068D36B" w:rsidR="00F839C5" w:rsidRPr="00F839C5" w:rsidRDefault="003B339B" w:rsidP="00AA7226">
      <w:pPr>
        <w:pStyle w:val="Heading1"/>
      </w:pPr>
      <w:r>
        <w:t>Izpusti</w:t>
      </w:r>
      <w:r w:rsidR="004C65DD">
        <w:t>: stanje, gibanja in struktura</w:t>
      </w:r>
    </w:p>
    <w:p w14:paraId="3941A2B7" w14:textId="64124FF2" w:rsidR="00AA7226" w:rsidRPr="00D54FEE" w:rsidRDefault="00AA7226" w:rsidP="00AA7226">
      <w:pPr>
        <w:pStyle w:val="BesediloUMAR"/>
        <w:rPr>
          <w:bCs/>
          <w:spacing w:val="-2"/>
        </w:rPr>
      </w:pPr>
      <w:r w:rsidRPr="00D54FEE">
        <w:rPr>
          <w:b/>
          <w:spacing w:val="-2"/>
        </w:rPr>
        <w:t>V Sloveniji so se skupni izpusti TGP, po pričakovanem zmanjšanju v gospodarski in finančni krizi</w:t>
      </w:r>
      <w:r w:rsidR="00043A67" w:rsidRPr="00D54FEE">
        <w:rPr>
          <w:b/>
          <w:spacing w:val="-2"/>
        </w:rPr>
        <w:t>,</w:t>
      </w:r>
      <w:r w:rsidRPr="00D54FEE">
        <w:rPr>
          <w:b/>
          <w:spacing w:val="-2"/>
        </w:rPr>
        <w:t xml:space="preserve"> v </w:t>
      </w:r>
      <w:r w:rsidR="00E56829" w:rsidRPr="00D54FEE">
        <w:rPr>
          <w:b/>
          <w:spacing w:val="-2"/>
        </w:rPr>
        <w:t>konjunkturi</w:t>
      </w:r>
      <w:r w:rsidRPr="00D54FEE">
        <w:rPr>
          <w:b/>
          <w:spacing w:val="-2"/>
        </w:rPr>
        <w:t xml:space="preserve"> nekoliko povečali</w:t>
      </w:r>
      <w:r w:rsidR="00292DAC" w:rsidRPr="00D54FEE">
        <w:rPr>
          <w:b/>
          <w:spacing w:val="-2"/>
        </w:rPr>
        <w:t xml:space="preserve"> in </w:t>
      </w:r>
      <w:r w:rsidR="00043A67" w:rsidRPr="00D54FEE">
        <w:rPr>
          <w:b/>
          <w:spacing w:val="-2"/>
        </w:rPr>
        <w:t xml:space="preserve">nato </w:t>
      </w:r>
      <w:r w:rsidRPr="00D54FEE">
        <w:rPr>
          <w:b/>
          <w:spacing w:val="-2"/>
        </w:rPr>
        <w:t xml:space="preserve">v </w:t>
      </w:r>
      <w:r w:rsidR="00E56829" w:rsidRPr="00D54FEE">
        <w:rPr>
          <w:b/>
          <w:spacing w:val="-2"/>
        </w:rPr>
        <w:t>obdobju</w:t>
      </w:r>
      <w:r w:rsidRPr="00D54FEE">
        <w:rPr>
          <w:b/>
          <w:spacing w:val="-2"/>
        </w:rPr>
        <w:t xml:space="preserve"> 2016–2018 ostali približno </w:t>
      </w:r>
      <w:r w:rsidR="007901E7" w:rsidRPr="00D54FEE">
        <w:rPr>
          <w:b/>
          <w:spacing w:val="-2"/>
        </w:rPr>
        <w:t>enaki</w:t>
      </w:r>
      <w:r w:rsidRPr="00D54FEE">
        <w:rPr>
          <w:b/>
          <w:spacing w:val="-2"/>
        </w:rPr>
        <w:t xml:space="preserve">. </w:t>
      </w:r>
      <w:r w:rsidRPr="00D54FEE">
        <w:rPr>
          <w:bCs/>
          <w:spacing w:val="-2"/>
        </w:rPr>
        <w:t xml:space="preserve">V zadnjem triletnem </w:t>
      </w:r>
      <w:r w:rsidR="00E56829" w:rsidRPr="00D54FEE">
        <w:rPr>
          <w:bCs/>
          <w:spacing w:val="-2"/>
        </w:rPr>
        <w:t>obdobju</w:t>
      </w:r>
      <w:r w:rsidRPr="00D54FEE">
        <w:rPr>
          <w:bCs/>
          <w:spacing w:val="-2"/>
        </w:rPr>
        <w:t xml:space="preserve">, za katerega so dostopni podatki, so znašali okoli 17,5 </w:t>
      </w:r>
      <w:r w:rsidR="0091783E" w:rsidRPr="00D54FEE">
        <w:rPr>
          <w:bCs/>
          <w:spacing w:val="-2"/>
        </w:rPr>
        <w:t>m</w:t>
      </w:r>
      <w:r w:rsidR="005B411B" w:rsidRPr="00D54FEE">
        <w:rPr>
          <w:bCs/>
          <w:spacing w:val="-2"/>
        </w:rPr>
        <w:t xml:space="preserve">io ton </w:t>
      </w:r>
      <w:r w:rsidRPr="00D54FEE">
        <w:rPr>
          <w:bCs/>
          <w:spacing w:val="-2"/>
        </w:rPr>
        <w:t>CO</w:t>
      </w:r>
      <w:r w:rsidRPr="00D54FEE">
        <w:rPr>
          <w:bCs/>
          <w:spacing w:val="-2"/>
          <w:vertAlign w:val="subscript"/>
        </w:rPr>
        <w:t>2</w:t>
      </w:r>
      <w:r w:rsidRPr="00D54FEE">
        <w:rPr>
          <w:bCs/>
          <w:spacing w:val="-2"/>
        </w:rPr>
        <w:t xml:space="preserve"> ekvival</w:t>
      </w:r>
      <w:r w:rsidR="00CF232E" w:rsidRPr="00D54FEE">
        <w:rPr>
          <w:bCs/>
          <w:spacing w:val="-2"/>
        </w:rPr>
        <w:t>e</w:t>
      </w:r>
      <w:r w:rsidRPr="00D54FEE">
        <w:rPr>
          <w:bCs/>
          <w:spacing w:val="-2"/>
        </w:rPr>
        <w:t>nt na leto</w:t>
      </w:r>
      <w:r w:rsidR="007901E7" w:rsidRPr="00D54FEE">
        <w:rPr>
          <w:bCs/>
          <w:spacing w:val="-2"/>
        </w:rPr>
        <w:t>.</w:t>
      </w:r>
      <w:r w:rsidR="00540094" w:rsidRPr="00D54FEE">
        <w:rPr>
          <w:b/>
          <w:spacing w:val="-2"/>
          <w:vertAlign w:val="superscript"/>
        </w:rPr>
        <w:footnoteReference w:id="8"/>
      </w:r>
      <w:r w:rsidRPr="00D54FEE">
        <w:rPr>
          <w:bCs/>
          <w:spacing w:val="-2"/>
        </w:rPr>
        <w:t xml:space="preserve"> </w:t>
      </w:r>
      <w:r w:rsidR="009F2104" w:rsidRPr="00D54FEE">
        <w:rPr>
          <w:bCs/>
          <w:spacing w:val="-2"/>
        </w:rPr>
        <w:t xml:space="preserve">Največ izpustov je nastalo v prometu in energetiki, okoli šest desetin, nato pa iz rabe goriv v industriji in v kmetijstvu, po desetino. </w:t>
      </w:r>
      <w:r w:rsidR="004D3CB6" w:rsidRPr="00D54FEE">
        <w:rPr>
          <w:bCs/>
          <w:spacing w:val="-2"/>
        </w:rPr>
        <w:t>V daljšem obd</w:t>
      </w:r>
      <w:r w:rsidR="00CF232E" w:rsidRPr="00D54FEE">
        <w:rPr>
          <w:bCs/>
          <w:spacing w:val="-2"/>
        </w:rPr>
        <w:t>o</w:t>
      </w:r>
      <w:r w:rsidR="004D3CB6" w:rsidRPr="00D54FEE">
        <w:rPr>
          <w:bCs/>
          <w:spacing w:val="-2"/>
        </w:rPr>
        <w:t xml:space="preserve">bju so bili skupni izpusti najvišji leta 2008, nato pa so se </w:t>
      </w:r>
      <w:r w:rsidR="009F2104" w:rsidRPr="00D54FEE">
        <w:rPr>
          <w:bCs/>
          <w:spacing w:val="-2"/>
        </w:rPr>
        <w:t xml:space="preserve">ob večjih spremembah v energetiki znižali. </w:t>
      </w:r>
      <w:r w:rsidR="0061382E" w:rsidRPr="00D54FEE">
        <w:rPr>
          <w:bCs/>
          <w:spacing w:val="-2"/>
        </w:rPr>
        <w:t>E</w:t>
      </w:r>
      <w:r w:rsidRPr="00D54FEE">
        <w:rPr>
          <w:bCs/>
          <w:spacing w:val="-2"/>
        </w:rPr>
        <w:t xml:space="preserve">na izmed večjih termoelektrarn se je zaprla, druga pa tehnološko posodobila. </w:t>
      </w:r>
      <w:r w:rsidR="004D3CB6" w:rsidRPr="00D54FEE">
        <w:rPr>
          <w:bCs/>
          <w:spacing w:val="-2"/>
        </w:rPr>
        <w:t xml:space="preserve">Z gospodarsko </w:t>
      </w:r>
      <w:r w:rsidR="00B01CD3" w:rsidRPr="00D54FEE">
        <w:rPr>
          <w:bCs/>
          <w:spacing w:val="-2"/>
        </w:rPr>
        <w:t>konjunkturo</w:t>
      </w:r>
      <w:r w:rsidRPr="00D54FEE">
        <w:rPr>
          <w:bCs/>
          <w:spacing w:val="-2"/>
        </w:rPr>
        <w:t xml:space="preserve"> so se izpusti </w:t>
      </w:r>
      <w:r w:rsidR="0061382E" w:rsidRPr="00D54FEE">
        <w:rPr>
          <w:bCs/>
          <w:spacing w:val="-2"/>
        </w:rPr>
        <w:t xml:space="preserve">ponovno </w:t>
      </w:r>
      <w:r w:rsidRPr="00D54FEE">
        <w:rPr>
          <w:bCs/>
          <w:spacing w:val="-2"/>
        </w:rPr>
        <w:t>nekoliko zvišali</w:t>
      </w:r>
      <w:r w:rsidR="004D3CB6" w:rsidRPr="00D54FEE">
        <w:rPr>
          <w:bCs/>
          <w:spacing w:val="-2"/>
        </w:rPr>
        <w:t xml:space="preserve"> in se </w:t>
      </w:r>
      <w:r w:rsidR="000A3D3B" w:rsidRPr="00D54FEE">
        <w:rPr>
          <w:bCs/>
          <w:spacing w:val="-2"/>
        </w:rPr>
        <w:t xml:space="preserve">nato </w:t>
      </w:r>
      <w:r w:rsidRPr="00D54FEE">
        <w:rPr>
          <w:bCs/>
          <w:spacing w:val="-2"/>
        </w:rPr>
        <w:t xml:space="preserve">ustalili. </w:t>
      </w:r>
      <w:r w:rsidR="004D3CB6" w:rsidRPr="00D54FEE">
        <w:rPr>
          <w:bCs/>
          <w:spacing w:val="-2"/>
        </w:rPr>
        <w:t xml:space="preserve">V </w:t>
      </w:r>
      <w:r w:rsidR="00E56829" w:rsidRPr="00D54FEE">
        <w:rPr>
          <w:bCs/>
          <w:spacing w:val="-2"/>
        </w:rPr>
        <w:t>obdobju</w:t>
      </w:r>
      <w:r w:rsidR="004D3CB6" w:rsidRPr="00D54FEE">
        <w:rPr>
          <w:bCs/>
          <w:spacing w:val="-2"/>
        </w:rPr>
        <w:t xml:space="preserve"> po letu 1990 so se </w:t>
      </w:r>
      <w:r w:rsidRPr="00D54FEE">
        <w:rPr>
          <w:bCs/>
          <w:spacing w:val="-2"/>
        </w:rPr>
        <w:t>zmanjš</w:t>
      </w:r>
      <w:r w:rsidR="00B01CD3" w:rsidRPr="00D54FEE">
        <w:rPr>
          <w:bCs/>
          <w:spacing w:val="-2"/>
        </w:rPr>
        <w:t>ali</w:t>
      </w:r>
      <w:r w:rsidRPr="00D54FEE">
        <w:rPr>
          <w:bCs/>
          <w:spacing w:val="-2"/>
        </w:rPr>
        <w:t xml:space="preserve"> </w:t>
      </w:r>
      <w:r w:rsidR="0061382E" w:rsidRPr="00D54FEE">
        <w:rPr>
          <w:bCs/>
          <w:spacing w:val="-2"/>
        </w:rPr>
        <w:t xml:space="preserve">v </w:t>
      </w:r>
      <w:r w:rsidR="009A47DC" w:rsidRPr="00D54FEE">
        <w:rPr>
          <w:bCs/>
          <w:spacing w:val="-2"/>
        </w:rPr>
        <w:t xml:space="preserve">skoraj </w:t>
      </w:r>
      <w:r w:rsidRPr="00D54FEE">
        <w:rPr>
          <w:bCs/>
          <w:spacing w:val="-2"/>
        </w:rPr>
        <w:t xml:space="preserve">vseh sektorjih, </w:t>
      </w:r>
      <w:r w:rsidR="009A47DC" w:rsidRPr="00D54FEE">
        <w:rPr>
          <w:bCs/>
          <w:spacing w:val="-2"/>
        </w:rPr>
        <w:t xml:space="preserve">najbolj iz rabe goriv v industriji in iz ravnanja z odpadki. Izjema </w:t>
      </w:r>
      <w:r w:rsidR="003560DF" w:rsidRPr="00D54FEE">
        <w:rPr>
          <w:bCs/>
          <w:spacing w:val="-2"/>
        </w:rPr>
        <w:t>s</w:t>
      </w:r>
      <w:r w:rsidR="00043A67" w:rsidRPr="00D54FEE">
        <w:rPr>
          <w:bCs/>
          <w:spacing w:val="-2"/>
        </w:rPr>
        <w:t>o</w:t>
      </w:r>
      <w:r w:rsidR="003560DF" w:rsidRPr="00D54FEE">
        <w:rPr>
          <w:bCs/>
          <w:spacing w:val="-2"/>
        </w:rPr>
        <w:t xml:space="preserve"> izpusti iz prometa, </w:t>
      </w:r>
      <w:r w:rsidR="00152AB2" w:rsidRPr="00D54FEE">
        <w:rPr>
          <w:bCs/>
          <w:spacing w:val="-2"/>
        </w:rPr>
        <w:t>k</w:t>
      </w:r>
      <w:r w:rsidR="00997795">
        <w:rPr>
          <w:bCs/>
          <w:spacing w:val="-2"/>
        </w:rPr>
        <w:t>i</w:t>
      </w:r>
      <w:r w:rsidR="00B01CD3" w:rsidRPr="00D54FEE">
        <w:rPr>
          <w:bCs/>
          <w:spacing w:val="-2"/>
        </w:rPr>
        <w:t xml:space="preserve"> so se v obdobju 1990–2018 več kot podvojili</w:t>
      </w:r>
      <w:r w:rsidR="004D3CB6" w:rsidRPr="00D54FEE">
        <w:rPr>
          <w:bCs/>
          <w:spacing w:val="-2"/>
        </w:rPr>
        <w:t xml:space="preserve">, prispevek </w:t>
      </w:r>
      <w:r w:rsidR="00B01CD3" w:rsidRPr="00D54FEE">
        <w:rPr>
          <w:bCs/>
          <w:spacing w:val="-2"/>
        </w:rPr>
        <w:t xml:space="preserve">k skupnim izpustom </w:t>
      </w:r>
      <w:r w:rsidR="004D3CB6" w:rsidRPr="00D54FEE">
        <w:rPr>
          <w:bCs/>
          <w:spacing w:val="-2"/>
        </w:rPr>
        <w:t xml:space="preserve">pa povečali na </w:t>
      </w:r>
      <w:r w:rsidR="00B01CD3" w:rsidRPr="00D54FEE">
        <w:rPr>
          <w:bCs/>
          <w:spacing w:val="-2"/>
        </w:rPr>
        <w:t>okoli tretjino.</w:t>
      </w:r>
      <w:r w:rsidRPr="00D54FEE">
        <w:rPr>
          <w:bCs/>
          <w:spacing w:val="-2"/>
        </w:rPr>
        <w:t xml:space="preserve"> </w:t>
      </w:r>
      <w:r w:rsidR="00B01CD3" w:rsidRPr="00D54FEE">
        <w:rPr>
          <w:bCs/>
          <w:spacing w:val="-2"/>
        </w:rPr>
        <w:t>Med drugim so k</w:t>
      </w:r>
      <w:r w:rsidRPr="00D54FEE">
        <w:rPr>
          <w:bCs/>
          <w:spacing w:val="-2"/>
        </w:rPr>
        <w:t xml:space="preserve"> temu precej prispevali obsežnejši zunanjetrgovinski tokovi skozi Slovenijo in z davčno politiko zagotovljene ugodnosti, kot so vračila trošarin</w:t>
      </w:r>
      <w:r w:rsidR="00997795">
        <w:rPr>
          <w:bCs/>
          <w:spacing w:val="-2"/>
        </w:rPr>
        <w:t xml:space="preserve"> na goriva</w:t>
      </w:r>
      <w:r w:rsidRPr="00D54FEE">
        <w:rPr>
          <w:bCs/>
          <w:spacing w:val="-2"/>
        </w:rPr>
        <w:t xml:space="preserve">. </w:t>
      </w:r>
      <w:r w:rsidR="003560DF" w:rsidRPr="00D54FEE">
        <w:rPr>
          <w:bCs/>
          <w:spacing w:val="-2"/>
        </w:rPr>
        <w:t>V tem sektorju je rast nepredvidljiva in zaskrbljujoča.</w:t>
      </w:r>
      <w:r w:rsidR="003560DF" w:rsidRPr="00D54FEE">
        <w:rPr>
          <w:rStyle w:val="FootnoteReference"/>
          <w:bCs/>
          <w:spacing w:val="-2"/>
        </w:rPr>
        <w:footnoteReference w:id="9"/>
      </w:r>
    </w:p>
    <w:p w14:paraId="2DCD8BC5" w14:textId="77777777" w:rsidR="00AA7226" w:rsidRPr="00AA7226" w:rsidRDefault="00AA7226" w:rsidP="00AA7226">
      <w:pPr>
        <w:pStyle w:val="BesediloUMAR"/>
        <w:rPr>
          <w:bCs/>
        </w:rPr>
      </w:pPr>
    </w:p>
    <w:p w14:paraId="6B196C44" w14:textId="16D3497B" w:rsidR="00AA7226" w:rsidRDefault="00AA7226" w:rsidP="00AA7226">
      <w:pPr>
        <w:pStyle w:val="BesediloUMAR"/>
        <w:rPr>
          <w:b/>
          <w:bCs/>
        </w:rPr>
      </w:pPr>
      <w:r w:rsidRPr="00AA7226">
        <w:rPr>
          <w:b/>
          <w:bCs/>
        </w:rPr>
        <w:t xml:space="preserve">Tabela </w:t>
      </w:r>
      <w:r w:rsidRPr="00AA7226">
        <w:rPr>
          <w:b/>
          <w:bCs/>
        </w:rPr>
        <w:fldChar w:fldCharType="begin"/>
      </w:r>
      <w:r w:rsidRPr="00AA7226">
        <w:rPr>
          <w:b/>
          <w:bCs/>
        </w:rPr>
        <w:instrText xml:space="preserve"> SEQ Tabela \* ARABIC </w:instrText>
      </w:r>
      <w:r w:rsidRPr="00AA7226">
        <w:rPr>
          <w:b/>
          <w:bCs/>
        </w:rPr>
        <w:fldChar w:fldCharType="separate"/>
      </w:r>
      <w:r>
        <w:rPr>
          <w:b/>
          <w:bCs/>
        </w:rPr>
        <w:t>2</w:t>
      </w:r>
      <w:r w:rsidRPr="00AA7226">
        <w:fldChar w:fldCharType="end"/>
      </w:r>
      <w:r w:rsidRPr="00AA7226">
        <w:rPr>
          <w:b/>
          <w:bCs/>
        </w:rPr>
        <w:t>: Izpusti TGP po kategorijah virov, Slovenija</w:t>
      </w:r>
      <w:r w:rsidR="00332D7D">
        <w:rPr>
          <w:b/>
          <w:bCs/>
        </w:rPr>
        <w:t xml:space="preserve">, v </w:t>
      </w:r>
      <w:proofErr w:type="spellStart"/>
      <w:r w:rsidR="00332D7D">
        <w:rPr>
          <w:b/>
          <w:bCs/>
        </w:rPr>
        <w:t>kt</w:t>
      </w:r>
      <w:proofErr w:type="spellEnd"/>
      <w:r w:rsidR="00332D7D">
        <w:rPr>
          <w:b/>
          <w:bCs/>
        </w:rPr>
        <w:t xml:space="preserve"> CO</w:t>
      </w:r>
      <w:r w:rsidR="00332D7D" w:rsidRPr="00332D7D">
        <w:rPr>
          <w:b/>
          <w:bCs/>
          <w:vertAlign w:val="subscript"/>
        </w:rPr>
        <w:t>2</w:t>
      </w:r>
      <w:r w:rsidR="00332D7D">
        <w:rPr>
          <w:b/>
          <w:bCs/>
        </w:rPr>
        <w:t xml:space="preserve"> ekvivalent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13"/>
        <w:gridCol w:w="810"/>
        <w:gridCol w:w="811"/>
        <w:gridCol w:w="811"/>
        <w:gridCol w:w="810"/>
        <w:gridCol w:w="811"/>
        <w:gridCol w:w="811"/>
        <w:gridCol w:w="811"/>
        <w:gridCol w:w="992"/>
        <w:gridCol w:w="980"/>
      </w:tblGrid>
      <w:tr w:rsidR="00373B1E" w14:paraId="7F234ABC" w14:textId="77777777" w:rsidTr="0037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52F061F" w14:textId="77777777" w:rsidR="00332D7D" w:rsidRDefault="00332D7D" w:rsidP="00373B1E">
            <w:pPr>
              <w:pStyle w:val="TabelaglavadesnoUMAR"/>
            </w:pPr>
          </w:p>
        </w:tc>
        <w:tc>
          <w:tcPr>
            <w:tcW w:w="810" w:type="dxa"/>
          </w:tcPr>
          <w:p w14:paraId="080ABC77" w14:textId="71D61919" w:rsidR="00332D7D" w:rsidRDefault="00332D7D" w:rsidP="00373B1E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1990</w:t>
            </w:r>
          </w:p>
        </w:tc>
        <w:tc>
          <w:tcPr>
            <w:tcW w:w="811" w:type="dxa"/>
          </w:tcPr>
          <w:p w14:paraId="1EECD59C" w14:textId="3215E324" w:rsidR="00332D7D" w:rsidRDefault="00332D7D" w:rsidP="00373B1E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811" w:type="dxa"/>
          </w:tcPr>
          <w:p w14:paraId="7ECB73DF" w14:textId="08BC6253" w:rsidR="00332D7D" w:rsidRDefault="00332D7D" w:rsidP="00373B1E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810" w:type="dxa"/>
          </w:tcPr>
          <w:p w14:paraId="5E2926AC" w14:textId="7A38B041" w:rsidR="00332D7D" w:rsidRDefault="00373B1E" w:rsidP="00373B1E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811" w:type="dxa"/>
          </w:tcPr>
          <w:p w14:paraId="6BBD8DA4" w14:textId="5FF5921C" w:rsidR="00332D7D" w:rsidRDefault="00373B1E" w:rsidP="00373B1E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811" w:type="dxa"/>
          </w:tcPr>
          <w:p w14:paraId="61EFC1C4" w14:textId="1250BF57" w:rsidR="00332D7D" w:rsidRDefault="00373B1E" w:rsidP="00373B1E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811" w:type="dxa"/>
          </w:tcPr>
          <w:p w14:paraId="45E95957" w14:textId="1675FB21" w:rsidR="00332D7D" w:rsidRDefault="00373B1E" w:rsidP="00373B1E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992" w:type="dxa"/>
          </w:tcPr>
          <w:p w14:paraId="24152FFB" w14:textId="3B19F744" w:rsidR="00332D7D" w:rsidRDefault="00373B1E" w:rsidP="00373B1E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Struktura 2018           v %</w:t>
            </w:r>
          </w:p>
        </w:tc>
        <w:tc>
          <w:tcPr>
            <w:tcW w:w="980" w:type="dxa"/>
          </w:tcPr>
          <w:p w14:paraId="5BDE6DB3" w14:textId="48A4FDE9" w:rsidR="00332D7D" w:rsidRDefault="00373B1E" w:rsidP="00373B1E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Rast 2018/1990 v %</w:t>
            </w:r>
          </w:p>
        </w:tc>
      </w:tr>
      <w:tr w:rsidR="00AE1F3B" w14:paraId="7828825E" w14:textId="77777777" w:rsidTr="007B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7F6FEEB" w14:textId="3050A37E" w:rsidR="00AE1F3B" w:rsidRPr="00373B1E" w:rsidRDefault="00AE1F3B" w:rsidP="00AE1F3B">
            <w:pPr>
              <w:pStyle w:val="TabelalevoUMAR"/>
            </w:pPr>
            <w:r w:rsidRPr="00373B1E">
              <w:t>Promet</w:t>
            </w:r>
          </w:p>
        </w:tc>
        <w:tc>
          <w:tcPr>
            <w:tcW w:w="810" w:type="dxa"/>
            <w:vAlign w:val="bottom"/>
          </w:tcPr>
          <w:p w14:paraId="299E3126" w14:textId="09F53A4A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2.728</w:t>
            </w:r>
          </w:p>
        </w:tc>
        <w:tc>
          <w:tcPr>
            <w:tcW w:w="811" w:type="dxa"/>
            <w:vAlign w:val="bottom"/>
          </w:tcPr>
          <w:p w14:paraId="34D045FD" w14:textId="17B57D63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4.416</w:t>
            </w:r>
          </w:p>
        </w:tc>
        <w:tc>
          <w:tcPr>
            <w:tcW w:w="811" w:type="dxa"/>
            <w:vAlign w:val="bottom"/>
          </w:tcPr>
          <w:p w14:paraId="3519C3D1" w14:textId="289801BA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5.263</w:t>
            </w:r>
          </w:p>
        </w:tc>
        <w:tc>
          <w:tcPr>
            <w:tcW w:w="810" w:type="dxa"/>
            <w:vAlign w:val="bottom"/>
          </w:tcPr>
          <w:p w14:paraId="3879F8A6" w14:textId="296A209E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5.368</w:t>
            </w:r>
          </w:p>
        </w:tc>
        <w:tc>
          <w:tcPr>
            <w:tcW w:w="811" w:type="dxa"/>
            <w:vAlign w:val="bottom"/>
          </w:tcPr>
          <w:p w14:paraId="3A44DC56" w14:textId="6772207E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5.738</w:t>
            </w:r>
          </w:p>
        </w:tc>
        <w:tc>
          <w:tcPr>
            <w:tcW w:w="811" w:type="dxa"/>
            <w:vAlign w:val="bottom"/>
          </w:tcPr>
          <w:p w14:paraId="7EC59585" w14:textId="20556C79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5.547</w:t>
            </w:r>
          </w:p>
        </w:tc>
        <w:tc>
          <w:tcPr>
            <w:tcW w:w="811" w:type="dxa"/>
            <w:vAlign w:val="bottom"/>
          </w:tcPr>
          <w:p w14:paraId="7D061E0D" w14:textId="082F2A9D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5.824</w:t>
            </w:r>
          </w:p>
        </w:tc>
        <w:tc>
          <w:tcPr>
            <w:tcW w:w="992" w:type="dxa"/>
            <w:vAlign w:val="bottom"/>
          </w:tcPr>
          <w:p w14:paraId="6EBBD9F9" w14:textId="44B939CC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33,3</w:t>
            </w:r>
          </w:p>
        </w:tc>
        <w:tc>
          <w:tcPr>
            <w:tcW w:w="980" w:type="dxa"/>
            <w:vAlign w:val="bottom"/>
          </w:tcPr>
          <w:p w14:paraId="37A60C09" w14:textId="341C7CFE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113,5</w:t>
            </w:r>
          </w:p>
        </w:tc>
      </w:tr>
      <w:tr w:rsidR="00AE1F3B" w14:paraId="506F169E" w14:textId="77777777" w:rsidTr="007B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51E4CD4" w14:textId="2CAD1BA6" w:rsidR="00AE1F3B" w:rsidRPr="00373B1E" w:rsidRDefault="00E56829" w:rsidP="00AE1F3B">
            <w:pPr>
              <w:pStyle w:val="TabelalevoUMAR"/>
            </w:pPr>
            <w:r w:rsidRPr="00373B1E">
              <w:t>Energetika</w:t>
            </w:r>
          </w:p>
        </w:tc>
        <w:tc>
          <w:tcPr>
            <w:tcW w:w="810" w:type="dxa"/>
            <w:vAlign w:val="bottom"/>
          </w:tcPr>
          <w:p w14:paraId="36764472" w14:textId="1DE6A94B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6.375</w:t>
            </w:r>
          </w:p>
        </w:tc>
        <w:tc>
          <w:tcPr>
            <w:tcW w:w="811" w:type="dxa"/>
            <w:vAlign w:val="bottom"/>
          </w:tcPr>
          <w:p w14:paraId="722CA4AD" w14:textId="6A871056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6.448</w:t>
            </w:r>
          </w:p>
        </w:tc>
        <w:tc>
          <w:tcPr>
            <w:tcW w:w="811" w:type="dxa"/>
            <w:vAlign w:val="bottom"/>
          </w:tcPr>
          <w:p w14:paraId="35B663D4" w14:textId="5A8AB64A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6.340</w:t>
            </w:r>
          </w:p>
        </w:tc>
        <w:tc>
          <w:tcPr>
            <w:tcW w:w="810" w:type="dxa"/>
            <w:vAlign w:val="bottom"/>
          </w:tcPr>
          <w:p w14:paraId="312093E8" w14:textId="1482758C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4.562</w:t>
            </w:r>
          </w:p>
        </w:tc>
        <w:tc>
          <w:tcPr>
            <w:tcW w:w="811" w:type="dxa"/>
            <w:vAlign w:val="bottom"/>
          </w:tcPr>
          <w:p w14:paraId="49D70798" w14:textId="6BE42B49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4.929</w:t>
            </w:r>
          </w:p>
        </w:tc>
        <w:tc>
          <w:tcPr>
            <w:tcW w:w="811" w:type="dxa"/>
            <w:vAlign w:val="bottom"/>
          </w:tcPr>
          <w:p w14:paraId="594B23AA" w14:textId="2B5D8EE6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4.915</w:t>
            </w:r>
          </w:p>
        </w:tc>
        <w:tc>
          <w:tcPr>
            <w:tcW w:w="811" w:type="dxa"/>
            <w:vAlign w:val="bottom"/>
          </w:tcPr>
          <w:p w14:paraId="32A41B9B" w14:textId="3F3FDF4D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4.800</w:t>
            </w:r>
          </w:p>
        </w:tc>
        <w:tc>
          <w:tcPr>
            <w:tcW w:w="992" w:type="dxa"/>
            <w:vAlign w:val="bottom"/>
          </w:tcPr>
          <w:p w14:paraId="5CC3E3E5" w14:textId="10EB255F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27,4</w:t>
            </w:r>
          </w:p>
        </w:tc>
        <w:tc>
          <w:tcPr>
            <w:tcW w:w="980" w:type="dxa"/>
            <w:vAlign w:val="bottom"/>
          </w:tcPr>
          <w:p w14:paraId="620AB92E" w14:textId="43F3E434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-24,7</w:t>
            </w:r>
          </w:p>
        </w:tc>
      </w:tr>
      <w:tr w:rsidR="00AE1F3B" w14:paraId="35320076" w14:textId="77777777" w:rsidTr="007B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0C37D5F" w14:textId="1A81AD87" w:rsidR="00AE1F3B" w:rsidRPr="00373B1E" w:rsidRDefault="00AE1F3B" w:rsidP="00AE1F3B">
            <w:pPr>
              <w:pStyle w:val="TabelalevoUMAR"/>
            </w:pPr>
            <w:r>
              <w:t xml:space="preserve">Goriva v </w:t>
            </w:r>
            <w:proofErr w:type="spellStart"/>
            <w:r>
              <w:t>ind</w:t>
            </w:r>
            <w:proofErr w:type="spellEnd"/>
            <w:r>
              <w:t>.</w:t>
            </w:r>
          </w:p>
        </w:tc>
        <w:tc>
          <w:tcPr>
            <w:tcW w:w="810" w:type="dxa"/>
            <w:vAlign w:val="bottom"/>
          </w:tcPr>
          <w:p w14:paraId="76AD7468" w14:textId="610915F3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3.151</w:t>
            </w:r>
          </w:p>
        </w:tc>
        <w:tc>
          <w:tcPr>
            <w:tcW w:w="811" w:type="dxa"/>
            <w:vAlign w:val="bottom"/>
          </w:tcPr>
          <w:p w14:paraId="7757C43F" w14:textId="1680292D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2.485</w:t>
            </w:r>
          </w:p>
        </w:tc>
        <w:tc>
          <w:tcPr>
            <w:tcW w:w="811" w:type="dxa"/>
            <w:vAlign w:val="bottom"/>
          </w:tcPr>
          <w:p w14:paraId="7D10987F" w14:textId="4DB8533A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1.916</w:t>
            </w:r>
          </w:p>
        </w:tc>
        <w:tc>
          <w:tcPr>
            <w:tcW w:w="810" w:type="dxa"/>
            <w:vAlign w:val="bottom"/>
          </w:tcPr>
          <w:p w14:paraId="00B74AD5" w14:textId="10666D55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1.591</w:t>
            </w:r>
          </w:p>
        </w:tc>
        <w:tc>
          <w:tcPr>
            <w:tcW w:w="811" w:type="dxa"/>
            <w:vAlign w:val="bottom"/>
          </w:tcPr>
          <w:p w14:paraId="12BE8940" w14:textId="447D1FFC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1.598</w:t>
            </w:r>
          </w:p>
        </w:tc>
        <w:tc>
          <w:tcPr>
            <w:tcW w:w="811" w:type="dxa"/>
            <w:vAlign w:val="bottom"/>
          </w:tcPr>
          <w:p w14:paraId="32A414C0" w14:textId="0F40D2AD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1.679</w:t>
            </w:r>
          </w:p>
        </w:tc>
        <w:tc>
          <w:tcPr>
            <w:tcW w:w="811" w:type="dxa"/>
            <w:vAlign w:val="bottom"/>
          </w:tcPr>
          <w:p w14:paraId="5BBCC714" w14:textId="44DEFF4E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1.828</w:t>
            </w:r>
          </w:p>
        </w:tc>
        <w:tc>
          <w:tcPr>
            <w:tcW w:w="992" w:type="dxa"/>
            <w:vAlign w:val="bottom"/>
          </w:tcPr>
          <w:p w14:paraId="742E2ABC" w14:textId="28057452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10,4</w:t>
            </w:r>
          </w:p>
        </w:tc>
        <w:tc>
          <w:tcPr>
            <w:tcW w:w="980" w:type="dxa"/>
            <w:vAlign w:val="bottom"/>
          </w:tcPr>
          <w:p w14:paraId="2A2A5600" w14:textId="7E86871D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-42,0</w:t>
            </w:r>
          </w:p>
        </w:tc>
      </w:tr>
      <w:tr w:rsidR="00AE1F3B" w14:paraId="5C1586CE" w14:textId="77777777" w:rsidTr="007B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A488D20" w14:textId="0322197E" w:rsidR="00AE1F3B" w:rsidRPr="00373B1E" w:rsidRDefault="00AE1F3B" w:rsidP="00AE1F3B">
            <w:pPr>
              <w:pStyle w:val="TabelalevoUMAR"/>
            </w:pPr>
            <w:r>
              <w:t>Kmetijstvo</w:t>
            </w:r>
          </w:p>
        </w:tc>
        <w:tc>
          <w:tcPr>
            <w:tcW w:w="810" w:type="dxa"/>
            <w:vAlign w:val="bottom"/>
          </w:tcPr>
          <w:p w14:paraId="2C5AF1CC" w14:textId="5CCE14C4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1.855</w:t>
            </w:r>
          </w:p>
        </w:tc>
        <w:tc>
          <w:tcPr>
            <w:tcW w:w="811" w:type="dxa"/>
            <w:vAlign w:val="bottom"/>
          </w:tcPr>
          <w:p w14:paraId="37FAEB89" w14:textId="335DB488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1.733</w:t>
            </w:r>
          </w:p>
        </w:tc>
        <w:tc>
          <w:tcPr>
            <w:tcW w:w="811" w:type="dxa"/>
            <w:vAlign w:val="bottom"/>
          </w:tcPr>
          <w:p w14:paraId="302ACB1A" w14:textId="2CE3A4CB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1.696</w:t>
            </w:r>
          </w:p>
        </w:tc>
        <w:tc>
          <w:tcPr>
            <w:tcW w:w="810" w:type="dxa"/>
            <w:vAlign w:val="bottom"/>
          </w:tcPr>
          <w:p w14:paraId="74BE603C" w14:textId="39F51F9D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1.733</w:t>
            </w:r>
          </w:p>
        </w:tc>
        <w:tc>
          <w:tcPr>
            <w:tcW w:w="811" w:type="dxa"/>
            <w:vAlign w:val="bottom"/>
          </w:tcPr>
          <w:p w14:paraId="467EDC0D" w14:textId="0BCAA06E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1.756</w:t>
            </w:r>
          </w:p>
        </w:tc>
        <w:tc>
          <w:tcPr>
            <w:tcW w:w="811" w:type="dxa"/>
            <w:vAlign w:val="bottom"/>
          </w:tcPr>
          <w:p w14:paraId="0BCCBB1D" w14:textId="77795FFE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1.721</w:t>
            </w:r>
          </w:p>
        </w:tc>
        <w:tc>
          <w:tcPr>
            <w:tcW w:w="811" w:type="dxa"/>
            <w:vAlign w:val="bottom"/>
          </w:tcPr>
          <w:p w14:paraId="4832F996" w14:textId="066490C8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1.722</w:t>
            </w:r>
          </w:p>
        </w:tc>
        <w:tc>
          <w:tcPr>
            <w:tcW w:w="992" w:type="dxa"/>
            <w:vAlign w:val="bottom"/>
          </w:tcPr>
          <w:p w14:paraId="669DD638" w14:textId="744C3A37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9,8</w:t>
            </w:r>
          </w:p>
        </w:tc>
        <w:tc>
          <w:tcPr>
            <w:tcW w:w="980" w:type="dxa"/>
            <w:vAlign w:val="bottom"/>
          </w:tcPr>
          <w:p w14:paraId="502FFD4E" w14:textId="09FA56C7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-7,2</w:t>
            </w:r>
          </w:p>
        </w:tc>
      </w:tr>
      <w:tr w:rsidR="00AE1F3B" w14:paraId="1CFAB90E" w14:textId="77777777" w:rsidTr="007B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0E17523" w14:textId="0CC2E681" w:rsidR="00AE1F3B" w:rsidRPr="00373B1E" w:rsidRDefault="00AE1F3B" w:rsidP="00AE1F3B">
            <w:pPr>
              <w:pStyle w:val="TabelalevoUMAR"/>
            </w:pPr>
            <w:r>
              <w:t>Goriva v gosp.</w:t>
            </w:r>
          </w:p>
        </w:tc>
        <w:tc>
          <w:tcPr>
            <w:tcW w:w="810" w:type="dxa"/>
            <w:vAlign w:val="bottom"/>
          </w:tcPr>
          <w:p w14:paraId="24579390" w14:textId="2E752943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1.867</w:t>
            </w:r>
          </w:p>
        </w:tc>
        <w:tc>
          <w:tcPr>
            <w:tcW w:w="811" w:type="dxa"/>
            <w:vAlign w:val="bottom"/>
          </w:tcPr>
          <w:p w14:paraId="4EC4B89A" w14:textId="3435BBFD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2.677</w:t>
            </w:r>
          </w:p>
        </w:tc>
        <w:tc>
          <w:tcPr>
            <w:tcW w:w="811" w:type="dxa"/>
            <w:vAlign w:val="bottom"/>
          </w:tcPr>
          <w:p w14:paraId="6BEADC1C" w14:textId="0C79B440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2.268</w:t>
            </w:r>
          </w:p>
        </w:tc>
        <w:tc>
          <w:tcPr>
            <w:tcW w:w="810" w:type="dxa"/>
            <w:vAlign w:val="bottom"/>
          </w:tcPr>
          <w:p w14:paraId="2C0B1B27" w14:textId="5B1305B9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1.486</w:t>
            </w:r>
          </w:p>
        </w:tc>
        <w:tc>
          <w:tcPr>
            <w:tcW w:w="811" w:type="dxa"/>
            <w:vAlign w:val="bottom"/>
          </w:tcPr>
          <w:p w14:paraId="411D801C" w14:textId="03CF6579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1.555</w:t>
            </w:r>
          </w:p>
        </w:tc>
        <w:tc>
          <w:tcPr>
            <w:tcW w:w="811" w:type="dxa"/>
            <w:vAlign w:val="bottom"/>
          </w:tcPr>
          <w:p w14:paraId="23C87CF4" w14:textId="46748F93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1.425</w:t>
            </w:r>
          </w:p>
        </w:tc>
        <w:tc>
          <w:tcPr>
            <w:tcW w:w="811" w:type="dxa"/>
            <w:vAlign w:val="bottom"/>
          </w:tcPr>
          <w:p w14:paraId="5D6E5AC1" w14:textId="00B4D239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1.307</w:t>
            </w:r>
          </w:p>
        </w:tc>
        <w:tc>
          <w:tcPr>
            <w:tcW w:w="992" w:type="dxa"/>
            <w:vAlign w:val="bottom"/>
          </w:tcPr>
          <w:p w14:paraId="6D9C8E34" w14:textId="2B623450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7,5</w:t>
            </w:r>
          </w:p>
        </w:tc>
        <w:tc>
          <w:tcPr>
            <w:tcW w:w="980" w:type="dxa"/>
            <w:vAlign w:val="bottom"/>
          </w:tcPr>
          <w:p w14:paraId="2A0856E8" w14:textId="63DFD1DA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-30,0</w:t>
            </w:r>
          </w:p>
        </w:tc>
      </w:tr>
      <w:tr w:rsidR="00AE1F3B" w14:paraId="3117C23E" w14:textId="77777777" w:rsidTr="007B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99A1F75" w14:textId="6C26166D" w:rsidR="00AE1F3B" w:rsidRPr="00373B1E" w:rsidRDefault="00AE1F3B" w:rsidP="00AE1F3B">
            <w:pPr>
              <w:pStyle w:val="TabelalevoUMAR"/>
            </w:pPr>
            <w:r>
              <w:t>Ind. procesi</w:t>
            </w:r>
          </w:p>
        </w:tc>
        <w:tc>
          <w:tcPr>
            <w:tcW w:w="810" w:type="dxa"/>
            <w:vAlign w:val="bottom"/>
          </w:tcPr>
          <w:p w14:paraId="08B5AF63" w14:textId="5FBCB7B8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1.393</w:t>
            </w:r>
          </w:p>
        </w:tc>
        <w:tc>
          <w:tcPr>
            <w:tcW w:w="811" w:type="dxa"/>
            <w:vAlign w:val="bottom"/>
          </w:tcPr>
          <w:p w14:paraId="3D162150" w14:textId="3404BED6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1.427</w:t>
            </w:r>
          </w:p>
        </w:tc>
        <w:tc>
          <w:tcPr>
            <w:tcW w:w="811" w:type="dxa"/>
            <w:vAlign w:val="bottom"/>
          </w:tcPr>
          <w:p w14:paraId="1508C452" w14:textId="3519EB70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1.013</w:t>
            </w:r>
          </w:p>
        </w:tc>
        <w:tc>
          <w:tcPr>
            <w:tcW w:w="810" w:type="dxa"/>
            <w:vAlign w:val="bottom"/>
          </w:tcPr>
          <w:p w14:paraId="0C60317E" w14:textId="33F183B0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1.144</w:t>
            </w:r>
          </w:p>
        </w:tc>
        <w:tc>
          <w:tcPr>
            <w:tcW w:w="811" w:type="dxa"/>
            <w:vAlign w:val="bottom"/>
          </w:tcPr>
          <w:p w14:paraId="61576EFC" w14:textId="5355CC82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1.143</w:t>
            </w:r>
          </w:p>
        </w:tc>
        <w:tc>
          <w:tcPr>
            <w:tcW w:w="811" w:type="dxa"/>
            <w:vAlign w:val="bottom"/>
          </w:tcPr>
          <w:p w14:paraId="7249ACEF" w14:textId="1D9366D7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1.190</w:t>
            </w:r>
          </w:p>
        </w:tc>
        <w:tc>
          <w:tcPr>
            <w:tcW w:w="811" w:type="dxa"/>
            <w:vAlign w:val="bottom"/>
          </w:tcPr>
          <w:p w14:paraId="0F7C428A" w14:textId="3ADD0C8A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1.187</w:t>
            </w:r>
          </w:p>
        </w:tc>
        <w:tc>
          <w:tcPr>
            <w:tcW w:w="992" w:type="dxa"/>
            <w:vAlign w:val="bottom"/>
          </w:tcPr>
          <w:p w14:paraId="2D116966" w14:textId="717D9CED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6,8</w:t>
            </w:r>
          </w:p>
        </w:tc>
        <w:tc>
          <w:tcPr>
            <w:tcW w:w="980" w:type="dxa"/>
            <w:vAlign w:val="bottom"/>
          </w:tcPr>
          <w:p w14:paraId="1005298D" w14:textId="1C8295ED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-14,8</w:t>
            </w:r>
          </w:p>
        </w:tc>
      </w:tr>
      <w:tr w:rsidR="00AE1F3B" w14:paraId="42935F30" w14:textId="77777777" w:rsidTr="007B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7838AF4" w14:textId="0EDF6C76" w:rsidR="00AE1F3B" w:rsidRPr="00373B1E" w:rsidRDefault="00AE1F3B" w:rsidP="00AE1F3B">
            <w:pPr>
              <w:pStyle w:val="TabelalevoUMAR"/>
            </w:pPr>
            <w:r>
              <w:t>Odpadki</w:t>
            </w:r>
          </w:p>
        </w:tc>
        <w:tc>
          <w:tcPr>
            <w:tcW w:w="810" w:type="dxa"/>
            <w:vAlign w:val="bottom"/>
          </w:tcPr>
          <w:p w14:paraId="0C76A8F5" w14:textId="65E0F984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697</w:t>
            </w:r>
          </w:p>
        </w:tc>
        <w:tc>
          <w:tcPr>
            <w:tcW w:w="811" w:type="dxa"/>
            <w:vAlign w:val="bottom"/>
          </w:tcPr>
          <w:p w14:paraId="3F3C6B49" w14:textId="3E69FD68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741</w:t>
            </w:r>
          </w:p>
        </w:tc>
        <w:tc>
          <w:tcPr>
            <w:tcW w:w="811" w:type="dxa"/>
            <w:vAlign w:val="bottom"/>
          </w:tcPr>
          <w:p w14:paraId="0BECB6C6" w14:textId="032B50D5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535</w:t>
            </w:r>
          </w:p>
        </w:tc>
        <w:tc>
          <w:tcPr>
            <w:tcW w:w="810" w:type="dxa"/>
            <w:vAlign w:val="bottom"/>
          </w:tcPr>
          <w:p w14:paraId="132C88F3" w14:textId="4D36DA15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493</w:t>
            </w:r>
          </w:p>
        </w:tc>
        <w:tc>
          <w:tcPr>
            <w:tcW w:w="811" w:type="dxa"/>
            <w:vAlign w:val="bottom"/>
          </w:tcPr>
          <w:p w14:paraId="2E8E7C8A" w14:textId="4C592A33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488</w:t>
            </w:r>
          </w:p>
        </w:tc>
        <w:tc>
          <w:tcPr>
            <w:tcW w:w="811" w:type="dxa"/>
            <w:vAlign w:val="bottom"/>
          </w:tcPr>
          <w:p w14:paraId="2B4C7EB2" w14:textId="13B4C6D0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477</w:t>
            </w:r>
          </w:p>
        </w:tc>
        <w:tc>
          <w:tcPr>
            <w:tcW w:w="811" w:type="dxa"/>
            <w:vAlign w:val="bottom"/>
          </w:tcPr>
          <w:p w14:paraId="30A52DDC" w14:textId="193BDCB3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442</w:t>
            </w:r>
          </w:p>
        </w:tc>
        <w:tc>
          <w:tcPr>
            <w:tcW w:w="992" w:type="dxa"/>
            <w:vAlign w:val="bottom"/>
          </w:tcPr>
          <w:p w14:paraId="4BDD176E" w14:textId="7AFA3551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2,5</w:t>
            </w:r>
          </w:p>
        </w:tc>
        <w:tc>
          <w:tcPr>
            <w:tcW w:w="980" w:type="dxa"/>
            <w:vAlign w:val="bottom"/>
          </w:tcPr>
          <w:p w14:paraId="7BD8ADE0" w14:textId="58BE76FE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-36,6</w:t>
            </w:r>
          </w:p>
        </w:tc>
      </w:tr>
      <w:tr w:rsidR="00AE1F3B" w14:paraId="72E257CC" w14:textId="77777777" w:rsidTr="007B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AB7952C" w14:textId="33E4F50F" w:rsidR="00AE1F3B" w:rsidRPr="00373B1E" w:rsidRDefault="00AE1F3B" w:rsidP="00AE1F3B">
            <w:pPr>
              <w:pStyle w:val="TabelalevoUMAR"/>
            </w:pPr>
            <w:r>
              <w:t>Drugo</w:t>
            </w:r>
          </w:p>
        </w:tc>
        <w:tc>
          <w:tcPr>
            <w:tcW w:w="810" w:type="dxa"/>
            <w:vAlign w:val="bottom"/>
          </w:tcPr>
          <w:p w14:paraId="5FE27F91" w14:textId="02D11778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544</w:t>
            </w:r>
          </w:p>
        </w:tc>
        <w:tc>
          <w:tcPr>
            <w:tcW w:w="811" w:type="dxa"/>
            <w:vAlign w:val="bottom"/>
          </w:tcPr>
          <w:p w14:paraId="0F44BB90" w14:textId="2FC8AAE2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530</w:t>
            </w:r>
          </w:p>
        </w:tc>
        <w:tc>
          <w:tcPr>
            <w:tcW w:w="811" w:type="dxa"/>
            <w:vAlign w:val="bottom"/>
          </w:tcPr>
          <w:p w14:paraId="5ADC4DA4" w14:textId="40508016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525</w:t>
            </w:r>
          </w:p>
        </w:tc>
        <w:tc>
          <w:tcPr>
            <w:tcW w:w="810" w:type="dxa"/>
            <w:vAlign w:val="bottom"/>
          </w:tcPr>
          <w:p w14:paraId="509B6D9C" w14:textId="288E8F47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374</w:t>
            </w:r>
          </w:p>
        </w:tc>
        <w:tc>
          <w:tcPr>
            <w:tcW w:w="811" w:type="dxa"/>
            <w:vAlign w:val="bottom"/>
          </w:tcPr>
          <w:p w14:paraId="75C8DC20" w14:textId="001B5EE1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401</w:t>
            </w:r>
          </w:p>
        </w:tc>
        <w:tc>
          <w:tcPr>
            <w:tcW w:w="811" w:type="dxa"/>
            <w:vAlign w:val="bottom"/>
          </w:tcPr>
          <w:p w14:paraId="35B1AB64" w14:textId="3513872D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413</w:t>
            </w:r>
          </w:p>
        </w:tc>
        <w:tc>
          <w:tcPr>
            <w:tcW w:w="811" w:type="dxa"/>
            <w:vAlign w:val="bottom"/>
          </w:tcPr>
          <w:p w14:paraId="7C08E73A" w14:textId="49358DFC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394</w:t>
            </w:r>
          </w:p>
        </w:tc>
        <w:tc>
          <w:tcPr>
            <w:tcW w:w="992" w:type="dxa"/>
            <w:vAlign w:val="bottom"/>
          </w:tcPr>
          <w:p w14:paraId="7C9B9C58" w14:textId="6BDC6321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2,2</w:t>
            </w:r>
          </w:p>
        </w:tc>
        <w:tc>
          <w:tcPr>
            <w:tcW w:w="980" w:type="dxa"/>
            <w:vAlign w:val="bottom"/>
          </w:tcPr>
          <w:p w14:paraId="78C9DAF8" w14:textId="1DE7DC92" w:rsidR="00AE1F3B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3B">
              <w:t>-27,6</w:t>
            </w:r>
          </w:p>
        </w:tc>
      </w:tr>
      <w:tr w:rsidR="00AE1F3B" w14:paraId="559D0A94" w14:textId="77777777" w:rsidTr="007B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04F291D" w14:textId="6825AD3F" w:rsidR="00AE1F3B" w:rsidRPr="00292DAC" w:rsidRDefault="00AE1F3B" w:rsidP="00AE1F3B">
            <w:pPr>
              <w:pStyle w:val="TabelalevoUMAR"/>
              <w:rPr>
                <w:b/>
                <w:bCs w:val="0"/>
              </w:rPr>
            </w:pPr>
            <w:r w:rsidRPr="00292DAC">
              <w:rPr>
                <w:b/>
                <w:bCs w:val="0"/>
              </w:rPr>
              <w:t>SKUPAJ</w:t>
            </w:r>
          </w:p>
        </w:tc>
        <w:tc>
          <w:tcPr>
            <w:tcW w:w="810" w:type="dxa"/>
            <w:vAlign w:val="bottom"/>
          </w:tcPr>
          <w:p w14:paraId="27E92F0E" w14:textId="2A7E1A41" w:rsidR="00AE1F3B" w:rsidRPr="00292DAC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92DAC">
              <w:rPr>
                <w:b/>
                <w:bCs w:val="0"/>
              </w:rPr>
              <w:t>18.610</w:t>
            </w:r>
          </w:p>
        </w:tc>
        <w:tc>
          <w:tcPr>
            <w:tcW w:w="811" w:type="dxa"/>
            <w:vAlign w:val="bottom"/>
          </w:tcPr>
          <w:p w14:paraId="37BEE6C1" w14:textId="6B4EB09E" w:rsidR="00AE1F3B" w:rsidRPr="00292DAC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92DAC">
              <w:rPr>
                <w:b/>
                <w:bCs w:val="0"/>
              </w:rPr>
              <w:t>20.457</w:t>
            </w:r>
          </w:p>
        </w:tc>
        <w:tc>
          <w:tcPr>
            <w:tcW w:w="811" w:type="dxa"/>
            <w:vAlign w:val="bottom"/>
          </w:tcPr>
          <w:p w14:paraId="31A75C92" w14:textId="44DA9B6E" w:rsidR="00AE1F3B" w:rsidRPr="00292DAC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92DAC">
              <w:rPr>
                <w:b/>
                <w:bCs w:val="0"/>
              </w:rPr>
              <w:t>19.555</w:t>
            </w:r>
          </w:p>
        </w:tc>
        <w:tc>
          <w:tcPr>
            <w:tcW w:w="810" w:type="dxa"/>
            <w:vAlign w:val="bottom"/>
          </w:tcPr>
          <w:p w14:paraId="7C971A70" w14:textId="2694CD19" w:rsidR="00AE1F3B" w:rsidRPr="00292DAC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92DAC">
              <w:rPr>
                <w:b/>
                <w:bCs w:val="0"/>
              </w:rPr>
              <w:t>16.751</w:t>
            </w:r>
          </w:p>
        </w:tc>
        <w:tc>
          <w:tcPr>
            <w:tcW w:w="811" w:type="dxa"/>
            <w:vAlign w:val="bottom"/>
          </w:tcPr>
          <w:p w14:paraId="4BDE2CE1" w14:textId="358CF5AD" w:rsidR="00AE1F3B" w:rsidRPr="00292DAC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92DAC">
              <w:rPr>
                <w:b/>
                <w:bCs w:val="0"/>
              </w:rPr>
              <w:t>17.608</w:t>
            </w:r>
          </w:p>
        </w:tc>
        <w:tc>
          <w:tcPr>
            <w:tcW w:w="811" w:type="dxa"/>
            <w:vAlign w:val="bottom"/>
          </w:tcPr>
          <w:p w14:paraId="256C86B0" w14:textId="7BB9AD29" w:rsidR="00AE1F3B" w:rsidRPr="00292DAC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92DAC">
              <w:rPr>
                <w:b/>
                <w:bCs w:val="0"/>
              </w:rPr>
              <w:t>17.367</w:t>
            </w:r>
          </w:p>
        </w:tc>
        <w:tc>
          <w:tcPr>
            <w:tcW w:w="811" w:type="dxa"/>
            <w:vAlign w:val="bottom"/>
          </w:tcPr>
          <w:p w14:paraId="4F77C456" w14:textId="1D34EA65" w:rsidR="00AE1F3B" w:rsidRPr="00292DAC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92DAC">
              <w:rPr>
                <w:b/>
                <w:bCs w:val="0"/>
              </w:rPr>
              <w:t>17.502</w:t>
            </w:r>
          </w:p>
        </w:tc>
        <w:tc>
          <w:tcPr>
            <w:tcW w:w="992" w:type="dxa"/>
            <w:vAlign w:val="bottom"/>
          </w:tcPr>
          <w:p w14:paraId="40B3EC23" w14:textId="00D3C8D3" w:rsidR="00AE1F3B" w:rsidRPr="00292DAC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92DAC">
              <w:rPr>
                <w:b/>
                <w:bCs w:val="0"/>
              </w:rPr>
              <w:t>100,0</w:t>
            </w:r>
          </w:p>
        </w:tc>
        <w:tc>
          <w:tcPr>
            <w:tcW w:w="980" w:type="dxa"/>
            <w:vAlign w:val="bottom"/>
          </w:tcPr>
          <w:p w14:paraId="5176CCD6" w14:textId="63058EE6" w:rsidR="00AE1F3B" w:rsidRPr="00292DAC" w:rsidRDefault="00AE1F3B" w:rsidP="00AE1F3B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92DAC">
              <w:rPr>
                <w:b/>
                <w:bCs w:val="0"/>
              </w:rPr>
              <w:t>-6,0</w:t>
            </w:r>
          </w:p>
        </w:tc>
      </w:tr>
      <w:tr w:rsidR="005829CA" w14:paraId="7D74EE8C" w14:textId="77777777" w:rsidTr="007B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24E283" w14:textId="13C2BD1C" w:rsidR="005829CA" w:rsidRPr="00017E67" w:rsidRDefault="005829CA" w:rsidP="005829CA">
            <w:pPr>
              <w:pStyle w:val="TabelalevoUMAR"/>
            </w:pPr>
            <w:r w:rsidRPr="00017E67">
              <w:t>v tem:  ETS</w:t>
            </w:r>
          </w:p>
        </w:tc>
        <w:tc>
          <w:tcPr>
            <w:tcW w:w="810" w:type="dxa"/>
            <w:vAlign w:val="bottom"/>
          </w:tcPr>
          <w:p w14:paraId="0C12A5B1" w14:textId="5966FEBD" w:rsidR="005829CA" w:rsidRPr="00292DAC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  <w:tc>
          <w:tcPr>
            <w:tcW w:w="811" w:type="dxa"/>
            <w:vAlign w:val="bottom"/>
          </w:tcPr>
          <w:p w14:paraId="426B3292" w14:textId="737ACE01" w:rsidR="005829CA" w:rsidRPr="00017E67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7E67">
              <w:t>8.721</w:t>
            </w:r>
          </w:p>
        </w:tc>
        <w:tc>
          <w:tcPr>
            <w:tcW w:w="811" w:type="dxa"/>
            <w:vAlign w:val="bottom"/>
          </w:tcPr>
          <w:p w14:paraId="257FD884" w14:textId="250A2DB3" w:rsidR="005829CA" w:rsidRPr="005829CA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9CA">
              <w:t>8.130</w:t>
            </w:r>
          </w:p>
        </w:tc>
        <w:tc>
          <w:tcPr>
            <w:tcW w:w="810" w:type="dxa"/>
            <w:vAlign w:val="bottom"/>
          </w:tcPr>
          <w:p w14:paraId="34A212C0" w14:textId="4AAD54E7" w:rsidR="005829CA" w:rsidRPr="005829CA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9CA">
              <w:t>6.110</w:t>
            </w:r>
          </w:p>
        </w:tc>
        <w:tc>
          <w:tcPr>
            <w:tcW w:w="811" w:type="dxa"/>
            <w:vAlign w:val="bottom"/>
          </w:tcPr>
          <w:p w14:paraId="48B61E93" w14:textId="769EF3BD" w:rsidR="005829CA" w:rsidRPr="005829CA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9CA">
              <w:t>6.479</w:t>
            </w:r>
          </w:p>
        </w:tc>
        <w:tc>
          <w:tcPr>
            <w:tcW w:w="811" w:type="dxa"/>
            <w:vAlign w:val="bottom"/>
          </w:tcPr>
          <w:p w14:paraId="0DBFCA8B" w14:textId="4AF980FC" w:rsidR="005829CA" w:rsidRPr="005829CA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9CA">
              <w:t>6.570</w:t>
            </w:r>
          </w:p>
        </w:tc>
        <w:tc>
          <w:tcPr>
            <w:tcW w:w="811" w:type="dxa"/>
            <w:vAlign w:val="bottom"/>
          </w:tcPr>
          <w:p w14:paraId="11C9E182" w14:textId="60D62FF7" w:rsidR="005829CA" w:rsidRPr="005829CA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9CA">
              <w:t>6.492</w:t>
            </w:r>
          </w:p>
        </w:tc>
        <w:tc>
          <w:tcPr>
            <w:tcW w:w="992" w:type="dxa"/>
            <w:vAlign w:val="bottom"/>
          </w:tcPr>
          <w:p w14:paraId="08DCF5BF" w14:textId="5D9E568C" w:rsidR="005829CA" w:rsidRPr="005829CA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9CA">
              <w:t>37</w:t>
            </w:r>
          </w:p>
        </w:tc>
        <w:tc>
          <w:tcPr>
            <w:tcW w:w="980" w:type="dxa"/>
            <w:vAlign w:val="bottom"/>
          </w:tcPr>
          <w:p w14:paraId="1FCC58BC" w14:textId="0FD56AE1" w:rsidR="005829CA" w:rsidRPr="00292DAC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5829CA" w14:paraId="6F4488A9" w14:textId="77777777" w:rsidTr="007B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9F0714A" w14:textId="6F636787" w:rsidR="005829CA" w:rsidRPr="00017E67" w:rsidRDefault="005829CA" w:rsidP="005829CA">
            <w:pPr>
              <w:pStyle w:val="TabelalevoUMAR"/>
              <w:ind w:firstLine="476"/>
            </w:pPr>
            <w:r w:rsidRPr="00017E67">
              <w:t xml:space="preserve">  </w:t>
            </w:r>
            <w:r w:rsidR="00CD3EF2">
              <w:t>n</w:t>
            </w:r>
            <w:r w:rsidRPr="00017E67">
              <w:t>e</w:t>
            </w:r>
            <w:r w:rsidR="00CD3EF2">
              <w:t>–</w:t>
            </w:r>
            <w:r w:rsidRPr="00017E67">
              <w:t>ETS</w:t>
            </w:r>
          </w:p>
        </w:tc>
        <w:tc>
          <w:tcPr>
            <w:tcW w:w="810" w:type="dxa"/>
            <w:vAlign w:val="bottom"/>
          </w:tcPr>
          <w:p w14:paraId="6836E43E" w14:textId="5F47720C" w:rsidR="005829CA" w:rsidRPr="00292DAC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  <w:tc>
          <w:tcPr>
            <w:tcW w:w="811" w:type="dxa"/>
            <w:vAlign w:val="bottom"/>
          </w:tcPr>
          <w:p w14:paraId="1CDF1FDA" w14:textId="493DEA22" w:rsidR="005829CA" w:rsidRPr="00017E67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7E67">
              <w:t>11.736</w:t>
            </w:r>
          </w:p>
        </w:tc>
        <w:tc>
          <w:tcPr>
            <w:tcW w:w="811" w:type="dxa"/>
            <w:vAlign w:val="bottom"/>
          </w:tcPr>
          <w:p w14:paraId="36D5B54E" w14:textId="1287EB92" w:rsidR="005829CA" w:rsidRPr="005829CA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9CA">
              <w:t>11.425</w:t>
            </w:r>
          </w:p>
        </w:tc>
        <w:tc>
          <w:tcPr>
            <w:tcW w:w="810" w:type="dxa"/>
            <w:vAlign w:val="bottom"/>
          </w:tcPr>
          <w:p w14:paraId="3F993346" w14:textId="13FB1091" w:rsidR="005829CA" w:rsidRPr="005829CA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9CA">
              <w:t>10.641</w:t>
            </w:r>
          </w:p>
        </w:tc>
        <w:tc>
          <w:tcPr>
            <w:tcW w:w="811" w:type="dxa"/>
            <w:vAlign w:val="bottom"/>
          </w:tcPr>
          <w:p w14:paraId="7350D846" w14:textId="21B74B7E" w:rsidR="005829CA" w:rsidRPr="005829CA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9CA">
              <w:t>11.129</w:t>
            </w:r>
          </w:p>
        </w:tc>
        <w:tc>
          <w:tcPr>
            <w:tcW w:w="811" w:type="dxa"/>
            <w:vAlign w:val="bottom"/>
          </w:tcPr>
          <w:p w14:paraId="7F85D915" w14:textId="0FD7D8D3" w:rsidR="005829CA" w:rsidRPr="005829CA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9CA">
              <w:t>10.797</w:t>
            </w:r>
          </w:p>
        </w:tc>
        <w:tc>
          <w:tcPr>
            <w:tcW w:w="811" w:type="dxa"/>
            <w:vAlign w:val="bottom"/>
          </w:tcPr>
          <w:p w14:paraId="4CE5EAF2" w14:textId="66A5C508" w:rsidR="005829CA" w:rsidRPr="005829CA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9CA">
              <w:t>11.010</w:t>
            </w:r>
          </w:p>
        </w:tc>
        <w:tc>
          <w:tcPr>
            <w:tcW w:w="992" w:type="dxa"/>
            <w:vAlign w:val="bottom"/>
          </w:tcPr>
          <w:p w14:paraId="2B732A8B" w14:textId="1E6B2775" w:rsidR="005829CA" w:rsidRPr="005829CA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9CA">
              <w:t>63</w:t>
            </w:r>
          </w:p>
        </w:tc>
        <w:tc>
          <w:tcPr>
            <w:tcW w:w="980" w:type="dxa"/>
            <w:vAlign w:val="bottom"/>
          </w:tcPr>
          <w:p w14:paraId="7C33EE29" w14:textId="0971F622" w:rsidR="005829CA" w:rsidRPr="00292DAC" w:rsidRDefault="005829CA" w:rsidP="005829CA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</w:tr>
    </w:tbl>
    <w:p w14:paraId="01D546CA" w14:textId="2D5151E3" w:rsidR="00214DE4" w:rsidRPr="00292DAC" w:rsidRDefault="007E435D" w:rsidP="00292DAC">
      <w:pPr>
        <w:pStyle w:val="VirUMAR"/>
      </w:pPr>
      <w:r w:rsidRPr="00292DAC">
        <w:t xml:space="preserve">Vir podatkov: ARSO in EUROSTAT. Opomba: prikazani so vsi podatki skupaj, </w:t>
      </w:r>
      <w:r w:rsidR="000A3D3B">
        <w:t>r</w:t>
      </w:r>
      <w:r w:rsidRPr="00292DAC">
        <w:t>a</w:t>
      </w:r>
      <w:r w:rsidR="00E56829">
        <w:t>zvrščeno</w:t>
      </w:r>
      <w:r w:rsidRPr="00292DAC">
        <w:t xml:space="preserve"> glede na vrednosti v letu 2018.</w:t>
      </w:r>
    </w:p>
    <w:p w14:paraId="641B7559" w14:textId="213677B7" w:rsidR="00051550" w:rsidRDefault="00051550" w:rsidP="00051550">
      <w:pPr>
        <w:pStyle w:val="Caption"/>
      </w:pPr>
      <w:r>
        <w:lastRenderedPageBreak/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t>1</w:t>
      </w:r>
      <w:r>
        <w:fldChar w:fldCharType="end"/>
      </w:r>
      <w:r>
        <w:t>: Izpusti TGP, Slovenija</w:t>
      </w:r>
    </w:p>
    <w:p w14:paraId="419B6BBE" w14:textId="3A9F14F1" w:rsidR="00557B80" w:rsidRPr="00557B80" w:rsidRDefault="00232436" w:rsidP="00557B80">
      <w:pPr>
        <w:pStyle w:val="BesediloUMAR"/>
      </w:pPr>
      <w:r w:rsidRPr="00232436">
        <w:rPr>
          <w:noProof/>
          <w:lang w:eastAsia="sl-SI"/>
        </w:rPr>
        <w:drawing>
          <wp:inline distT="0" distB="0" distL="0" distR="0" wp14:anchorId="40D13FF0" wp14:editId="30DAC143">
            <wp:extent cx="5759450" cy="2111375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220D" w14:textId="01D17A3E" w:rsidR="00051550" w:rsidRDefault="00051550" w:rsidP="00051550">
      <w:pPr>
        <w:pStyle w:val="VirUMAR"/>
      </w:pPr>
      <w:r>
        <w:t xml:space="preserve">Vir podatkov: ARSO. </w:t>
      </w:r>
      <w:r w:rsidRPr="00051550">
        <w:t xml:space="preserve">Opomba: </w:t>
      </w:r>
      <w:r w:rsidR="000A3D3B">
        <w:t xml:space="preserve">prikaz je od leta 1986, to je od leta izdelave evidenc. </w:t>
      </w:r>
    </w:p>
    <w:p w14:paraId="46363E0A" w14:textId="77777777" w:rsidR="00C13059" w:rsidRDefault="00C13059" w:rsidP="00051550">
      <w:pPr>
        <w:pStyle w:val="BesediloUMAR"/>
        <w:rPr>
          <w:b/>
        </w:rPr>
      </w:pPr>
    </w:p>
    <w:p w14:paraId="14780040" w14:textId="77777777" w:rsidR="00BD058B" w:rsidRDefault="00BD058B" w:rsidP="00051550">
      <w:pPr>
        <w:pStyle w:val="BesediloUMAR"/>
        <w:rPr>
          <w:b/>
        </w:rPr>
      </w:pPr>
    </w:p>
    <w:p w14:paraId="55C48FBB" w14:textId="153BD9C0" w:rsidR="00D54FEE" w:rsidRDefault="008D5491" w:rsidP="00051550">
      <w:pPr>
        <w:pStyle w:val="BesediloUMAR"/>
        <w:rPr>
          <w:bCs/>
        </w:rPr>
      </w:pPr>
      <w:r>
        <w:rPr>
          <w:b/>
        </w:rPr>
        <w:t>V letu 2018 so bili skupni izpusti TGP v Sloveniji glede na leto 1990 nižji za 6 %, v povprečju EU</w:t>
      </w:r>
      <w:r w:rsidR="00062FF7">
        <w:rPr>
          <w:b/>
        </w:rPr>
        <w:t>-</w:t>
      </w:r>
      <w:r>
        <w:rPr>
          <w:b/>
        </w:rPr>
        <w:t>28 pa za četrtino</w:t>
      </w:r>
      <w:r w:rsidR="00437E1C">
        <w:rPr>
          <w:b/>
        </w:rPr>
        <w:t>.</w:t>
      </w:r>
      <w:r w:rsidR="001064DC">
        <w:rPr>
          <w:b/>
        </w:rPr>
        <w:t xml:space="preserve"> </w:t>
      </w:r>
      <w:r w:rsidR="00437E1C" w:rsidRPr="00437E1C">
        <w:rPr>
          <w:bCs/>
        </w:rPr>
        <w:t>Podobno sliko kaže tudi preračun izpustov na prebivalca</w:t>
      </w:r>
      <w:r w:rsidR="00437E1C">
        <w:rPr>
          <w:b/>
        </w:rPr>
        <w:t xml:space="preserve">, </w:t>
      </w:r>
      <w:r w:rsidR="00437E1C">
        <w:rPr>
          <w:bCs/>
        </w:rPr>
        <w:t xml:space="preserve">zato se je </w:t>
      </w:r>
      <w:r w:rsidRPr="008D5491">
        <w:rPr>
          <w:bCs/>
        </w:rPr>
        <w:t>s</w:t>
      </w:r>
      <w:r w:rsidR="0091783E">
        <w:rPr>
          <w:bCs/>
        </w:rPr>
        <w:t xml:space="preserve"> tem </w:t>
      </w:r>
      <w:r w:rsidRPr="008D5491">
        <w:rPr>
          <w:bCs/>
        </w:rPr>
        <w:t xml:space="preserve">uvrstitev Slovenije </w:t>
      </w:r>
      <w:r w:rsidR="00437E1C">
        <w:rPr>
          <w:bCs/>
        </w:rPr>
        <w:t>v tej primerjavi poslabšala. V</w:t>
      </w:r>
      <w:r>
        <w:rPr>
          <w:bCs/>
        </w:rPr>
        <w:t xml:space="preserve"> letu </w:t>
      </w:r>
      <w:r w:rsidR="00D76D1C">
        <w:rPr>
          <w:bCs/>
        </w:rPr>
        <w:t xml:space="preserve">1990 je bila Slovenija uvrščena med prvih osem </w:t>
      </w:r>
      <w:r w:rsidR="002E2D9D">
        <w:rPr>
          <w:bCs/>
        </w:rPr>
        <w:t>članic</w:t>
      </w:r>
      <w:r w:rsidR="00D76D1C">
        <w:rPr>
          <w:bCs/>
        </w:rPr>
        <w:t xml:space="preserve">, </w:t>
      </w:r>
      <w:r w:rsidR="00C9576D">
        <w:rPr>
          <w:bCs/>
        </w:rPr>
        <w:t xml:space="preserve">do leta </w:t>
      </w:r>
      <w:r w:rsidR="00D76D1C">
        <w:rPr>
          <w:bCs/>
        </w:rPr>
        <w:t xml:space="preserve">2018 pa je nazadovala </w:t>
      </w:r>
      <w:r w:rsidR="00997795">
        <w:rPr>
          <w:bCs/>
        </w:rPr>
        <w:t>proti</w:t>
      </w:r>
      <w:r w:rsidR="00364DBE">
        <w:rPr>
          <w:bCs/>
        </w:rPr>
        <w:t xml:space="preserve"> povprečj</w:t>
      </w:r>
      <w:r w:rsidR="00186B3E">
        <w:rPr>
          <w:bCs/>
        </w:rPr>
        <w:t>u</w:t>
      </w:r>
      <w:r w:rsidR="00364DBE">
        <w:rPr>
          <w:bCs/>
        </w:rPr>
        <w:t xml:space="preserve"> EU</w:t>
      </w:r>
      <w:r w:rsidR="002224D7">
        <w:rPr>
          <w:bCs/>
        </w:rPr>
        <w:t xml:space="preserve">. </w:t>
      </w:r>
      <w:r w:rsidR="00C13059">
        <w:rPr>
          <w:bCs/>
        </w:rPr>
        <w:t>V t</w:t>
      </w:r>
      <w:r w:rsidR="002E2D9D">
        <w:rPr>
          <w:bCs/>
        </w:rPr>
        <w:t>e</w:t>
      </w:r>
      <w:r w:rsidR="00A23482">
        <w:rPr>
          <w:bCs/>
        </w:rPr>
        <w:t>m preračunu</w:t>
      </w:r>
      <w:r w:rsidR="002E2D9D">
        <w:rPr>
          <w:bCs/>
        </w:rPr>
        <w:t xml:space="preserve"> </w:t>
      </w:r>
      <w:r w:rsidR="00C13059">
        <w:rPr>
          <w:bCs/>
        </w:rPr>
        <w:t xml:space="preserve">so bili izpusti v treh sosednjih državah nižji, višji pa le v </w:t>
      </w:r>
      <w:r w:rsidR="002224D7">
        <w:rPr>
          <w:bCs/>
        </w:rPr>
        <w:t xml:space="preserve"> Avstriji. </w:t>
      </w:r>
      <w:r w:rsidR="00B12BD4">
        <w:rPr>
          <w:bCs/>
        </w:rPr>
        <w:t xml:space="preserve">Po </w:t>
      </w:r>
      <w:r w:rsidR="00364DBE">
        <w:rPr>
          <w:bCs/>
        </w:rPr>
        <w:t xml:space="preserve">gibanju </w:t>
      </w:r>
      <w:r w:rsidR="00C9576D">
        <w:rPr>
          <w:bCs/>
        </w:rPr>
        <w:t xml:space="preserve">izpustov </w:t>
      </w:r>
      <w:r w:rsidR="00C46F53">
        <w:rPr>
          <w:bCs/>
        </w:rPr>
        <w:t>v obd</w:t>
      </w:r>
      <w:r w:rsidR="00B02F78">
        <w:rPr>
          <w:bCs/>
        </w:rPr>
        <w:t>o</w:t>
      </w:r>
      <w:r w:rsidR="00C46F53">
        <w:rPr>
          <w:bCs/>
        </w:rPr>
        <w:t xml:space="preserve">bju po letu 1990 </w:t>
      </w:r>
      <w:r w:rsidR="00B12BD4">
        <w:rPr>
          <w:bCs/>
        </w:rPr>
        <w:t xml:space="preserve">je </w:t>
      </w:r>
      <w:r w:rsidR="00C9576D">
        <w:rPr>
          <w:bCs/>
        </w:rPr>
        <w:t xml:space="preserve">bila </w:t>
      </w:r>
      <w:r w:rsidR="00B12BD4">
        <w:rPr>
          <w:bCs/>
        </w:rPr>
        <w:t xml:space="preserve">Slovenija </w:t>
      </w:r>
      <w:r w:rsidR="00B02F78">
        <w:rPr>
          <w:bCs/>
        </w:rPr>
        <w:t xml:space="preserve">med zadnjimi šestimi </w:t>
      </w:r>
      <w:r w:rsidR="00364DBE">
        <w:rPr>
          <w:bCs/>
        </w:rPr>
        <w:t>članic</w:t>
      </w:r>
      <w:r w:rsidR="00B02F78">
        <w:rPr>
          <w:bCs/>
        </w:rPr>
        <w:t>ami</w:t>
      </w:r>
      <w:r w:rsidR="00BD7000">
        <w:rPr>
          <w:bCs/>
        </w:rPr>
        <w:t xml:space="preserve">. </w:t>
      </w:r>
      <w:r w:rsidR="00B02F78">
        <w:rPr>
          <w:bCs/>
        </w:rPr>
        <w:t xml:space="preserve">Izpusti so se bolj zmanjšali </w:t>
      </w:r>
      <w:r w:rsidR="00C13059">
        <w:rPr>
          <w:bCs/>
        </w:rPr>
        <w:t>na vzhodu EU, v</w:t>
      </w:r>
      <w:r w:rsidR="00B02F78">
        <w:rPr>
          <w:bCs/>
        </w:rPr>
        <w:t xml:space="preserve"> petih </w:t>
      </w:r>
      <w:r w:rsidR="00BD7000">
        <w:rPr>
          <w:bCs/>
        </w:rPr>
        <w:t>članicah</w:t>
      </w:r>
      <w:r w:rsidR="00B02F78">
        <w:rPr>
          <w:bCs/>
        </w:rPr>
        <w:t xml:space="preserve"> </w:t>
      </w:r>
      <w:r w:rsidR="00C13059">
        <w:rPr>
          <w:bCs/>
        </w:rPr>
        <w:t>p</w:t>
      </w:r>
      <w:r w:rsidR="00B02F78">
        <w:rPr>
          <w:bCs/>
        </w:rPr>
        <w:t xml:space="preserve">a so se povečali, </w:t>
      </w:r>
      <w:r w:rsidR="00364DBE">
        <w:rPr>
          <w:bCs/>
        </w:rPr>
        <w:t xml:space="preserve">med njimi nekoliko </w:t>
      </w:r>
      <w:r w:rsidR="002E2D9D">
        <w:rPr>
          <w:bCs/>
        </w:rPr>
        <w:t xml:space="preserve">tudi </w:t>
      </w:r>
      <w:r w:rsidR="00364DBE">
        <w:rPr>
          <w:bCs/>
        </w:rPr>
        <w:t xml:space="preserve">v Avstriji. V </w:t>
      </w:r>
      <w:r w:rsidR="003E4202">
        <w:rPr>
          <w:bCs/>
        </w:rPr>
        <w:t>s</w:t>
      </w:r>
      <w:r w:rsidR="00364DBE">
        <w:rPr>
          <w:bCs/>
        </w:rPr>
        <w:t>truktur</w:t>
      </w:r>
      <w:r w:rsidR="00752F7F">
        <w:rPr>
          <w:bCs/>
        </w:rPr>
        <w:t>i</w:t>
      </w:r>
      <w:r w:rsidR="003E4202">
        <w:rPr>
          <w:bCs/>
        </w:rPr>
        <w:t xml:space="preserve"> izpustov </w:t>
      </w:r>
      <w:r w:rsidR="00C46F53">
        <w:rPr>
          <w:bCs/>
        </w:rPr>
        <w:t>po virih</w:t>
      </w:r>
      <w:r w:rsidR="00437E1C">
        <w:rPr>
          <w:bCs/>
        </w:rPr>
        <w:t xml:space="preserve"> v Sloveniji</w:t>
      </w:r>
      <w:r w:rsidR="00062FF7">
        <w:rPr>
          <w:bCs/>
        </w:rPr>
        <w:t>,</w:t>
      </w:r>
      <w:r w:rsidR="00437E1C">
        <w:rPr>
          <w:bCs/>
        </w:rPr>
        <w:t xml:space="preserve"> tudi v mednarodni primerjavi</w:t>
      </w:r>
      <w:r w:rsidR="00062FF7">
        <w:rPr>
          <w:bCs/>
        </w:rPr>
        <w:t>,</w:t>
      </w:r>
      <w:r w:rsidR="00C13059">
        <w:rPr>
          <w:bCs/>
        </w:rPr>
        <w:t xml:space="preserve"> </w:t>
      </w:r>
      <w:r w:rsidR="00437E1C">
        <w:rPr>
          <w:bCs/>
        </w:rPr>
        <w:t xml:space="preserve">izstopa </w:t>
      </w:r>
      <w:r w:rsidR="00A23482">
        <w:rPr>
          <w:bCs/>
        </w:rPr>
        <w:t xml:space="preserve">razmeroma </w:t>
      </w:r>
      <w:r w:rsidR="00364DBE">
        <w:rPr>
          <w:bCs/>
        </w:rPr>
        <w:t>v</w:t>
      </w:r>
      <w:r w:rsidR="00C46F53">
        <w:rPr>
          <w:bCs/>
        </w:rPr>
        <w:t>isok</w:t>
      </w:r>
      <w:r w:rsidR="00364DBE">
        <w:rPr>
          <w:bCs/>
        </w:rPr>
        <w:t xml:space="preserve"> delež </w:t>
      </w:r>
      <w:r w:rsidR="00C46F53">
        <w:rPr>
          <w:bCs/>
        </w:rPr>
        <w:t>iz prometa</w:t>
      </w:r>
      <w:r w:rsidR="00BD7000">
        <w:rPr>
          <w:bCs/>
        </w:rPr>
        <w:t xml:space="preserve"> (33 % v letu 2018)</w:t>
      </w:r>
      <w:r w:rsidR="00C13059">
        <w:rPr>
          <w:bCs/>
        </w:rPr>
        <w:t>.</w:t>
      </w:r>
      <w:r w:rsidR="00BD7000">
        <w:rPr>
          <w:bCs/>
        </w:rPr>
        <w:t xml:space="preserve"> Ta je</w:t>
      </w:r>
      <w:r w:rsidR="00C46F53">
        <w:rPr>
          <w:bCs/>
        </w:rPr>
        <w:t xml:space="preserve"> </w:t>
      </w:r>
      <w:r w:rsidR="00C13059">
        <w:rPr>
          <w:bCs/>
        </w:rPr>
        <w:t xml:space="preserve">v </w:t>
      </w:r>
      <w:r w:rsidR="00C46F53">
        <w:rPr>
          <w:bCs/>
        </w:rPr>
        <w:t xml:space="preserve">EU </w:t>
      </w:r>
      <w:r w:rsidR="003E4202">
        <w:rPr>
          <w:bCs/>
        </w:rPr>
        <w:t xml:space="preserve">višji </w:t>
      </w:r>
      <w:r w:rsidR="00C46F53">
        <w:rPr>
          <w:bCs/>
        </w:rPr>
        <w:t>le v Luksemburgu</w:t>
      </w:r>
      <w:r w:rsidR="00BD7000">
        <w:rPr>
          <w:bCs/>
        </w:rPr>
        <w:t xml:space="preserve"> (57 % v letu 2018)</w:t>
      </w:r>
      <w:r w:rsidR="003E4202">
        <w:rPr>
          <w:bCs/>
        </w:rPr>
        <w:t xml:space="preserve">, kjer je </w:t>
      </w:r>
      <w:r w:rsidR="000C57F0">
        <w:rPr>
          <w:bCs/>
        </w:rPr>
        <w:t xml:space="preserve">promet tudi </w:t>
      </w:r>
      <w:r w:rsidR="00BD7000">
        <w:rPr>
          <w:bCs/>
        </w:rPr>
        <w:t xml:space="preserve">daleč najpomembnejši </w:t>
      </w:r>
      <w:r w:rsidR="003E4202">
        <w:rPr>
          <w:bCs/>
        </w:rPr>
        <w:t xml:space="preserve">razlog za razmeroma visoke </w:t>
      </w:r>
      <w:r w:rsidR="007C6559">
        <w:rPr>
          <w:bCs/>
        </w:rPr>
        <w:t xml:space="preserve">skupne </w:t>
      </w:r>
      <w:r w:rsidR="003E4202">
        <w:rPr>
          <w:bCs/>
        </w:rPr>
        <w:t>izpuste na prebivalca.</w:t>
      </w:r>
      <w:r w:rsidR="00C13059">
        <w:rPr>
          <w:b/>
        </w:rPr>
        <w:t xml:space="preserve"> </w:t>
      </w:r>
      <w:r w:rsidR="00C46F53">
        <w:rPr>
          <w:bCs/>
        </w:rPr>
        <w:t xml:space="preserve"> </w:t>
      </w:r>
    </w:p>
    <w:p w14:paraId="68CC97BB" w14:textId="4F5C62F5" w:rsidR="00051550" w:rsidRDefault="00051550" w:rsidP="00D54FEE">
      <w:pPr>
        <w:pStyle w:val="Caption"/>
      </w:pPr>
      <w:r w:rsidRPr="00051550">
        <w:t xml:space="preserve">Slika </w:t>
      </w:r>
      <w:r w:rsidRPr="00051550">
        <w:fldChar w:fldCharType="begin"/>
      </w:r>
      <w:r w:rsidRPr="00051550">
        <w:instrText xml:space="preserve"> SEQ Slika \* ARABIC </w:instrText>
      </w:r>
      <w:r w:rsidRPr="00051550">
        <w:fldChar w:fldCharType="separate"/>
      </w:r>
      <w:r>
        <w:t>2</w:t>
      </w:r>
      <w:r w:rsidRPr="00051550">
        <w:fldChar w:fldCharType="end"/>
      </w:r>
      <w:r w:rsidRPr="00051550">
        <w:t xml:space="preserve">: </w:t>
      </w:r>
      <w:r w:rsidR="00CD3F23">
        <w:t>Skupni i</w:t>
      </w:r>
      <w:r w:rsidRPr="00051550">
        <w:t>zpusti TGP, 2018</w:t>
      </w:r>
    </w:p>
    <w:p w14:paraId="264D1EEE" w14:textId="03974AAA" w:rsidR="00F952D4" w:rsidRPr="00F952D4" w:rsidRDefault="00F952D4" w:rsidP="00F952D4">
      <w:pPr>
        <w:pStyle w:val="BesediloUMAR"/>
      </w:pPr>
      <w:r w:rsidRPr="00F952D4">
        <w:rPr>
          <w:noProof/>
          <w:lang w:eastAsia="sl-SI"/>
        </w:rPr>
        <w:drawing>
          <wp:inline distT="0" distB="0" distL="0" distR="0" wp14:anchorId="752A00DC" wp14:editId="0BF2F0C7">
            <wp:extent cx="5759450" cy="2072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A409" w14:textId="77777777" w:rsidR="00051550" w:rsidRPr="00051550" w:rsidRDefault="00051550" w:rsidP="00051550">
      <w:pPr>
        <w:pStyle w:val="VirUMAR"/>
        <w:rPr>
          <w:b/>
        </w:rPr>
      </w:pPr>
      <w:r w:rsidRPr="00051550">
        <w:t>Vir podatkov: EUROSTAT.</w:t>
      </w:r>
    </w:p>
    <w:p w14:paraId="6F65D6B5" w14:textId="726903B5" w:rsidR="00051550" w:rsidRDefault="00BD058B" w:rsidP="00D54FEE">
      <w:pPr>
        <w:pStyle w:val="Caption"/>
      </w:pPr>
      <w:r>
        <w:lastRenderedPageBreak/>
        <w:t>S</w:t>
      </w:r>
      <w:r w:rsidR="00051550" w:rsidRPr="00051550">
        <w:t xml:space="preserve">lika </w:t>
      </w:r>
      <w:r w:rsidR="00051550" w:rsidRPr="00051550">
        <w:fldChar w:fldCharType="begin"/>
      </w:r>
      <w:r w:rsidR="00051550" w:rsidRPr="00051550">
        <w:instrText xml:space="preserve"> SEQ Slika \* ARABIC </w:instrText>
      </w:r>
      <w:r w:rsidR="00051550" w:rsidRPr="00051550">
        <w:fldChar w:fldCharType="separate"/>
      </w:r>
      <w:r w:rsidR="00051550" w:rsidRPr="00051550">
        <w:t>3</w:t>
      </w:r>
      <w:r w:rsidR="00051550" w:rsidRPr="00051550">
        <w:fldChar w:fldCharType="end"/>
      </w:r>
      <w:r w:rsidR="00051550" w:rsidRPr="00051550">
        <w:t xml:space="preserve">: </w:t>
      </w:r>
      <w:r w:rsidR="00CD3EF2">
        <w:t>Skupni i</w:t>
      </w:r>
      <w:r w:rsidR="00051550" w:rsidRPr="00051550">
        <w:t>zpusti TGP na prebivalca, 2018</w:t>
      </w:r>
    </w:p>
    <w:p w14:paraId="1C4DAD8E" w14:textId="3DF0803D" w:rsidR="00A276A0" w:rsidRDefault="00F839C5" w:rsidP="00051550">
      <w:pPr>
        <w:pStyle w:val="BesediloUMAR"/>
        <w:rPr>
          <w:b/>
          <w:bCs/>
        </w:rPr>
      </w:pPr>
      <w:r w:rsidRPr="00F839C5">
        <w:rPr>
          <w:noProof/>
          <w:lang w:eastAsia="sl-SI"/>
        </w:rPr>
        <w:drawing>
          <wp:inline distT="0" distB="0" distL="0" distR="0" wp14:anchorId="0B77E67E" wp14:editId="2019A407">
            <wp:extent cx="5759450" cy="2092960"/>
            <wp:effectExtent l="0" t="0" r="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D1FEB" w14:textId="26B3790B" w:rsidR="00051550" w:rsidRDefault="00051550" w:rsidP="00051550">
      <w:pPr>
        <w:pStyle w:val="VirUMAR"/>
      </w:pPr>
      <w:r w:rsidRPr="00051550">
        <w:t>Vir podatkov: EUROSTAT.</w:t>
      </w:r>
    </w:p>
    <w:p w14:paraId="54F93E62" w14:textId="1C22F7B8" w:rsidR="00051550" w:rsidRPr="00D54FEE" w:rsidRDefault="00051550" w:rsidP="00D54FEE">
      <w:pPr>
        <w:pStyle w:val="Caption"/>
      </w:pPr>
      <w:r w:rsidRPr="00051550">
        <w:t xml:space="preserve">Slika </w:t>
      </w:r>
      <w:r w:rsidRPr="00051550">
        <w:fldChar w:fldCharType="begin"/>
      </w:r>
      <w:r w:rsidRPr="00051550">
        <w:instrText xml:space="preserve"> SEQ Slika \* ARABIC </w:instrText>
      </w:r>
      <w:r w:rsidRPr="00051550">
        <w:fldChar w:fldCharType="separate"/>
      </w:r>
      <w:r w:rsidRPr="00051550">
        <w:t>4</w:t>
      </w:r>
      <w:r w:rsidRPr="00051550">
        <w:fldChar w:fldCharType="end"/>
      </w:r>
      <w:r w:rsidRPr="00051550">
        <w:t xml:space="preserve">: </w:t>
      </w:r>
      <w:r w:rsidR="002224D7">
        <w:t>Raven</w:t>
      </w:r>
      <w:r>
        <w:t xml:space="preserve"> </w:t>
      </w:r>
      <w:r w:rsidR="00CD3EF2">
        <w:t xml:space="preserve">skupnih </w:t>
      </w:r>
      <w:r w:rsidRPr="00051550">
        <w:t>izpustov TGP</w:t>
      </w:r>
      <w:r w:rsidR="009B35A7">
        <w:t xml:space="preserve">, </w:t>
      </w:r>
      <w:r w:rsidRPr="00051550">
        <w:t>2018</w:t>
      </w:r>
      <w:r w:rsidR="009B35A7">
        <w:t xml:space="preserve"> glede na 1990</w:t>
      </w:r>
    </w:p>
    <w:p w14:paraId="38A6AA83" w14:textId="7AC32BFA" w:rsidR="005C1977" w:rsidRDefault="00F839C5" w:rsidP="00051550">
      <w:pPr>
        <w:pStyle w:val="VirUMAR"/>
        <w:rPr>
          <w:b/>
          <w:bCs/>
          <w:sz w:val="20"/>
        </w:rPr>
      </w:pPr>
      <w:r w:rsidRPr="00F839C5">
        <w:rPr>
          <w:noProof/>
          <w:lang w:eastAsia="sl-SI"/>
        </w:rPr>
        <w:drawing>
          <wp:inline distT="0" distB="0" distL="0" distR="0" wp14:anchorId="03C84F40" wp14:editId="2AA8978B">
            <wp:extent cx="5759450" cy="209994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1F645" w14:textId="5BAFDAA6" w:rsidR="00D54FEE" w:rsidRDefault="00346531" w:rsidP="00D54FEE">
      <w:pPr>
        <w:pStyle w:val="VirUMAR"/>
      </w:pPr>
      <w:r w:rsidRPr="00346531">
        <w:t xml:space="preserve">Vir podatkov: EUROSTAT. Opomba: </w:t>
      </w:r>
      <w:r w:rsidR="00C46F53">
        <w:t xml:space="preserve">cilj za </w:t>
      </w:r>
      <w:r w:rsidRPr="00346531">
        <w:t xml:space="preserve">EU </w:t>
      </w:r>
      <w:r w:rsidR="00C46F53">
        <w:t>do leta 2020</w:t>
      </w:r>
      <w:r w:rsidR="00752F7F">
        <w:t>, ki</w:t>
      </w:r>
      <w:r w:rsidR="00C46F53">
        <w:t xml:space="preserve"> je znižanje </w:t>
      </w:r>
      <w:r w:rsidR="00752F7F">
        <w:t xml:space="preserve">izpustov </w:t>
      </w:r>
      <w:r w:rsidR="00C46F53">
        <w:t>za</w:t>
      </w:r>
      <w:r w:rsidRPr="00346531">
        <w:t xml:space="preserve"> 20 %</w:t>
      </w:r>
      <w:r w:rsidR="00752F7F">
        <w:t xml:space="preserve">, je </w:t>
      </w:r>
      <w:r w:rsidR="007C6559">
        <w:t xml:space="preserve">bil v letu 2018 </w:t>
      </w:r>
      <w:r w:rsidR="00752F7F">
        <w:t>že presežen</w:t>
      </w:r>
      <w:r w:rsidR="007C6559">
        <w:t>,</w:t>
      </w:r>
      <w:r w:rsidR="00D96D2A">
        <w:t xml:space="preserve"> </w:t>
      </w:r>
      <w:r w:rsidRPr="00346531">
        <w:t xml:space="preserve">cilji </w:t>
      </w:r>
      <w:r w:rsidR="00D96D2A">
        <w:t xml:space="preserve">za posamezne članice </w:t>
      </w:r>
      <w:r w:rsidR="007C6559">
        <w:t xml:space="preserve">pa </w:t>
      </w:r>
      <w:r w:rsidRPr="00346531">
        <w:t xml:space="preserve">niso </w:t>
      </w:r>
      <w:r w:rsidR="000C57F0">
        <w:t xml:space="preserve">bili </w:t>
      </w:r>
      <w:r w:rsidRPr="00346531">
        <w:t>zastavljeni (Evropa 2020</w:t>
      </w:r>
      <w:r w:rsidR="00752F7F">
        <w:t>, 2010</w:t>
      </w:r>
      <w:r w:rsidRPr="00346531">
        <w:t>)</w:t>
      </w:r>
      <w:r w:rsidR="00752F7F">
        <w:t>.</w:t>
      </w:r>
    </w:p>
    <w:p w14:paraId="15572477" w14:textId="283D46CD" w:rsidR="00346531" w:rsidRPr="00346531" w:rsidRDefault="00346531" w:rsidP="00D54FEE">
      <w:pPr>
        <w:pStyle w:val="Caption"/>
      </w:pPr>
      <w:r w:rsidRPr="00346531">
        <w:t xml:space="preserve">Slika </w:t>
      </w:r>
      <w:r w:rsidRPr="00346531">
        <w:fldChar w:fldCharType="begin"/>
      </w:r>
      <w:r w:rsidRPr="00346531">
        <w:instrText xml:space="preserve"> SEQ Slika \* ARABIC </w:instrText>
      </w:r>
      <w:r w:rsidRPr="00346531">
        <w:fldChar w:fldCharType="separate"/>
      </w:r>
      <w:r w:rsidRPr="00346531">
        <w:t>5</w:t>
      </w:r>
      <w:r w:rsidRPr="00346531">
        <w:fldChar w:fldCharType="end"/>
      </w:r>
      <w:r w:rsidRPr="00346531">
        <w:t>: Struktura izpustov TGP, 2018</w:t>
      </w:r>
    </w:p>
    <w:p w14:paraId="00177B5D" w14:textId="167049DB" w:rsidR="00346531" w:rsidRPr="00346531" w:rsidRDefault="00232436" w:rsidP="00346531">
      <w:pPr>
        <w:pStyle w:val="BesediloUMAR"/>
      </w:pPr>
      <w:r w:rsidRPr="00232436">
        <w:rPr>
          <w:noProof/>
          <w:lang w:eastAsia="sl-SI"/>
        </w:rPr>
        <w:drawing>
          <wp:inline distT="0" distB="0" distL="0" distR="0" wp14:anchorId="59F7566F" wp14:editId="72B03F1A">
            <wp:extent cx="5759450" cy="2095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20D8B" w14:textId="5AD30DE4" w:rsidR="00346531" w:rsidRDefault="00346531" w:rsidP="00346531">
      <w:pPr>
        <w:pStyle w:val="VirUMAR"/>
      </w:pPr>
      <w:r w:rsidRPr="00346531">
        <w:t xml:space="preserve">Vir podatkov: EUROSTAT, </w:t>
      </w:r>
      <w:r w:rsidR="00E56829" w:rsidRPr="00346531">
        <w:t>preračun</w:t>
      </w:r>
      <w:r w:rsidR="00E56829">
        <w:t>i</w:t>
      </w:r>
      <w:r w:rsidRPr="00346531">
        <w:t xml:space="preserve"> UMAR.</w:t>
      </w:r>
      <w:r w:rsidR="00FE4D53">
        <w:t xml:space="preserve"> Opomba: r</w:t>
      </w:r>
      <w:r w:rsidR="00E56829">
        <w:t>azvrščeno</w:t>
      </w:r>
      <w:r w:rsidR="00FE4D53">
        <w:t xml:space="preserve"> po deležu izpustov iz prometa. </w:t>
      </w:r>
    </w:p>
    <w:p w14:paraId="48C2D057" w14:textId="77777777" w:rsidR="00346531" w:rsidRPr="00346531" w:rsidRDefault="00346531" w:rsidP="00346531">
      <w:pPr>
        <w:pStyle w:val="BesediloUMAR"/>
        <w:rPr>
          <w:highlight w:val="lightGray"/>
        </w:rPr>
      </w:pPr>
    </w:p>
    <w:p w14:paraId="07890341" w14:textId="74CDC642" w:rsidR="000C57F0" w:rsidRDefault="008071B1" w:rsidP="00894B98">
      <w:pPr>
        <w:pStyle w:val="BesediloUMAR"/>
      </w:pPr>
      <w:r>
        <w:rPr>
          <w:rStyle w:val="VodilnistavekUMAR"/>
        </w:rPr>
        <w:t>Okoli dve tretjini skupnih izpustov TGP v</w:t>
      </w:r>
      <w:r w:rsidR="00A8343A">
        <w:rPr>
          <w:rStyle w:val="VodilnistavekUMAR"/>
        </w:rPr>
        <w:t xml:space="preserve"> Sloveniji</w:t>
      </w:r>
      <w:r w:rsidR="00017E67">
        <w:rPr>
          <w:rStyle w:val="VodilnistavekUMAR"/>
        </w:rPr>
        <w:t xml:space="preserve">, podobno kot v </w:t>
      </w:r>
      <w:r w:rsidR="00E56829">
        <w:rPr>
          <w:rStyle w:val="VodilnistavekUMAR"/>
        </w:rPr>
        <w:t>povprečju</w:t>
      </w:r>
      <w:r w:rsidR="00017E67">
        <w:rPr>
          <w:rStyle w:val="VodilnistavekUMAR"/>
        </w:rPr>
        <w:t xml:space="preserve"> EU, </w:t>
      </w:r>
      <w:r w:rsidR="00A8343A">
        <w:rPr>
          <w:rStyle w:val="VodilnistavekUMAR"/>
        </w:rPr>
        <w:t>iz</w:t>
      </w:r>
      <w:r w:rsidR="00FE4D53">
        <w:rPr>
          <w:rStyle w:val="VodilnistavekUMAR"/>
        </w:rPr>
        <w:t>haja</w:t>
      </w:r>
      <w:r w:rsidR="00186B3E">
        <w:rPr>
          <w:rStyle w:val="VodilnistavekUMAR"/>
        </w:rPr>
        <w:t>ta</w:t>
      </w:r>
      <w:r w:rsidR="00FE4D53">
        <w:rPr>
          <w:rStyle w:val="VodilnistavekUMAR"/>
        </w:rPr>
        <w:t xml:space="preserve"> iz sektorj</w:t>
      </w:r>
      <w:r w:rsidR="00903395">
        <w:rPr>
          <w:rStyle w:val="VodilnistavekUMAR"/>
        </w:rPr>
        <w:t>a</w:t>
      </w:r>
      <w:r w:rsidR="00FE4D53">
        <w:rPr>
          <w:rStyle w:val="VodilnistavekUMAR"/>
        </w:rPr>
        <w:t xml:space="preserve"> </w:t>
      </w:r>
      <w:r w:rsidR="00A8343A">
        <w:rPr>
          <w:rStyle w:val="VodilnistavekUMAR"/>
        </w:rPr>
        <w:t xml:space="preserve">izven </w:t>
      </w:r>
      <w:r w:rsidR="00FE4D53">
        <w:rPr>
          <w:rStyle w:val="VodilnistavekUMAR"/>
        </w:rPr>
        <w:t>sistema za trgovanje</w:t>
      </w:r>
      <w:r w:rsidR="00A8343A">
        <w:rPr>
          <w:rStyle w:val="VodilnistavekUMAR"/>
        </w:rPr>
        <w:t>.</w:t>
      </w:r>
      <w:r w:rsidR="00FE4D53">
        <w:rPr>
          <w:rStyle w:val="VodilnistavekUMAR"/>
        </w:rPr>
        <w:t xml:space="preserve"> </w:t>
      </w:r>
      <w:r w:rsidR="00A8343A" w:rsidRPr="00A8343A">
        <w:t xml:space="preserve">Izpusti iz </w:t>
      </w:r>
      <w:r w:rsidR="00A8343A">
        <w:t>ne-ETS so se v</w:t>
      </w:r>
      <w:r w:rsidR="00FE4D53" w:rsidRPr="00552E8E">
        <w:t xml:space="preserve"> </w:t>
      </w:r>
      <w:r w:rsidR="00E56829" w:rsidRPr="00552E8E">
        <w:t>obdobju</w:t>
      </w:r>
      <w:r w:rsidR="00FE4D53" w:rsidRPr="00552E8E">
        <w:t xml:space="preserve"> 2005–</w:t>
      </w:r>
      <w:r>
        <w:t>2</w:t>
      </w:r>
      <w:r w:rsidR="00FE4D53" w:rsidRPr="00552E8E">
        <w:t xml:space="preserve">018 </w:t>
      </w:r>
      <w:r w:rsidR="003A7B88">
        <w:t xml:space="preserve">zmanjšali za okoli 6 %, </w:t>
      </w:r>
      <w:r w:rsidR="003A2980">
        <w:t xml:space="preserve">kar </w:t>
      </w:r>
      <w:r w:rsidR="00A8343A">
        <w:t xml:space="preserve">pa </w:t>
      </w:r>
      <w:r w:rsidR="003A2980">
        <w:t xml:space="preserve">je precej manj kot v sektorju ETS, kjer so se zmanjšali za okoli četrtino. Glavni razlog za </w:t>
      </w:r>
      <w:r w:rsidR="00E56829">
        <w:t>manjše</w:t>
      </w:r>
      <w:r w:rsidR="00A8343A">
        <w:t xml:space="preserve"> </w:t>
      </w:r>
      <w:r w:rsidR="003A2980">
        <w:t>zmanjšanj</w:t>
      </w:r>
      <w:r w:rsidR="00A8343A">
        <w:t>e</w:t>
      </w:r>
      <w:r w:rsidR="003A2980">
        <w:t xml:space="preserve"> izpustov v ne</w:t>
      </w:r>
      <w:r w:rsidR="00CD3EF2">
        <w:t>–</w:t>
      </w:r>
      <w:r w:rsidR="003A2980">
        <w:t xml:space="preserve">ETS sektorju je povečanje izpustov </w:t>
      </w:r>
      <w:r w:rsidR="00FC5749">
        <w:t>iz</w:t>
      </w:r>
      <w:r w:rsidR="003A2980">
        <w:t xml:space="preserve"> sektorj</w:t>
      </w:r>
      <w:r w:rsidR="00FC5749">
        <w:t>a</w:t>
      </w:r>
      <w:r w:rsidR="003A2980">
        <w:t xml:space="preserve"> promet, ki je v letu 2018 k skupnim ne</w:t>
      </w:r>
      <w:r w:rsidR="00CD3EF2">
        <w:t>–</w:t>
      </w:r>
      <w:r w:rsidR="003A2980">
        <w:t xml:space="preserve">ETS </w:t>
      </w:r>
      <w:r w:rsidR="003A2980">
        <w:lastRenderedPageBreak/>
        <w:t xml:space="preserve">izpustom prispeval že več kot polovico. Po letu 2005 so se izpusti iz prometa povečali za okoli </w:t>
      </w:r>
      <w:r w:rsidR="00E56829">
        <w:t>tretjino</w:t>
      </w:r>
      <w:r w:rsidR="003A2980">
        <w:t xml:space="preserve">, zato bi bila v tem sektorju smiselna prednostna obravnava ukrepov predvsem na področju </w:t>
      </w:r>
      <w:r w:rsidR="00485BC0">
        <w:t xml:space="preserve">povečanja deleža </w:t>
      </w:r>
      <w:r w:rsidR="00E56829">
        <w:t>obnovljivih</w:t>
      </w:r>
      <w:r w:rsidR="00485BC0">
        <w:t xml:space="preserve"> virov energije, javnega potniškega prometa  ter</w:t>
      </w:r>
      <w:r w:rsidR="00C473BA">
        <w:t xml:space="preserve"> na</w:t>
      </w:r>
      <w:r w:rsidR="00485BC0">
        <w:t xml:space="preserve"> drugih področjih trajnostn</w:t>
      </w:r>
      <w:r w:rsidR="00B96779">
        <w:t xml:space="preserve">e </w:t>
      </w:r>
      <w:r w:rsidR="00485BC0">
        <w:t>mobilnosti.</w:t>
      </w:r>
      <w:r w:rsidR="00485BC0">
        <w:rPr>
          <w:rStyle w:val="FootnoteReference"/>
        </w:rPr>
        <w:footnoteReference w:id="10"/>
      </w:r>
      <w:r w:rsidR="00485BC0">
        <w:t xml:space="preserve"> </w:t>
      </w:r>
      <w:r w:rsidR="00B96779">
        <w:t xml:space="preserve">Izpusti so se bolj </w:t>
      </w:r>
      <w:r w:rsidR="007C6559">
        <w:t>povečali</w:t>
      </w:r>
      <w:r w:rsidR="00B96779">
        <w:t xml:space="preserve"> tudi v </w:t>
      </w:r>
      <w:r w:rsidR="00F952D4">
        <w:t xml:space="preserve">delu </w:t>
      </w:r>
      <w:r w:rsidR="00B96779">
        <w:t>energetik</w:t>
      </w:r>
      <w:r w:rsidR="00F952D4">
        <w:t>e</w:t>
      </w:r>
      <w:r w:rsidR="00B96779">
        <w:t xml:space="preserve"> in industrij</w:t>
      </w:r>
      <w:r w:rsidR="00F952D4">
        <w:t>e</w:t>
      </w:r>
      <w:r w:rsidR="00B96779">
        <w:t xml:space="preserve">, </w:t>
      </w:r>
      <w:r w:rsidR="00F952D4">
        <w:t xml:space="preserve">ki ni vključen v ETS, </w:t>
      </w:r>
      <w:r w:rsidR="00B96779">
        <w:t>a ti v</w:t>
      </w:r>
      <w:r w:rsidR="00295028">
        <w:t xml:space="preserve"> strukturi nimajo večjega deleža. </w:t>
      </w:r>
      <w:r w:rsidR="00552E8E" w:rsidRPr="00894B98">
        <w:t xml:space="preserve">V povprečju držav EU sta bili znižanji </w:t>
      </w:r>
      <w:r w:rsidR="00295028">
        <w:t>v opazov</w:t>
      </w:r>
      <w:r w:rsidR="00A8343A">
        <w:t>a</w:t>
      </w:r>
      <w:r w:rsidR="00295028">
        <w:t>nem obdobju večji</w:t>
      </w:r>
      <w:r w:rsidR="00A8343A">
        <w:t xml:space="preserve">: </w:t>
      </w:r>
      <w:r w:rsidR="00A8343A" w:rsidRPr="00894B98">
        <w:t xml:space="preserve">izpusti </w:t>
      </w:r>
      <w:r w:rsidR="00A8343A">
        <w:t>iz ne-ETS sektorja so se zmanjšali za okoli</w:t>
      </w:r>
      <w:r w:rsidR="00A8343A" w:rsidRPr="00894B98">
        <w:t xml:space="preserve"> 11 %</w:t>
      </w:r>
      <w:r w:rsidR="00A8343A">
        <w:t xml:space="preserve">, </w:t>
      </w:r>
      <w:r w:rsidR="00A8343A">
        <w:rPr>
          <w:rStyle w:val="VodilnistavekUMAR"/>
        </w:rPr>
        <w:t xml:space="preserve"> </w:t>
      </w:r>
      <w:r w:rsidR="00894B98" w:rsidRPr="00894B98">
        <w:t xml:space="preserve">izpusti </w:t>
      </w:r>
      <w:r w:rsidR="00A8343A">
        <w:t xml:space="preserve">iz sektorja ETS pa za okoli </w:t>
      </w:r>
      <w:r w:rsidR="00894B98" w:rsidRPr="00894B98">
        <w:t>30 %</w:t>
      </w:r>
      <w:r w:rsidR="00A8343A">
        <w:t>.</w:t>
      </w:r>
    </w:p>
    <w:p w14:paraId="29C530E5" w14:textId="0CF17A4A" w:rsidR="00213F15" w:rsidRDefault="00213F15" w:rsidP="00894B98">
      <w:pPr>
        <w:pStyle w:val="BesediloUMAR"/>
      </w:pPr>
    </w:p>
    <w:p w14:paraId="143E1F5C" w14:textId="4781598D" w:rsidR="00ED43F0" w:rsidRDefault="002E195F" w:rsidP="00346531">
      <w:pPr>
        <w:pStyle w:val="BesediloUMAR"/>
      </w:pPr>
      <w:r>
        <w:rPr>
          <w:rStyle w:val="VodilnistavekUMAR"/>
        </w:rPr>
        <w:t>V sistem za trgovanje je vključen</w:t>
      </w:r>
      <w:r w:rsidR="002A7747">
        <w:rPr>
          <w:rStyle w:val="VodilnistavekUMAR"/>
        </w:rPr>
        <w:t>a</w:t>
      </w:r>
      <w:r>
        <w:rPr>
          <w:rStyle w:val="VodilnistavekUMAR"/>
        </w:rPr>
        <w:t xml:space="preserve"> večina </w:t>
      </w:r>
      <w:r w:rsidR="004C74E2">
        <w:rPr>
          <w:rStyle w:val="VodilnistavekUMAR"/>
        </w:rPr>
        <w:t xml:space="preserve">sektorja </w:t>
      </w:r>
      <w:r>
        <w:rPr>
          <w:rStyle w:val="VodilnistavekUMAR"/>
        </w:rPr>
        <w:t>energetik</w:t>
      </w:r>
      <w:r w:rsidR="004C74E2">
        <w:rPr>
          <w:rStyle w:val="VodilnistavekUMAR"/>
        </w:rPr>
        <w:t>a</w:t>
      </w:r>
      <w:r w:rsidR="0023306B">
        <w:rPr>
          <w:rStyle w:val="VodilnistavekUMAR"/>
        </w:rPr>
        <w:t xml:space="preserve"> in okoli 60 % </w:t>
      </w:r>
      <w:r w:rsidR="002A7747">
        <w:rPr>
          <w:rStyle w:val="VodilnistavekUMAR"/>
        </w:rPr>
        <w:t>sektor</w:t>
      </w:r>
      <w:r w:rsidR="0023306B">
        <w:rPr>
          <w:rStyle w:val="VodilnistavekUMAR"/>
        </w:rPr>
        <w:t>ja</w:t>
      </w:r>
      <w:r w:rsidR="002A7747">
        <w:rPr>
          <w:rStyle w:val="VodilnistavekUMAR"/>
        </w:rPr>
        <w:t xml:space="preserve"> industrij</w:t>
      </w:r>
      <w:r w:rsidR="0023306B">
        <w:rPr>
          <w:rStyle w:val="VodilnistavekUMAR"/>
        </w:rPr>
        <w:t>a</w:t>
      </w:r>
      <w:r>
        <w:rPr>
          <w:rStyle w:val="VodilnistavekUMAR"/>
        </w:rPr>
        <w:t xml:space="preserve">. </w:t>
      </w:r>
      <w:r w:rsidR="00402176">
        <w:t xml:space="preserve">Podatki upravljalcev naprav, ki so vključeni v </w:t>
      </w:r>
      <w:r w:rsidR="00792EB7">
        <w:t>ETS</w:t>
      </w:r>
      <w:r w:rsidR="00402176">
        <w:t xml:space="preserve">, so javni in vključujejo (i) število </w:t>
      </w:r>
      <w:r w:rsidR="00792EB7">
        <w:t xml:space="preserve">prejetih </w:t>
      </w:r>
      <w:r w:rsidR="00402176">
        <w:t xml:space="preserve">brezplačnih </w:t>
      </w:r>
      <w:r w:rsidR="00792EB7">
        <w:t>emisijskih kupo</w:t>
      </w:r>
      <w:r w:rsidR="00062FF7">
        <w:t>no</w:t>
      </w:r>
      <w:r w:rsidR="00792EB7">
        <w:t xml:space="preserve">v in (ii) število predanih emisijskih kuponov, potrebnih za kritje povzročenih izpustov TGP. Vsak upravljalec mora pokriti nastalo razliko med brezplačno podeljenimi </w:t>
      </w:r>
      <w:r w:rsidR="00605FA1">
        <w:t xml:space="preserve">dovoljenji </w:t>
      </w:r>
      <w:r w:rsidR="00792EB7">
        <w:t>in povzročenimi izpusti TGP</w:t>
      </w:r>
      <w:r w:rsidR="00C473BA">
        <w:t>,</w:t>
      </w:r>
      <w:r w:rsidR="00792EB7">
        <w:t xml:space="preserve"> tako da dokupi emisijske kupone na prostem trgu, zato je to strošek </w:t>
      </w:r>
      <w:r w:rsidR="00E56829">
        <w:t>upravljalca</w:t>
      </w:r>
      <w:r w:rsidR="004C74E2">
        <w:t xml:space="preserve">. S tem je spodbujen, </w:t>
      </w:r>
      <w:r w:rsidR="00792EB7">
        <w:t>da so izpusti TGP čim nižji.</w:t>
      </w:r>
      <w:r w:rsidR="00DF6D6A" w:rsidRPr="00DF6D6A">
        <w:rPr>
          <w:rStyle w:val="FootnoteReference"/>
        </w:rPr>
        <w:t xml:space="preserve"> </w:t>
      </w:r>
      <w:r w:rsidR="00DF6D6A">
        <w:rPr>
          <w:rStyle w:val="FootnoteReference"/>
        </w:rPr>
        <w:footnoteReference w:id="11"/>
      </w:r>
      <w:r w:rsidR="00DF6D6A">
        <w:t xml:space="preserve"> </w:t>
      </w:r>
      <w:r>
        <w:t>Večina</w:t>
      </w:r>
      <w:r w:rsidR="002A7747">
        <w:t xml:space="preserve"> </w:t>
      </w:r>
      <w:r w:rsidR="00B762D5">
        <w:t xml:space="preserve">brezplačnih </w:t>
      </w:r>
      <w:r w:rsidR="002A7747">
        <w:t xml:space="preserve">emisijskih kuponov je </w:t>
      </w:r>
      <w:r w:rsidR="00E56829">
        <w:t>podeljena</w:t>
      </w:r>
      <w:r w:rsidR="002A7747">
        <w:t xml:space="preserve"> energetik</w:t>
      </w:r>
      <w:r w:rsidR="00B762D5">
        <w:t>i</w:t>
      </w:r>
      <w:r w:rsidR="002A7747">
        <w:t xml:space="preserve"> in industriji</w:t>
      </w:r>
      <w:r w:rsidR="004C74E2">
        <w:t xml:space="preserve">; </w:t>
      </w:r>
      <w:r>
        <w:t>delež ostalih je precej nizek</w:t>
      </w:r>
      <w:r w:rsidR="00DF6D6A">
        <w:t>.</w:t>
      </w:r>
      <w:r w:rsidR="00DF6D6A">
        <w:rPr>
          <w:rStyle w:val="FootnoteReference"/>
        </w:rPr>
        <w:footnoteReference w:id="12"/>
      </w:r>
      <w:r>
        <w:t xml:space="preserve"> </w:t>
      </w:r>
    </w:p>
    <w:p w14:paraId="759BDBE2" w14:textId="77777777" w:rsidR="00FE695D" w:rsidRPr="00D54FEE" w:rsidRDefault="00FE695D" w:rsidP="00346531">
      <w:pPr>
        <w:pStyle w:val="BesediloUMAR"/>
        <w:rPr>
          <w:b/>
        </w:rPr>
      </w:pPr>
    </w:p>
    <w:p w14:paraId="741A8A22" w14:textId="0B748CEB" w:rsidR="00FE695D" w:rsidRPr="009177E8" w:rsidRDefault="00FE695D" w:rsidP="00FE695D">
      <w:pPr>
        <w:spacing w:after="0" w:line="288" w:lineRule="auto"/>
        <w:jc w:val="both"/>
        <w:rPr>
          <w:rFonts w:ascii="Myriad Pro" w:hAnsi="Myriad Pro"/>
          <w:sz w:val="20"/>
        </w:rPr>
      </w:pPr>
      <w:r w:rsidRPr="00BA759B">
        <w:rPr>
          <w:rFonts w:ascii="Myriad Pro" w:hAnsi="Myriad Pro"/>
          <w:b/>
          <w:bCs/>
          <w:sz w:val="20"/>
        </w:rPr>
        <w:t xml:space="preserve">V letu 2019 so se izpusti TGP po prvih preliminarnih ocenah </w:t>
      </w:r>
      <w:r>
        <w:rPr>
          <w:rFonts w:ascii="Myriad Pro" w:hAnsi="Myriad Pro"/>
          <w:b/>
          <w:bCs/>
          <w:sz w:val="20"/>
        </w:rPr>
        <w:t xml:space="preserve">za </w:t>
      </w:r>
      <w:r w:rsidR="00955AB2">
        <w:rPr>
          <w:rFonts w:ascii="Myriad Pro" w:hAnsi="Myriad Pro"/>
          <w:b/>
          <w:bCs/>
          <w:sz w:val="20"/>
        </w:rPr>
        <w:t xml:space="preserve">EU in </w:t>
      </w:r>
      <w:r>
        <w:rPr>
          <w:rFonts w:ascii="Myriad Pro" w:hAnsi="Myriad Pro"/>
          <w:b/>
          <w:bCs/>
          <w:sz w:val="20"/>
        </w:rPr>
        <w:t xml:space="preserve">Slovenijo </w:t>
      </w:r>
      <w:r w:rsidRPr="00BA759B">
        <w:rPr>
          <w:rFonts w:ascii="Myriad Pro" w:hAnsi="Myriad Pro"/>
          <w:b/>
          <w:bCs/>
          <w:sz w:val="20"/>
        </w:rPr>
        <w:t>nadalje zmanjš</w:t>
      </w:r>
      <w:r>
        <w:rPr>
          <w:rFonts w:ascii="Myriad Pro" w:hAnsi="Myriad Pro"/>
          <w:b/>
          <w:bCs/>
          <w:sz w:val="20"/>
        </w:rPr>
        <w:t>ali</w:t>
      </w:r>
      <w:r w:rsidRPr="00BA759B">
        <w:rPr>
          <w:rFonts w:ascii="Myriad Pro" w:hAnsi="Myriad Pro"/>
          <w:b/>
          <w:bCs/>
          <w:sz w:val="20"/>
        </w:rPr>
        <w:t>.</w:t>
      </w:r>
      <w:r w:rsidRPr="00BA759B">
        <w:t xml:space="preserve"> </w:t>
      </w:r>
      <w:r w:rsidRPr="00BA759B">
        <w:rPr>
          <w:rFonts w:ascii="Myriad Pro" w:hAnsi="Myriad Pro"/>
          <w:sz w:val="20"/>
        </w:rPr>
        <w:t xml:space="preserve">Po </w:t>
      </w:r>
      <w:r w:rsidR="00A0017F">
        <w:rPr>
          <w:rFonts w:ascii="Myriad Pro" w:hAnsi="Myriad Pro"/>
          <w:sz w:val="20"/>
        </w:rPr>
        <w:t xml:space="preserve">ocenah </w:t>
      </w:r>
      <w:r w:rsidRPr="00BA759B">
        <w:rPr>
          <w:rFonts w:ascii="Myriad Pro" w:hAnsi="Myriad Pro"/>
          <w:sz w:val="20"/>
        </w:rPr>
        <w:t>na podlagi porabe goriv in nekaterih drugih ključnih virov naj bi se izpusti v EU</w:t>
      </w:r>
      <w:r w:rsidR="00062FF7">
        <w:rPr>
          <w:rFonts w:ascii="Myriad Pro" w:hAnsi="Myriad Pro"/>
          <w:sz w:val="20"/>
        </w:rPr>
        <w:t>-</w:t>
      </w:r>
      <w:r w:rsidRPr="00BA759B">
        <w:rPr>
          <w:rFonts w:ascii="Myriad Pro" w:hAnsi="Myriad Pro"/>
          <w:sz w:val="20"/>
        </w:rPr>
        <w:t xml:space="preserve">27 (brez Združenega kraljestva) v letu 2019 zmanjšali za </w:t>
      </w:r>
      <w:r>
        <w:rPr>
          <w:rFonts w:ascii="Myriad Pro" w:hAnsi="Myriad Pro"/>
          <w:sz w:val="20"/>
        </w:rPr>
        <w:t>okoli 4</w:t>
      </w:r>
      <w:r w:rsidRPr="00BA759B">
        <w:rPr>
          <w:rFonts w:ascii="Myriad Pro" w:hAnsi="Myriad Pro"/>
          <w:sz w:val="20"/>
        </w:rPr>
        <w:t xml:space="preserve"> %; pri tem ponovno bolj v ETS sektorju, za </w:t>
      </w:r>
      <w:r>
        <w:rPr>
          <w:rFonts w:ascii="Myriad Pro" w:hAnsi="Myriad Pro"/>
          <w:sz w:val="20"/>
        </w:rPr>
        <w:t xml:space="preserve">okoli </w:t>
      </w:r>
      <w:r w:rsidRPr="00BA759B">
        <w:rPr>
          <w:rFonts w:ascii="Myriad Pro" w:hAnsi="Myriad Pro"/>
          <w:sz w:val="20"/>
        </w:rPr>
        <w:t xml:space="preserve">9 %. Tudi </w:t>
      </w:r>
      <w:r>
        <w:rPr>
          <w:rFonts w:ascii="Myriad Pro" w:hAnsi="Myriad Pro"/>
          <w:sz w:val="20"/>
        </w:rPr>
        <w:t xml:space="preserve">v letu 2019 </w:t>
      </w:r>
      <w:r w:rsidR="00C71DFC">
        <w:rPr>
          <w:rFonts w:ascii="Myriad Pro" w:hAnsi="Myriad Pro"/>
          <w:sz w:val="20"/>
        </w:rPr>
        <w:t xml:space="preserve">je bilo zmanjšanje </w:t>
      </w:r>
      <w:r w:rsidRPr="00BA759B">
        <w:rPr>
          <w:rFonts w:ascii="Myriad Pro" w:hAnsi="Myriad Pro"/>
          <w:sz w:val="20"/>
        </w:rPr>
        <w:t xml:space="preserve">večinoma </w:t>
      </w:r>
      <w:r w:rsidRPr="00BA759B">
        <w:rPr>
          <w:rFonts w:ascii="Myriad Pro" w:hAnsi="Myriad Pro"/>
          <w:sz w:val="20"/>
        </w:rPr>
        <w:t>spodbujeno s strani elektroenergetskega sektorja</w:t>
      </w:r>
      <w:r w:rsidR="00C71DFC">
        <w:rPr>
          <w:rFonts w:ascii="Myriad Pro" w:hAnsi="Myriad Pro"/>
          <w:sz w:val="20"/>
        </w:rPr>
        <w:t>. Z</w:t>
      </w:r>
      <w:r w:rsidRPr="00BA759B">
        <w:rPr>
          <w:rFonts w:ascii="Myriad Pro" w:hAnsi="Myriad Pro"/>
          <w:sz w:val="20"/>
        </w:rPr>
        <w:t>manjšali so se tudi  industrijski izpusti</w:t>
      </w:r>
      <w:r w:rsidR="00C71DFC">
        <w:rPr>
          <w:rFonts w:ascii="Myriad Pro" w:hAnsi="Myriad Pro"/>
          <w:sz w:val="20"/>
        </w:rPr>
        <w:t>, iz</w:t>
      </w:r>
      <w:r w:rsidRPr="00BA759B">
        <w:rPr>
          <w:rFonts w:ascii="Myriad Pro" w:hAnsi="Myriad Pro"/>
          <w:sz w:val="20"/>
        </w:rPr>
        <w:t xml:space="preserve">pusti iz letalstva </w:t>
      </w:r>
      <w:r w:rsidR="00C71DFC">
        <w:rPr>
          <w:rFonts w:ascii="Myriad Pro" w:hAnsi="Myriad Pro"/>
          <w:sz w:val="20"/>
        </w:rPr>
        <w:t xml:space="preserve">pa so </w:t>
      </w:r>
      <w:r w:rsidRPr="00BA759B">
        <w:rPr>
          <w:rFonts w:ascii="Myriad Pro" w:hAnsi="Myriad Pro"/>
          <w:sz w:val="20"/>
        </w:rPr>
        <w:t>še naprej naraščali</w:t>
      </w:r>
      <w:r w:rsidR="00C71DFC">
        <w:rPr>
          <w:rFonts w:ascii="Myriad Pro" w:hAnsi="Myriad Pro"/>
          <w:sz w:val="20"/>
        </w:rPr>
        <w:t>.</w:t>
      </w:r>
      <w:r>
        <w:rPr>
          <w:rFonts w:ascii="Myriad Pro" w:hAnsi="Myriad Pro"/>
          <w:sz w:val="20"/>
        </w:rPr>
        <w:t xml:space="preserve"> </w:t>
      </w:r>
      <w:r w:rsidR="00A0017F">
        <w:rPr>
          <w:rFonts w:ascii="Myriad Pro" w:hAnsi="Myriad Pro"/>
          <w:sz w:val="20"/>
        </w:rPr>
        <w:t>V</w:t>
      </w:r>
      <w:r w:rsidR="00A0017F" w:rsidRPr="00BA759B">
        <w:rPr>
          <w:rFonts w:ascii="Myriad Pro" w:hAnsi="Myriad Pro"/>
          <w:sz w:val="20"/>
        </w:rPr>
        <w:t xml:space="preserve"> primerjavi z letom 1990 </w:t>
      </w:r>
      <w:r w:rsidR="00A0017F">
        <w:rPr>
          <w:rFonts w:ascii="Myriad Pro" w:hAnsi="Myriad Pro"/>
          <w:sz w:val="20"/>
        </w:rPr>
        <w:t>so s</w:t>
      </w:r>
      <w:r>
        <w:rPr>
          <w:rFonts w:ascii="Myriad Pro" w:hAnsi="Myriad Pro"/>
          <w:sz w:val="20"/>
        </w:rPr>
        <w:t>kupn</w:t>
      </w:r>
      <w:r w:rsidR="00A0017F">
        <w:rPr>
          <w:rFonts w:ascii="Myriad Pro" w:hAnsi="Myriad Pro"/>
          <w:sz w:val="20"/>
        </w:rPr>
        <w:t xml:space="preserve">i izpusti ostali </w:t>
      </w:r>
      <w:r w:rsidRPr="00BA759B">
        <w:rPr>
          <w:rFonts w:ascii="Myriad Pro" w:hAnsi="Myriad Pro"/>
          <w:sz w:val="20"/>
        </w:rPr>
        <w:t>nižj</w:t>
      </w:r>
      <w:r>
        <w:rPr>
          <w:rFonts w:ascii="Myriad Pro" w:hAnsi="Myriad Pro"/>
          <w:sz w:val="20"/>
        </w:rPr>
        <w:t>i</w:t>
      </w:r>
      <w:r w:rsidRPr="00BA759B">
        <w:rPr>
          <w:rFonts w:ascii="Myriad Pro" w:hAnsi="Myriad Pro"/>
          <w:sz w:val="20"/>
        </w:rPr>
        <w:t xml:space="preserve"> za </w:t>
      </w:r>
      <w:r>
        <w:rPr>
          <w:rFonts w:ascii="Myriad Pro" w:hAnsi="Myriad Pro"/>
          <w:sz w:val="20"/>
        </w:rPr>
        <w:t xml:space="preserve">okoli četrtino, </w:t>
      </w:r>
      <w:r w:rsidRPr="00BA759B"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t xml:space="preserve">kar ciljno 20–odstotno zmanjšanje v EU v obdobju </w:t>
      </w:r>
      <w:r w:rsidRPr="00BA759B">
        <w:rPr>
          <w:rFonts w:ascii="Myriad Pro" w:hAnsi="Myriad Pro"/>
          <w:sz w:val="20"/>
        </w:rPr>
        <w:t xml:space="preserve">do </w:t>
      </w:r>
      <w:r>
        <w:rPr>
          <w:rFonts w:ascii="Myriad Pro" w:hAnsi="Myriad Pro"/>
          <w:sz w:val="20"/>
        </w:rPr>
        <w:t xml:space="preserve">konca </w:t>
      </w:r>
      <w:r w:rsidRPr="00BA759B">
        <w:rPr>
          <w:rFonts w:ascii="Myriad Pro" w:hAnsi="Myriad Pro"/>
          <w:sz w:val="20"/>
        </w:rPr>
        <w:t>let</w:t>
      </w:r>
      <w:r>
        <w:rPr>
          <w:rFonts w:ascii="Myriad Pro" w:hAnsi="Myriad Pro"/>
          <w:sz w:val="20"/>
        </w:rPr>
        <w:t>a 2020 že presega. Ocene</w:t>
      </w:r>
      <w:r w:rsidRPr="00BA759B">
        <w:rPr>
          <w:rFonts w:ascii="Myriad Pro" w:hAnsi="Myriad Pro"/>
          <w:sz w:val="20"/>
        </w:rPr>
        <w:t xml:space="preserve"> kažejo, da </w:t>
      </w:r>
      <w:r>
        <w:rPr>
          <w:rFonts w:ascii="Myriad Pro" w:hAnsi="Myriad Pro"/>
          <w:sz w:val="20"/>
        </w:rPr>
        <w:t>nacionalni cilji ne-ETS izpustov še niso bili doseženi v</w:t>
      </w:r>
      <w:r w:rsidRPr="00BA759B">
        <w:rPr>
          <w:rFonts w:ascii="Myriad Pro" w:hAnsi="Myriad Pro"/>
          <w:sz w:val="20"/>
        </w:rPr>
        <w:t xml:space="preserve"> 12</w:t>
      </w:r>
      <w:r>
        <w:rPr>
          <w:rFonts w:ascii="Myriad Pro" w:hAnsi="Myriad Pro"/>
          <w:sz w:val="20"/>
        </w:rPr>
        <w:t>–</w:t>
      </w:r>
      <w:r w:rsidR="00013A7F">
        <w:rPr>
          <w:rFonts w:ascii="Myriad Pro" w:hAnsi="Myriad Pro"/>
          <w:sz w:val="20"/>
        </w:rPr>
        <w:t>t</w:t>
      </w:r>
      <w:r>
        <w:rPr>
          <w:rFonts w:ascii="Myriad Pro" w:hAnsi="Myriad Pro"/>
          <w:sz w:val="20"/>
        </w:rPr>
        <w:t>ih članicah</w:t>
      </w:r>
      <w:r>
        <w:rPr>
          <w:rStyle w:val="FootnoteReference"/>
        </w:rPr>
        <w:footnoteReference w:id="13"/>
      </w:r>
      <w:r>
        <w:rPr>
          <w:rFonts w:ascii="Myriad Pro" w:hAnsi="Myriad Pro"/>
          <w:sz w:val="20"/>
        </w:rPr>
        <w:t xml:space="preserve">, </w:t>
      </w:r>
      <w:r w:rsidRPr="00BA759B">
        <w:rPr>
          <w:rFonts w:ascii="Myriad Pro" w:hAnsi="Myriad Pro"/>
          <w:sz w:val="20"/>
        </w:rPr>
        <w:t xml:space="preserve">Slovenija </w:t>
      </w:r>
      <w:r>
        <w:rPr>
          <w:rFonts w:ascii="Myriad Pro" w:hAnsi="Myriad Pro"/>
          <w:sz w:val="20"/>
        </w:rPr>
        <w:t xml:space="preserve">pa je med preostalimi, ki so </w:t>
      </w:r>
      <w:r w:rsidRPr="00BA759B">
        <w:rPr>
          <w:rFonts w:ascii="Myriad Pro" w:hAnsi="Myriad Pro"/>
          <w:sz w:val="20"/>
        </w:rPr>
        <w:t>zastavljen</w:t>
      </w:r>
      <w:r>
        <w:rPr>
          <w:rFonts w:ascii="Myriad Pro" w:hAnsi="Myriad Pro"/>
          <w:sz w:val="20"/>
        </w:rPr>
        <w:t>i cilj</w:t>
      </w:r>
      <w:r w:rsidRPr="00C47CE6">
        <w:rPr>
          <w:rFonts w:ascii="Myriad Pro" w:hAnsi="Myriad Pro"/>
          <w:sz w:val="20"/>
        </w:rPr>
        <w:t xml:space="preserve"> že </w:t>
      </w:r>
      <w:r>
        <w:rPr>
          <w:rFonts w:ascii="Myriad Pro" w:hAnsi="Myriad Pro"/>
          <w:sz w:val="20"/>
        </w:rPr>
        <w:t>presegle</w:t>
      </w:r>
      <w:r w:rsidRPr="00C47CE6">
        <w:rPr>
          <w:rFonts w:ascii="Myriad Pro" w:hAnsi="Myriad Pro"/>
          <w:sz w:val="20"/>
        </w:rPr>
        <w:t>.</w:t>
      </w:r>
      <w:r w:rsidRPr="00C47CE6">
        <w:rPr>
          <w:rFonts w:ascii="Myriad Pro" w:hAnsi="Myriad Pro"/>
          <w:sz w:val="20"/>
          <w:vertAlign w:val="superscript"/>
        </w:rPr>
        <w:footnoteReference w:id="14"/>
      </w:r>
      <w:r w:rsidRPr="00C47CE6">
        <w:rPr>
          <w:rFonts w:ascii="Myriad Pro" w:hAnsi="Myriad Pro"/>
          <w:sz w:val="20"/>
          <w:vertAlign w:val="superscript"/>
        </w:rPr>
        <w:t xml:space="preserve"> </w:t>
      </w:r>
      <w:r>
        <w:rPr>
          <w:rFonts w:ascii="Myriad Pro" w:hAnsi="Myriad Pro"/>
          <w:sz w:val="20"/>
          <w:vertAlign w:val="superscript"/>
        </w:rPr>
        <w:t xml:space="preserve"> </w:t>
      </w:r>
      <w:r w:rsidR="00A0017F">
        <w:rPr>
          <w:rFonts w:ascii="Myriad Pro" w:hAnsi="Myriad Pro"/>
          <w:sz w:val="20"/>
        </w:rPr>
        <w:t>Za</w:t>
      </w:r>
      <w:r>
        <w:rPr>
          <w:rFonts w:ascii="Myriad Pro" w:hAnsi="Myriad Pro"/>
          <w:sz w:val="20"/>
        </w:rPr>
        <w:t xml:space="preserve"> let</w:t>
      </w:r>
      <w:r w:rsidR="00A0017F">
        <w:rPr>
          <w:rFonts w:ascii="Myriad Pro" w:hAnsi="Myriad Pro"/>
          <w:sz w:val="20"/>
        </w:rPr>
        <w:t>o</w:t>
      </w:r>
      <w:r>
        <w:rPr>
          <w:rFonts w:ascii="Myriad Pro" w:hAnsi="Myriad Pro"/>
          <w:sz w:val="20"/>
        </w:rPr>
        <w:t xml:space="preserve"> 2020, ki je leto epidemije </w:t>
      </w:r>
      <w:proofErr w:type="spellStart"/>
      <w:r>
        <w:rPr>
          <w:rFonts w:ascii="Myriad Pro" w:hAnsi="Myriad Pro"/>
          <w:sz w:val="20"/>
        </w:rPr>
        <w:t>covid</w:t>
      </w:r>
      <w:proofErr w:type="spellEnd"/>
      <w:r>
        <w:rPr>
          <w:rFonts w:ascii="Myriad Pro" w:hAnsi="Myriad Pro"/>
          <w:sz w:val="20"/>
        </w:rPr>
        <w:t>–19</w:t>
      </w:r>
      <w:r w:rsidR="00A0017F">
        <w:rPr>
          <w:rFonts w:ascii="Myriad Pro" w:hAnsi="Myriad Pro"/>
          <w:sz w:val="20"/>
        </w:rPr>
        <w:t xml:space="preserve"> in posledično manjše </w:t>
      </w:r>
      <w:r w:rsidR="00013A7F">
        <w:rPr>
          <w:rFonts w:ascii="Myriad Pro" w:hAnsi="Myriad Pro"/>
          <w:sz w:val="20"/>
        </w:rPr>
        <w:t xml:space="preserve">gospodarske </w:t>
      </w:r>
      <w:r w:rsidR="00A0017F">
        <w:rPr>
          <w:rFonts w:ascii="Myriad Pro" w:hAnsi="Myriad Pro"/>
          <w:sz w:val="20"/>
        </w:rPr>
        <w:t>aktivnosti</w:t>
      </w:r>
      <w:r>
        <w:rPr>
          <w:rFonts w:ascii="Myriad Pro" w:hAnsi="Myriad Pro"/>
          <w:sz w:val="20"/>
        </w:rPr>
        <w:t>,</w:t>
      </w:r>
      <w:r w:rsidRPr="00BA759B"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t xml:space="preserve">je </w:t>
      </w:r>
      <w:r w:rsidRPr="00BA759B">
        <w:rPr>
          <w:rFonts w:ascii="Myriad Pro" w:hAnsi="Myriad Pro"/>
          <w:sz w:val="20"/>
        </w:rPr>
        <w:t xml:space="preserve">pričakovati </w:t>
      </w:r>
      <w:r w:rsidR="00737A98">
        <w:rPr>
          <w:rFonts w:ascii="Myriad Pro" w:hAnsi="Myriad Pro"/>
          <w:sz w:val="20"/>
        </w:rPr>
        <w:t xml:space="preserve">večje </w:t>
      </w:r>
      <w:r w:rsidR="00F952D4">
        <w:rPr>
          <w:rFonts w:ascii="Myriad Pro" w:hAnsi="Myriad Pro"/>
          <w:sz w:val="20"/>
        </w:rPr>
        <w:t>znižanje</w:t>
      </w:r>
      <w:r w:rsidR="00737A98">
        <w:rPr>
          <w:rFonts w:ascii="Myriad Pro" w:hAnsi="Myriad Pro"/>
          <w:sz w:val="20"/>
        </w:rPr>
        <w:t>.</w:t>
      </w:r>
      <w:r>
        <w:rPr>
          <w:rFonts w:ascii="Myriad Pro" w:hAnsi="Myriad Pro"/>
          <w:sz w:val="20"/>
        </w:rPr>
        <w:t xml:space="preserve"> Nizka gospodarska rast pa ni strategija za zmanjšanje izpustov.</w:t>
      </w:r>
      <w:r>
        <w:rPr>
          <w:rStyle w:val="FootnoteReference"/>
        </w:rPr>
        <w:footnoteReference w:id="15"/>
      </w:r>
      <w:r>
        <w:rPr>
          <w:rFonts w:ascii="Myriad Pro" w:hAnsi="Myriad Pro"/>
          <w:sz w:val="20"/>
        </w:rPr>
        <w:t xml:space="preserve"> Neto podnebna nevtralnost naj bi bila dosežena z novimi zelenimi delovnimi mesti in prehodom v </w:t>
      </w:r>
      <w:r w:rsidR="00A0017F">
        <w:rPr>
          <w:rFonts w:ascii="Myriad Pro" w:hAnsi="Myriad Pro"/>
          <w:sz w:val="20"/>
        </w:rPr>
        <w:t>spremenjeno</w:t>
      </w:r>
      <w:r>
        <w:rPr>
          <w:rFonts w:ascii="Myriad Pro" w:hAnsi="Myriad Pro"/>
          <w:sz w:val="20"/>
        </w:rPr>
        <w:t xml:space="preserve">, </w:t>
      </w:r>
      <w:proofErr w:type="spellStart"/>
      <w:r>
        <w:rPr>
          <w:rFonts w:ascii="Myriad Pro" w:hAnsi="Myriad Pro"/>
          <w:sz w:val="20"/>
        </w:rPr>
        <w:t>nizkoogljično</w:t>
      </w:r>
      <w:proofErr w:type="spellEnd"/>
      <w:r>
        <w:rPr>
          <w:rFonts w:ascii="Myriad Pro" w:hAnsi="Myriad Pro"/>
          <w:sz w:val="20"/>
        </w:rPr>
        <w:t xml:space="preserve"> krožno gospodarstvo. </w:t>
      </w:r>
    </w:p>
    <w:p w14:paraId="04DC0806" w14:textId="78935785" w:rsidR="00346531" w:rsidRPr="00B516B8" w:rsidRDefault="00346531" w:rsidP="00D54FEE">
      <w:pPr>
        <w:pStyle w:val="Caption"/>
      </w:pPr>
      <w:r w:rsidRPr="00B516B8">
        <w:t xml:space="preserve">Tabela </w:t>
      </w:r>
      <w:r w:rsidRPr="00B516B8">
        <w:fldChar w:fldCharType="begin"/>
      </w:r>
      <w:r w:rsidRPr="00B516B8">
        <w:instrText xml:space="preserve"> SEQ Tabela \* ARABIC </w:instrText>
      </w:r>
      <w:r w:rsidRPr="00B516B8">
        <w:fldChar w:fldCharType="separate"/>
      </w:r>
      <w:r w:rsidRPr="00B516B8">
        <w:t>3</w:t>
      </w:r>
      <w:r w:rsidRPr="00B516B8">
        <w:fldChar w:fldCharType="end"/>
      </w:r>
      <w:r w:rsidRPr="00B516B8">
        <w:t>: Izpusti TGP</w:t>
      </w:r>
      <w:r w:rsidR="004C74E2">
        <w:t xml:space="preserve">, struktura </w:t>
      </w:r>
      <w:r w:rsidRPr="00B516B8">
        <w:t>v ETS in n</w:t>
      </w:r>
      <w:r w:rsidR="000E1083">
        <w:t>e-</w:t>
      </w:r>
      <w:r w:rsidRPr="00B516B8">
        <w:t>ETS, Slovenija</w:t>
      </w:r>
      <w:r w:rsidR="005223AC" w:rsidRPr="00B516B8">
        <w:t xml:space="preserve"> 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779"/>
        <w:gridCol w:w="779"/>
        <w:gridCol w:w="780"/>
        <w:gridCol w:w="781"/>
        <w:gridCol w:w="778"/>
        <w:gridCol w:w="779"/>
        <w:gridCol w:w="779"/>
        <w:gridCol w:w="780"/>
        <w:gridCol w:w="853"/>
        <w:gridCol w:w="706"/>
      </w:tblGrid>
      <w:tr w:rsidR="00B516B8" w14:paraId="57DD165C" w14:textId="77777777" w:rsidTr="007B3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7AC4F16" w14:textId="77777777" w:rsidR="00B516B8" w:rsidRDefault="00B516B8" w:rsidP="00346531">
            <w:pPr>
              <w:pStyle w:val="BesediloUMAR"/>
            </w:pPr>
          </w:p>
        </w:tc>
        <w:tc>
          <w:tcPr>
            <w:tcW w:w="3897" w:type="dxa"/>
            <w:gridSpan w:val="5"/>
          </w:tcPr>
          <w:p w14:paraId="548AF8AF" w14:textId="7E0BA5B2" w:rsidR="00B516B8" w:rsidRPr="00AF666F" w:rsidRDefault="00B516B8" w:rsidP="00B516B8">
            <w:pPr>
              <w:pStyle w:val="BesediloUMA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666F">
              <w:rPr>
                <w:b/>
                <w:bCs/>
              </w:rPr>
              <w:t>v ETS</w:t>
            </w:r>
          </w:p>
        </w:tc>
        <w:tc>
          <w:tcPr>
            <w:tcW w:w="3897" w:type="dxa"/>
            <w:gridSpan w:val="5"/>
          </w:tcPr>
          <w:p w14:paraId="51196FA6" w14:textId="3DB5B49E" w:rsidR="00B516B8" w:rsidRPr="00AF666F" w:rsidRDefault="00B516B8" w:rsidP="00B516B8">
            <w:pPr>
              <w:pStyle w:val="BesediloUMA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666F">
              <w:rPr>
                <w:b/>
                <w:bCs/>
              </w:rPr>
              <w:t>v ne-ETS</w:t>
            </w:r>
          </w:p>
        </w:tc>
      </w:tr>
      <w:tr w:rsidR="00F76C4A" w14:paraId="6CBCCBDD" w14:textId="77777777" w:rsidTr="000C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BDBDB" w:themeFill="background2"/>
          </w:tcPr>
          <w:p w14:paraId="57AFA634" w14:textId="5585F25D" w:rsidR="00F76C4A" w:rsidRDefault="00D54FEE" w:rsidP="002844EF">
            <w:pPr>
              <w:pStyle w:val="BesediloUMAR"/>
              <w:jc w:val="left"/>
            </w:pPr>
            <w:r>
              <w:rPr>
                <w:b/>
                <w:bCs/>
              </w:rPr>
              <w:t>V</w:t>
            </w:r>
            <w:r w:rsidR="002844EF" w:rsidRPr="00B516B8">
              <w:rPr>
                <w:b/>
                <w:bCs/>
              </w:rPr>
              <w:t xml:space="preserve"> </w:t>
            </w:r>
            <w:proofErr w:type="spellStart"/>
            <w:r w:rsidR="002844EF" w:rsidRPr="00B516B8">
              <w:rPr>
                <w:b/>
                <w:bCs/>
              </w:rPr>
              <w:t>kt</w:t>
            </w:r>
            <w:proofErr w:type="spellEnd"/>
            <w:r w:rsidR="002844EF" w:rsidRPr="00B516B8">
              <w:rPr>
                <w:b/>
                <w:bCs/>
              </w:rPr>
              <w:t xml:space="preserve"> CO</w:t>
            </w:r>
            <w:r w:rsidR="002844EF" w:rsidRPr="007B3C50">
              <w:rPr>
                <w:b/>
                <w:bCs/>
                <w:vertAlign w:val="subscript"/>
              </w:rPr>
              <w:t>2</w:t>
            </w:r>
            <w:r w:rsidR="002844EF" w:rsidRPr="00B516B8">
              <w:rPr>
                <w:b/>
                <w:bCs/>
              </w:rPr>
              <w:t xml:space="preserve"> ekvivalent</w:t>
            </w:r>
          </w:p>
        </w:tc>
        <w:tc>
          <w:tcPr>
            <w:tcW w:w="779" w:type="dxa"/>
            <w:shd w:val="clear" w:color="auto" w:fill="DBDBDB" w:themeFill="background2"/>
          </w:tcPr>
          <w:p w14:paraId="0888107B" w14:textId="760D349B" w:rsidR="00F76C4A" w:rsidRPr="00AF666F" w:rsidRDefault="00F76C4A" w:rsidP="00F76C4A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6F">
              <w:t>2013</w:t>
            </w:r>
          </w:p>
        </w:tc>
        <w:tc>
          <w:tcPr>
            <w:tcW w:w="779" w:type="dxa"/>
            <w:shd w:val="clear" w:color="auto" w:fill="DBDBDB" w:themeFill="background2"/>
          </w:tcPr>
          <w:p w14:paraId="66ECEE43" w14:textId="407482A2" w:rsidR="00F76C4A" w:rsidRPr="00AF666F" w:rsidRDefault="00F76C4A" w:rsidP="00F76C4A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6F">
              <w:t>2015</w:t>
            </w:r>
          </w:p>
        </w:tc>
        <w:tc>
          <w:tcPr>
            <w:tcW w:w="780" w:type="dxa"/>
            <w:shd w:val="clear" w:color="auto" w:fill="DBDBDB" w:themeFill="background2"/>
          </w:tcPr>
          <w:p w14:paraId="2A7D674B" w14:textId="2439F65E" w:rsidR="00F76C4A" w:rsidRPr="00AF666F" w:rsidRDefault="00F76C4A" w:rsidP="00F76C4A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6F">
              <w:t>2018</w:t>
            </w:r>
          </w:p>
        </w:tc>
        <w:tc>
          <w:tcPr>
            <w:tcW w:w="781" w:type="dxa"/>
            <w:shd w:val="clear" w:color="auto" w:fill="DBDBDB" w:themeFill="background2"/>
          </w:tcPr>
          <w:p w14:paraId="27F071C1" w14:textId="58B17722" w:rsidR="00F76C4A" w:rsidRPr="00AF666F" w:rsidRDefault="00F76C4A" w:rsidP="00F76C4A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6F">
              <w:t>Delež v sektorju 2018</w:t>
            </w:r>
          </w:p>
        </w:tc>
        <w:tc>
          <w:tcPr>
            <w:tcW w:w="778" w:type="dxa"/>
            <w:shd w:val="clear" w:color="auto" w:fill="DBDBDB" w:themeFill="background2"/>
          </w:tcPr>
          <w:p w14:paraId="4E48B3DB" w14:textId="241EEDCA" w:rsidR="00F76C4A" w:rsidRPr="00AF666F" w:rsidRDefault="00F76C4A" w:rsidP="00F76C4A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6F">
              <w:t>Rast 2018/ 2013</w:t>
            </w:r>
          </w:p>
        </w:tc>
        <w:tc>
          <w:tcPr>
            <w:tcW w:w="779" w:type="dxa"/>
            <w:shd w:val="clear" w:color="auto" w:fill="DBDBDB" w:themeFill="background2"/>
          </w:tcPr>
          <w:p w14:paraId="5628C1FB" w14:textId="7D02DFCA" w:rsidR="00F76C4A" w:rsidRPr="00AF666F" w:rsidRDefault="00F76C4A" w:rsidP="00F76C4A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6F">
              <w:t>2013</w:t>
            </w:r>
          </w:p>
        </w:tc>
        <w:tc>
          <w:tcPr>
            <w:tcW w:w="779" w:type="dxa"/>
            <w:shd w:val="clear" w:color="auto" w:fill="DBDBDB" w:themeFill="background2"/>
          </w:tcPr>
          <w:p w14:paraId="74A6A9D3" w14:textId="610A303F" w:rsidR="00F76C4A" w:rsidRPr="00AF666F" w:rsidRDefault="00F76C4A" w:rsidP="00F76C4A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6F">
              <w:t>2015</w:t>
            </w:r>
          </w:p>
        </w:tc>
        <w:tc>
          <w:tcPr>
            <w:tcW w:w="780" w:type="dxa"/>
            <w:shd w:val="clear" w:color="auto" w:fill="DBDBDB" w:themeFill="background2"/>
          </w:tcPr>
          <w:p w14:paraId="38CDF638" w14:textId="327C15B2" w:rsidR="00F76C4A" w:rsidRPr="00AF666F" w:rsidRDefault="00F76C4A" w:rsidP="00F76C4A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6F">
              <w:t>2018</w:t>
            </w:r>
          </w:p>
        </w:tc>
        <w:tc>
          <w:tcPr>
            <w:tcW w:w="853" w:type="dxa"/>
            <w:shd w:val="clear" w:color="auto" w:fill="DBDBDB" w:themeFill="background2"/>
          </w:tcPr>
          <w:p w14:paraId="506B91D8" w14:textId="5F70B895" w:rsidR="00F76C4A" w:rsidRPr="00AF666F" w:rsidRDefault="00F76C4A" w:rsidP="00F76C4A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6F">
              <w:t>Delež v sektorju 2018</w:t>
            </w:r>
          </w:p>
        </w:tc>
        <w:tc>
          <w:tcPr>
            <w:tcW w:w="706" w:type="dxa"/>
            <w:shd w:val="clear" w:color="auto" w:fill="DBDBDB" w:themeFill="background2"/>
          </w:tcPr>
          <w:p w14:paraId="49C6DA98" w14:textId="51952304" w:rsidR="00F76C4A" w:rsidRPr="00AF666F" w:rsidRDefault="00F76C4A" w:rsidP="00F76C4A">
            <w:pPr>
              <w:pStyle w:val="Tabelaglav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6F">
              <w:t>Rast 2018/ 2013</w:t>
            </w:r>
          </w:p>
        </w:tc>
      </w:tr>
      <w:tr w:rsidR="007B3C50" w14:paraId="6866F8C7" w14:textId="77777777" w:rsidTr="000C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1E5C48A" w14:textId="63295E8E" w:rsidR="007B3C50" w:rsidRDefault="007B3C50" w:rsidP="007B3C50">
            <w:pPr>
              <w:pStyle w:val="TabelalevoUMAR"/>
            </w:pPr>
            <w:r w:rsidRPr="00373B1E">
              <w:t>Promet</w:t>
            </w:r>
          </w:p>
        </w:tc>
        <w:tc>
          <w:tcPr>
            <w:tcW w:w="779" w:type="dxa"/>
            <w:vAlign w:val="bottom"/>
          </w:tcPr>
          <w:p w14:paraId="06B1A14D" w14:textId="597142D7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79" w:type="dxa"/>
            <w:vAlign w:val="bottom"/>
          </w:tcPr>
          <w:p w14:paraId="6785BF2B" w14:textId="691E0832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80" w:type="dxa"/>
            <w:vAlign w:val="bottom"/>
          </w:tcPr>
          <w:p w14:paraId="1103B74E" w14:textId="402D5B0D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81" w:type="dxa"/>
            <w:vAlign w:val="bottom"/>
          </w:tcPr>
          <w:p w14:paraId="569BE747" w14:textId="270AE95A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78" w:type="dxa"/>
            <w:vAlign w:val="bottom"/>
          </w:tcPr>
          <w:p w14:paraId="3604749F" w14:textId="77777777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vAlign w:val="bottom"/>
          </w:tcPr>
          <w:p w14:paraId="63FACBD4" w14:textId="178E988C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5.471</w:t>
            </w:r>
          </w:p>
        </w:tc>
        <w:tc>
          <w:tcPr>
            <w:tcW w:w="779" w:type="dxa"/>
            <w:vAlign w:val="bottom"/>
          </w:tcPr>
          <w:p w14:paraId="276A7C94" w14:textId="547EF266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5.368</w:t>
            </w:r>
          </w:p>
        </w:tc>
        <w:tc>
          <w:tcPr>
            <w:tcW w:w="780" w:type="dxa"/>
            <w:vAlign w:val="bottom"/>
          </w:tcPr>
          <w:p w14:paraId="3B39F735" w14:textId="25260E18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5.824</w:t>
            </w:r>
          </w:p>
        </w:tc>
        <w:tc>
          <w:tcPr>
            <w:tcW w:w="853" w:type="dxa"/>
            <w:vAlign w:val="bottom"/>
          </w:tcPr>
          <w:p w14:paraId="39CD83FF" w14:textId="6A253509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100</w:t>
            </w:r>
          </w:p>
        </w:tc>
        <w:tc>
          <w:tcPr>
            <w:tcW w:w="706" w:type="dxa"/>
            <w:vAlign w:val="bottom"/>
          </w:tcPr>
          <w:p w14:paraId="1C4D9C04" w14:textId="0BB98F0A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6,5</w:t>
            </w:r>
          </w:p>
        </w:tc>
      </w:tr>
      <w:tr w:rsidR="007B3C50" w14:paraId="0E81C01E" w14:textId="77777777" w:rsidTr="000C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62D464" w14:textId="09D0390A" w:rsidR="007B3C50" w:rsidRDefault="00E56829" w:rsidP="007B3C50">
            <w:pPr>
              <w:pStyle w:val="TabelalevoUMAR"/>
            </w:pPr>
            <w:r w:rsidRPr="00373B1E">
              <w:t>Energetika</w:t>
            </w:r>
          </w:p>
        </w:tc>
        <w:tc>
          <w:tcPr>
            <w:tcW w:w="779" w:type="dxa"/>
            <w:vAlign w:val="bottom"/>
          </w:tcPr>
          <w:p w14:paraId="577AE1F5" w14:textId="135F3E50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5.619</w:t>
            </w:r>
          </w:p>
        </w:tc>
        <w:tc>
          <w:tcPr>
            <w:tcW w:w="779" w:type="dxa"/>
            <w:vAlign w:val="bottom"/>
          </w:tcPr>
          <w:p w14:paraId="203B67D8" w14:textId="47E63796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4.422</w:t>
            </w:r>
          </w:p>
        </w:tc>
        <w:tc>
          <w:tcPr>
            <w:tcW w:w="780" w:type="dxa"/>
            <w:vAlign w:val="bottom"/>
          </w:tcPr>
          <w:p w14:paraId="220B9C44" w14:textId="65EF5BFE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4.606</w:t>
            </w:r>
          </w:p>
        </w:tc>
        <w:tc>
          <w:tcPr>
            <w:tcW w:w="781" w:type="dxa"/>
            <w:vAlign w:val="bottom"/>
          </w:tcPr>
          <w:p w14:paraId="3276AB87" w14:textId="5A2005E6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96</w:t>
            </w:r>
          </w:p>
        </w:tc>
        <w:tc>
          <w:tcPr>
            <w:tcW w:w="778" w:type="dxa"/>
            <w:vAlign w:val="bottom"/>
          </w:tcPr>
          <w:p w14:paraId="0D9F372F" w14:textId="042AABD6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-18,0</w:t>
            </w:r>
          </w:p>
        </w:tc>
        <w:tc>
          <w:tcPr>
            <w:tcW w:w="779" w:type="dxa"/>
            <w:vAlign w:val="bottom"/>
          </w:tcPr>
          <w:p w14:paraId="3014B116" w14:textId="3FF77CCB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155</w:t>
            </w:r>
          </w:p>
        </w:tc>
        <w:tc>
          <w:tcPr>
            <w:tcW w:w="779" w:type="dxa"/>
            <w:vAlign w:val="bottom"/>
          </w:tcPr>
          <w:p w14:paraId="24DA5683" w14:textId="147B5BEE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140</w:t>
            </w:r>
          </w:p>
        </w:tc>
        <w:tc>
          <w:tcPr>
            <w:tcW w:w="780" w:type="dxa"/>
            <w:vAlign w:val="bottom"/>
          </w:tcPr>
          <w:p w14:paraId="673597EF" w14:textId="5B826751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193</w:t>
            </w:r>
          </w:p>
        </w:tc>
        <w:tc>
          <w:tcPr>
            <w:tcW w:w="853" w:type="dxa"/>
            <w:vAlign w:val="bottom"/>
          </w:tcPr>
          <w:p w14:paraId="0E129C72" w14:textId="307082F2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4</w:t>
            </w:r>
          </w:p>
        </w:tc>
        <w:tc>
          <w:tcPr>
            <w:tcW w:w="706" w:type="dxa"/>
            <w:vAlign w:val="bottom"/>
          </w:tcPr>
          <w:p w14:paraId="7B08751C" w14:textId="68B12788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24,7</w:t>
            </w:r>
          </w:p>
        </w:tc>
      </w:tr>
      <w:tr w:rsidR="007B3C50" w14:paraId="2FD08596" w14:textId="77777777" w:rsidTr="000C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2B3E5A3" w14:textId="7DB887D8" w:rsidR="007B3C50" w:rsidRDefault="0046145D" w:rsidP="007B3C50">
            <w:pPr>
              <w:pStyle w:val="TabelalevoUMAR"/>
            </w:pPr>
            <w:r>
              <w:t>Ind. procesi</w:t>
            </w:r>
          </w:p>
        </w:tc>
        <w:tc>
          <w:tcPr>
            <w:tcW w:w="779" w:type="dxa"/>
            <w:vAlign w:val="bottom"/>
          </w:tcPr>
          <w:p w14:paraId="6A7D7488" w14:textId="32327F23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651</w:t>
            </w:r>
          </w:p>
        </w:tc>
        <w:tc>
          <w:tcPr>
            <w:tcW w:w="779" w:type="dxa"/>
            <w:vAlign w:val="bottom"/>
          </w:tcPr>
          <w:p w14:paraId="69EC68D5" w14:textId="56442287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633</w:t>
            </w:r>
          </w:p>
        </w:tc>
        <w:tc>
          <w:tcPr>
            <w:tcW w:w="780" w:type="dxa"/>
            <w:vAlign w:val="bottom"/>
          </w:tcPr>
          <w:p w14:paraId="2D7EB502" w14:textId="0EED7375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730</w:t>
            </w:r>
          </w:p>
        </w:tc>
        <w:tc>
          <w:tcPr>
            <w:tcW w:w="781" w:type="dxa"/>
            <w:vAlign w:val="bottom"/>
          </w:tcPr>
          <w:p w14:paraId="70F2CA57" w14:textId="198F2565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62</w:t>
            </w:r>
          </w:p>
        </w:tc>
        <w:tc>
          <w:tcPr>
            <w:tcW w:w="778" w:type="dxa"/>
            <w:vAlign w:val="bottom"/>
          </w:tcPr>
          <w:p w14:paraId="2D4969C9" w14:textId="740EEFFB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12,2</w:t>
            </w:r>
          </w:p>
        </w:tc>
        <w:tc>
          <w:tcPr>
            <w:tcW w:w="779" w:type="dxa"/>
            <w:vAlign w:val="bottom"/>
          </w:tcPr>
          <w:p w14:paraId="746C195C" w14:textId="34C26E8F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471</w:t>
            </w:r>
          </w:p>
        </w:tc>
        <w:tc>
          <w:tcPr>
            <w:tcW w:w="779" w:type="dxa"/>
            <w:vAlign w:val="bottom"/>
          </w:tcPr>
          <w:p w14:paraId="7215DA5A" w14:textId="22183F84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511</w:t>
            </w:r>
          </w:p>
        </w:tc>
        <w:tc>
          <w:tcPr>
            <w:tcW w:w="780" w:type="dxa"/>
            <w:vAlign w:val="bottom"/>
          </w:tcPr>
          <w:p w14:paraId="4B669951" w14:textId="17495D15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456</w:t>
            </w:r>
          </w:p>
        </w:tc>
        <w:tc>
          <w:tcPr>
            <w:tcW w:w="853" w:type="dxa"/>
            <w:vAlign w:val="bottom"/>
          </w:tcPr>
          <w:p w14:paraId="3A14A48C" w14:textId="675C4E3C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38</w:t>
            </w:r>
          </w:p>
        </w:tc>
        <w:tc>
          <w:tcPr>
            <w:tcW w:w="706" w:type="dxa"/>
            <w:vAlign w:val="bottom"/>
          </w:tcPr>
          <w:p w14:paraId="44F96CD2" w14:textId="6F466F62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-3,1</w:t>
            </w:r>
          </w:p>
        </w:tc>
      </w:tr>
      <w:tr w:rsidR="007B3C50" w14:paraId="0772E2A8" w14:textId="77777777" w:rsidTr="000C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DA1A867" w14:textId="6FB822A8" w:rsidR="007B3C50" w:rsidRDefault="0046145D" w:rsidP="007B3C50">
            <w:pPr>
              <w:pStyle w:val="TabelalevoUMAR"/>
            </w:pPr>
            <w:r>
              <w:t xml:space="preserve">Goriva v </w:t>
            </w:r>
            <w:proofErr w:type="spellStart"/>
            <w:r>
              <w:t>ind</w:t>
            </w:r>
            <w:proofErr w:type="spellEnd"/>
            <w:r>
              <w:t>.</w:t>
            </w:r>
          </w:p>
        </w:tc>
        <w:tc>
          <w:tcPr>
            <w:tcW w:w="779" w:type="dxa"/>
            <w:vAlign w:val="bottom"/>
          </w:tcPr>
          <w:p w14:paraId="6DC65A3F" w14:textId="4482B1A6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1.037</w:t>
            </w:r>
          </w:p>
        </w:tc>
        <w:tc>
          <w:tcPr>
            <w:tcW w:w="779" w:type="dxa"/>
            <w:vAlign w:val="bottom"/>
          </w:tcPr>
          <w:p w14:paraId="6D811334" w14:textId="64E61262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999</w:t>
            </w:r>
          </w:p>
        </w:tc>
        <w:tc>
          <w:tcPr>
            <w:tcW w:w="780" w:type="dxa"/>
            <w:vAlign w:val="bottom"/>
          </w:tcPr>
          <w:p w14:paraId="0BCA9686" w14:textId="695C14B6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1.087</w:t>
            </w:r>
          </w:p>
        </w:tc>
        <w:tc>
          <w:tcPr>
            <w:tcW w:w="781" w:type="dxa"/>
            <w:vAlign w:val="bottom"/>
          </w:tcPr>
          <w:p w14:paraId="75FD440E" w14:textId="239A4931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59</w:t>
            </w:r>
          </w:p>
        </w:tc>
        <w:tc>
          <w:tcPr>
            <w:tcW w:w="778" w:type="dxa"/>
            <w:vAlign w:val="bottom"/>
          </w:tcPr>
          <w:p w14:paraId="1028C1D4" w14:textId="7C1955B5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4,7</w:t>
            </w:r>
          </w:p>
        </w:tc>
        <w:tc>
          <w:tcPr>
            <w:tcW w:w="779" w:type="dxa"/>
            <w:vAlign w:val="bottom"/>
          </w:tcPr>
          <w:p w14:paraId="06A0957F" w14:textId="7484B5F5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606</w:t>
            </w:r>
          </w:p>
        </w:tc>
        <w:tc>
          <w:tcPr>
            <w:tcW w:w="779" w:type="dxa"/>
            <w:vAlign w:val="bottom"/>
          </w:tcPr>
          <w:p w14:paraId="5993D472" w14:textId="22457536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592</w:t>
            </w:r>
          </w:p>
        </w:tc>
        <w:tc>
          <w:tcPr>
            <w:tcW w:w="780" w:type="dxa"/>
            <w:vAlign w:val="bottom"/>
          </w:tcPr>
          <w:p w14:paraId="1749F2CE" w14:textId="5DAE602C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741</w:t>
            </w:r>
          </w:p>
        </w:tc>
        <w:tc>
          <w:tcPr>
            <w:tcW w:w="853" w:type="dxa"/>
            <w:vAlign w:val="bottom"/>
          </w:tcPr>
          <w:p w14:paraId="0AF49711" w14:textId="5B324935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41</w:t>
            </w:r>
          </w:p>
        </w:tc>
        <w:tc>
          <w:tcPr>
            <w:tcW w:w="706" w:type="dxa"/>
            <w:vAlign w:val="bottom"/>
          </w:tcPr>
          <w:p w14:paraId="64540C90" w14:textId="7C2C00C7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22,2</w:t>
            </w:r>
          </w:p>
        </w:tc>
      </w:tr>
      <w:tr w:rsidR="007B3C50" w14:paraId="64AFC154" w14:textId="77777777" w:rsidTr="000C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D6E018C" w14:textId="6E3BA603" w:rsidR="007B3C50" w:rsidRDefault="0046145D" w:rsidP="007B3C50">
            <w:pPr>
              <w:pStyle w:val="TabelalevoUMAR"/>
            </w:pPr>
            <w:r>
              <w:t>Kmetijstvo</w:t>
            </w:r>
          </w:p>
        </w:tc>
        <w:tc>
          <w:tcPr>
            <w:tcW w:w="779" w:type="dxa"/>
            <w:vAlign w:val="bottom"/>
          </w:tcPr>
          <w:p w14:paraId="603E52BD" w14:textId="68A6DD30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79" w:type="dxa"/>
            <w:vAlign w:val="bottom"/>
          </w:tcPr>
          <w:p w14:paraId="51F918AA" w14:textId="64805CD1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80" w:type="dxa"/>
            <w:vAlign w:val="bottom"/>
          </w:tcPr>
          <w:p w14:paraId="5C342333" w14:textId="2B75AAB9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81" w:type="dxa"/>
            <w:vAlign w:val="bottom"/>
          </w:tcPr>
          <w:p w14:paraId="57373584" w14:textId="5C234B27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78" w:type="dxa"/>
            <w:vAlign w:val="bottom"/>
          </w:tcPr>
          <w:p w14:paraId="7C0CE88F" w14:textId="77777777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vAlign w:val="bottom"/>
          </w:tcPr>
          <w:p w14:paraId="1642AD76" w14:textId="05AC63BC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1.646</w:t>
            </w:r>
          </w:p>
        </w:tc>
        <w:tc>
          <w:tcPr>
            <w:tcW w:w="779" w:type="dxa"/>
            <w:vAlign w:val="bottom"/>
          </w:tcPr>
          <w:p w14:paraId="170556EB" w14:textId="417ADE6A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1.733</w:t>
            </w:r>
          </w:p>
        </w:tc>
        <w:tc>
          <w:tcPr>
            <w:tcW w:w="780" w:type="dxa"/>
            <w:vAlign w:val="bottom"/>
          </w:tcPr>
          <w:p w14:paraId="42E4410C" w14:textId="21B36E6A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1.722</w:t>
            </w:r>
          </w:p>
        </w:tc>
        <w:tc>
          <w:tcPr>
            <w:tcW w:w="853" w:type="dxa"/>
            <w:vAlign w:val="bottom"/>
          </w:tcPr>
          <w:p w14:paraId="49A054BB" w14:textId="332F684C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100</w:t>
            </w:r>
          </w:p>
        </w:tc>
        <w:tc>
          <w:tcPr>
            <w:tcW w:w="706" w:type="dxa"/>
            <w:vAlign w:val="bottom"/>
          </w:tcPr>
          <w:p w14:paraId="26DF6EF0" w14:textId="3F26CE00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4,6</w:t>
            </w:r>
          </w:p>
        </w:tc>
      </w:tr>
      <w:tr w:rsidR="007B3C50" w14:paraId="5AD0B8F5" w14:textId="77777777" w:rsidTr="000C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598B30B" w14:textId="118488AF" w:rsidR="007B3C50" w:rsidRDefault="0046145D" w:rsidP="007B3C50">
            <w:pPr>
              <w:pStyle w:val="TabelalevoUMAR"/>
            </w:pPr>
            <w:r>
              <w:t>Odpadk</w:t>
            </w:r>
            <w:r w:rsidR="007B3C50">
              <w:t>i</w:t>
            </w:r>
          </w:p>
        </w:tc>
        <w:tc>
          <w:tcPr>
            <w:tcW w:w="779" w:type="dxa"/>
            <w:vAlign w:val="bottom"/>
          </w:tcPr>
          <w:p w14:paraId="0E198CAF" w14:textId="5107101A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79" w:type="dxa"/>
            <w:vAlign w:val="bottom"/>
          </w:tcPr>
          <w:p w14:paraId="0536C755" w14:textId="170195BB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80" w:type="dxa"/>
            <w:vAlign w:val="bottom"/>
          </w:tcPr>
          <w:p w14:paraId="2189AC5F" w14:textId="32D9EA12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81" w:type="dxa"/>
            <w:vAlign w:val="bottom"/>
          </w:tcPr>
          <w:p w14:paraId="39A67D99" w14:textId="6CF584C9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78" w:type="dxa"/>
            <w:vAlign w:val="bottom"/>
          </w:tcPr>
          <w:p w14:paraId="432D1C31" w14:textId="77777777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vAlign w:val="bottom"/>
          </w:tcPr>
          <w:p w14:paraId="349F53D3" w14:textId="7B9F8D2E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515</w:t>
            </w:r>
          </w:p>
        </w:tc>
        <w:tc>
          <w:tcPr>
            <w:tcW w:w="779" w:type="dxa"/>
            <w:vAlign w:val="bottom"/>
          </w:tcPr>
          <w:p w14:paraId="5F5F9F31" w14:textId="32F81227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493</w:t>
            </w:r>
          </w:p>
        </w:tc>
        <w:tc>
          <w:tcPr>
            <w:tcW w:w="780" w:type="dxa"/>
            <w:vAlign w:val="bottom"/>
          </w:tcPr>
          <w:p w14:paraId="726AF6F6" w14:textId="71DD2022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442</w:t>
            </w:r>
          </w:p>
        </w:tc>
        <w:tc>
          <w:tcPr>
            <w:tcW w:w="853" w:type="dxa"/>
            <w:vAlign w:val="bottom"/>
          </w:tcPr>
          <w:p w14:paraId="0C91253F" w14:textId="3CC0F09E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100</w:t>
            </w:r>
          </w:p>
        </w:tc>
        <w:tc>
          <w:tcPr>
            <w:tcW w:w="706" w:type="dxa"/>
            <w:vAlign w:val="bottom"/>
          </w:tcPr>
          <w:p w14:paraId="374E8853" w14:textId="4EB9ABA4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-14,2</w:t>
            </w:r>
          </w:p>
        </w:tc>
      </w:tr>
      <w:tr w:rsidR="007B3C50" w14:paraId="311692CB" w14:textId="77777777" w:rsidTr="000C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45482EC" w14:textId="7C1F6CF6" w:rsidR="007B3C50" w:rsidRDefault="0046145D" w:rsidP="007B3C50">
            <w:pPr>
              <w:pStyle w:val="TabelalevoUMAR"/>
            </w:pPr>
            <w:r>
              <w:t>Drugi sektorji</w:t>
            </w:r>
          </w:p>
        </w:tc>
        <w:tc>
          <w:tcPr>
            <w:tcW w:w="779" w:type="dxa"/>
            <w:vAlign w:val="bottom"/>
          </w:tcPr>
          <w:p w14:paraId="092F4B24" w14:textId="21F40177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79" w:type="dxa"/>
            <w:vAlign w:val="bottom"/>
          </w:tcPr>
          <w:p w14:paraId="7662486A" w14:textId="28E9022E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80" w:type="dxa"/>
            <w:vAlign w:val="bottom"/>
          </w:tcPr>
          <w:p w14:paraId="33810E62" w14:textId="0E057149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81" w:type="dxa"/>
            <w:vAlign w:val="bottom"/>
          </w:tcPr>
          <w:p w14:paraId="79119373" w14:textId="01D7B771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78" w:type="dxa"/>
            <w:vAlign w:val="bottom"/>
          </w:tcPr>
          <w:p w14:paraId="3252986A" w14:textId="77777777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vAlign w:val="bottom"/>
          </w:tcPr>
          <w:p w14:paraId="25ADFB3E" w14:textId="4B269A82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1.676</w:t>
            </w:r>
          </w:p>
        </w:tc>
        <w:tc>
          <w:tcPr>
            <w:tcW w:w="779" w:type="dxa"/>
            <w:vAlign w:val="bottom"/>
          </w:tcPr>
          <w:p w14:paraId="1E8C401C" w14:textId="23024545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1.486</w:t>
            </w:r>
          </w:p>
        </w:tc>
        <w:tc>
          <w:tcPr>
            <w:tcW w:w="780" w:type="dxa"/>
            <w:vAlign w:val="bottom"/>
          </w:tcPr>
          <w:p w14:paraId="058429B3" w14:textId="29282BF4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1.307</w:t>
            </w:r>
          </w:p>
        </w:tc>
        <w:tc>
          <w:tcPr>
            <w:tcW w:w="853" w:type="dxa"/>
            <w:vAlign w:val="bottom"/>
          </w:tcPr>
          <w:p w14:paraId="3A405BFE" w14:textId="50DBC267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100</w:t>
            </w:r>
          </w:p>
        </w:tc>
        <w:tc>
          <w:tcPr>
            <w:tcW w:w="706" w:type="dxa"/>
            <w:vAlign w:val="bottom"/>
          </w:tcPr>
          <w:p w14:paraId="5216004E" w14:textId="43FAA405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-22,0</w:t>
            </w:r>
          </w:p>
        </w:tc>
      </w:tr>
      <w:tr w:rsidR="007B3C50" w14:paraId="3486DB5D" w14:textId="77777777" w:rsidTr="000C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A0A4326" w14:textId="01608261" w:rsidR="007B3C50" w:rsidRDefault="007B3C50" w:rsidP="007B3C50">
            <w:pPr>
              <w:pStyle w:val="TabelalevoUMAR"/>
            </w:pPr>
            <w:r>
              <w:t>Drugo</w:t>
            </w:r>
          </w:p>
        </w:tc>
        <w:tc>
          <w:tcPr>
            <w:tcW w:w="779" w:type="dxa"/>
            <w:vAlign w:val="bottom"/>
          </w:tcPr>
          <w:p w14:paraId="06BED4A3" w14:textId="127645BE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79</w:t>
            </w:r>
          </w:p>
        </w:tc>
        <w:tc>
          <w:tcPr>
            <w:tcW w:w="779" w:type="dxa"/>
            <w:vAlign w:val="bottom"/>
          </w:tcPr>
          <w:p w14:paraId="61F01DCC" w14:textId="5E5E3841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55</w:t>
            </w:r>
          </w:p>
        </w:tc>
        <w:tc>
          <w:tcPr>
            <w:tcW w:w="780" w:type="dxa"/>
            <w:vAlign w:val="bottom"/>
          </w:tcPr>
          <w:p w14:paraId="53B3F7DF" w14:textId="5FA0F239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68</w:t>
            </w:r>
          </w:p>
        </w:tc>
        <w:tc>
          <w:tcPr>
            <w:tcW w:w="781" w:type="dxa"/>
            <w:vAlign w:val="bottom"/>
          </w:tcPr>
          <w:p w14:paraId="3A38FAE8" w14:textId="70F6AACC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17</w:t>
            </w:r>
          </w:p>
        </w:tc>
        <w:tc>
          <w:tcPr>
            <w:tcW w:w="778" w:type="dxa"/>
            <w:vAlign w:val="bottom"/>
          </w:tcPr>
          <w:p w14:paraId="36FE6867" w14:textId="72FA05C0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-13,7</w:t>
            </w:r>
          </w:p>
        </w:tc>
        <w:tc>
          <w:tcPr>
            <w:tcW w:w="779" w:type="dxa"/>
            <w:vAlign w:val="bottom"/>
          </w:tcPr>
          <w:p w14:paraId="58F81441" w14:textId="052AF8D9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383</w:t>
            </w:r>
          </w:p>
        </w:tc>
        <w:tc>
          <w:tcPr>
            <w:tcW w:w="779" w:type="dxa"/>
            <w:vAlign w:val="bottom"/>
          </w:tcPr>
          <w:p w14:paraId="402DDD7A" w14:textId="5C996210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319</w:t>
            </w:r>
          </w:p>
        </w:tc>
        <w:tc>
          <w:tcPr>
            <w:tcW w:w="780" w:type="dxa"/>
            <w:vAlign w:val="bottom"/>
          </w:tcPr>
          <w:p w14:paraId="3A965F52" w14:textId="0353F9BA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325</w:t>
            </w:r>
          </w:p>
        </w:tc>
        <w:tc>
          <w:tcPr>
            <w:tcW w:w="853" w:type="dxa"/>
            <w:vAlign w:val="bottom"/>
          </w:tcPr>
          <w:p w14:paraId="35D3AA00" w14:textId="19BDBD91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83</w:t>
            </w:r>
          </w:p>
        </w:tc>
        <w:tc>
          <w:tcPr>
            <w:tcW w:w="706" w:type="dxa"/>
            <w:vAlign w:val="bottom"/>
          </w:tcPr>
          <w:p w14:paraId="142D9A58" w14:textId="01732DCF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-15,0</w:t>
            </w:r>
          </w:p>
        </w:tc>
      </w:tr>
      <w:tr w:rsidR="007B3C50" w14:paraId="42C89888" w14:textId="77777777" w:rsidTr="000C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49A5DDF" w14:textId="6E766BC6" w:rsidR="007B3C50" w:rsidRPr="00017E67" w:rsidRDefault="007B3C50" w:rsidP="007B3C50">
            <w:pPr>
              <w:pStyle w:val="TabelalevoUMAR"/>
              <w:rPr>
                <w:b/>
                <w:bCs w:val="0"/>
              </w:rPr>
            </w:pPr>
            <w:r w:rsidRPr="00017E67">
              <w:rPr>
                <w:b/>
                <w:bCs w:val="0"/>
              </w:rPr>
              <w:t>SKUPAJ</w:t>
            </w:r>
          </w:p>
        </w:tc>
        <w:tc>
          <w:tcPr>
            <w:tcW w:w="779" w:type="dxa"/>
            <w:vAlign w:val="bottom"/>
          </w:tcPr>
          <w:p w14:paraId="210FFABF" w14:textId="17B280E9" w:rsidR="007B3C50" w:rsidRPr="00017E67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17E67">
              <w:rPr>
                <w:b/>
                <w:bCs w:val="0"/>
              </w:rPr>
              <w:t>7.386</w:t>
            </w:r>
          </w:p>
        </w:tc>
        <w:tc>
          <w:tcPr>
            <w:tcW w:w="779" w:type="dxa"/>
            <w:vAlign w:val="bottom"/>
          </w:tcPr>
          <w:p w14:paraId="7D1336D8" w14:textId="3608205E" w:rsidR="007B3C50" w:rsidRPr="00017E67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17E67">
              <w:rPr>
                <w:b/>
                <w:bCs w:val="0"/>
              </w:rPr>
              <w:t>6.109</w:t>
            </w:r>
          </w:p>
        </w:tc>
        <w:tc>
          <w:tcPr>
            <w:tcW w:w="780" w:type="dxa"/>
            <w:vAlign w:val="bottom"/>
          </w:tcPr>
          <w:p w14:paraId="652BE4EB" w14:textId="70CE990D" w:rsidR="007B3C50" w:rsidRPr="00017E67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17E67">
              <w:rPr>
                <w:b/>
                <w:bCs w:val="0"/>
              </w:rPr>
              <w:t>6.492</w:t>
            </w:r>
          </w:p>
        </w:tc>
        <w:tc>
          <w:tcPr>
            <w:tcW w:w="781" w:type="dxa"/>
            <w:vAlign w:val="bottom"/>
          </w:tcPr>
          <w:p w14:paraId="5FF9ED4D" w14:textId="420357AF" w:rsidR="007B3C50" w:rsidRPr="00017E67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17E67">
              <w:rPr>
                <w:b/>
                <w:bCs w:val="0"/>
              </w:rPr>
              <w:t>37</w:t>
            </w:r>
          </w:p>
        </w:tc>
        <w:tc>
          <w:tcPr>
            <w:tcW w:w="778" w:type="dxa"/>
            <w:vAlign w:val="bottom"/>
          </w:tcPr>
          <w:p w14:paraId="12118C53" w14:textId="7CBB8078" w:rsidR="007B3C50" w:rsidRPr="00017E67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17E67">
              <w:rPr>
                <w:b/>
                <w:bCs w:val="0"/>
              </w:rPr>
              <w:t>-12,1</w:t>
            </w:r>
          </w:p>
        </w:tc>
        <w:tc>
          <w:tcPr>
            <w:tcW w:w="779" w:type="dxa"/>
            <w:vAlign w:val="bottom"/>
          </w:tcPr>
          <w:p w14:paraId="46410E77" w14:textId="479FF5FD" w:rsidR="007B3C50" w:rsidRPr="00017E67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17E67">
              <w:rPr>
                <w:b/>
                <w:bCs w:val="0"/>
              </w:rPr>
              <w:t>10.921</w:t>
            </w:r>
          </w:p>
        </w:tc>
        <w:tc>
          <w:tcPr>
            <w:tcW w:w="779" w:type="dxa"/>
            <w:vAlign w:val="bottom"/>
          </w:tcPr>
          <w:p w14:paraId="48D4BB8E" w14:textId="5EACC533" w:rsidR="007B3C50" w:rsidRPr="00017E67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17E67">
              <w:rPr>
                <w:b/>
                <w:bCs w:val="0"/>
              </w:rPr>
              <w:t>10.641</w:t>
            </w:r>
          </w:p>
        </w:tc>
        <w:tc>
          <w:tcPr>
            <w:tcW w:w="780" w:type="dxa"/>
            <w:vAlign w:val="bottom"/>
          </w:tcPr>
          <w:p w14:paraId="242C05A3" w14:textId="251621A7" w:rsidR="007B3C50" w:rsidRPr="00017E67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17E67">
              <w:rPr>
                <w:b/>
                <w:bCs w:val="0"/>
              </w:rPr>
              <w:t>11.010</w:t>
            </w:r>
          </w:p>
        </w:tc>
        <w:tc>
          <w:tcPr>
            <w:tcW w:w="853" w:type="dxa"/>
            <w:vAlign w:val="bottom"/>
          </w:tcPr>
          <w:p w14:paraId="47E109E4" w14:textId="1F1E167B" w:rsidR="007B3C50" w:rsidRPr="00017E67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17E67">
              <w:rPr>
                <w:b/>
                <w:bCs w:val="0"/>
              </w:rPr>
              <w:t>63</w:t>
            </w:r>
          </w:p>
        </w:tc>
        <w:tc>
          <w:tcPr>
            <w:tcW w:w="706" w:type="dxa"/>
            <w:vAlign w:val="bottom"/>
          </w:tcPr>
          <w:p w14:paraId="1F455B34" w14:textId="3AB11772" w:rsidR="007B3C50" w:rsidRPr="00017E67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17E67">
              <w:rPr>
                <w:b/>
                <w:bCs w:val="0"/>
              </w:rPr>
              <w:t>0,8</w:t>
            </w:r>
          </w:p>
        </w:tc>
      </w:tr>
      <w:tr w:rsidR="007B3C50" w14:paraId="23BC1459" w14:textId="77777777" w:rsidTr="000C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4906D8D" w14:textId="34971C21" w:rsidR="007B3C50" w:rsidRDefault="007B3C50" w:rsidP="007B3C50">
            <w:pPr>
              <w:pStyle w:val="TabelalevoUMAR"/>
            </w:pPr>
            <w:proofErr w:type="spellStart"/>
            <w:r>
              <w:t>Dodelj</w:t>
            </w:r>
            <w:proofErr w:type="spellEnd"/>
            <w:r>
              <w:t>. kuponi</w:t>
            </w:r>
          </w:p>
        </w:tc>
        <w:tc>
          <w:tcPr>
            <w:tcW w:w="779" w:type="dxa"/>
            <w:vAlign w:val="bottom"/>
          </w:tcPr>
          <w:p w14:paraId="53C79363" w14:textId="77777777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vAlign w:val="bottom"/>
          </w:tcPr>
          <w:p w14:paraId="2A6E1CA6" w14:textId="77777777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bottom"/>
          </w:tcPr>
          <w:p w14:paraId="5D4DE46B" w14:textId="77777777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dxa"/>
            <w:vAlign w:val="bottom"/>
          </w:tcPr>
          <w:p w14:paraId="1040CE17" w14:textId="77777777" w:rsid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  <w:vAlign w:val="bottom"/>
          </w:tcPr>
          <w:p w14:paraId="212F0D71" w14:textId="77777777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vAlign w:val="bottom"/>
          </w:tcPr>
          <w:p w14:paraId="25236DA9" w14:textId="5D15BB43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12.324</w:t>
            </w:r>
          </w:p>
        </w:tc>
        <w:tc>
          <w:tcPr>
            <w:tcW w:w="779" w:type="dxa"/>
            <w:vAlign w:val="bottom"/>
          </w:tcPr>
          <w:p w14:paraId="5B32BC6B" w14:textId="25BDF101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12.384</w:t>
            </w:r>
          </w:p>
        </w:tc>
        <w:tc>
          <w:tcPr>
            <w:tcW w:w="780" w:type="dxa"/>
            <w:vAlign w:val="bottom"/>
          </w:tcPr>
          <w:p w14:paraId="44732E69" w14:textId="02D369EA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C50">
              <w:t>12.238</w:t>
            </w:r>
          </w:p>
        </w:tc>
        <w:tc>
          <w:tcPr>
            <w:tcW w:w="853" w:type="dxa"/>
            <w:vAlign w:val="bottom"/>
          </w:tcPr>
          <w:p w14:paraId="11C84E4F" w14:textId="77777777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  <w:vAlign w:val="bottom"/>
          </w:tcPr>
          <w:p w14:paraId="4C70F036" w14:textId="77777777" w:rsidR="007B3C50" w:rsidRPr="007B3C50" w:rsidRDefault="007B3C50" w:rsidP="007B3C50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99B723" w14:textId="5A950FDB" w:rsidR="005223AC" w:rsidRDefault="005563B2" w:rsidP="005563B2">
      <w:pPr>
        <w:pStyle w:val="VirUMAR"/>
      </w:pPr>
      <w:r>
        <w:t xml:space="preserve">Vir podatkov: ARSO. Opomba: </w:t>
      </w:r>
      <w:r w:rsidR="00FE4D53">
        <w:t xml:space="preserve">podatki po strukturi izpustov v ETS in ne-ETS so razpoložljivi </w:t>
      </w:r>
      <w:r>
        <w:t xml:space="preserve">za obdobje 2013 </w:t>
      </w:r>
      <w:r>
        <w:softHyphen/>
        <w:t>– 2018.</w:t>
      </w:r>
    </w:p>
    <w:p w14:paraId="47B57CD0" w14:textId="12B6531F" w:rsidR="003B2F96" w:rsidRDefault="003B2F96" w:rsidP="003B2F96">
      <w:pPr>
        <w:pStyle w:val="BesediloUMAR"/>
        <w:rPr>
          <w:b/>
          <w:bCs/>
        </w:rPr>
      </w:pPr>
      <w:r w:rsidRPr="00346531">
        <w:rPr>
          <w:b/>
          <w:bCs/>
        </w:rPr>
        <w:lastRenderedPageBreak/>
        <w:t xml:space="preserve">Slika </w:t>
      </w:r>
      <w:r w:rsidRPr="00346531">
        <w:rPr>
          <w:b/>
          <w:bCs/>
        </w:rPr>
        <w:fldChar w:fldCharType="begin"/>
      </w:r>
      <w:r w:rsidRPr="00346531">
        <w:rPr>
          <w:b/>
          <w:bCs/>
        </w:rPr>
        <w:instrText xml:space="preserve"> SEQ Slika \* ARABIC </w:instrText>
      </w:r>
      <w:r w:rsidRPr="00346531">
        <w:rPr>
          <w:b/>
          <w:bCs/>
        </w:rPr>
        <w:fldChar w:fldCharType="separate"/>
      </w:r>
      <w:r w:rsidR="004B1A62">
        <w:rPr>
          <w:b/>
          <w:bCs/>
          <w:noProof/>
        </w:rPr>
        <w:t>6</w:t>
      </w:r>
      <w:r w:rsidRPr="00346531">
        <w:fldChar w:fldCharType="end"/>
      </w:r>
      <w:r w:rsidRPr="00346531">
        <w:rPr>
          <w:b/>
          <w:bCs/>
        </w:rPr>
        <w:t xml:space="preserve">: </w:t>
      </w:r>
      <w:r>
        <w:rPr>
          <w:b/>
          <w:bCs/>
        </w:rPr>
        <w:t>Gibanje izpustov TGP</w:t>
      </w:r>
      <w:r w:rsidR="00557B80">
        <w:rPr>
          <w:b/>
          <w:bCs/>
        </w:rPr>
        <w:t xml:space="preserve"> </w:t>
      </w:r>
      <w:r w:rsidR="0023306B">
        <w:rPr>
          <w:b/>
          <w:bCs/>
        </w:rPr>
        <w:t>v</w:t>
      </w:r>
      <w:r w:rsidR="002844EF">
        <w:rPr>
          <w:b/>
          <w:bCs/>
        </w:rPr>
        <w:t xml:space="preserve"> </w:t>
      </w:r>
      <w:r w:rsidRPr="00346531">
        <w:rPr>
          <w:b/>
          <w:bCs/>
        </w:rPr>
        <w:t xml:space="preserve">ETS </w:t>
      </w:r>
      <w:r w:rsidR="002844EF">
        <w:rPr>
          <w:b/>
          <w:bCs/>
        </w:rPr>
        <w:t>in</w:t>
      </w:r>
      <w:r w:rsidRPr="00346531">
        <w:rPr>
          <w:b/>
          <w:bCs/>
        </w:rPr>
        <w:t xml:space="preserve"> </w:t>
      </w:r>
      <w:r>
        <w:rPr>
          <w:b/>
          <w:bCs/>
        </w:rPr>
        <w:t>ne</w:t>
      </w:r>
      <w:r w:rsidR="0023306B">
        <w:rPr>
          <w:b/>
          <w:bCs/>
        </w:rPr>
        <w:t>–</w:t>
      </w:r>
      <w:r w:rsidRPr="00346531">
        <w:rPr>
          <w:b/>
          <w:bCs/>
        </w:rPr>
        <w:t>ETS, Slovenija</w:t>
      </w:r>
    </w:p>
    <w:p w14:paraId="779F9709" w14:textId="690D9042" w:rsidR="00E03A9D" w:rsidRDefault="00E03A9D" w:rsidP="003B2F96">
      <w:pPr>
        <w:pStyle w:val="BesediloUMAR"/>
        <w:rPr>
          <w:b/>
          <w:bCs/>
        </w:rPr>
      </w:pPr>
      <w:r w:rsidRPr="00E03A9D">
        <w:rPr>
          <w:noProof/>
          <w:lang w:eastAsia="sl-SI"/>
        </w:rPr>
        <w:drawing>
          <wp:inline distT="0" distB="0" distL="0" distR="0" wp14:anchorId="0FBEE821" wp14:editId="26D4B127">
            <wp:extent cx="5759450" cy="2072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3565C" w14:textId="4D60D1D2" w:rsidR="003B2F96" w:rsidRDefault="003B2F96" w:rsidP="003B2F96">
      <w:pPr>
        <w:pStyle w:val="VirUMAR"/>
      </w:pPr>
      <w:r w:rsidRPr="00346531">
        <w:t>Vir</w:t>
      </w:r>
      <w:r w:rsidR="00475670">
        <w:t xml:space="preserve"> podatkov: </w:t>
      </w:r>
      <w:r w:rsidRPr="00346531">
        <w:t xml:space="preserve"> ARSO</w:t>
      </w:r>
    </w:p>
    <w:p w14:paraId="165E3145" w14:textId="77777777" w:rsidR="00D54FEE" w:rsidRDefault="00D54FEE" w:rsidP="003B2F96">
      <w:pPr>
        <w:pStyle w:val="VirUMAR"/>
      </w:pPr>
    </w:p>
    <w:p w14:paraId="3C4D8461" w14:textId="75EB349D" w:rsidR="00027DEC" w:rsidRDefault="00027DEC" w:rsidP="00D54FEE">
      <w:pPr>
        <w:pStyle w:val="Caption"/>
      </w:pPr>
      <w:r w:rsidRPr="00346531">
        <w:t xml:space="preserve">Slika </w:t>
      </w:r>
      <w:r w:rsidRPr="00346531">
        <w:fldChar w:fldCharType="begin"/>
      </w:r>
      <w:r w:rsidRPr="00346531">
        <w:instrText xml:space="preserve"> SEQ Slika \* ARABIC </w:instrText>
      </w:r>
      <w:r w:rsidRPr="00346531">
        <w:fldChar w:fldCharType="separate"/>
      </w:r>
      <w:r w:rsidR="004B1A62">
        <w:t>7</w:t>
      </w:r>
      <w:r w:rsidRPr="00346531">
        <w:fldChar w:fldCharType="end"/>
      </w:r>
      <w:r w:rsidRPr="00346531">
        <w:t>: Izpusti TGP</w:t>
      </w:r>
      <w:r w:rsidR="003B2F96">
        <w:t xml:space="preserve">, struktura po </w:t>
      </w:r>
      <w:r>
        <w:t>ETS in ne–ETS</w:t>
      </w:r>
      <w:r w:rsidR="002844EF">
        <w:t>,</w:t>
      </w:r>
      <w:r>
        <w:t xml:space="preserve"> 2018</w:t>
      </w:r>
    </w:p>
    <w:p w14:paraId="5B4E6BC3" w14:textId="77777777" w:rsidR="009D54FE" w:rsidRPr="009D54FE" w:rsidRDefault="009D54FE" w:rsidP="009D54FE">
      <w:pPr>
        <w:pStyle w:val="BesediloUMAR"/>
      </w:pPr>
    </w:p>
    <w:p w14:paraId="715B2783" w14:textId="405E8EFF" w:rsidR="005C1977" w:rsidRDefault="00232436" w:rsidP="00027DEC">
      <w:pPr>
        <w:pStyle w:val="BesediloUMAR"/>
        <w:rPr>
          <w:b/>
          <w:bCs/>
        </w:rPr>
      </w:pPr>
      <w:r w:rsidRPr="00232436">
        <w:rPr>
          <w:noProof/>
          <w:lang w:eastAsia="sl-SI"/>
        </w:rPr>
        <w:drawing>
          <wp:inline distT="0" distB="0" distL="0" distR="0" wp14:anchorId="31A9D23D" wp14:editId="1DD89FAE">
            <wp:extent cx="5759450" cy="2095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95E3B" w14:textId="6CD67355" w:rsidR="00027DEC" w:rsidRDefault="009C3D87" w:rsidP="009C3D87">
      <w:pPr>
        <w:pStyle w:val="VirUMAR"/>
      </w:pPr>
      <w:r>
        <w:t>Vir podatkov: EUROSTAT.</w:t>
      </w:r>
    </w:p>
    <w:p w14:paraId="04DC4DB7" w14:textId="77777777" w:rsidR="00027DEC" w:rsidRPr="00346531" w:rsidRDefault="00027DEC" w:rsidP="00027DEC">
      <w:pPr>
        <w:pStyle w:val="VirUMAR"/>
      </w:pPr>
    </w:p>
    <w:p w14:paraId="5F5FE496" w14:textId="03D300AA" w:rsidR="000E1083" w:rsidRDefault="000E1083" w:rsidP="00D54FEE">
      <w:pPr>
        <w:pStyle w:val="Caption"/>
      </w:pPr>
      <w:r w:rsidRPr="00346531">
        <w:t xml:space="preserve">Slika </w:t>
      </w:r>
      <w:r w:rsidRPr="00346531">
        <w:fldChar w:fldCharType="begin"/>
      </w:r>
      <w:r w:rsidRPr="00346531">
        <w:instrText xml:space="preserve"> SEQ Slika \* ARABIC </w:instrText>
      </w:r>
      <w:r w:rsidRPr="00346531">
        <w:fldChar w:fldCharType="separate"/>
      </w:r>
      <w:r w:rsidR="004B1A62">
        <w:t>8</w:t>
      </w:r>
      <w:r w:rsidRPr="00346531">
        <w:fldChar w:fldCharType="end"/>
      </w:r>
      <w:r w:rsidRPr="00346531">
        <w:t xml:space="preserve">: </w:t>
      </w:r>
      <w:r w:rsidR="002844EF">
        <w:t>Raven i</w:t>
      </w:r>
      <w:r w:rsidRPr="00346531">
        <w:t>zpust</w:t>
      </w:r>
      <w:r w:rsidR="002844EF">
        <w:t>ov</w:t>
      </w:r>
      <w:r w:rsidRPr="00346531">
        <w:t xml:space="preserve"> TGP v</w:t>
      </w:r>
      <w:r w:rsidR="00027DEC">
        <w:t xml:space="preserve"> ne–ETS</w:t>
      </w:r>
      <w:r w:rsidR="002844EF">
        <w:t xml:space="preserve">, </w:t>
      </w:r>
      <w:r w:rsidR="00027DEC">
        <w:t>2018</w:t>
      </w:r>
      <w:r w:rsidR="009C3D87">
        <w:t xml:space="preserve"> glede na 2005</w:t>
      </w:r>
      <w:r w:rsidR="00971077">
        <w:t xml:space="preserve"> </w:t>
      </w:r>
    </w:p>
    <w:p w14:paraId="5B58BF13" w14:textId="73BBF445" w:rsidR="003A2980" w:rsidRDefault="00602572" w:rsidP="000E1083">
      <w:pPr>
        <w:pStyle w:val="BesediloUMAR"/>
        <w:rPr>
          <w:b/>
          <w:bCs/>
        </w:rPr>
      </w:pPr>
      <w:r w:rsidRPr="00602572">
        <w:rPr>
          <w:noProof/>
          <w:lang w:eastAsia="sl-SI"/>
        </w:rPr>
        <w:drawing>
          <wp:inline distT="0" distB="0" distL="0" distR="0" wp14:anchorId="6479EDE6" wp14:editId="7837AA0C">
            <wp:extent cx="5759450" cy="2095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0DFC0" w14:textId="7BA53C46" w:rsidR="00027DEC" w:rsidRDefault="00027DEC" w:rsidP="00027DEC">
      <w:pPr>
        <w:pStyle w:val="VirUMAR"/>
      </w:pPr>
      <w:r>
        <w:t>Vir podatkov: EUROSTAT</w:t>
      </w:r>
      <w:r w:rsidR="003A7B88">
        <w:t>, za Slovenijo ARSO.</w:t>
      </w:r>
    </w:p>
    <w:p w14:paraId="15CA27AB" w14:textId="07608964" w:rsidR="00027DEC" w:rsidRDefault="00027DEC" w:rsidP="00027DEC">
      <w:pPr>
        <w:pStyle w:val="VirUMAR"/>
      </w:pPr>
    </w:p>
    <w:p w14:paraId="082BF504" w14:textId="77777777" w:rsidR="00D54FEE" w:rsidRDefault="00D54FEE" w:rsidP="00C47CE6">
      <w:pPr>
        <w:spacing w:after="0" w:line="288" w:lineRule="auto"/>
        <w:jc w:val="both"/>
        <w:rPr>
          <w:rFonts w:ascii="Myriad Pro" w:hAnsi="Myriad Pro"/>
          <w:b/>
          <w:bCs/>
          <w:sz w:val="20"/>
        </w:rPr>
      </w:pPr>
    </w:p>
    <w:p w14:paraId="21E841A9" w14:textId="77777777" w:rsidR="000E1083" w:rsidRDefault="000E1083" w:rsidP="00346531">
      <w:pPr>
        <w:pStyle w:val="BesediloUMAR"/>
      </w:pPr>
    </w:p>
    <w:p w14:paraId="47A9AB9E" w14:textId="468B23B3" w:rsidR="00082349" w:rsidRPr="00A57D0A" w:rsidRDefault="006C5B35" w:rsidP="00FB7665">
      <w:pPr>
        <w:pStyle w:val="Heading1"/>
      </w:pPr>
      <w:r w:rsidRPr="00A57D0A">
        <w:lastRenderedPageBreak/>
        <w:t>I</w:t>
      </w:r>
      <w:r w:rsidR="008A14F1" w:rsidRPr="00A57D0A">
        <w:t>zpusti</w:t>
      </w:r>
      <w:r w:rsidR="00201369" w:rsidRPr="00A57D0A">
        <w:t xml:space="preserve"> v povezavi </w:t>
      </w:r>
      <w:r w:rsidR="008A14F1" w:rsidRPr="00A57D0A">
        <w:t>z rabo zemljišč, spremembo rabe in gozdarstvom</w:t>
      </w:r>
    </w:p>
    <w:p w14:paraId="43714770" w14:textId="4450726E" w:rsidR="00533E0B" w:rsidRPr="00533E0B" w:rsidRDefault="00015C29" w:rsidP="00533E0B">
      <w:pPr>
        <w:pStyle w:val="BesediloUMAR"/>
      </w:pPr>
      <w:r>
        <w:rPr>
          <w:rStyle w:val="VodilnistavekUMAR"/>
        </w:rPr>
        <w:t xml:space="preserve">Ker </w:t>
      </w:r>
      <w:r w:rsidR="003A6A19">
        <w:rPr>
          <w:rStyle w:val="VodilnistavekUMAR"/>
        </w:rPr>
        <w:t>le z zmanjševanjem izpustov TGP cilja podnebne nevt</w:t>
      </w:r>
      <w:r w:rsidR="00E83484">
        <w:rPr>
          <w:rStyle w:val="VodilnistavekUMAR"/>
        </w:rPr>
        <w:t>r</w:t>
      </w:r>
      <w:r w:rsidR="003A6A19">
        <w:rPr>
          <w:rStyle w:val="VodilnistavekUMAR"/>
        </w:rPr>
        <w:t>alnosti</w:t>
      </w:r>
      <w:r w:rsidR="0086661E" w:rsidRPr="0086661E">
        <w:rPr>
          <w:rStyle w:val="VodilnistavekUMAR"/>
        </w:rPr>
        <w:t xml:space="preserve"> </w:t>
      </w:r>
      <w:r w:rsidR="0086661E">
        <w:rPr>
          <w:rStyle w:val="VodilnistavekUMAR"/>
        </w:rPr>
        <w:t>ne bo mogoče doseči</w:t>
      </w:r>
      <w:r>
        <w:rPr>
          <w:rStyle w:val="VodilnistavekUMAR"/>
        </w:rPr>
        <w:t xml:space="preserve">, bo </w:t>
      </w:r>
      <w:r w:rsidR="00E83484">
        <w:rPr>
          <w:rStyle w:val="VodilnistavekUMAR"/>
        </w:rPr>
        <w:t xml:space="preserve">hkrati </w:t>
      </w:r>
      <w:r>
        <w:rPr>
          <w:rStyle w:val="VodilnistavekUMAR"/>
        </w:rPr>
        <w:t xml:space="preserve">nujno povečati </w:t>
      </w:r>
      <w:r w:rsidRPr="00015C29">
        <w:rPr>
          <w:rStyle w:val="VodilnistavekUMAR"/>
        </w:rPr>
        <w:t xml:space="preserve">odvzem teh plinov po naravnih in drugih ponorih. </w:t>
      </w:r>
      <w:r>
        <w:t xml:space="preserve">Sektor, povezan z rabo zemljišč, spremembo rabe zemljišč in gozdarstvom (ang. </w:t>
      </w:r>
      <w:r w:rsidRPr="00C219FE">
        <w:t>LULUCF</w:t>
      </w:r>
      <w:r>
        <w:t xml:space="preserve"> sektor; </w:t>
      </w:r>
      <w:proofErr w:type="spellStart"/>
      <w:r w:rsidRPr="00C219FE">
        <w:t>L</w:t>
      </w:r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 w:rsidRPr="00C219FE">
        <w:t>L</w:t>
      </w:r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Forestry</w:t>
      </w:r>
      <w:proofErr w:type="spellEnd"/>
      <w:r>
        <w:t>)</w:t>
      </w:r>
      <w:r w:rsidR="00062FF7">
        <w:t>,</w:t>
      </w:r>
      <w:r w:rsidRPr="00C219FE">
        <w:t xml:space="preserve"> </w:t>
      </w:r>
      <w:r>
        <w:t>CO</w:t>
      </w:r>
      <w:r w:rsidRPr="001026CD">
        <w:rPr>
          <w:vertAlign w:val="subscript"/>
        </w:rPr>
        <w:t>2</w:t>
      </w:r>
      <w:r>
        <w:t xml:space="preserve"> iz ozračja odstranjuje, </w:t>
      </w:r>
      <w:r w:rsidR="00E83484">
        <w:t xml:space="preserve">hkrati </w:t>
      </w:r>
      <w:r>
        <w:t xml:space="preserve">pa izpuste tudi ustvarja. </w:t>
      </w:r>
      <w:r w:rsidRPr="00015C29">
        <w:t xml:space="preserve">Države lahko na primer delno odtehtajo svoje izpuste s širjenjem gozdov, ki nase vežejo </w:t>
      </w:r>
      <w:r w:rsidR="00E83484">
        <w:t>CO</w:t>
      </w:r>
      <w:r w:rsidR="00E83484" w:rsidRPr="00E83484">
        <w:rPr>
          <w:vertAlign w:val="subscript"/>
        </w:rPr>
        <w:t>2</w:t>
      </w:r>
      <w:r w:rsidRPr="00015C29">
        <w:t xml:space="preserve"> in ga </w:t>
      </w:r>
      <w:r w:rsidR="00201369">
        <w:t xml:space="preserve">s tem </w:t>
      </w:r>
      <w:r w:rsidRPr="00015C29">
        <w:t>iz ozračja</w:t>
      </w:r>
      <w:r w:rsidR="00201369">
        <w:t xml:space="preserve"> odstranijo</w:t>
      </w:r>
      <w:r w:rsidRPr="00015C29">
        <w:t>.</w:t>
      </w:r>
      <w:r>
        <w:rPr>
          <w:rStyle w:val="FootnoteReference"/>
        </w:rPr>
        <w:footnoteReference w:id="16"/>
      </w:r>
      <w:r>
        <w:t xml:space="preserve"> </w:t>
      </w:r>
      <w:r w:rsidR="0078152B">
        <w:t>V EU go</w:t>
      </w:r>
      <w:r w:rsidR="00533E0B" w:rsidRPr="00533E0B">
        <w:t>zdovi letno  absorbirajo okoli 9 %  izpus</w:t>
      </w:r>
      <w:r w:rsidR="0078152B">
        <w:t>t</w:t>
      </w:r>
      <w:r w:rsidR="00533E0B" w:rsidRPr="00533E0B">
        <w:t>ov TGP</w:t>
      </w:r>
      <w:r w:rsidR="0078152B">
        <w:t xml:space="preserve">, nastalih v </w:t>
      </w:r>
      <w:r w:rsidR="00533E0B" w:rsidRPr="00533E0B">
        <w:t>EU</w:t>
      </w:r>
      <w:r w:rsidR="00E83484">
        <w:t xml:space="preserve">, s tem pa so </w:t>
      </w:r>
      <w:r w:rsidR="00533E0B" w:rsidRPr="00533E0B">
        <w:t xml:space="preserve">za doseganje ciljev </w:t>
      </w:r>
      <w:proofErr w:type="spellStart"/>
      <w:r w:rsidR="00533E0B" w:rsidRPr="00533E0B">
        <w:t>ogljične</w:t>
      </w:r>
      <w:proofErr w:type="spellEnd"/>
      <w:r w:rsidR="00533E0B" w:rsidRPr="00533E0B">
        <w:t xml:space="preserve"> nevtralnosti ključnega pomena. EU </w:t>
      </w:r>
      <w:r w:rsidR="00533E0B">
        <w:t xml:space="preserve">si </w:t>
      </w:r>
      <w:r w:rsidR="00533E0B" w:rsidRPr="00533E0B">
        <w:t xml:space="preserve">prizadeva za njihovo zaščito, tako na ravni </w:t>
      </w:r>
      <w:r w:rsidR="00533E0B">
        <w:t>Evrope, kot tudi širše.</w:t>
      </w:r>
    </w:p>
    <w:p w14:paraId="1BBFF823" w14:textId="77777777" w:rsidR="00015C29" w:rsidRPr="00015C29" w:rsidRDefault="00015C29" w:rsidP="00C219FE">
      <w:pPr>
        <w:pStyle w:val="BesediloUMAR"/>
        <w:rPr>
          <w:rStyle w:val="VodilnistavekUMAR"/>
        </w:rPr>
      </w:pPr>
    </w:p>
    <w:p w14:paraId="5FC40992" w14:textId="12AE65BA" w:rsidR="00C219FE" w:rsidRPr="00C219FE" w:rsidRDefault="002A2370" w:rsidP="00C219FE">
      <w:pPr>
        <w:pStyle w:val="BesediloUMAR"/>
        <w:rPr>
          <w:i/>
        </w:rPr>
      </w:pPr>
      <w:r w:rsidRPr="002A2370">
        <w:rPr>
          <w:rStyle w:val="VodilnistavekUMAR"/>
        </w:rPr>
        <w:t>V Sloveniji so bili prispevki gozdov k zmanjš</w:t>
      </w:r>
      <w:r w:rsidR="00E83484">
        <w:rPr>
          <w:rStyle w:val="VodilnistavekUMAR"/>
        </w:rPr>
        <w:t>anju</w:t>
      </w:r>
      <w:r w:rsidRPr="002A2370">
        <w:rPr>
          <w:rStyle w:val="VodilnistavekUMAR"/>
        </w:rPr>
        <w:t xml:space="preserve"> neto izpusto</w:t>
      </w:r>
      <w:r w:rsidR="00E83484">
        <w:rPr>
          <w:rStyle w:val="VodilnistavekUMAR"/>
        </w:rPr>
        <w:t>v</w:t>
      </w:r>
      <w:r w:rsidRPr="002A2370">
        <w:rPr>
          <w:rStyle w:val="VodilnistavekUMAR"/>
        </w:rPr>
        <w:t xml:space="preserve"> </w:t>
      </w:r>
      <w:r>
        <w:rPr>
          <w:rStyle w:val="VodilnistavekUMAR"/>
        </w:rPr>
        <w:t xml:space="preserve">TGP </w:t>
      </w:r>
      <w:r w:rsidRPr="002A2370">
        <w:rPr>
          <w:rStyle w:val="VodilnistavekUMAR"/>
        </w:rPr>
        <w:t xml:space="preserve">veliki, </w:t>
      </w:r>
      <w:r>
        <w:rPr>
          <w:rStyle w:val="VodilnistavekUMAR"/>
        </w:rPr>
        <w:t xml:space="preserve">po žledolomu v letu 2014 </w:t>
      </w:r>
      <w:r w:rsidR="0023306B">
        <w:rPr>
          <w:rStyle w:val="VodilnistavekUMAR"/>
        </w:rPr>
        <w:t xml:space="preserve">pa </w:t>
      </w:r>
      <w:r w:rsidR="00E45B90">
        <w:rPr>
          <w:rStyle w:val="VodilnistavekUMAR"/>
        </w:rPr>
        <w:t xml:space="preserve">se je stanje občutno spremenilo. </w:t>
      </w:r>
      <w:r w:rsidRPr="00E83484">
        <w:rPr>
          <w:rStyle w:val="VodilnistavekUMAR"/>
          <w:b w:val="0"/>
          <w:bCs/>
        </w:rPr>
        <w:t xml:space="preserve">Zaradi </w:t>
      </w:r>
      <w:r w:rsidR="00C219FE" w:rsidRPr="00E83484">
        <w:rPr>
          <w:rStyle w:val="VodilnistavekUMAR"/>
          <w:b w:val="0"/>
          <w:bCs/>
        </w:rPr>
        <w:t xml:space="preserve">obsežnih </w:t>
      </w:r>
      <w:r w:rsidR="00C219FE">
        <w:t xml:space="preserve">naravnih </w:t>
      </w:r>
      <w:r>
        <w:t>nesreč,</w:t>
      </w:r>
      <w:r w:rsidR="00C219FE">
        <w:t xml:space="preserve"> </w:t>
      </w:r>
      <w:r w:rsidR="00201369">
        <w:t xml:space="preserve">ki </w:t>
      </w:r>
      <w:r w:rsidR="00201369" w:rsidRPr="00C219FE">
        <w:t xml:space="preserve">so slovenske gozdove </w:t>
      </w:r>
      <w:r w:rsidR="00F952D4">
        <w:t>zelo</w:t>
      </w:r>
      <w:r w:rsidR="00201369" w:rsidRPr="00C219FE">
        <w:t xml:space="preserve"> poškodovale</w:t>
      </w:r>
      <w:r w:rsidR="00201369">
        <w:t xml:space="preserve"> </w:t>
      </w:r>
      <w:r w:rsidR="00C219FE">
        <w:t>(</w:t>
      </w:r>
      <w:r w:rsidR="00C219FE" w:rsidRPr="00C219FE">
        <w:t xml:space="preserve">žledolom </w:t>
      </w:r>
      <w:r w:rsidR="00C219FE">
        <w:t xml:space="preserve">v letu </w:t>
      </w:r>
      <w:r w:rsidR="00C219FE" w:rsidRPr="00C219FE">
        <w:t>2014, vetrolom</w:t>
      </w:r>
      <w:r w:rsidR="00C219FE">
        <w:t xml:space="preserve">i v letih </w:t>
      </w:r>
      <w:r w:rsidR="00C219FE" w:rsidRPr="00C219FE">
        <w:t>2017</w:t>
      </w:r>
      <w:r w:rsidR="00C219FE">
        <w:t xml:space="preserve"> in </w:t>
      </w:r>
      <w:r w:rsidR="00C219FE" w:rsidRPr="00C219FE">
        <w:t>2018</w:t>
      </w:r>
      <w:r w:rsidR="00C219FE">
        <w:t xml:space="preserve"> ter</w:t>
      </w:r>
      <w:r w:rsidR="00C219FE" w:rsidRPr="00C219FE">
        <w:t xml:space="preserve"> </w:t>
      </w:r>
      <w:proofErr w:type="spellStart"/>
      <w:r w:rsidR="00C219FE" w:rsidRPr="00C219FE">
        <w:t>prenamnožene</w:t>
      </w:r>
      <w:proofErr w:type="spellEnd"/>
      <w:r w:rsidR="00C219FE" w:rsidRPr="00C219FE">
        <w:t xml:space="preserve"> populacije podlubnikov)</w:t>
      </w:r>
      <w:r w:rsidR="001026CD">
        <w:t>,</w:t>
      </w:r>
      <w:r w:rsidR="00C219FE">
        <w:t xml:space="preserve"> se je odvzem </w:t>
      </w:r>
      <w:r w:rsidR="00E83484">
        <w:t>ogl</w:t>
      </w:r>
      <w:r w:rsidR="00C219FE">
        <w:t xml:space="preserve">jika iz ozračja občutno zmanjšal. </w:t>
      </w:r>
      <w:r w:rsidR="00405639">
        <w:t xml:space="preserve">Sektor LULUCF, ki je v letu </w:t>
      </w:r>
      <w:r w:rsidR="005B411B">
        <w:t xml:space="preserve">2013 </w:t>
      </w:r>
      <w:r w:rsidR="00405639">
        <w:t>abs</w:t>
      </w:r>
      <w:r w:rsidR="005B411B">
        <w:t>o</w:t>
      </w:r>
      <w:r w:rsidR="00405639">
        <w:t xml:space="preserve">rbiral </w:t>
      </w:r>
      <w:r w:rsidR="005B411B">
        <w:t>7,3 mio ton CO</w:t>
      </w:r>
      <w:r w:rsidR="005B411B" w:rsidRPr="005B411B">
        <w:rPr>
          <w:vertAlign w:val="subscript"/>
        </w:rPr>
        <w:t>2</w:t>
      </w:r>
      <w:r w:rsidR="005B411B">
        <w:t xml:space="preserve"> ekvivalent</w:t>
      </w:r>
      <w:r w:rsidR="00405639">
        <w:t>, kar je pomenil</w:t>
      </w:r>
      <w:r w:rsidR="005B411B">
        <w:t xml:space="preserve">o okoli </w:t>
      </w:r>
      <w:r w:rsidR="00405639">
        <w:t xml:space="preserve"> </w:t>
      </w:r>
      <w:r w:rsidR="0078152B">
        <w:t xml:space="preserve">40 % </w:t>
      </w:r>
      <w:r w:rsidR="005B411B">
        <w:t>izpustov</w:t>
      </w:r>
      <w:r w:rsidR="00405639">
        <w:t xml:space="preserve">, je že v naslednjem letu k skupnim izpustom </w:t>
      </w:r>
      <w:r w:rsidR="0078152B">
        <w:t>prispeval dodatnih 0,04 mio ton CO</w:t>
      </w:r>
      <w:r w:rsidR="0078152B" w:rsidRPr="0078152B">
        <w:rPr>
          <w:vertAlign w:val="subscript"/>
        </w:rPr>
        <w:t>2</w:t>
      </w:r>
      <w:r w:rsidR="0078152B">
        <w:t xml:space="preserve"> ekvivalent</w:t>
      </w:r>
      <w:r w:rsidR="00405639">
        <w:t xml:space="preserve">. Tolikšen dodaten prispevek sektorja se je ohranil tudi v letu 2018, to je v letu z zadnjimi dosegljivimi podatki. </w:t>
      </w:r>
      <w:r w:rsidR="0078152B">
        <w:t xml:space="preserve">V povprečju EU je LULUCF sektor </w:t>
      </w:r>
      <w:r w:rsidR="00F952D4">
        <w:t xml:space="preserve">v tem letu </w:t>
      </w:r>
      <w:r w:rsidR="0078152B">
        <w:t xml:space="preserve">absorbiral </w:t>
      </w:r>
      <w:r w:rsidR="0015472D">
        <w:t xml:space="preserve">okoli 7 % nastalih izpustov TGP. </w:t>
      </w:r>
    </w:p>
    <w:p w14:paraId="242CDA85" w14:textId="67D528E9" w:rsidR="00674D36" w:rsidRDefault="00674D36" w:rsidP="00D54FEE">
      <w:pPr>
        <w:pStyle w:val="Caption"/>
      </w:pPr>
      <w:r w:rsidRPr="00ED43F0">
        <w:t xml:space="preserve">Slika </w:t>
      </w:r>
      <w:r w:rsidRPr="00ED43F0">
        <w:fldChar w:fldCharType="begin"/>
      </w:r>
      <w:r w:rsidRPr="00ED43F0">
        <w:instrText xml:space="preserve"> SEQ Slika \* ARABIC </w:instrText>
      </w:r>
      <w:r w:rsidRPr="00ED43F0">
        <w:fldChar w:fldCharType="separate"/>
      </w:r>
      <w:r w:rsidR="00823C9E">
        <w:t>9</w:t>
      </w:r>
      <w:r w:rsidRPr="00ED43F0">
        <w:fldChar w:fldCharType="end"/>
      </w:r>
      <w:r w:rsidRPr="00ED43F0">
        <w:t xml:space="preserve">: </w:t>
      </w:r>
      <w:r>
        <w:t>Ponori ogljika v LULUCF</w:t>
      </w:r>
      <w:r w:rsidR="006058EC">
        <w:t>, Slovenija</w:t>
      </w:r>
    </w:p>
    <w:p w14:paraId="778F5DB7" w14:textId="345687F2" w:rsidR="00E03A9D" w:rsidRPr="00E03A9D" w:rsidRDefault="00E03A9D" w:rsidP="00E03A9D">
      <w:pPr>
        <w:pStyle w:val="BesediloUMAR"/>
      </w:pPr>
      <w:r w:rsidRPr="00E03A9D">
        <w:rPr>
          <w:noProof/>
          <w:lang w:eastAsia="sl-SI"/>
        </w:rPr>
        <w:drawing>
          <wp:inline distT="0" distB="0" distL="0" distR="0" wp14:anchorId="24EED9F0" wp14:editId="03CFE8FF">
            <wp:extent cx="5759450" cy="2044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952DF" w14:textId="54FC64F5" w:rsidR="0015472D" w:rsidRDefault="00D075CF" w:rsidP="006058EC">
      <w:pPr>
        <w:pStyle w:val="BesediloUMAR"/>
        <w:rPr>
          <w:rStyle w:val="VirUMARChar"/>
        </w:rPr>
      </w:pPr>
      <w:r w:rsidRPr="00A348F3">
        <w:rPr>
          <w:rStyle w:val="VirUMARChar"/>
        </w:rPr>
        <w:t>Vir podatkov: EUROSTAT, preračun</w:t>
      </w:r>
      <w:r w:rsidR="00475670">
        <w:rPr>
          <w:rStyle w:val="VirUMARChar"/>
        </w:rPr>
        <w:t>i</w:t>
      </w:r>
      <w:r w:rsidRPr="00A348F3">
        <w:rPr>
          <w:rStyle w:val="VirUMARChar"/>
        </w:rPr>
        <w:t xml:space="preserve"> UMAR.</w:t>
      </w:r>
    </w:p>
    <w:p w14:paraId="71B9E30B" w14:textId="77777777" w:rsidR="00D54FEE" w:rsidRPr="00D54FEE" w:rsidRDefault="00D54FEE" w:rsidP="006058EC">
      <w:pPr>
        <w:pStyle w:val="BesediloUMAR"/>
        <w:rPr>
          <w:sz w:val="16"/>
        </w:rPr>
      </w:pPr>
    </w:p>
    <w:p w14:paraId="0BB28646" w14:textId="1122AFD9" w:rsidR="006058EC" w:rsidRDefault="006058EC" w:rsidP="00D54FEE">
      <w:pPr>
        <w:pStyle w:val="Caption"/>
      </w:pPr>
      <w:r w:rsidRPr="00ED43F0">
        <w:t xml:space="preserve">Slika </w:t>
      </w:r>
      <w:r w:rsidRPr="00ED43F0">
        <w:fldChar w:fldCharType="begin"/>
      </w:r>
      <w:r w:rsidRPr="00ED43F0">
        <w:instrText xml:space="preserve"> SEQ Slika \* ARABIC </w:instrText>
      </w:r>
      <w:r w:rsidRPr="00ED43F0">
        <w:fldChar w:fldCharType="separate"/>
      </w:r>
      <w:r w:rsidR="00823C9E">
        <w:t>10</w:t>
      </w:r>
      <w:r w:rsidRPr="00ED43F0">
        <w:fldChar w:fldCharType="end"/>
      </w:r>
      <w:r w:rsidRPr="00ED43F0">
        <w:t xml:space="preserve">: </w:t>
      </w:r>
      <w:r>
        <w:t xml:space="preserve">Delež </w:t>
      </w:r>
      <w:r w:rsidR="00D075CF">
        <w:t xml:space="preserve">ponora oz. prispevka </w:t>
      </w:r>
      <w:r>
        <w:t xml:space="preserve">LULUCF </w:t>
      </w:r>
      <w:r w:rsidR="00605FA1">
        <w:t>k</w:t>
      </w:r>
      <w:r>
        <w:t xml:space="preserve"> izpust</w:t>
      </w:r>
      <w:r w:rsidR="00605FA1">
        <w:t>om</w:t>
      </w:r>
      <w:r>
        <w:t xml:space="preserve"> TGP, 2018</w:t>
      </w:r>
    </w:p>
    <w:p w14:paraId="06EB6C4F" w14:textId="337BEB2D" w:rsidR="00475670" w:rsidRDefault="00F839C5" w:rsidP="006058EC">
      <w:pPr>
        <w:pStyle w:val="BesediloUMAR"/>
        <w:rPr>
          <w:b/>
          <w:bCs/>
        </w:rPr>
      </w:pPr>
      <w:r w:rsidRPr="00F839C5">
        <w:rPr>
          <w:noProof/>
          <w:lang w:eastAsia="sl-SI"/>
        </w:rPr>
        <w:drawing>
          <wp:inline distT="0" distB="0" distL="0" distR="0" wp14:anchorId="71480E1F" wp14:editId="3EC50BC3">
            <wp:extent cx="5759450" cy="20955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4B51" w14:textId="03480740" w:rsidR="00D075CF" w:rsidRDefault="00D075CF" w:rsidP="00D075CF">
      <w:pPr>
        <w:pStyle w:val="BesediloUMAR"/>
        <w:rPr>
          <w:rStyle w:val="VirUMARChar"/>
        </w:rPr>
      </w:pPr>
      <w:r w:rsidRPr="00A348F3">
        <w:rPr>
          <w:rStyle w:val="VirUMARChar"/>
        </w:rPr>
        <w:t>Vir podatkov: EUROSTAT, preračun</w:t>
      </w:r>
      <w:r w:rsidR="00475670">
        <w:rPr>
          <w:rStyle w:val="VirUMARChar"/>
        </w:rPr>
        <w:t>i</w:t>
      </w:r>
      <w:r w:rsidRPr="00A348F3">
        <w:rPr>
          <w:rStyle w:val="VirUMARChar"/>
        </w:rPr>
        <w:t xml:space="preserve"> UMAR.</w:t>
      </w:r>
    </w:p>
    <w:p w14:paraId="00438340" w14:textId="77777777" w:rsidR="00411287" w:rsidRPr="00823C9E" w:rsidRDefault="00411287" w:rsidP="00823C9E">
      <w:pPr>
        <w:pStyle w:val="Heading1"/>
      </w:pPr>
      <w:r w:rsidRPr="00823C9E">
        <w:lastRenderedPageBreak/>
        <w:t>Emisijska produktivnost</w:t>
      </w:r>
    </w:p>
    <w:p w14:paraId="367C77F2" w14:textId="0EA7540F" w:rsidR="00411287" w:rsidRDefault="00411287" w:rsidP="00411287">
      <w:pPr>
        <w:pStyle w:val="BesediloUMAR"/>
      </w:pPr>
      <w:r w:rsidRPr="00666940">
        <w:rPr>
          <w:rStyle w:val="VodilnistavekUMAR"/>
        </w:rPr>
        <w:t>Emisijska produktivnost gospodarstva, merjena z razmerjem med BDP in izpusti TGP, se v Sloveniji  povečuje, a je nižja kot v povprečju EU.</w:t>
      </w:r>
      <w:r w:rsidRPr="004B1A62">
        <w:rPr>
          <w:rStyle w:val="VodilnistavekUMAR"/>
        </w:rPr>
        <w:t xml:space="preserve"> </w:t>
      </w:r>
      <w:r w:rsidRPr="004F0202">
        <w:t>Ta produktivnost</w:t>
      </w:r>
      <w:r>
        <w:t xml:space="preserve"> se je v času gospodarske rasti ob hitrejšem povečevanju BDP</w:t>
      </w:r>
      <w:r w:rsidR="00886013">
        <w:t>-ja</w:t>
      </w:r>
      <w:r>
        <w:t xml:space="preserve"> kot izpustov zviševala, nato pa v prvih letih gospodarske krize </w:t>
      </w:r>
      <w:r w:rsidR="0015472D">
        <w:t xml:space="preserve">po letu 2007 </w:t>
      </w:r>
      <w:r>
        <w:t xml:space="preserve">ostala na približno isti ravni. Ker se je v povprečju EU zviševanje produktivnosti tudi v krizi nadaljevalo, se je zaostanek Slovenije v tej primerjavi povečal. Razmeroma velik je ostal tudi v </w:t>
      </w:r>
      <w:r w:rsidR="00E56829">
        <w:t>konjunkturi</w:t>
      </w:r>
      <w:r>
        <w:t xml:space="preserve"> po letu 2016, ko se je rast produktivnosti ponovno pospešila. V letu 2018 je bilo v Sloveniji na enoto izpu</w:t>
      </w:r>
      <w:r w:rsidR="0015472D">
        <w:t>stov</w:t>
      </w:r>
      <w:r>
        <w:t xml:space="preserve"> TGP ustvarjenega za 15,4</w:t>
      </w:r>
      <w:r w:rsidR="00617B98">
        <w:t> </w:t>
      </w:r>
      <w:r>
        <w:t>% manj BDP</w:t>
      </w:r>
      <w:r w:rsidR="00886013">
        <w:t>-ja</w:t>
      </w:r>
      <w:r>
        <w:t xml:space="preserve"> kot v povprečju EU, zaostanek pa se je glede na leto prej nekoliko povečal.  </w:t>
      </w:r>
    </w:p>
    <w:p w14:paraId="77E5740E" w14:textId="77777777" w:rsidR="00411287" w:rsidRDefault="00411287">
      <w:pPr>
        <w:spacing w:after="0" w:line="240" w:lineRule="auto"/>
      </w:pPr>
    </w:p>
    <w:p w14:paraId="522DC24E" w14:textId="4DCB23CB" w:rsidR="00411287" w:rsidRDefault="00411287" w:rsidP="00D54FEE">
      <w:pPr>
        <w:pStyle w:val="BesediloUMAR"/>
      </w:pPr>
      <w:r w:rsidRPr="008E4FAF">
        <w:rPr>
          <w:rStyle w:val="VodilnistavekUMAR"/>
        </w:rPr>
        <w:t>Prekiniti povezavo med gospodarsko rastjo in rastjo izpustov TGP je tudi eden izmed osnovnih ciljev SRS 2030</w:t>
      </w:r>
      <w:r w:rsidRPr="007B3C50">
        <w:t xml:space="preserve">. </w:t>
      </w:r>
      <w:r>
        <w:t xml:space="preserve">Zastavljen je cilj, da </w:t>
      </w:r>
      <w:r w:rsidRPr="007B3C50">
        <w:t xml:space="preserve">leta 2030 na </w:t>
      </w:r>
      <w:r>
        <w:t xml:space="preserve">področju emisijske produktivnosti </w:t>
      </w:r>
      <w:r w:rsidRPr="007B3C50">
        <w:t>dosežemo raven povprečja EU</w:t>
      </w:r>
      <w:r>
        <w:t xml:space="preserve">. </w:t>
      </w:r>
      <w:r w:rsidRPr="007B3C50">
        <w:t xml:space="preserve"> </w:t>
      </w:r>
      <w:r>
        <w:t>Z</w:t>
      </w:r>
      <w:r w:rsidRPr="007B3C50">
        <w:t xml:space="preserve">agon gospodarstva po </w:t>
      </w:r>
      <w:r>
        <w:t xml:space="preserve">epidemiji </w:t>
      </w:r>
      <w:proofErr w:type="spellStart"/>
      <w:r>
        <w:t>c</w:t>
      </w:r>
      <w:r w:rsidRPr="007B3C50">
        <w:t>ovid</w:t>
      </w:r>
      <w:proofErr w:type="spellEnd"/>
      <w:r w:rsidRPr="007B3C50">
        <w:t xml:space="preserve">–19, ko bo </w:t>
      </w:r>
      <w:r w:rsidR="0015472D">
        <w:t xml:space="preserve">gospodarstvo </w:t>
      </w:r>
      <w:r w:rsidRPr="007B3C50">
        <w:t>smiselno preusmeriti na nove, sodobnejše</w:t>
      </w:r>
      <w:r w:rsidR="0015472D">
        <w:t xml:space="preserve"> in trajnejše poti, </w:t>
      </w:r>
      <w:r>
        <w:t>je lahko v tem velika priložnost</w:t>
      </w:r>
      <w:r w:rsidRPr="007B3C50">
        <w:t xml:space="preserve">. </w:t>
      </w:r>
      <w:r>
        <w:t>K</w:t>
      </w:r>
      <w:r w:rsidRPr="007B3C50">
        <w:t xml:space="preserve">ljučno </w:t>
      </w:r>
      <w:r>
        <w:t xml:space="preserve">bo </w:t>
      </w:r>
      <w:r w:rsidRPr="007B3C50">
        <w:t xml:space="preserve">več pozornosti nameniti </w:t>
      </w:r>
      <w:proofErr w:type="spellStart"/>
      <w:r w:rsidRPr="007B3C50">
        <w:t>okoljskim</w:t>
      </w:r>
      <w:proofErr w:type="spellEnd"/>
      <w:r w:rsidRPr="007B3C50">
        <w:t xml:space="preserve"> inovacijam in zelenim investicijam, ki so pogoj za sistematično doseganje zniževanja izpustov.</w:t>
      </w:r>
      <w:r w:rsidR="0015472D">
        <w:t xml:space="preserve"> </w:t>
      </w:r>
      <w:r w:rsidRPr="007B3C50">
        <w:t>Trajnostna rast z manjšimi izpusti bo dosežena predvsem s korenitimi spremembami potrošniških in proizvodnih vzorcev, v tem pa boljš</w:t>
      </w:r>
      <w:r>
        <w:t>em</w:t>
      </w:r>
      <w:r w:rsidRPr="007B3C50">
        <w:t xml:space="preserve"> izkoristk</w:t>
      </w:r>
      <w:r>
        <w:t>u</w:t>
      </w:r>
      <w:r w:rsidRPr="007B3C50">
        <w:t xml:space="preserve"> virov, učinkovitejši rabi energije in večjim deležem obnovljivih virov energije</w:t>
      </w:r>
      <w:r w:rsidR="003770F2">
        <w:t>.</w:t>
      </w:r>
      <w:r w:rsidRPr="007B3C50">
        <w:rPr>
          <w:vertAlign w:val="superscript"/>
        </w:rPr>
        <w:footnoteReference w:id="17"/>
      </w:r>
    </w:p>
    <w:p w14:paraId="4083F989" w14:textId="2C7DA772" w:rsidR="00411287" w:rsidRDefault="00411287" w:rsidP="00D54FEE">
      <w:pPr>
        <w:pStyle w:val="Caption"/>
      </w:pPr>
      <w:r w:rsidRPr="00ED43F0">
        <w:t xml:space="preserve">Slika </w:t>
      </w:r>
      <w:r w:rsidRPr="00ED43F0">
        <w:fldChar w:fldCharType="begin"/>
      </w:r>
      <w:r w:rsidRPr="00ED43F0">
        <w:instrText xml:space="preserve"> SEQ Slika \* ARABIC </w:instrText>
      </w:r>
      <w:r w:rsidRPr="00ED43F0">
        <w:fldChar w:fldCharType="separate"/>
      </w:r>
      <w:r w:rsidR="00823C9E">
        <w:t>11</w:t>
      </w:r>
      <w:r w:rsidRPr="00ED43F0">
        <w:fldChar w:fldCharType="end"/>
      </w:r>
      <w:r w:rsidRPr="00ED43F0">
        <w:t xml:space="preserve">: Emisijska produktivnost, </w:t>
      </w:r>
      <w:r>
        <w:t>rast</w:t>
      </w:r>
    </w:p>
    <w:p w14:paraId="21BA0746" w14:textId="11E14E68" w:rsidR="00411287" w:rsidRDefault="00837C51" w:rsidP="00411287">
      <w:pPr>
        <w:pStyle w:val="BesediloUMAR"/>
        <w:rPr>
          <w:b/>
          <w:bCs/>
        </w:rPr>
      </w:pPr>
      <w:r w:rsidRPr="00837C51">
        <w:rPr>
          <w:noProof/>
          <w:lang w:eastAsia="sl-SI"/>
        </w:rPr>
        <w:drawing>
          <wp:inline distT="0" distB="0" distL="0" distR="0" wp14:anchorId="2E063A7B" wp14:editId="60758BDA">
            <wp:extent cx="5759450" cy="2095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09FFE" w14:textId="0EF3693D" w:rsidR="00411287" w:rsidRDefault="00411287" w:rsidP="00411287">
      <w:pPr>
        <w:pStyle w:val="BesediloUMAR"/>
        <w:rPr>
          <w:rStyle w:val="VirUMARChar"/>
        </w:rPr>
      </w:pPr>
      <w:r w:rsidRPr="00A348F3">
        <w:rPr>
          <w:rStyle w:val="VirUMARChar"/>
        </w:rPr>
        <w:t>Vir podatkov: EUROSTAT, preračun</w:t>
      </w:r>
      <w:r w:rsidR="00823C9E">
        <w:rPr>
          <w:rStyle w:val="VirUMARChar"/>
        </w:rPr>
        <w:t>i</w:t>
      </w:r>
      <w:r w:rsidRPr="00A348F3">
        <w:rPr>
          <w:rStyle w:val="VirUMARChar"/>
        </w:rPr>
        <w:t xml:space="preserve"> UMAR.</w:t>
      </w:r>
    </w:p>
    <w:p w14:paraId="2B190315" w14:textId="77777777" w:rsidR="00D54FEE" w:rsidRPr="00D54FEE" w:rsidRDefault="00D54FEE" w:rsidP="00411287">
      <w:pPr>
        <w:pStyle w:val="BesediloUMAR"/>
        <w:rPr>
          <w:sz w:val="16"/>
        </w:rPr>
      </w:pPr>
    </w:p>
    <w:p w14:paraId="5E1B08BD" w14:textId="06E35C25" w:rsidR="00823C9E" w:rsidRPr="00823C9E" w:rsidRDefault="00823C9E" w:rsidP="00D54FEE">
      <w:pPr>
        <w:pStyle w:val="Caption"/>
      </w:pPr>
      <w:r w:rsidRPr="00823C9E">
        <w:t xml:space="preserve">Slika </w:t>
      </w:r>
      <w:r w:rsidRPr="00823C9E">
        <w:fldChar w:fldCharType="begin"/>
      </w:r>
      <w:r w:rsidRPr="00823C9E">
        <w:instrText xml:space="preserve"> SEQ Slika \* ARABIC </w:instrText>
      </w:r>
      <w:r w:rsidRPr="00823C9E">
        <w:fldChar w:fldCharType="separate"/>
      </w:r>
      <w:r>
        <w:t>12</w:t>
      </w:r>
      <w:r w:rsidRPr="00823C9E">
        <w:fldChar w:fldCharType="end"/>
      </w:r>
      <w:r w:rsidRPr="00823C9E">
        <w:t xml:space="preserve">: Emisijska produktivnost, 2018 </w:t>
      </w:r>
    </w:p>
    <w:p w14:paraId="052A98E9" w14:textId="22B9BF6A" w:rsidR="00823C9E" w:rsidRDefault="00837C51" w:rsidP="00411287">
      <w:pPr>
        <w:pStyle w:val="BesediloUMAR"/>
        <w:rPr>
          <w:b/>
          <w:bCs/>
        </w:rPr>
      </w:pPr>
      <w:r w:rsidRPr="00837C51">
        <w:rPr>
          <w:noProof/>
          <w:lang w:eastAsia="sl-SI"/>
        </w:rPr>
        <w:drawing>
          <wp:inline distT="0" distB="0" distL="0" distR="0" wp14:anchorId="0432A830" wp14:editId="77E5BAC8">
            <wp:extent cx="5759450" cy="21183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55B4D" w14:textId="423103E4" w:rsidR="00160581" w:rsidRDefault="00823C9E" w:rsidP="00823C9E">
      <w:pPr>
        <w:pStyle w:val="VirUMAR"/>
      </w:pPr>
      <w:r w:rsidRPr="00823C9E">
        <w:t>Vir podatkov: EUROSTAT.</w:t>
      </w:r>
      <w:r w:rsidR="00402176">
        <w:t xml:space="preserve"> Opomba: primerjava med državami v SKM je smiselna v posameznem letu, ne pa tudi v časovnem </w:t>
      </w:r>
      <w:r w:rsidR="00E56829">
        <w:t>obdobju</w:t>
      </w:r>
      <w:r w:rsidR="00402176">
        <w:t xml:space="preserve">. </w:t>
      </w:r>
    </w:p>
    <w:p w14:paraId="65F5B9A7" w14:textId="43041203" w:rsidR="008E723F" w:rsidRDefault="008E723F" w:rsidP="008E723F">
      <w:pPr>
        <w:pStyle w:val="Heading3"/>
        <w:numPr>
          <w:ilvl w:val="0"/>
          <w:numId w:val="0"/>
        </w:numPr>
      </w:pPr>
      <w:r>
        <w:lastRenderedPageBreak/>
        <w:t>Literatura in viri</w:t>
      </w:r>
    </w:p>
    <w:p w14:paraId="1EE02758" w14:textId="77777777" w:rsidR="008E723F" w:rsidRDefault="008E723F" w:rsidP="00D54FEE">
      <w:pPr>
        <w:pStyle w:val="BesediloUMAR"/>
      </w:pPr>
    </w:p>
    <w:p w14:paraId="567B7E3C" w14:textId="77777777" w:rsidR="00F06A01" w:rsidRPr="00C668C5" w:rsidRDefault="00F06A01" w:rsidP="00852A7F">
      <w:pPr>
        <w:pStyle w:val="LiteraturaUMAR"/>
      </w:pPr>
      <w:r>
        <w:t>A</w:t>
      </w:r>
      <w:r w:rsidRPr="00C668C5">
        <w:t>RSO (2020). Izpusti TGP po kategorijah virov. Interni podatki. Ljubljana: Agencija RS za okolje.</w:t>
      </w:r>
    </w:p>
    <w:p w14:paraId="43A43747" w14:textId="77777777" w:rsidR="00F06A01" w:rsidRPr="00C668C5" w:rsidRDefault="00F06A01" w:rsidP="000536A0">
      <w:pPr>
        <w:pStyle w:val="LiteraturaUMAR"/>
        <w:jc w:val="both"/>
      </w:pPr>
      <w:r w:rsidRPr="00C668C5">
        <w:t xml:space="preserve">Direktiva (EU) 2018/410 Evropskega parlamenta in sveta z dne 14. marca 2018 o spremembi Direktive 2003/87/ES za krepitev stroškovno učinkovitega zmanjšanja emisij in </w:t>
      </w:r>
      <w:proofErr w:type="spellStart"/>
      <w:r w:rsidRPr="00C668C5">
        <w:t>nizkoogljičnih</w:t>
      </w:r>
      <w:proofErr w:type="spellEnd"/>
      <w:r w:rsidRPr="00C668C5">
        <w:t xml:space="preserve"> naložb ter Sklepa (EU) 2015/1814 (2018). Ur. l. EU št. 76 z dne 19.3. 2018, stran 3.</w:t>
      </w:r>
    </w:p>
    <w:p w14:paraId="731DB5FF" w14:textId="736792AD" w:rsidR="003979B1" w:rsidRPr="00C668C5" w:rsidRDefault="00F06A01" w:rsidP="00B85085">
      <w:pPr>
        <w:pStyle w:val="LiteraturaUMAR"/>
      </w:pPr>
      <w:r w:rsidRPr="00C668C5">
        <w:t xml:space="preserve">Dolgoročna podnebna strategija Slovenije do leta 2050 – osnutek (2020). Ljubljana: Ministrstvo za okolje. Pridobljeno na: </w:t>
      </w:r>
      <w:hyperlink r:id="rId23" w:history="1">
        <w:r w:rsidR="00B85085" w:rsidRPr="00C668C5">
          <w:rPr>
            <w:rStyle w:val="Hyperlink"/>
            <w:color w:val="auto"/>
          </w:rPr>
          <w:t>https://www.gov.si/assets/ministrstva/MOP/Javne-objave/Javne-obravnave/podnebna_strategija_2050/dolgorocna_podnebna_strategija_2050.pdf</w:t>
        </w:r>
      </w:hyperlink>
    </w:p>
    <w:p w14:paraId="4F755FA7" w14:textId="6AB15479" w:rsidR="00F06A01" w:rsidRPr="00C668C5" w:rsidRDefault="00F06A01" w:rsidP="00B85085">
      <w:pPr>
        <w:pStyle w:val="LiteraturaUMAR"/>
        <w:jc w:val="both"/>
        <w:rPr>
          <w:rStyle w:val="Hyperlink"/>
          <w:color w:val="auto"/>
          <w:u w:val="none"/>
        </w:rPr>
      </w:pPr>
      <w:r w:rsidRPr="00C668C5">
        <w:t xml:space="preserve">Doseganje podnebne </w:t>
      </w:r>
      <w:r w:rsidR="001A1A0A" w:rsidRPr="00C668C5">
        <w:t>nevtralnosti</w:t>
      </w:r>
      <w:r w:rsidRPr="00C668C5">
        <w:t xml:space="preserve"> do leta 2050. Strateška dolgoročna vizija za uspešno, moderno, konkurenčno in podnebno nevtralno gospodarstvo EU (2019). </w:t>
      </w:r>
      <w:proofErr w:type="spellStart"/>
      <w:r w:rsidR="001A1A0A" w:rsidRPr="00C668C5">
        <w:t>Luxemburg</w:t>
      </w:r>
      <w:proofErr w:type="spellEnd"/>
      <w:r w:rsidRPr="00C668C5">
        <w:t xml:space="preserve">: Urad za publikacije Evropske </w:t>
      </w:r>
      <w:r w:rsidR="001A1A0A" w:rsidRPr="00C668C5">
        <w:t>unije</w:t>
      </w:r>
      <w:r w:rsidRPr="00C668C5">
        <w:t xml:space="preserve">. Pridobljeno na: </w:t>
      </w:r>
      <w:hyperlink r:id="rId24" w:history="1">
        <w:r w:rsidR="00B85085" w:rsidRPr="00C668C5">
          <w:rPr>
            <w:rStyle w:val="Hyperlink"/>
            <w:color w:val="auto"/>
          </w:rPr>
          <w:t>https://op.europa.eu/sl/publication-detail/-/publication/92f6d5bc-76bc-11e9-9f05-01aa75ed71a1/</w:t>
        </w:r>
      </w:hyperlink>
    </w:p>
    <w:p w14:paraId="64E378DC" w14:textId="7F3EE676" w:rsidR="00F06A01" w:rsidRPr="00C668C5" w:rsidRDefault="00F06A01" w:rsidP="000536A0">
      <w:pPr>
        <w:pStyle w:val="LiteraturaUMAR"/>
        <w:jc w:val="both"/>
      </w:pPr>
      <w:r w:rsidRPr="00C668C5">
        <w:t xml:space="preserve">EEA (2017). Oblikovanje prihodnosti energije v Evropi: čista, pametna in iz obnovljivih virov. Signali EEA 2017. </w:t>
      </w:r>
      <w:r w:rsidR="001A1A0A" w:rsidRPr="00C668C5">
        <w:t>Kopenhagen</w:t>
      </w:r>
      <w:r w:rsidRPr="00C668C5">
        <w:t>: Evropska agencija za okolje.</w:t>
      </w:r>
    </w:p>
    <w:p w14:paraId="05A07F0B" w14:textId="492ADE56" w:rsidR="00F06A01" w:rsidRPr="00C668C5" w:rsidRDefault="00F06A01" w:rsidP="008E723F">
      <w:pPr>
        <w:pStyle w:val="LiteraturaUMAR"/>
      </w:pPr>
      <w:r w:rsidRPr="00C668C5">
        <w:t xml:space="preserve">EU </w:t>
      </w:r>
      <w:proofErr w:type="spellStart"/>
      <w:r w:rsidRPr="00C668C5">
        <w:t>Climate</w:t>
      </w:r>
      <w:proofErr w:type="spellEnd"/>
      <w:r w:rsidRPr="00C668C5">
        <w:t xml:space="preserve"> </w:t>
      </w:r>
      <w:proofErr w:type="spellStart"/>
      <w:r w:rsidRPr="00C668C5">
        <w:t>Action</w:t>
      </w:r>
      <w:proofErr w:type="spellEnd"/>
      <w:r w:rsidRPr="00C668C5">
        <w:t xml:space="preserve"> </w:t>
      </w:r>
      <w:proofErr w:type="spellStart"/>
      <w:r w:rsidRPr="00C668C5">
        <w:t>Progress</w:t>
      </w:r>
      <w:proofErr w:type="spellEnd"/>
      <w:r w:rsidRPr="00C668C5">
        <w:t xml:space="preserve"> </w:t>
      </w:r>
      <w:proofErr w:type="spellStart"/>
      <w:r w:rsidRPr="00C668C5">
        <w:t>Report</w:t>
      </w:r>
      <w:proofErr w:type="spellEnd"/>
      <w:r w:rsidRPr="00C668C5">
        <w:t xml:space="preserve">. </w:t>
      </w:r>
      <w:proofErr w:type="spellStart"/>
      <w:r w:rsidRPr="00C668C5">
        <w:t>Kick-starting</w:t>
      </w:r>
      <w:proofErr w:type="spellEnd"/>
      <w:r w:rsidRPr="00C668C5">
        <w:t xml:space="preserve"> </w:t>
      </w:r>
      <w:proofErr w:type="spellStart"/>
      <w:r w:rsidRPr="00C668C5">
        <w:t>the</w:t>
      </w:r>
      <w:proofErr w:type="spellEnd"/>
      <w:r w:rsidRPr="00C668C5">
        <w:t xml:space="preserve"> </w:t>
      </w:r>
      <w:proofErr w:type="spellStart"/>
      <w:r w:rsidRPr="00C668C5">
        <w:t>journey</w:t>
      </w:r>
      <w:proofErr w:type="spellEnd"/>
      <w:r w:rsidRPr="00C668C5">
        <w:t xml:space="preserve"> </w:t>
      </w:r>
      <w:proofErr w:type="spellStart"/>
      <w:r w:rsidRPr="00C668C5">
        <w:t>towards</w:t>
      </w:r>
      <w:proofErr w:type="spellEnd"/>
      <w:r w:rsidRPr="00C668C5">
        <w:t xml:space="preserve"> a </w:t>
      </w:r>
      <w:proofErr w:type="spellStart"/>
      <w:r w:rsidRPr="00C668C5">
        <w:t>climate</w:t>
      </w:r>
      <w:proofErr w:type="spellEnd"/>
      <w:r w:rsidRPr="00C668C5">
        <w:t xml:space="preserve"> </w:t>
      </w:r>
      <w:proofErr w:type="spellStart"/>
      <w:r w:rsidRPr="00C668C5">
        <w:t>neutral</w:t>
      </w:r>
      <w:proofErr w:type="spellEnd"/>
      <w:r w:rsidRPr="00C668C5">
        <w:t xml:space="preserve"> </w:t>
      </w:r>
      <w:proofErr w:type="spellStart"/>
      <w:r w:rsidRPr="00C668C5">
        <w:t>Europe</w:t>
      </w:r>
      <w:proofErr w:type="spellEnd"/>
      <w:r w:rsidRPr="00C668C5">
        <w:t xml:space="preserve"> </w:t>
      </w:r>
      <w:proofErr w:type="spellStart"/>
      <w:r w:rsidRPr="00C668C5">
        <w:t>by</w:t>
      </w:r>
      <w:proofErr w:type="spellEnd"/>
      <w:r w:rsidRPr="00C668C5">
        <w:t xml:space="preserve"> 2050 (2020). Bruselj: Evropska komisija. Pridobljeno</w:t>
      </w:r>
      <w:r w:rsidR="00B85085" w:rsidRPr="00C668C5">
        <w:t xml:space="preserve"> n</w:t>
      </w:r>
      <w:r w:rsidRPr="00C668C5">
        <w:t>a:</w:t>
      </w:r>
      <w:r w:rsidR="00B85085" w:rsidRPr="00C668C5">
        <w:t xml:space="preserve"> </w:t>
      </w:r>
      <w:hyperlink r:id="rId25" w:history="1">
        <w:r w:rsidR="00B85085" w:rsidRPr="00C668C5">
          <w:rPr>
            <w:rStyle w:val="Hyperlink"/>
            <w:color w:val="auto"/>
          </w:rPr>
          <w:t>https://ec.europa.eu/clima/sites/clima/files/strategies/progress/docs/com_2020_777_en.pdf</w:t>
        </w:r>
      </w:hyperlink>
    </w:p>
    <w:p w14:paraId="79368AC8" w14:textId="272270B7" w:rsidR="00F06A01" w:rsidRPr="00C668C5" w:rsidRDefault="00F06A01" w:rsidP="00F06A01">
      <w:pPr>
        <w:pStyle w:val="LiteraturaUMAR"/>
      </w:pPr>
      <w:r w:rsidRPr="00C668C5">
        <w:t xml:space="preserve">Eurostat (2020). Podatkovna baza. </w:t>
      </w:r>
      <w:proofErr w:type="spellStart"/>
      <w:r w:rsidRPr="00C668C5">
        <w:t>Luxemburg</w:t>
      </w:r>
      <w:proofErr w:type="spellEnd"/>
      <w:r w:rsidRPr="00C668C5">
        <w:t>: Eurostat. Pridobljeno na:</w:t>
      </w:r>
      <w:r w:rsidR="00B85085" w:rsidRPr="00C668C5">
        <w:t xml:space="preserve"> </w:t>
      </w:r>
      <w:hyperlink r:id="rId26" w:history="1">
        <w:r w:rsidR="00B85085" w:rsidRPr="00C668C5">
          <w:rPr>
            <w:rStyle w:val="Hyperlink"/>
            <w:color w:val="auto"/>
          </w:rPr>
          <w:t>https://ec.europa.eu/eurostat/data/database</w:t>
        </w:r>
      </w:hyperlink>
    </w:p>
    <w:p w14:paraId="3C7706EE" w14:textId="77777777" w:rsidR="00F06A01" w:rsidRPr="00C668C5" w:rsidRDefault="00F06A01" w:rsidP="00852A7F">
      <w:pPr>
        <w:pStyle w:val="LiteraturaUMAR"/>
        <w:jc w:val="both"/>
      </w:pPr>
      <w:r w:rsidRPr="00C668C5">
        <w:t xml:space="preserve">Evropa 2020. Strategija za pametno, trajnostno in vključujočo rast. Sporočilo komisije (2010). Bruselj: Evropska komisija. Pridobljeno na: </w:t>
      </w:r>
      <w:hyperlink r:id="rId27" w:history="1">
        <w:r w:rsidRPr="00C668C5">
          <w:rPr>
            <w:rStyle w:val="Hyperlink"/>
            <w:color w:val="auto"/>
          </w:rPr>
          <w:t>https://ec.europa.eu/eu2020/pdf/1_SL_ACT_part1_v1.pdf</w:t>
        </w:r>
      </w:hyperlink>
    </w:p>
    <w:p w14:paraId="3D519E12" w14:textId="77777777" w:rsidR="00F06A01" w:rsidRPr="00C668C5" w:rsidRDefault="00F06A01" w:rsidP="000536A0">
      <w:pPr>
        <w:pStyle w:val="LiteraturaUMAR"/>
        <w:jc w:val="both"/>
        <w:rPr>
          <w:b/>
          <w:bCs/>
        </w:rPr>
      </w:pPr>
      <w:r w:rsidRPr="00C668C5">
        <w:t xml:space="preserve">Evropski svet in Svet EU (2020). Reforma sistema EU za trgovanje z emisijami. Pridobljeno na: </w:t>
      </w:r>
      <w:hyperlink r:id="rId28" w:history="1">
        <w:r w:rsidRPr="00C668C5">
          <w:rPr>
            <w:rStyle w:val="Hyperlink"/>
            <w:color w:val="auto"/>
          </w:rPr>
          <w:t>https://www.consilium.europa.eu/sl/policies/climate-change/reform-eu-ets/</w:t>
        </w:r>
      </w:hyperlink>
    </w:p>
    <w:p w14:paraId="7F29E88F" w14:textId="30029347" w:rsidR="00F06A01" w:rsidRPr="00A1426A" w:rsidRDefault="00F06A01" w:rsidP="003260A4">
      <w:pPr>
        <w:pStyle w:val="LiteraturaUMAR"/>
        <w:rPr>
          <w:rStyle w:val="Hyperlink"/>
          <w:color w:val="auto"/>
          <w:u w:val="none"/>
        </w:rPr>
      </w:pPr>
      <w:r w:rsidRPr="00C668C5">
        <w:t xml:space="preserve">Evropski zeleni dogovor. Sporočilo Komisije Evropskemu parlamentu, Evropskemu svetu, Svetu, Evropskemu ekonomsko-socialnemu odboru in Odboru regij (2019). Bruselj: Evropska komisija. Pridobljeno na: </w:t>
      </w:r>
      <w:hyperlink r:id="rId29" w:history="1">
        <w:r w:rsidRPr="00C668C5">
          <w:rPr>
            <w:rStyle w:val="Hyperlink"/>
            <w:color w:val="auto"/>
          </w:rPr>
          <w:t>https://eur-lex.europa.eu/resource.html?uri=cellar:b828d165-1c22-11ea-8c1f-01aa75ed71a1.0015.02/DOC_1&amp;format=PDF</w:t>
        </w:r>
      </w:hyperlink>
    </w:p>
    <w:p w14:paraId="2897866B" w14:textId="77777777" w:rsidR="00A1426A" w:rsidRDefault="00A1426A" w:rsidP="00A1426A">
      <w:pPr>
        <w:pStyle w:val="LiteraturaUMAR"/>
      </w:pPr>
      <w:proofErr w:type="spellStart"/>
      <w:r>
        <w:t>International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(IEA) (2020). </w:t>
      </w:r>
      <w:proofErr w:type="spellStart"/>
      <w:r w:rsidRPr="00566FFA">
        <w:t>World</w:t>
      </w:r>
      <w:proofErr w:type="spellEnd"/>
      <w:r w:rsidRPr="00566FFA">
        <w:t xml:space="preserve"> </w:t>
      </w:r>
      <w:proofErr w:type="spellStart"/>
      <w:r w:rsidRPr="00566FFA">
        <w:t>Energy</w:t>
      </w:r>
      <w:proofErr w:type="spellEnd"/>
      <w:r w:rsidRPr="00566FFA">
        <w:t xml:space="preserve"> Outlook 2020</w:t>
      </w:r>
      <w:r>
        <w:t>. Pridobljeno na:</w:t>
      </w:r>
    </w:p>
    <w:p w14:paraId="231EACE9" w14:textId="7FBE60EE" w:rsidR="00A1426A" w:rsidRPr="00C668C5" w:rsidRDefault="00A1426A" w:rsidP="00A1426A">
      <w:pPr>
        <w:pStyle w:val="LiteraturaUMAR"/>
        <w:numPr>
          <w:ilvl w:val="0"/>
          <w:numId w:val="0"/>
        </w:numPr>
        <w:ind w:left="360"/>
        <w:jc w:val="both"/>
      </w:pPr>
      <w:r w:rsidRPr="00737A98">
        <w:t>https://www.iea.org/reports/world-energy-outlook-2020</w:t>
      </w:r>
    </w:p>
    <w:p w14:paraId="05CBB5DB" w14:textId="6DD8E527" w:rsidR="00F06A01" w:rsidRPr="00C668C5" w:rsidRDefault="00F06A01" w:rsidP="00F06A01">
      <w:pPr>
        <w:pStyle w:val="LiteraturaUMAR"/>
        <w:jc w:val="both"/>
      </w:pPr>
      <w:r w:rsidRPr="00C668C5">
        <w:t>Krepitev evropskih podnebnih ambicij do leta 2030. Vlaganje v podnebno nevtralno prihodnost v korist naših državljanov. Sporočilo Komisije Evropskemu parlamentu, Svetu, Evropskemu ekonomsko-socialnemu odboru in Odboru regij (2020). Bruselj: Evropska komisija. Pridobljeno na:</w:t>
      </w:r>
      <w:r w:rsidR="00B85085" w:rsidRPr="00C668C5">
        <w:t xml:space="preserve"> </w:t>
      </w:r>
      <w:hyperlink r:id="rId30" w:history="1">
        <w:r w:rsidR="00B85085" w:rsidRPr="00C668C5">
          <w:rPr>
            <w:rStyle w:val="Hyperlink"/>
            <w:color w:val="auto"/>
          </w:rPr>
          <w:t>https://ec.europa.eu/transparency/regdoc/rep/1/2020/SL/COM-2020-562-F1-SL-MAIN-PART-1.PDF</w:t>
        </w:r>
      </w:hyperlink>
    </w:p>
    <w:p w14:paraId="730C486E" w14:textId="485DDC38" w:rsidR="00F06A01" w:rsidRPr="00C668C5" w:rsidRDefault="00F06A01" w:rsidP="008E723F">
      <w:pPr>
        <w:pStyle w:val="LiteraturaUMAR"/>
      </w:pPr>
      <w:r w:rsidRPr="00C668C5">
        <w:t xml:space="preserve">MOP (2020). Četrto poročilo o izvajanju Operativnega programa ukrepov zmanjšanja emisij toplogrednih plinov do leta 2020. Ljubljana: Ministrstvo za okolje in prostor RS. </w:t>
      </w:r>
    </w:p>
    <w:p w14:paraId="53D63D97" w14:textId="2F5C4163" w:rsidR="00C50364" w:rsidRPr="00C668C5" w:rsidRDefault="00C50364" w:rsidP="008E723F">
      <w:pPr>
        <w:pStyle w:val="LiteraturaUMAR"/>
      </w:pPr>
      <w:r w:rsidRPr="00C668C5">
        <w:t xml:space="preserve">MOP (2020a). Kuponi za izpuste in koliko </w:t>
      </w:r>
      <w:r w:rsidRPr="00C668C5">
        <w:t xml:space="preserve">se zmanjšujejo izpusti TGP. EOL, Specializirana revija za trajnostni razvoj, </w:t>
      </w:r>
      <w:r w:rsidR="00567413" w:rsidRPr="00C668C5">
        <w:t xml:space="preserve">št. </w:t>
      </w:r>
      <w:r w:rsidRPr="00C668C5">
        <w:t>152: 29 – 30.</w:t>
      </w:r>
    </w:p>
    <w:p w14:paraId="394394CE" w14:textId="77777777" w:rsidR="00F06A01" w:rsidRPr="00C668C5" w:rsidRDefault="00F06A01" w:rsidP="000536A0">
      <w:pPr>
        <w:pStyle w:val="LiteraturaUMAR"/>
        <w:jc w:val="both"/>
      </w:pPr>
      <w:r w:rsidRPr="00C668C5">
        <w:t xml:space="preserve">Nacionalni energetski in podnebni načrt (NEPN) (2020). Pridobljeno na: </w:t>
      </w:r>
      <w:hyperlink r:id="rId31" w:history="1">
        <w:r w:rsidRPr="00C668C5">
          <w:rPr>
            <w:rStyle w:val="Hyperlink"/>
            <w:color w:val="auto"/>
          </w:rPr>
          <w:t>https://www.energetika-portal.si/dokumenti/strateski-razvojni-dokumenti/nacionalni-energetski-in-podnebni-nacrt/</w:t>
        </w:r>
      </w:hyperlink>
    </w:p>
    <w:p w14:paraId="70B06B97" w14:textId="77777777" w:rsidR="00F06A01" w:rsidRPr="00C668C5" w:rsidRDefault="00F06A01" w:rsidP="008E723F">
      <w:pPr>
        <w:pStyle w:val="LiteraturaUMAR"/>
        <w:jc w:val="both"/>
      </w:pPr>
      <w:r w:rsidRPr="00C668C5">
        <w:t>Odločba št. 406/2009/ES Evropskega parlamenta in sveta z dne 23.  aprila 2009 o prizadevanju držav članic za zmanjšanje emisij toplogrednih plinov, da do leta 2020 izpolnijo zavezo Skupnosti za zmanjšanje emisij toplogrednih plinov (2009). Ur. l. EU št. 140 z dne 5. 6. 2009, stran 136.</w:t>
      </w:r>
    </w:p>
    <w:p w14:paraId="3B1C6802" w14:textId="4B1A0159" w:rsidR="00F06A01" w:rsidRPr="00C668C5" w:rsidRDefault="00F06A01" w:rsidP="00852A7F">
      <w:pPr>
        <w:pStyle w:val="LiteraturaUMAR"/>
        <w:jc w:val="both"/>
      </w:pPr>
      <w:r w:rsidRPr="00C668C5">
        <w:t>Portal gov.si – Okolje in prostor – Okolje – Podnebne spremembe (2020). Pridobljeno na:</w:t>
      </w:r>
      <w:r w:rsidR="00B85085" w:rsidRPr="00C668C5">
        <w:t xml:space="preserve"> </w:t>
      </w:r>
      <w:hyperlink r:id="rId32" w:history="1">
        <w:r w:rsidR="00B85085" w:rsidRPr="00C668C5">
          <w:rPr>
            <w:rStyle w:val="Hyperlink"/>
            <w:color w:val="auto"/>
          </w:rPr>
          <w:t>https://www.gov.si/podrocja/okolje-in-prostor/okolje/podnebne-spremembe/</w:t>
        </w:r>
      </w:hyperlink>
    </w:p>
    <w:p w14:paraId="776396BB" w14:textId="017332F2" w:rsidR="00160581" w:rsidRPr="00C668C5" w:rsidRDefault="00E96255" w:rsidP="00160581">
      <w:pPr>
        <w:pStyle w:val="LiteraturaUMAR"/>
        <w:jc w:val="both"/>
      </w:pPr>
      <w:r w:rsidRPr="00C668C5">
        <w:t xml:space="preserve">Portal gov.si – Okolje in prostor – Okolje – Podnebne spremembe – Trgovanje s pravicami do emisije (2020). Pridobljeno na: </w:t>
      </w:r>
      <w:hyperlink r:id="rId33" w:anchor="e26054" w:history="1">
        <w:r w:rsidRPr="00C668C5">
          <w:rPr>
            <w:rStyle w:val="Hyperlink"/>
            <w:color w:val="auto"/>
          </w:rPr>
          <w:t>https://www.gov.si/teme/trgovanje-s-pravicami-do-emisije/#e26054</w:t>
        </w:r>
      </w:hyperlink>
    </w:p>
    <w:p w14:paraId="5F4BC40A" w14:textId="77777777" w:rsidR="00737A98" w:rsidRDefault="00737A98" w:rsidP="00B85085">
      <w:pPr>
        <w:pStyle w:val="LiteraturaUMAR"/>
        <w:jc w:val="both"/>
      </w:pPr>
      <w:r w:rsidRPr="00C668C5">
        <w:t xml:space="preserve">Strategija razvoja Slovenije 2030 (SRS 2030) (2017). Ljubljana: Služba Vlade RS za razvoj in evropsko kohezijsko politiko. </w:t>
      </w:r>
    </w:p>
    <w:p w14:paraId="527EE125" w14:textId="20DD6DE7" w:rsidR="00495D39" w:rsidRPr="00C668C5" w:rsidRDefault="00737A98" w:rsidP="00495D39">
      <w:pPr>
        <w:pStyle w:val="LiteraturaUMAR"/>
        <w:numPr>
          <w:ilvl w:val="0"/>
          <w:numId w:val="0"/>
        </w:numPr>
        <w:ind w:left="360"/>
      </w:pPr>
      <w:r w:rsidRPr="00C668C5">
        <w:lastRenderedPageBreak/>
        <w:t xml:space="preserve">Uredba (EU) 2018/842 Evropskega parlamenta in Sveta z dne 30. maja 2018 o zavezujočem letnem </w:t>
      </w:r>
      <w:r w:rsidR="00886013">
        <w:t xml:space="preserve"> </w:t>
      </w:r>
      <w:r w:rsidR="00495D39" w:rsidRPr="00C668C5">
        <w:t>zmanjšanju emisij toplogrednih plinov za države članice v obdobju od 2021 do 2030 kot prispevku k podnebnim ukrepom za izpolnitev zavez iz Pariškega sporazuma ter o spremembi Uredbe (EU) št. 525/2013 (2018). Ur. l. EU št. 156 z dne 19. 6. 2018, stran 26.</w:t>
      </w:r>
    </w:p>
    <w:p w14:paraId="3AC20070" w14:textId="77777777" w:rsidR="00737A98" w:rsidRPr="00C668C5" w:rsidRDefault="00737A98" w:rsidP="008E723F">
      <w:pPr>
        <w:pStyle w:val="LiteraturaUMAR"/>
        <w:jc w:val="both"/>
      </w:pPr>
      <w:r w:rsidRPr="00C668C5">
        <w:t>Zakon o ratifikaciji Okvirne konvencije Združenih narodov o spremembi podnebja (UNFCCC) (1995). Ur. l. RS, št. 59/1995 z dne 19. 10. 1995.</w:t>
      </w:r>
    </w:p>
    <w:p w14:paraId="5FEC8BC4" w14:textId="77777777" w:rsidR="00160581" w:rsidRPr="00C668C5" w:rsidRDefault="00F06A01" w:rsidP="00160581">
      <w:pPr>
        <w:pStyle w:val="LiteraturaUMAR"/>
        <w:jc w:val="both"/>
        <w:rPr>
          <w:rStyle w:val="Hyperlink"/>
          <w:color w:val="auto"/>
          <w:u w:val="none"/>
        </w:rPr>
      </w:pPr>
      <w:r w:rsidRPr="00C668C5">
        <w:t xml:space="preserve">2030 </w:t>
      </w:r>
      <w:proofErr w:type="spellStart"/>
      <w:r w:rsidRPr="00C668C5">
        <w:t>Climate</w:t>
      </w:r>
      <w:proofErr w:type="spellEnd"/>
      <w:r w:rsidRPr="00C668C5">
        <w:t xml:space="preserve"> </w:t>
      </w:r>
      <w:proofErr w:type="spellStart"/>
      <w:r w:rsidRPr="00C668C5">
        <w:t>Target</w:t>
      </w:r>
      <w:proofErr w:type="spellEnd"/>
      <w:r w:rsidRPr="00C668C5">
        <w:t xml:space="preserve"> Plan (2020). Pridobljeno na: </w:t>
      </w:r>
      <w:hyperlink r:id="rId34" w:history="1">
        <w:r w:rsidRPr="00C668C5">
          <w:rPr>
            <w:rStyle w:val="Hyperlink"/>
            <w:color w:val="auto"/>
          </w:rPr>
          <w:t>https://ec.europa.eu/info/law/better-regulation/have-your-say/initiatives/12265-2030-Climate-Target-Plan</w:t>
        </w:r>
      </w:hyperlink>
      <w:bookmarkEnd w:id="3"/>
    </w:p>
    <w:p w14:paraId="141646F3" w14:textId="77777777" w:rsidR="00C668C5" w:rsidRDefault="00C668C5">
      <w:pPr>
        <w:spacing w:after="0" w:line="240" w:lineRule="auto"/>
        <w:rPr>
          <w:rStyle w:val="Hyperlink"/>
        </w:rPr>
        <w:sectPr w:rsidR="00C668C5" w:rsidSect="00DA3486">
          <w:headerReference w:type="default" r:id="rId35"/>
          <w:pgSz w:w="11906" w:h="16838"/>
          <w:pgMar w:top="1701" w:right="1418" w:bottom="1418" w:left="1418" w:header="567" w:footer="1134" w:gutter="0"/>
          <w:pgNumType w:start="1"/>
          <w:cols w:space="708"/>
          <w:docGrid w:linePitch="360"/>
        </w:sectPr>
      </w:pPr>
    </w:p>
    <w:p w14:paraId="22AAA11E" w14:textId="07107C5C" w:rsidR="00160581" w:rsidRPr="00C668C5" w:rsidRDefault="00160581" w:rsidP="00C668C5">
      <w:pPr>
        <w:pStyle w:val="BesediloUMAR"/>
      </w:pPr>
      <w:r w:rsidRPr="00C668C5">
        <w:rPr>
          <w:noProof/>
          <w:highlight w:val="yellow"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650AF373" wp14:editId="2D6E0AB6">
            <wp:simplePos x="896620" y="1078230"/>
            <wp:positionH relativeFrom="column">
              <wp:align>left</wp:align>
            </wp:positionH>
            <wp:positionV relativeFrom="paragraph">
              <wp:align>top</wp:align>
            </wp:positionV>
            <wp:extent cx="5837555" cy="8257540"/>
            <wp:effectExtent l="0" t="0" r="0" b="0"/>
            <wp:wrapSquare wrapText="bothSides"/>
            <wp:docPr id="1" name="Picture 1" descr="Infografika s priporočili za ravnanje glede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fografika s priporočili za ravnanje glede Covid-19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0581" w:rsidRPr="00C668C5" w:rsidSect="00DA3486">
      <w:headerReference w:type="default" r:id="rId37"/>
      <w:footerReference w:type="default" r:id="rId38"/>
      <w:pgSz w:w="11906" w:h="16838"/>
      <w:pgMar w:top="1701" w:right="1418" w:bottom="1418" w:left="1418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A8EB8" w14:textId="77777777" w:rsidR="00331310" w:rsidRDefault="00331310" w:rsidP="009E1648">
      <w:r>
        <w:separator/>
      </w:r>
    </w:p>
    <w:p w14:paraId="1361E384" w14:textId="77777777" w:rsidR="00331310" w:rsidRDefault="00331310" w:rsidP="009E1648"/>
    <w:p w14:paraId="2D61FB0C" w14:textId="77777777" w:rsidR="00331310" w:rsidRDefault="00331310" w:rsidP="009E1648"/>
    <w:p w14:paraId="22E8C8C3" w14:textId="77777777" w:rsidR="00331310" w:rsidRDefault="00331310" w:rsidP="009E1648"/>
    <w:p w14:paraId="576AACAB" w14:textId="77777777" w:rsidR="00331310" w:rsidRDefault="00331310" w:rsidP="009E1648"/>
    <w:p w14:paraId="326EEF11" w14:textId="77777777" w:rsidR="00331310" w:rsidRDefault="00331310" w:rsidP="009E1648"/>
    <w:p w14:paraId="64D63BEF" w14:textId="77777777" w:rsidR="00331310" w:rsidRDefault="00331310" w:rsidP="009E1648"/>
    <w:p w14:paraId="09C63B16" w14:textId="77777777" w:rsidR="00331310" w:rsidRDefault="00331310" w:rsidP="009E1648"/>
    <w:p w14:paraId="14D566C1" w14:textId="77777777" w:rsidR="00331310" w:rsidRDefault="00331310"/>
    <w:p w14:paraId="59D3B096" w14:textId="77777777" w:rsidR="00331310" w:rsidRDefault="00331310"/>
    <w:p w14:paraId="292A465B" w14:textId="77777777" w:rsidR="00331310" w:rsidRDefault="00331310" w:rsidP="00A540FA"/>
    <w:p w14:paraId="55D9DF0F" w14:textId="77777777" w:rsidR="00331310" w:rsidRDefault="00331310" w:rsidP="00A540FA"/>
    <w:p w14:paraId="224F1FAA" w14:textId="77777777" w:rsidR="00331310" w:rsidRDefault="00331310" w:rsidP="00A540FA"/>
    <w:p w14:paraId="507E6EBC" w14:textId="77777777" w:rsidR="00331310" w:rsidRDefault="00331310" w:rsidP="00A540FA"/>
    <w:p w14:paraId="1D6B020F" w14:textId="77777777" w:rsidR="00331310" w:rsidRDefault="00331310" w:rsidP="00A540FA"/>
    <w:p w14:paraId="2D3AB22C" w14:textId="77777777" w:rsidR="00331310" w:rsidRDefault="00331310"/>
  </w:endnote>
  <w:endnote w:type="continuationSeparator" w:id="0">
    <w:p w14:paraId="77A5404D" w14:textId="77777777" w:rsidR="00331310" w:rsidRDefault="00331310" w:rsidP="009E1648">
      <w:r>
        <w:continuationSeparator/>
      </w:r>
    </w:p>
    <w:p w14:paraId="19A0B26D" w14:textId="77777777" w:rsidR="00331310" w:rsidRDefault="00331310" w:rsidP="009E1648"/>
    <w:p w14:paraId="44E9BB2A" w14:textId="77777777" w:rsidR="00331310" w:rsidRDefault="00331310" w:rsidP="009E1648"/>
    <w:p w14:paraId="55BE239B" w14:textId="77777777" w:rsidR="00331310" w:rsidRDefault="00331310" w:rsidP="009E1648"/>
    <w:p w14:paraId="7A68D9FB" w14:textId="77777777" w:rsidR="00331310" w:rsidRDefault="00331310" w:rsidP="009E1648"/>
    <w:p w14:paraId="237F68DF" w14:textId="77777777" w:rsidR="00331310" w:rsidRDefault="00331310" w:rsidP="009E1648"/>
    <w:p w14:paraId="69E7020F" w14:textId="77777777" w:rsidR="00331310" w:rsidRDefault="00331310" w:rsidP="009E1648"/>
    <w:p w14:paraId="5E46EB7D" w14:textId="77777777" w:rsidR="00331310" w:rsidRDefault="00331310" w:rsidP="009E1648"/>
    <w:p w14:paraId="61C505C8" w14:textId="77777777" w:rsidR="00331310" w:rsidRDefault="00331310"/>
    <w:p w14:paraId="5E7BAEA8" w14:textId="77777777" w:rsidR="00331310" w:rsidRDefault="00331310"/>
    <w:p w14:paraId="49E85D8A" w14:textId="77777777" w:rsidR="00331310" w:rsidRDefault="00331310" w:rsidP="00A540FA"/>
    <w:p w14:paraId="7259504B" w14:textId="77777777" w:rsidR="00331310" w:rsidRDefault="00331310" w:rsidP="00A540FA"/>
    <w:p w14:paraId="676A534A" w14:textId="77777777" w:rsidR="00331310" w:rsidRDefault="00331310" w:rsidP="00A540FA"/>
    <w:p w14:paraId="750A3C6F" w14:textId="77777777" w:rsidR="00331310" w:rsidRDefault="00331310" w:rsidP="00A540FA"/>
    <w:p w14:paraId="24BD6683" w14:textId="77777777" w:rsidR="00331310" w:rsidRDefault="00331310" w:rsidP="00A540FA"/>
    <w:p w14:paraId="1112708E" w14:textId="77777777" w:rsidR="00331310" w:rsidRDefault="00331310"/>
  </w:endnote>
  <w:endnote w:type="continuationNotice" w:id="1">
    <w:p w14:paraId="1899568B" w14:textId="77777777" w:rsidR="00331310" w:rsidRDefault="003313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FEA" w14:textId="77777777" w:rsidR="00062FF7" w:rsidRDefault="00062FF7" w:rsidP="00B35647">
    <w:pPr>
      <w:pStyle w:val="Footer"/>
      <w:framePr w:wrap="around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4100" w14:textId="77777777" w:rsidR="00062FF7" w:rsidRDefault="00062FF7" w:rsidP="00C668C5">
    <w:pPr>
      <w:pStyle w:val="Footer"/>
      <w:framePr w:wrap="auto" w:vAnchor="margin" w:hAnchor="text" w:xAlign="left" w:yAlign="inlin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7E0CA" w14:textId="77777777" w:rsidR="00331310" w:rsidRPr="009B56EE" w:rsidRDefault="00331310" w:rsidP="009B56EE">
      <w:pPr>
        <w:pStyle w:val="BesediloUMAR"/>
      </w:pPr>
      <w:r w:rsidRPr="009B56EE">
        <w:separator/>
      </w:r>
    </w:p>
  </w:footnote>
  <w:footnote w:type="continuationSeparator" w:id="0">
    <w:p w14:paraId="434D552B" w14:textId="77777777" w:rsidR="00331310" w:rsidRDefault="00331310">
      <w:r>
        <w:separator/>
      </w:r>
    </w:p>
  </w:footnote>
  <w:footnote w:type="continuationNotice" w:id="1">
    <w:p w14:paraId="26573816" w14:textId="77777777" w:rsidR="00331310" w:rsidRDefault="00331310">
      <w:pPr>
        <w:spacing w:line="240" w:lineRule="auto"/>
      </w:pPr>
    </w:p>
  </w:footnote>
  <w:footnote w:id="2">
    <w:p w14:paraId="107A6CB1" w14:textId="2F2E0C38" w:rsidR="00062FF7" w:rsidRPr="00A810D3" w:rsidRDefault="00062FF7" w:rsidP="009515F5">
      <w:pPr>
        <w:spacing w:after="0" w:line="240" w:lineRule="auto"/>
        <w:rPr>
          <w:rStyle w:val="FootnoteTextChar"/>
        </w:rPr>
      </w:pPr>
      <w:r>
        <w:rPr>
          <w:rStyle w:val="FootnoteReference"/>
        </w:rPr>
        <w:footnoteRef/>
      </w:r>
      <w:r>
        <w:t xml:space="preserve"> </w:t>
      </w:r>
      <w:r w:rsidRPr="00A810D3">
        <w:rPr>
          <w:rStyle w:val="FootnoteTextChar"/>
        </w:rPr>
        <w:t>UNFCCC, 1995</w:t>
      </w:r>
      <w:r>
        <w:rPr>
          <w:rStyle w:val="FootnoteTextChar"/>
        </w:rPr>
        <w:t>.</w:t>
      </w:r>
    </w:p>
  </w:footnote>
  <w:footnote w:id="3">
    <w:p w14:paraId="43A88CC8" w14:textId="77777777" w:rsidR="00062FF7" w:rsidRPr="00C70C3B" w:rsidRDefault="00062FF7" w:rsidP="009515F5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Pr="00A810D3">
        <w:t>Direktiva (EU) 2018/410 o spremembi Direktive 2003/87/ES.</w:t>
      </w:r>
    </w:p>
  </w:footnote>
  <w:footnote w:id="4">
    <w:p w14:paraId="342D9D43" w14:textId="4504580C" w:rsidR="00062FF7" w:rsidRPr="002E4674" w:rsidRDefault="00062FF7" w:rsidP="009515F5">
      <w:pPr>
        <w:pStyle w:val="FootnoteText"/>
        <w:spacing w:line="240" w:lineRule="auto"/>
        <w:rPr>
          <w:rFonts w:ascii="Arial" w:eastAsia="Calibri" w:hAnsi="Arial" w:cs="Arial"/>
          <w:noProof/>
          <w:szCs w:val="16"/>
        </w:rPr>
      </w:pPr>
      <w:r w:rsidRPr="00A810D3">
        <w:rPr>
          <w:rStyle w:val="FootnoteReference"/>
        </w:rPr>
        <w:footnoteRef/>
      </w:r>
      <w:r w:rsidRPr="00A810D3">
        <w:rPr>
          <w:rStyle w:val="FootnoteReference"/>
        </w:rPr>
        <w:t xml:space="preserve"> </w:t>
      </w:r>
      <w:r w:rsidRPr="00A810D3">
        <w:t>Evropski svet in Svet EU, 2020</w:t>
      </w:r>
      <w:r>
        <w:rPr>
          <w:rFonts w:ascii="Arial" w:eastAsia="Calibri" w:hAnsi="Arial" w:cs="Arial"/>
          <w:noProof/>
          <w:szCs w:val="16"/>
        </w:rPr>
        <w:t>.</w:t>
      </w:r>
    </w:p>
  </w:footnote>
  <w:footnote w:id="5">
    <w:p w14:paraId="7B165D68" w14:textId="77777777" w:rsidR="00062FF7" w:rsidRPr="00A810D3" w:rsidRDefault="00062FF7" w:rsidP="002A2386">
      <w:pPr>
        <w:pStyle w:val="FootnoteText"/>
        <w:spacing w:line="240" w:lineRule="auto"/>
        <w:rPr>
          <w:rFonts w:ascii="Arial" w:eastAsia="Calibri" w:hAnsi="Arial" w:cs="Arial"/>
          <w:noProof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A810D3">
        <w:t>Uredba (EU) 2018/842.</w:t>
      </w:r>
    </w:p>
  </w:footnote>
  <w:footnote w:id="6">
    <w:p w14:paraId="59487B4C" w14:textId="14978A9A" w:rsidR="00062FF7" w:rsidRPr="00184CB6" w:rsidRDefault="00062FF7" w:rsidP="00214DE4">
      <w:pPr>
        <w:pStyle w:val="FootnoteText"/>
        <w:spacing w:line="240" w:lineRule="auto"/>
        <w:rPr>
          <w:rFonts w:ascii="Arial" w:eastAsia="Calibri" w:hAnsi="Arial" w:cs="Arial"/>
          <w:noProof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84CB6">
        <w:rPr>
          <w:rFonts w:ascii="Arial" w:eastAsia="Calibri" w:hAnsi="Arial" w:cs="Arial"/>
          <w:noProof/>
          <w:szCs w:val="16"/>
        </w:rPr>
        <w:t>E</w:t>
      </w:r>
      <w:r>
        <w:rPr>
          <w:rFonts w:ascii="Arial" w:eastAsia="Calibri" w:hAnsi="Arial" w:cs="Arial"/>
          <w:noProof/>
          <w:szCs w:val="16"/>
        </w:rPr>
        <w:t>E</w:t>
      </w:r>
      <w:r w:rsidRPr="00184CB6">
        <w:rPr>
          <w:rFonts w:ascii="Arial" w:eastAsia="Calibri" w:hAnsi="Arial" w:cs="Arial"/>
          <w:noProof/>
          <w:szCs w:val="16"/>
        </w:rPr>
        <w:t>A, 2017</w:t>
      </w:r>
      <w:r>
        <w:rPr>
          <w:rFonts w:ascii="Arial" w:eastAsia="Calibri" w:hAnsi="Arial" w:cs="Arial"/>
          <w:noProof/>
          <w:szCs w:val="16"/>
        </w:rPr>
        <w:t>.</w:t>
      </w:r>
    </w:p>
  </w:footnote>
  <w:footnote w:id="7">
    <w:p w14:paraId="4CAEF7D6" w14:textId="7EA8033C" w:rsidR="00062FF7" w:rsidRPr="002E4674" w:rsidRDefault="00062FF7" w:rsidP="00214DE4">
      <w:pPr>
        <w:pStyle w:val="FootnoteText"/>
        <w:spacing w:line="240" w:lineRule="auto"/>
        <w:rPr>
          <w:rFonts w:ascii="Arial" w:eastAsia="Calibri" w:hAnsi="Arial" w:cs="Arial"/>
          <w:noProof/>
          <w:szCs w:val="16"/>
        </w:rPr>
      </w:pPr>
      <w:r w:rsidRPr="005914B4">
        <w:rPr>
          <w:rStyle w:val="FootnoteReference"/>
        </w:rPr>
        <w:footnoteRef/>
      </w:r>
      <w:r w:rsidRPr="005914B4">
        <w:rPr>
          <w:rStyle w:val="FootnoteReference"/>
        </w:rPr>
        <w:t xml:space="preserve"> </w:t>
      </w:r>
      <w:r w:rsidRPr="002E4674">
        <w:rPr>
          <w:rFonts w:ascii="Arial" w:eastAsia="Calibri" w:hAnsi="Arial" w:cs="Arial"/>
          <w:noProof/>
          <w:szCs w:val="16"/>
        </w:rPr>
        <w:t>Evropski zeleni dogovor</w:t>
      </w:r>
      <w:r>
        <w:rPr>
          <w:rFonts w:ascii="Arial" w:eastAsia="Calibri" w:hAnsi="Arial" w:cs="Arial"/>
          <w:noProof/>
          <w:szCs w:val="16"/>
        </w:rPr>
        <w:t xml:space="preserve">; Krepitev evropskih podnebnih ambicij do leta 2030; Doseganje podnebne nevrtalnosti do leta 2050. </w:t>
      </w:r>
    </w:p>
  </w:footnote>
  <w:footnote w:id="8">
    <w:p w14:paraId="6B6ECAF0" w14:textId="346E398A" w:rsidR="00062FF7" w:rsidRPr="00152AB2" w:rsidRDefault="00062FF7" w:rsidP="0091783E">
      <w:pPr>
        <w:spacing w:after="0" w:line="240" w:lineRule="auto"/>
        <w:jc w:val="both"/>
        <w:rPr>
          <w:sz w:val="16"/>
          <w:szCs w:val="14"/>
        </w:rPr>
      </w:pPr>
      <w:r w:rsidRPr="00292DAC">
        <w:rPr>
          <w:rStyle w:val="FootnoteReference"/>
        </w:rPr>
        <w:footnoteRef/>
      </w:r>
      <w:r w:rsidRPr="00292DAC">
        <w:rPr>
          <w:rStyle w:val="FootnoteReference"/>
        </w:rPr>
        <w:t xml:space="preserve"> </w:t>
      </w:r>
      <w:r>
        <w:rPr>
          <w:rStyle w:val="FootnoteTextChar"/>
        </w:rPr>
        <w:t xml:space="preserve">Izpusti TGP so merjeni v enoti </w:t>
      </w:r>
      <w:r w:rsidRPr="000737AF">
        <w:rPr>
          <w:rStyle w:val="FootnoteTextChar"/>
        </w:rPr>
        <w:t>CO</w:t>
      </w:r>
      <w:r w:rsidRPr="0061382E">
        <w:rPr>
          <w:rStyle w:val="FootnoteTextChar"/>
          <w:vertAlign w:val="subscript"/>
        </w:rPr>
        <w:t>2</w:t>
      </w:r>
      <w:r w:rsidRPr="000737AF">
        <w:rPr>
          <w:rStyle w:val="FootnoteTextChar"/>
        </w:rPr>
        <w:t xml:space="preserve"> ekvivalent</w:t>
      </w:r>
      <w:r>
        <w:rPr>
          <w:rStyle w:val="FootnoteTextChar"/>
        </w:rPr>
        <w:t>.</w:t>
      </w:r>
      <w:r w:rsidRPr="000737AF">
        <w:rPr>
          <w:rStyle w:val="FootnoteTextChar"/>
        </w:rPr>
        <w:t xml:space="preserve"> Da lahko </w:t>
      </w:r>
      <w:r>
        <w:rPr>
          <w:rStyle w:val="FootnoteTextChar"/>
        </w:rPr>
        <w:t>r</w:t>
      </w:r>
      <w:r w:rsidRPr="000737AF">
        <w:rPr>
          <w:rStyle w:val="FootnoteTextChar"/>
        </w:rPr>
        <w:t>azlične TGP med seboj primerjamo in seštevamo, so prej pomnoženi s pripadajočim potencialom globalnega segrevanja, to je emisijskim faktorjem. V evidencah se spremljajo antropogeni izpusti sledečih TGP: ogljikov dioksid (CO</w:t>
      </w:r>
      <w:r w:rsidRPr="0061382E">
        <w:rPr>
          <w:rStyle w:val="FootnoteTextChar"/>
          <w:vertAlign w:val="subscript"/>
        </w:rPr>
        <w:t>2</w:t>
      </w:r>
      <w:r w:rsidRPr="000737AF">
        <w:rPr>
          <w:rStyle w:val="FootnoteTextChar"/>
        </w:rPr>
        <w:t>), metan (CH4), di-dušikov oksid (N</w:t>
      </w:r>
      <w:r w:rsidRPr="0061382E">
        <w:rPr>
          <w:rStyle w:val="FootnoteTextChar"/>
          <w:vertAlign w:val="subscript"/>
        </w:rPr>
        <w:t>2</w:t>
      </w:r>
      <w:r w:rsidRPr="000737AF">
        <w:rPr>
          <w:rStyle w:val="FootnoteTextChar"/>
        </w:rPr>
        <w:t xml:space="preserve">O) in F-plini. F-plini vključujejo </w:t>
      </w:r>
      <w:proofErr w:type="spellStart"/>
      <w:r w:rsidRPr="000737AF">
        <w:rPr>
          <w:rStyle w:val="FootnoteTextChar"/>
        </w:rPr>
        <w:t>fluorirane</w:t>
      </w:r>
      <w:proofErr w:type="spellEnd"/>
      <w:r w:rsidRPr="000737AF">
        <w:rPr>
          <w:rStyle w:val="FootnoteTextChar"/>
        </w:rPr>
        <w:t xml:space="preserve"> ogljikovodike (HFC), </w:t>
      </w:r>
      <w:proofErr w:type="spellStart"/>
      <w:r w:rsidRPr="000737AF">
        <w:rPr>
          <w:rStyle w:val="FootnoteTextChar"/>
        </w:rPr>
        <w:t>perfluorirane</w:t>
      </w:r>
      <w:proofErr w:type="spellEnd"/>
      <w:r w:rsidRPr="000737AF">
        <w:rPr>
          <w:rStyle w:val="FootnoteTextChar"/>
        </w:rPr>
        <w:t xml:space="preserve"> ogljikovodike (PFC) in žveplov </w:t>
      </w:r>
      <w:proofErr w:type="spellStart"/>
      <w:r w:rsidRPr="000737AF">
        <w:rPr>
          <w:rStyle w:val="FootnoteTextChar"/>
        </w:rPr>
        <w:t>heksafluorid</w:t>
      </w:r>
      <w:proofErr w:type="spellEnd"/>
      <w:r w:rsidRPr="000737AF">
        <w:rPr>
          <w:rStyle w:val="FootnoteTextChar"/>
        </w:rPr>
        <w:t xml:space="preserve"> (SF6). (</w:t>
      </w:r>
      <w:r>
        <w:rPr>
          <w:rStyle w:val="FootnoteTextChar"/>
        </w:rPr>
        <w:t>Portal gov.si, 2020</w:t>
      </w:r>
      <w:r w:rsidRPr="000737AF">
        <w:rPr>
          <w:rStyle w:val="FootnoteTextChar"/>
        </w:rPr>
        <w:t>).</w:t>
      </w:r>
    </w:p>
  </w:footnote>
  <w:footnote w:id="9">
    <w:p w14:paraId="6E48712E" w14:textId="14ACE9A6" w:rsidR="00062FF7" w:rsidRDefault="00062FF7" w:rsidP="003560DF">
      <w:pPr>
        <w:pStyle w:val="FootnoteText"/>
      </w:pPr>
      <w:r>
        <w:rPr>
          <w:rStyle w:val="FootnoteReference"/>
        </w:rPr>
        <w:footnoteRef/>
      </w:r>
      <w:r>
        <w:t xml:space="preserve"> Dolgoročna podnebna strategija Slovenije do leta 2050, osnutek, 2020.</w:t>
      </w:r>
    </w:p>
  </w:footnote>
  <w:footnote w:id="10">
    <w:p w14:paraId="5EE4BF42" w14:textId="488C4585" w:rsidR="00062FF7" w:rsidRDefault="00062FF7">
      <w:pPr>
        <w:pStyle w:val="FootnoteText"/>
      </w:pPr>
      <w:r>
        <w:rPr>
          <w:rStyle w:val="FootnoteReference"/>
        </w:rPr>
        <w:footnoteRef/>
      </w:r>
      <w:r>
        <w:t xml:space="preserve"> MOP, 2020.</w:t>
      </w:r>
    </w:p>
  </w:footnote>
  <w:footnote w:id="11">
    <w:p w14:paraId="4D8DE7AC" w14:textId="51D31B51" w:rsidR="00062FF7" w:rsidRDefault="00062FF7" w:rsidP="00DF6D6A">
      <w:pPr>
        <w:pStyle w:val="FootnoteText"/>
      </w:pPr>
      <w:r>
        <w:rPr>
          <w:rStyle w:val="FootnoteReference"/>
        </w:rPr>
        <w:footnoteRef/>
      </w:r>
      <w:r>
        <w:t xml:space="preserve"> MOP, 2020a.</w:t>
      </w:r>
    </w:p>
  </w:footnote>
  <w:footnote w:id="12">
    <w:p w14:paraId="2D9AF74C" w14:textId="30F465BF" w:rsidR="00062FF7" w:rsidRDefault="00062FF7">
      <w:pPr>
        <w:pStyle w:val="FootnoteText"/>
      </w:pPr>
      <w:r>
        <w:rPr>
          <w:rStyle w:val="FootnoteReference"/>
        </w:rPr>
        <w:footnoteRef/>
      </w:r>
      <w:r>
        <w:t xml:space="preserve"> Za leto 2019 je bila okoli polovica emisijskih kuponov podeljena trem upravljalcem naprav (Salonit Anhovo, Energetika Ljubljana in Talum Kidričevo), okoli dve tretjini preverjenih emisij pa je </w:t>
      </w:r>
      <w:proofErr w:type="spellStart"/>
      <w:r>
        <w:t>izhajajalo</w:t>
      </w:r>
      <w:proofErr w:type="spellEnd"/>
      <w:r>
        <w:t xml:space="preserve"> le iz enega izmed 45-tih upravljalcev naprav iz tega seznama (Termoelektrarna Šoštanj). ( Portal gov.si; podatki dostopni na: </w:t>
      </w:r>
      <w:r w:rsidRPr="00E96255">
        <w:t>https://www.gov.si/teme/trgovanje-s-pravicami-do-emisije/#e26054</w:t>
      </w:r>
      <w:r>
        <w:t>) .</w:t>
      </w:r>
    </w:p>
  </w:footnote>
  <w:footnote w:id="13">
    <w:p w14:paraId="393235AF" w14:textId="77777777" w:rsidR="00062FF7" w:rsidRDefault="00062FF7" w:rsidP="00FE69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661E">
        <w:t>Avstriji, Belgiji, Bolgariji, Cipru, Češki, Estoniji, Finski, Nemčiji, Irski, Luksemburgu, Malti in Poljski</w:t>
      </w:r>
      <w:r>
        <w:t>.</w:t>
      </w:r>
    </w:p>
  </w:footnote>
  <w:footnote w:id="14">
    <w:p w14:paraId="564253D0" w14:textId="77777777" w:rsidR="00062FF7" w:rsidRDefault="00062FF7" w:rsidP="00FE695D">
      <w:pPr>
        <w:pStyle w:val="FootnoteText"/>
      </w:pPr>
      <w:r>
        <w:rPr>
          <w:rStyle w:val="FootnoteReference"/>
        </w:rPr>
        <w:footnoteRef/>
      </w:r>
      <w:r>
        <w:t xml:space="preserve"> EU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Report</w:t>
      </w:r>
      <w:proofErr w:type="spellEnd"/>
      <w:r>
        <w:t>, 2020.</w:t>
      </w:r>
    </w:p>
  </w:footnote>
  <w:footnote w:id="15">
    <w:p w14:paraId="49963937" w14:textId="643C6ED4" w:rsidR="00062FF7" w:rsidRDefault="00062FF7" w:rsidP="00FE695D">
      <w:pPr>
        <w:pStyle w:val="FootnoteText"/>
      </w:pPr>
      <w:r>
        <w:rPr>
          <w:rStyle w:val="FootnoteReference"/>
        </w:rPr>
        <w:footnoteRef/>
      </w:r>
      <w:r>
        <w:t xml:space="preserve"> IEA, 2020.</w:t>
      </w:r>
    </w:p>
  </w:footnote>
  <w:footnote w:id="16">
    <w:p w14:paraId="223F5DB9" w14:textId="3DEB8511" w:rsidR="00062FF7" w:rsidRDefault="00062FF7" w:rsidP="00015C29">
      <w:pPr>
        <w:pStyle w:val="FootnoteText"/>
      </w:pPr>
      <w:r>
        <w:rPr>
          <w:rStyle w:val="FootnoteReference"/>
        </w:rPr>
        <w:footnoteRef/>
      </w:r>
      <w:r>
        <w:t xml:space="preserve"> UNFCCC, 1995.</w:t>
      </w:r>
    </w:p>
  </w:footnote>
  <w:footnote w:id="17">
    <w:p w14:paraId="3F44BD9A" w14:textId="5A55777B" w:rsidR="00062FF7" w:rsidRDefault="00062FF7" w:rsidP="00411287">
      <w:pPr>
        <w:pStyle w:val="FootnoteText"/>
        <w:spacing w:line="240" w:lineRule="auto"/>
      </w:pPr>
      <w:r w:rsidRPr="00015C29">
        <w:rPr>
          <w:rFonts w:ascii="Arial" w:eastAsia="Calibri" w:hAnsi="Arial" w:cs="Arial"/>
          <w:noProof/>
          <w:szCs w:val="16"/>
          <w:vertAlign w:val="superscript"/>
        </w:rPr>
        <w:footnoteRef/>
      </w:r>
      <w:r w:rsidRPr="002E4674">
        <w:rPr>
          <w:rFonts w:ascii="Arial" w:eastAsia="Calibri" w:hAnsi="Arial" w:cs="Arial"/>
          <w:noProof/>
          <w:szCs w:val="16"/>
        </w:rPr>
        <w:t xml:space="preserve"> </w:t>
      </w:r>
      <w:r w:rsidRPr="00183C5E">
        <w:rPr>
          <w:rFonts w:ascii="Arial" w:eastAsia="Calibri" w:hAnsi="Arial" w:cs="Arial"/>
          <w:noProof/>
          <w:szCs w:val="16"/>
        </w:rPr>
        <w:t>SRS 2030</w:t>
      </w:r>
      <w:r>
        <w:rPr>
          <w:rFonts w:ascii="Arial" w:eastAsia="Calibri" w:hAnsi="Arial" w:cs="Arial"/>
          <w:noProof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76"/>
      <w:gridCol w:w="796"/>
    </w:tblGrid>
    <w:tr w:rsidR="00062FF7" w:rsidRPr="00A540FA" w14:paraId="7BA5080B" w14:textId="77777777" w:rsidTr="00287C4E">
      <w:trPr>
        <w:trHeight w:val="552"/>
      </w:trPr>
      <w:tc>
        <w:tcPr>
          <w:tcW w:w="8276" w:type="dxa"/>
        </w:tcPr>
        <w:p w14:paraId="41AB25CE" w14:textId="04E55829" w:rsidR="00062FF7" w:rsidRPr="00F43CB0" w:rsidRDefault="00062FF7" w:rsidP="004016AB">
          <w:pPr>
            <w:pStyle w:val="Header"/>
            <w:tabs>
              <w:tab w:val="clear" w:pos="4536"/>
              <w:tab w:val="clear" w:pos="9072"/>
              <w:tab w:val="right" w:pos="8276"/>
            </w:tabs>
            <w:spacing w:line="240" w:lineRule="auto"/>
            <w:rPr>
              <w:rFonts w:cstheme="minorHAnsi"/>
              <w:b/>
              <w:sz w:val="16"/>
            </w:rPr>
          </w:pPr>
          <w:r>
            <w:rPr>
              <w:rFonts w:cstheme="minorHAnsi"/>
              <w:b/>
              <w:sz w:val="16"/>
            </w:rPr>
            <w:t xml:space="preserve">UMAR </w:t>
          </w:r>
          <w:r w:rsidRPr="00F43CB0">
            <w:rPr>
              <w:rFonts w:cstheme="minorHAnsi"/>
              <w:b/>
              <w:sz w:val="16"/>
            </w:rPr>
            <w:t xml:space="preserve"> </w:t>
          </w:r>
          <w:r w:rsidRPr="00F43CB0">
            <w:rPr>
              <w:rFonts w:cstheme="minorHAnsi"/>
              <w:noProof/>
              <w:lang w:eastAsia="sl-SI"/>
            </w:rPr>
            <w:drawing>
              <wp:inline distT="0" distB="0" distL="0" distR="0" wp14:anchorId="0D42C4E2" wp14:editId="5587D9CF">
                <wp:extent cx="58825" cy="76332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59" cy="1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/>
              <w:sz w:val="16"/>
            </w:rPr>
            <w:t xml:space="preserve">  Izpusti toplogrednih plinov…njihovo zmanjševanje</w:t>
          </w:r>
          <w:r>
            <w:rPr>
              <w:rFonts w:cstheme="minorHAnsi"/>
              <w:b/>
              <w:sz w:val="16"/>
            </w:rPr>
            <w:tab/>
          </w:r>
        </w:p>
      </w:tc>
      <w:tc>
        <w:tcPr>
          <w:tcW w:w="796" w:type="dxa"/>
        </w:tcPr>
        <w:p w14:paraId="5DD6270D" w14:textId="77777777" w:rsidR="00062FF7" w:rsidRPr="00B607E3" w:rsidRDefault="00062FF7" w:rsidP="007444EC">
          <w:pPr>
            <w:pStyle w:val="Header"/>
            <w:tabs>
              <w:tab w:val="left" w:pos="332"/>
              <w:tab w:val="center" w:pos="398"/>
              <w:tab w:val="right" w:pos="511"/>
              <w:tab w:val="right" w:pos="796"/>
            </w:tabs>
            <w:jc w:val="right"/>
            <w:rPr>
              <w:rFonts w:cstheme="minorHAnsi"/>
              <w:b/>
              <w:sz w:val="16"/>
              <w:szCs w:val="16"/>
            </w:rPr>
          </w:pPr>
          <w:r w:rsidRPr="00B607E3">
            <w:rPr>
              <w:rFonts w:cstheme="minorHAnsi"/>
              <w:b/>
              <w:sz w:val="16"/>
              <w:szCs w:val="16"/>
            </w:rPr>
            <w:fldChar w:fldCharType="begin"/>
          </w:r>
          <w:r w:rsidRPr="00B607E3">
            <w:rPr>
              <w:rFonts w:cstheme="minorHAnsi"/>
              <w:b/>
              <w:sz w:val="16"/>
              <w:szCs w:val="16"/>
            </w:rPr>
            <w:instrText xml:space="preserve"> PAGE  \* Arabic  \* MERGEFORMAT </w:instrText>
          </w:r>
          <w:r w:rsidRPr="00B607E3">
            <w:rPr>
              <w:rFonts w:cstheme="minorHAnsi"/>
              <w:b/>
              <w:sz w:val="16"/>
              <w:szCs w:val="16"/>
            </w:rPr>
            <w:fldChar w:fldCharType="separate"/>
          </w:r>
          <w:r w:rsidR="00886013">
            <w:rPr>
              <w:rFonts w:cstheme="minorHAnsi"/>
              <w:b/>
              <w:noProof/>
              <w:sz w:val="16"/>
              <w:szCs w:val="16"/>
            </w:rPr>
            <w:t>11</w:t>
          </w:r>
          <w:r w:rsidRPr="00B607E3">
            <w:rPr>
              <w:rFonts w:cstheme="minorHAnsi"/>
              <w:b/>
              <w:sz w:val="16"/>
              <w:szCs w:val="16"/>
            </w:rPr>
            <w:fldChar w:fldCharType="end"/>
          </w:r>
        </w:p>
      </w:tc>
    </w:tr>
  </w:tbl>
  <w:p w14:paraId="7E133D07" w14:textId="77777777" w:rsidR="00062FF7" w:rsidRDefault="00062FF7" w:rsidP="00D54F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E005" w14:textId="77777777" w:rsidR="00062FF7" w:rsidRDefault="00062FF7" w:rsidP="00D54F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9AC"/>
    <w:multiLevelType w:val="hybridMultilevel"/>
    <w:tmpl w:val="409ABE48"/>
    <w:lvl w:ilvl="0" w:tplc="4ABEB3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4BE5"/>
    <w:multiLevelType w:val="hybridMultilevel"/>
    <w:tmpl w:val="D9E0FC44"/>
    <w:lvl w:ilvl="0" w:tplc="985EED4A">
      <w:start w:val="12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4772"/>
    <w:multiLevelType w:val="hybridMultilevel"/>
    <w:tmpl w:val="4208815A"/>
    <w:lvl w:ilvl="0" w:tplc="9C607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0CD8"/>
    <w:multiLevelType w:val="multilevel"/>
    <w:tmpl w:val="3E48A548"/>
    <w:lvl w:ilvl="0">
      <w:start w:val="1"/>
      <w:numFmt w:val="decimal"/>
      <w:pStyle w:val="Heading1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CB66A94"/>
    <w:multiLevelType w:val="singleLevel"/>
    <w:tmpl w:val="C31A5668"/>
    <w:lvl w:ilvl="0">
      <w:start w:val="1"/>
      <w:numFmt w:val="decimal"/>
      <w:pStyle w:val="LiteraturaUM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BA"/>
    <w:rsid w:val="000026EC"/>
    <w:rsid w:val="00002CAF"/>
    <w:rsid w:val="000032F1"/>
    <w:rsid w:val="00003E9D"/>
    <w:rsid w:val="00004DAC"/>
    <w:rsid w:val="00006657"/>
    <w:rsid w:val="00006975"/>
    <w:rsid w:val="00006BC6"/>
    <w:rsid w:val="000071B5"/>
    <w:rsid w:val="00007719"/>
    <w:rsid w:val="00013848"/>
    <w:rsid w:val="00013A7F"/>
    <w:rsid w:val="000141E1"/>
    <w:rsid w:val="00014DA7"/>
    <w:rsid w:val="00015ADE"/>
    <w:rsid w:val="00015C29"/>
    <w:rsid w:val="00017E67"/>
    <w:rsid w:val="00021509"/>
    <w:rsid w:val="00022C37"/>
    <w:rsid w:val="00023A5C"/>
    <w:rsid w:val="00023FFD"/>
    <w:rsid w:val="0002452C"/>
    <w:rsid w:val="00024FA0"/>
    <w:rsid w:val="000257C3"/>
    <w:rsid w:val="0002596A"/>
    <w:rsid w:val="000267E2"/>
    <w:rsid w:val="00026ACB"/>
    <w:rsid w:val="00027DEC"/>
    <w:rsid w:val="0003011B"/>
    <w:rsid w:val="00033FF7"/>
    <w:rsid w:val="00035FBD"/>
    <w:rsid w:val="000365D0"/>
    <w:rsid w:val="00037273"/>
    <w:rsid w:val="0003751E"/>
    <w:rsid w:val="00037DDD"/>
    <w:rsid w:val="0004147D"/>
    <w:rsid w:val="00041BCA"/>
    <w:rsid w:val="00042B8F"/>
    <w:rsid w:val="000438D4"/>
    <w:rsid w:val="00043A67"/>
    <w:rsid w:val="00044A2C"/>
    <w:rsid w:val="00051550"/>
    <w:rsid w:val="000536A0"/>
    <w:rsid w:val="00054645"/>
    <w:rsid w:val="0005475A"/>
    <w:rsid w:val="000547F0"/>
    <w:rsid w:val="000572B9"/>
    <w:rsid w:val="00057C74"/>
    <w:rsid w:val="00060302"/>
    <w:rsid w:val="00061E44"/>
    <w:rsid w:val="00062FF7"/>
    <w:rsid w:val="00066A45"/>
    <w:rsid w:val="0007025B"/>
    <w:rsid w:val="00070B55"/>
    <w:rsid w:val="00072E0A"/>
    <w:rsid w:val="0007354C"/>
    <w:rsid w:val="000737AF"/>
    <w:rsid w:val="000757BB"/>
    <w:rsid w:val="00075D73"/>
    <w:rsid w:val="00077993"/>
    <w:rsid w:val="00077C63"/>
    <w:rsid w:val="00077E9C"/>
    <w:rsid w:val="0008109A"/>
    <w:rsid w:val="00082349"/>
    <w:rsid w:val="00083E22"/>
    <w:rsid w:val="00084484"/>
    <w:rsid w:val="00086581"/>
    <w:rsid w:val="000918F3"/>
    <w:rsid w:val="0009247A"/>
    <w:rsid w:val="000929C6"/>
    <w:rsid w:val="00092DA8"/>
    <w:rsid w:val="000936DA"/>
    <w:rsid w:val="00094932"/>
    <w:rsid w:val="000968B4"/>
    <w:rsid w:val="000969D0"/>
    <w:rsid w:val="00096DB6"/>
    <w:rsid w:val="00097E4C"/>
    <w:rsid w:val="000A1F78"/>
    <w:rsid w:val="000A3D3B"/>
    <w:rsid w:val="000A528A"/>
    <w:rsid w:val="000A6E55"/>
    <w:rsid w:val="000A78C0"/>
    <w:rsid w:val="000B0C7C"/>
    <w:rsid w:val="000B177F"/>
    <w:rsid w:val="000B1E80"/>
    <w:rsid w:val="000B2CC4"/>
    <w:rsid w:val="000B3619"/>
    <w:rsid w:val="000B48FF"/>
    <w:rsid w:val="000B51EB"/>
    <w:rsid w:val="000B75F3"/>
    <w:rsid w:val="000C1C5A"/>
    <w:rsid w:val="000C2CAF"/>
    <w:rsid w:val="000C43BF"/>
    <w:rsid w:val="000C4E62"/>
    <w:rsid w:val="000C5063"/>
    <w:rsid w:val="000C57F0"/>
    <w:rsid w:val="000C66F6"/>
    <w:rsid w:val="000D0C8F"/>
    <w:rsid w:val="000D1E72"/>
    <w:rsid w:val="000D4CA8"/>
    <w:rsid w:val="000E0B25"/>
    <w:rsid w:val="000E1083"/>
    <w:rsid w:val="000E1358"/>
    <w:rsid w:val="000E3BEC"/>
    <w:rsid w:val="000E70CE"/>
    <w:rsid w:val="000E7B27"/>
    <w:rsid w:val="000E7BCB"/>
    <w:rsid w:val="000F0B06"/>
    <w:rsid w:val="000F100B"/>
    <w:rsid w:val="000F23D6"/>
    <w:rsid w:val="000F2B1C"/>
    <w:rsid w:val="000F37C8"/>
    <w:rsid w:val="000F3B7B"/>
    <w:rsid w:val="000F6F5D"/>
    <w:rsid w:val="00100DB9"/>
    <w:rsid w:val="001026CD"/>
    <w:rsid w:val="00102756"/>
    <w:rsid w:val="0010366B"/>
    <w:rsid w:val="0010507E"/>
    <w:rsid w:val="00105A87"/>
    <w:rsid w:val="00105D95"/>
    <w:rsid w:val="001064DC"/>
    <w:rsid w:val="00106B4D"/>
    <w:rsid w:val="00106BE5"/>
    <w:rsid w:val="00107A6B"/>
    <w:rsid w:val="00107A7C"/>
    <w:rsid w:val="00110C49"/>
    <w:rsid w:val="00110FEB"/>
    <w:rsid w:val="00115051"/>
    <w:rsid w:val="001153EC"/>
    <w:rsid w:val="0011551D"/>
    <w:rsid w:val="001170C5"/>
    <w:rsid w:val="00117115"/>
    <w:rsid w:val="00117342"/>
    <w:rsid w:val="0011783D"/>
    <w:rsid w:val="00121772"/>
    <w:rsid w:val="001227DE"/>
    <w:rsid w:val="00124C9D"/>
    <w:rsid w:val="00127B1E"/>
    <w:rsid w:val="00130A1A"/>
    <w:rsid w:val="0013312D"/>
    <w:rsid w:val="0013548A"/>
    <w:rsid w:val="00135CF8"/>
    <w:rsid w:val="00137AB5"/>
    <w:rsid w:val="001406F5"/>
    <w:rsid w:val="00140706"/>
    <w:rsid w:val="00141E1A"/>
    <w:rsid w:val="00143E7F"/>
    <w:rsid w:val="001455D8"/>
    <w:rsid w:val="00150A78"/>
    <w:rsid w:val="00150E9F"/>
    <w:rsid w:val="001529BA"/>
    <w:rsid w:val="00152AB2"/>
    <w:rsid w:val="0015448C"/>
    <w:rsid w:val="0015472D"/>
    <w:rsid w:val="0015528E"/>
    <w:rsid w:val="00160581"/>
    <w:rsid w:val="00161445"/>
    <w:rsid w:val="00161611"/>
    <w:rsid w:val="0016173F"/>
    <w:rsid w:val="00162561"/>
    <w:rsid w:val="00165810"/>
    <w:rsid w:val="001673B5"/>
    <w:rsid w:val="001673FC"/>
    <w:rsid w:val="001709CB"/>
    <w:rsid w:val="00175219"/>
    <w:rsid w:val="00175D93"/>
    <w:rsid w:val="001761E8"/>
    <w:rsid w:val="001764AB"/>
    <w:rsid w:val="001770F0"/>
    <w:rsid w:val="001800CD"/>
    <w:rsid w:val="00181502"/>
    <w:rsid w:val="00181CCA"/>
    <w:rsid w:val="001831F7"/>
    <w:rsid w:val="0018519C"/>
    <w:rsid w:val="00186B3E"/>
    <w:rsid w:val="001908FD"/>
    <w:rsid w:val="001910C2"/>
    <w:rsid w:val="001917B6"/>
    <w:rsid w:val="0019310E"/>
    <w:rsid w:val="00195F97"/>
    <w:rsid w:val="00196D83"/>
    <w:rsid w:val="0019720D"/>
    <w:rsid w:val="001A0885"/>
    <w:rsid w:val="001A1629"/>
    <w:rsid w:val="001A1A0A"/>
    <w:rsid w:val="001B2F40"/>
    <w:rsid w:val="001B6398"/>
    <w:rsid w:val="001C187F"/>
    <w:rsid w:val="001C20B3"/>
    <w:rsid w:val="001C3A0A"/>
    <w:rsid w:val="001C487D"/>
    <w:rsid w:val="001C4D46"/>
    <w:rsid w:val="001C5AF2"/>
    <w:rsid w:val="001D0A6E"/>
    <w:rsid w:val="001D0B2F"/>
    <w:rsid w:val="001D1834"/>
    <w:rsid w:val="001D3A3F"/>
    <w:rsid w:val="001D65E7"/>
    <w:rsid w:val="001D663D"/>
    <w:rsid w:val="001E07FD"/>
    <w:rsid w:val="001E0960"/>
    <w:rsid w:val="001E7BEE"/>
    <w:rsid w:val="001F0482"/>
    <w:rsid w:val="001F1537"/>
    <w:rsid w:val="001F166C"/>
    <w:rsid w:val="001F1F26"/>
    <w:rsid w:val="001F379C"/>
    <w:rsid w:val="001F60CF"/>
    <w:rsid w:val="001F62CF"/>
    <w:rsid w:val="00201369"/>
    <w:rsid w:val="00203C04"/>
    <w:rsid w:val="00205616"/>
    <w:rsid w:val="00207ADA"/>
    <w:rsid w:val="002111FC"/>
    <w:rsid w:val="00212697"/>
    <w:rsid w:val="00213F15"/>
    <w:rsid w:val="00214084"/>
    <w:rsid w:val="00214A8B"/>
    <w:rsid w:val="00214DE4"/>
    <w:rsid w:val="00217E32"/>
    <w:rsid w:val="00220A86"/>
    <w:rsid w:val="00220E84"/>
    <w:rsid w:val="002224D7"/>
    <w:rsid w:val="002225D3"/>
    <w:rsid w:val="002232C4"/>
    <w:rsid w:val="00225170"/>
    <w:rsid w:val="0022533F"/>
    <w:rsid w:val="002257A9"/>
    <w:rsid w:val="00230DE5"/>
    <w:rsid w:val="00232436"/>
    <w:rsid w:val="00232BBE"/>
    <w:rsid w:val="0023306B"/>
    <w:rsid w:val="0023463D"/>
    <w:rsid w:val="00234DFD"/>
    <w:rsid w:val="00235E12"/>
    <w:rsid w:val="00243D25"/>
    <w:rsid w:val="00244E0B"/>
    <w:rsid w:val="00250B99"/>
    <w:rsid w:val="00252660"/>
    <w:rsid w:val="00252F81"/>
    <w:rsid w:val="002531D4"/>
    <w:rsid w:val="00253567"/>
    <w:rsid w:val="002572F0"/>
    <w:rsid w:val="002577FF"/>
    <w:rsid w:val="002628DA"/>
    <w:rsid w:val="00263280"/>
    <w:rsid w:val="00263E3D"/>
    <w:rsid w:val="00265B02"/>
    <w:rsid w:val="00265E7B"/>
    <w:rsid w:val="00266B89"/>
    <w:rsid w:val="00272C68"/>
    <w:rsid w:val="00274A6B"/>
    <w:rsid w:val="002750B5"/>
    <w:rsid w:val="00275CAC"/>
    <w:rsid w:val="002800D2"/>
    <w:rsid w:val="00281355"/>
    <w:rsid w:val="00282A01"/>
    <w:rsid w:val="002844EF"/>
    <w:rsid w:val="00287C4E"/>
    <w:rsid w:val="002901C9"/>
    <w:rsid w:val="00291052"/>
    <w:rsid w:val="00291B55"/>
    <w:rsid w:val="0029204B"/>
    <w:rsid w:val="00292DAC"/>
    <w:rsid w:val="00295028"/>
    <w:rsid w:val="00295489"/>
    <w:rsid w:val="00296655"/>
    <w:rsid w:val="00296ADF"/>
    <w:rsid w:val="00296B59"/>
    <w:rsid w:val="002A0C19"/>
    <w:rsid w:val="002A0E59"/>
    <w:rsid w:val="002A1940"/>
    <w:rsid w:val="002A2370"/>
    <w:rsid w:val="002A2386"/>
    <w:rsid w:val="002A368E"/>
    <w:rsid w:val="002A6C97"/>
    <w:rsid w:val="002A7747"/>
    <w:rsid w:val="002B06FB"/>
    <w:rsid w:val="002B3773"/>
    <w:rsid w:val="002B3890"/>
    <w:rsid w:val="002B3FA8"/>
    <w:rsid w:val="002B5937"/>
    <w:rsid w:val="002B5D48"/>
    <w:rsid w:val="002B631F"/>
    <w:rsid w:val="002C0D76"/>
    <w:rsid w:val="002C20B1"/>
    <w:rsid w:val="002C3A16"/>
    <w:rsid w:val="002C42D3"/>
    <w:rsid w:val="002C7E37"/>
    <w:rsid w:val="002D0D1B"/>
    <w:rsid w:val="002D1D30"/>
    <w:rsid w:val="002D4281"/>
    <w:rsid w:val="002D460E"/>
    <w:rsid w:val="002D5102"/>
    <w:rsid w:val="002D6A37"/>
    <w:rsid w:val="002E032A"/>
    <w:rsid w:val="002E195F"/>
    <w:rsid w:val="002E2D9D"/>
    <w:rsid w:val="002E37AA"/>
    <w:rsid w:val="002E45C6"/>
    <w:rsid w:val="002E4764"/>
    <w:rsid w:val="002F36AC"/>
    <w:rsid w:val="002F5D0F"/>
    <w:rsid w:val="002F62CB"/>
    <w:rsid w:val="0030011D"/>
    <w:rsid w:val="003014DC"/>
    <w:rsid w:val="00305924"/>
    <w:rsid w:val="00306706"/>
    <w:rsid w:val="003119D2"/>
    <w:rsid w:val="00315406"/>
    <w:rsid w:val="0031550F"/>
    <w:rsid w:val="0031686D"/>
    <w:rsid w:val="003260A4"/>
    <w:rsid w:val="00330829"/>
    <w:rsid w:val="0033107B"/>
    <w:rsid w:val="003312A2"/>
    <w:rsid w:val="00331310"/>
    <w:rsid w:val="00332D7D"/>
    <w:rsid w:val="00334607"/>
    <w:rsid w:val="00336899"/>
    <w:rsid w:val="00340546"/>
    <w:rsid w:val="003406F7"/>
    <w:rsid w:val="0034152B"/>
    <w:rsid w:val="00341E37"/>
    <w:rsid w:val="00341EEF"/>
    <w:rsid w:val="00343039"/>
    <w:rsid w:val="00344940"/>
    <w:rsid w:val="00344FE4"/>
    <w:rsid w:val="00346531"/>
    <w:rsid w:val="00347515"/>
    <w:rsid w:val="0035126D"/>
    <w:rsid w:val="00351BD0"/>
    <w:rsid w:val="003529F5"/>
    <w:rsid w:val="00353175"/>
    <w:rsid w:val="00353D73"/>
    <w:rsid w:val="00354A68"/>
    <w:rsid w:val="00355D20"/>
    <w:rsid w:val="003560DF"/>
    <w:rsid w:val="00361FDF"/>
    <w:rsid w:val="00363A1A"/>
    <w:rsid w:val="00364CEA"/>
    <w:rsid w:val="00364DBE"/>
    <w:rsid w:val="003656BC"/>
    <w:rsid w:val="00365B36"/>
    <w:rsid w:val="00365CA9"/>
    <w:rsid w:val="003663C9"/>
    <w:rsid w:val="00367549"/>
    <w:rsid w:val="00373951"/>
    <w:rsid w:val="00373B1E"/>
    <w:rsid w:val="00373E63"/>
    <w:rsid w:val="00374268"/>
    <w:rsid w:val="003743DD"/>
    <w:rsid w:val="00374A64"/>
    <w:rsid w:val="00375C3D"/>
    <w:rsid w:val="00376234"/>
    <w:rsid w:val="003770F2"/>
    <w:rsid w:val="00380DEB"/>
    <w:rsid w:val="0038359F"/>
    <w:rsid w:val="0038387D"/>
    <w:rsid w:val="00383F11"/>
    <w:rsid w:val="003844E5"/>
    <w:rsid w:val="003852EB"/>
    <w:rsid w:val="00385490"/>
    <w:rsid w:val="00386ACD"/>
    <w:rsid w:val="0038783C"/>
    <w:rsid w:val="0039000E"/>
    <w:rsid w:val="00390A78"/>
    <w:rsid w:val="00391645"/>
    <w:rsid w:val="003926AD"/>
    <w:rsid w:val="003936E4"/>
    <w:rsid w:val="00394200"/>
    <w:rsid w:val="003944B6"/>
    <w:rsid w:val="00394B17"/>
    <w:rsid w:val="00395593"/>
    <w:rsid w:val="00396660"/>
    <w:rsid w:val="00396872"/>
    <w:rsid w:val="003979B1"/>
    <w:rsid w:val="003A130C"/>
    <w:rsid w:val="003A1CC3"/>
    <w:rsid w:val="003A2980"/>
    <w:rsid w:val="003A2EB1"/>
    <w:rsid w:val="003A4B98"/>
    <w:rsid w:val="003A4C58"/>
    <w:rsid w:val="003A5848"/>
    <w:rsid w:val="003A6A19"/>
    <w:rsid w:val="003A6C2F"/>
    <w:rsid w:val="003A7B88"/>
    <w:rsid w:val="003A7D45"/>
    <w:rsid w:val="003A7F44"/>
    <w:rsid w:val="003B1BDA"/>
    <w:rsid w:val="003B2E0E"/>
    <w:rsid w:val="003B2F96"/>
    <w:rsid w:val="003B339B"/>
    <w:rsid w:val="003B3D3D"/>
    <w:rsid w:val="003B5F73"/>
    <w:rsid w:val="003B64A5"/>
    <w:rsid w:val="003B7CD1"/>
    <w:rsid w:val="003C3E4B"/>
    <w:rsid w:val="003D2EFD"/>
    <w:rsid w:val="003D39EE"/>
    <w:rsid w:val="003D431F"/>
    <w:rsid w:val="003D65E1"/>
    <w:rsid w:val="003D7EE3"/>
    <w:rsid w:val="003E0B22"/>
    <w:rsid w:val="003E0B29"/>
    <w:rsid w:val="003E193D"/>
    <w:rsid w:val="003E1D01"/>
    <w:rsid w:val="003E2BA4"/>
    <w:rsid w:val="003E31F6"/>
    <w:rsid w:val="003E3351"/>
    <w:rsid w:val="003E3A2D"/>
    <w:rsid w:val="003E4202"/>
    <w:rsid w:val="003E4990"/>
    <w:rsid w:val="003E5C63"/>
    <w:rsid w:val="003F058C"/>
    <w:rsid w:val="003F090C"/>
    <w:rsid w:val="003F18D2"/>
    <w:rsid w:val="003F1B14"/>
    <w:rsid w:val="003F1D22"/>
    <w:rsid w:val="003F26A8"/>
    <w:rsid w:val="003F33CD"/>
    <w:rsid w:val="003F4F43"/>
    <w:rsid w:val="003F5FD3"/>
    <w:rsid w:val="003F6AB1"/>
    <w:rsid w:val="00400465"/>
    <w:rsid w:val="00400DE5"/>
    <w:rsid w:val="004016AB"/>
    <w:rsid w:val="00402176"/>
    <w:rsid w:val="00402400"/>
    <w:rsid w:val="004029BB"/>
    <w:rsid w:val="00402B00"/>
    <w:rsid w:val="00404473"/>
    <w:rsid w:val="00404841"/>
    <w:rsid w:val="004049B7"/>
    <w:rsid w:val="00405639"/>
    <w:rsid w:val="00407C0D"/>
    <w:rsid w:val="00407E3C"/>
    <w:rsid w:val="00411287"/>
    <w:rsid w:val="00411FE9"/>
    <w:rsid w:val="00413A61"/>
    <w:rsid w:val="004155C8"/>
    <w:rsid w:val="00415D75"/>
    <w:rsid w:val="00416D9C"/>
    <w:rsid w:val="0042350D"/>
    <w:rsid w:val="00423D6C"/>
    <w:rsid w:val="004248C0"/>
    <w:rsid w:val="0042577D"/>
    <w:rsid w:val="00427E7B"/>
    <w:rsid w:val="00430947"/>
    <w:rsid w:val="004316F7"/>
    <w:rsid w:val="00431FB3"/>
    <w:rsid w:val="00433EC8"/>
    <w:rsid w:val="00435423"/>
    <w:rsid w:val="00437CB6"/>
    <w:rsid w:val="00437E1C"/>
    <w:rsid w:val="00440FB2"/>
    <w:rsid w:val="00441504"/>
    <w:rsid w:val="0044242E"/>
    <w:rsid w:val="0044421E"/>
    <w:rsid w:val="004448D1"/>
    <w:rsid w:val="00446186"/>
    <w:rsid w:val="0044754D"/>
    <w:rsid w:val="00447A71"/>
    <w:rsid w:val="00452B84"/>
    <w:rsid w:val="00454751"/>
    <w:rsid w:val="00457C59"/>
    <w:rsid w:val="004610CF"/>
    <w:rsid w:val="0046145D"/>
    <w:rsid w:val="00461535"/>
    <w:rsid w:val="00463654"/>
    <w:rsid w:val="0046366D"/>
    <w:rsid w:val="00467B42"/>
    <w:rsid w:val="00470031"/>
    <w:rsid w:val="00471237"/>
    <w:rsid w:val="00471568"/>
    <w:rsid w:val="00471713"/>
    <w:rsid w:val="00471D85"/>
    <w:rsid w:val="004730B8"/>
    <w:rsid w:val="00474F4F"/>
    <w:rsid w:val="0047533F"/>
    <w:rsid w:val="00475670"/>
    <w:rsid w:val="0047635E"/>
    <w:rsid w:val="004774EA"/>
    <w:rsid w:val="004774F9"/>
    <w:rsid w:val="00477DBE"/>
    <w:rsid w:val="00481B30"/>
    <w:rsid w:val="00481E14"/>
    <w:rsid w:val="00484DF1"/>
    <w:rsid w:val="00485096"/>
    <w:rsid w:val="00485174"/>
    <w:rsid w:val="004856A5"/>
    <w:rsid w:val="00485859"/>
    <w:rsid w:val="0048594C"/>
    <w:rsid w:val="0048599C"/>
    <w:rsid w:val="00485BC0"/>
    <w:rsid w:val="00487357"/>
    <w:rsid w:val="00487D9F"/>
    <w:rsid w:val="00487DB9"/>
    <w:rsid w:val="00487FA1"/>
    <w:rsid w:val="004901C2"/>
    <w:rsid w:val="00492CF3"/>
    <w:rsid w:val="0049345B"/>
    <w:rsid w:val="0049356B"/>
    <w:rsid w:val="004945BD"/>
    <w:rsid w:val="00495854"/>
    <w:rsid w:val="00495889"/>
    <w:rsid w:val="00495D39"/>
    <w:rsid w:val="00496165"/>
    <w:rsid w:val="004964EE"/>
    <w:rsid w:val="004966FB"/>
    <w:rsid w:val="00496EFC"/>
    <w:rsid w:val="00497805"/>
    <w:rsid w:val="004A318E"/>
    <w:rsid w:val="004A3312"/>
    <w:rsid w:val="004A45DA"/>
    <w:rsid w:val="004B1A62"/>
    <w:rsid w:val="004B249A"/>
    <w:rsid w:val="004B275E"/>
    <w:rsid w:val="004B3384"/>
    <w:rsid w:val="004B39ED"/>
    <w:rsid w:val="004B4B54"/>
    <w:rsid w:val="004C0235"/>
    <w:rsid w:val="004C1588"/>
    <w:rsid w:val="004C1673"/>
    <w:rsid w:val="004C22C6"/>
    <w:rsid w:val="004C4982"/>
    <w:rsid w:val="004C5AD3"/>
    <w:rsid w:val="004C65DD"/>
    <w:rsid w:val="004C6B99"/>
    <w:rsid w:val="004C74E2"/>
    <w:rsid w:val="004D1933"/>
    <w:rsid w:val="004D1C81"/>
    <w:rsid w:val="004D22FB"/>
    <w:rsid w:val="004D2B31"/>
    <w:rsid w:val="004D33D1"/>
    <w:rsid w:val="004D372F"/>
    <w:rsid w:val="004D3CB6"/>
    <w:rsid w:val="004D51EA"/>
    <w:rsid w:val="004D5670"/>
    <w:rsid w:val="004D6D6F"/>
    <w:rsid w:val="004D78A9"/>
    <w:rsid w:val="004E26C0"/>
    <w:rsid w:val="004E538D"/>
    <w:rsid w:val="004F0202"/>
    <w:rsid w:val="004F04D4"/>
    <w:rsid w:val="004F09ED"/>
    <w:rsid w:val="004F0F3E"/>
    <w:rsid w:val="004F1872"/>
    <w:rsid w:val="004F25F6"/>
    <w:rsid w:val="004F2BE3"/>
    <w:rsid w:val="004F38FC"/>
    <w:rsid w:val="004F3C08"/>
    <w:rsid w:val="004F54A2"/>
    <w:rsid w:val="004F62F9"/>
    <w:rsid w:val="004F6889"/>
    <w:rsid w:val="0050010C"/>
    <w:rsid w:val="00501B23"/>
    <w:rsid w:val="00501BD9"/>
    <w:rsid w:val="00502FA8"/>
    <w:rsid w:val="0050550D"/>
    <w:rsid w:val="0050616E"/>
    <w:rsid w:val="00506FFF"/>
    <w:rsid w:val="00507640"/>
    <w:rsid w:val="0050798F"/>
    <w:rsid w:val="00510461"/>
    <w:rsid w:val="005139FA"/>
    <w:rsid w:val="00513F8E"/>
    <w:rsid w:val="0051582D"/>
    <w:rsid w:val="0051702C"/>
    <w:rsid w:val="00520E00"/>
    <w:rsid w:val="005223AC"/>
    <w:rsid w:val="005237FD"/>
    <w:rsid w:val="0052552A"/>
    <w:rsid w:val="00525FE4"/>
    <w:rsid w:val="00530590"/>
    <w:rsid w:val="0053228F"/>
    <w:rsid w:val="00532FEB"/>
    <w:rsid w:val="005331FB"/>
    <w:rsid w:val="00533E0B"/>
    <w:rsid w:val="00534995"/>
    <w:rsid w:val="00537053"/>
    <w:rsid w:val="00540094"/>
    <w:rsid w:val="0054083E"/>
    <w:rsid w:val="00543646"/>
    <w:rsid w:val="00543748"/>
    <w:rsid w:val="0054632F"/>
    <w:rsid w:val="0054650F"/>
    <w:rsid w:val="005472C7"/>
    <w:rsid w:val="00550662"/>
    <w:rsid w:val="005508DE"/>
    <w:rsid w:val="00551677"/>
    <w:rsid w:val="00552E8E"/>
    <w:rsid w:val="00555663"/>
    <w:rsid w:val="005563B2"/>
    <w:rsid w:val="0055724C"/>
    <w:rsid w:val="00557B80"/>
    <w:rsid w:val="00560321"/>
    <w:rsid w:val="005604EC"/>
    <w:rsid w:val="0056113D"/>
    <w:rsid w:val="00562453"/>
    <w:rsid w:val="005633C7"/>
    <w:rsid w:val="00564898"/>
    <w:rsid w:val="00566FFA"/>
    <w:rsid w:val="00567413"/>
    <w:rsid w:val="005727D4"/>
    <w:rsid w:val="00575C6D"/>
    <w:rsid w:val="00577D88"/>
    <w:rsid w:val="005829CA"/>
    <w:rsid w:val="0058541C"/>
    <w:rsid w:val="00585A9B"/>
    <w:rsid w:val="00585C7B"/>
    <w:rsid w:val="005861F1"/>
    <w:rsid w:val="0058622D"/>
    <w:rsid w:val="00586C8F"/>
    <w:rsid w:val="00587AA5"/>
    <w:rsid w:val="00590676"/>
    <w:rsid w:val="0059231A"/>
    <w:rsid w:val="005923B5"/>
    <w:rsid w:val="00593328"/>
    <w:rsid w:val="00594ACA"/>
    <w:rsid w:val="00594B4F"/>
    <w:rsid w:val="005955CD"/>
    <w:rsid w:val="00596071"/>
    <w:rsid w:val="00596BFA"/>
    <w:rsid w:val="005A0F4D"/>
    <w:rsid w:val="005A1D18"/>
    <w:rsid w:val="005A265B"/>
    <w:rsid w:val="005A7F55"/>
    <w:rsid w:val="005B0540"/>
    <w:rsid w:val="005B0D84"/>
    <w:rsid w:val="005B2378"/>
    <w:rsid w:val="005B3500"/>
    <w:rsid w:val="005B3B73"/>
    <w:rsid w:val="005B411B"/>
    <w:rsid w:val="005B4654"/>
    <w:rsid w:val="005B6E4D"/>
    <w:rsid w:val="005C00FC"/>
    <w:rsid w:val="005C161F"/>
    <w:rsid w:val="005C1977"/>
    <w:rsid w:val="005C2526"/>
    <w:rsid w:val="005C2CEA"/>
    <w:rsid w:val="005C441B"/>
    <w:rsid w:val="005C5C18"/>
    <w:rsid w:val="005C60C3"/>
    <w:rsid w:val="005C6830"/>
    <w:rsid w:val="005C6B5D"/>
    <w:rsid w:val="005D0DF9"/>
    <w:rsid w:val="005D1010"/>
    <w:rsid w:val="005D16CD"/>
    <w:rsid w:val="005D17C6"/>
    <w:rsid w:val="005D1D02"/>
    <w:rsid w:val="005D1FEF"/>
    <w:rsid w:val="005D40BC"/>
    <w:rsid w:val="005D46FD"/>
    <w:rsid w:val="005D50A8"/>
    <w:rsid w:val="005D6BEE"/>
    <w:rsid w:val="005D6E9F"/>
    <w:rsid w:val="005D6EE4"/>
    <w:rsid w:val="005D741E"/>
    <w:rsid w:val="005E2A7C"/>
    <w:rsid w:val="005E3DEA"/>
    <w:rsid w:val="005F333F"/>
    <w:rsid w:val="005F3BD9"/>
    <w:rsid w:val="005F3C8A"/>
    <w:rsid w:val="005F4578"/>
    <w:rsid w:val="005F4B6E"/>
    <w:rsid w:val="005F52F4"/>
    <w:rsid w:val="005F7F5A"/>
    <w:rsid w:val="006000A1"/>
    <w:rsid w:val="00602572"/>
    <w:rsid w:val="006040E6"/>
    <w:rsid w:val="00604372"/>
    <w:rsid w:val="006058EC"/>
    <w:rsid w:val="00605B8A"/>
    <w:rsid w:val="00605FA1"/>
    <w:rsid w:val="006119CB"/>
    <w:rsid w:val="006134EC"/>
    <w:rsid w:val="0061382E"/>
    <w:rsid w:val="0061384F"/>
    <w:rsid w:val="006151CF"/>
    <w:rsid w:val="0061586C"/>
    <w:rsid w:val="00617A5B"/>
    <w:rsid w:val="00617B98"/>
    <w:rsid w:val="00617F94"/>
    <w:rsid w:val="006217FD"/>
    <w:rsid w:val="00622948"/>
    <w:rsid w:val="00623F12"/>
    <w:rsid w:val="00626525"/>
    <w:rsid w:val="0063281E"/>
    <w:rsid w:val="00632C88"/>
    <w:rsid w:val="00633AA6"/>
    <w:rsid w:val="00634D6B"/>
    <w:rsid w:val="00637ECF"/>
    <w:rsid w:val="00641386"/>
    <w:rsid w:val="0064491A"/>
    <w:rsid w:val="006501DA"/>
    <w:rsid w:val="006556AC"/>
    <w:rsid w:val="00655CD6"/>
    <w:rsid w:val="00660F0A"/>
    <w:rsid w:val="00662AFD"/>
    <w:rsid w:val="0066357F"/>
    <w:rsid w:val="00665576"/>
    <w:rsid w:val="006658A7"/>
    <w:rsid w:val="006667FE"/>
    <w:rsid w:val="00666940"/>
    <w:rsid w:val="00666BE2"/>
    <w:rsid w:val="006674A7"/>
    <w:rsid w:val="0066780A"/>
    <w:rsid w:val="0067227C"/>
    <w:rsid w:val="006730C0"/>
    <w:rsid w:val="00674223"/>
    <w:rsid w:val="0067488F"/>
    <w:rsid w:val="00674D36"/>
    <w:rsid w:val="0067505F"/>
    <w:rsid w:val="00677435"/>
    <w:rsid w:val="006839FC"/>
    <w:rsid w:val="00683F52"/>
    <w:rsid w:val="00686F72"/>
    <w:rsid w:val="006909E4"/>
    <w:rsid w:val="00691861"/>
    <w:rsid w:val="00693997"/>
    <w:rsid w:val="00693AF7"/>
    <w:rsid w:val="00693BD3"/>
    <w:rsid w:val="006954CB"/>
    <w:rsid w:val="006966BC"/>
    <w:rsid w:val="006969C3"/>
    <w:rsid w:val="006A2EF0"/>
    <w:rsid w:val="006A4D13"/>
    <w:rsid w:val="006B1D3D"/>
    <w:rsid w:val="006B20DE"/>
    <w:rsid w:val="006B2E64"/>
    <w:rsid w:val="006B7AE0"/>
    <w:rsid w:val="006C086E"/>
    <w:rsid w:val="006C09F7"/>
    <w:rsid w:val="006C1815"/>
    <w:rsid w:val="006C403C"/>
    <w:rsid w:val="006C4B8D"/>
    <w:rsid w:val="006C4DBB"/>
    <w:rsid w:val="006C5B35"/>
    <w:rsid w:val="006C6647"/>
    <w:rsid w:val="006C680F"/>
    <w:rsid w:val="006C7E4C"/>
    <w:rsid w:val="006D0C34"/>
    <w:rsid w:val="006D1872"/>
    <w:rsid w:val="006D1AFD"/>
    <w:rsid w:val="006D48B0"/>
    <w:rsid w:val="006D4C24"/>
    <w:rsid w:val="006D6774"/>
    <w:rsid w:val="006D7195"/>
    <w:rsid w:val="006E2C8C"/>
    <w:rsid w:val="006E4FDE"/>
    <w:rsid w:val="006E59B9"/>
    <w:rsid w:val="006E78F4"/>
    <w:rsid w:val="006E7DEF"/>
    <w:rsid w:val="006F4BBF"/>
    <w:rsid w:val="006F5351"/>
    <w:rsid w:val="00701097"/>
    <w:rsid w:val="00701E95"/>
    <w:rsid w:val="00703342"/>
    <w:rsid w:val="00704190"/>
    <w:rsid w:val="00704A07"/>
    <w:rsid w:val="00705372"/>
    <w:rsid w:val="00705590"/>
    <w:rsid w:val="00706494"/>
    <w:rsid w:val="0070699D"/>
    <w:rsid w:val="0071002E"/>
    <w:rsid w:val="007123CD"/>
    <w:rsid w:val="0071240A"/>
    <w:rsid w:val="0071423C"/>
    <w:rsid w:val="007149B8"/>
    <w:rsid w:val="00717AD3"/>
    <w:rsid w:val="007209FA"/>
    <w:rsid w:val="00722488"/>
    <w:rsid w:val="0072522B"/>
    <w:rsid w:val="007257C7"/>
    <w:rsid w:val="00725D56"/>
    <w:rsid w:val="00727AA2"/>
    <w:rsid w:val="00731841"/>
    <w:rsid w:val="00732BAD"/>
    <w:rsid w:val="00733E66"/>
    <w:rsid w:val="007340C3"/>
    <w:rsid w:val="007345C0"/>
    <w:rsid w:val="00736DB1"/>
    <w:rsid w:val="0073783D"/>
    <w:rsid w:val="00737A98"/>
    <w:rsid w:val="0074209A"/>
    <w:rsid w:val="007439FD"/>
    <w:rsid w:val="007444E2"/>
    <w:rsid w:val="007444EC"/>
    <w:rsid w:val="00744F0D"/>
    <w:rsid w:val="00747002"/>
    <w:rsid w:val="00752F7F"/>
    <w:rsid w:val="007532FA"/>
    <w:rsid w:val="007538F0"/>
    <w:rsid w:val="00753CE9"/>
    <w:rsid w:val="00756DFB"/>
    <w:rsid w:val="00757564"/>
    <w:rsid w:val="00761FC0"/>
    <w:rsid w:val="00761FD7"/>
    <w:rsid w:val="00763700"/>
    <w:rsid w:val="00763CDB"/>
    <w:rsid w:val="007648A9"/>
    <w:rsid w:val="00765C58"/>
    <w:rsid w:val="007661DC"/>
    <w:rsid w:val="00770703"/>
    <w:rsid w:val="00771744"/>
    <w:rsid w:val="00772268"/>
    <w:rsid w:val="007731CD"/>
    <w:rsid w:val="007736C3"/>
    <w:rsid w:val="00774B58"/>
    <w:rsid w:val="00774D84"/>
    <w:rsid w:val="007759EA"/>
    <w:rsid w:val="00775FC3"/>
    <w:rsid w:val="007764B5"/>
    <w:rsid w:val="00776801"/>
    <w:rsid w:val="0078152B"/>
    <w:rsid w:val="00781D29"/>
    <w:rsid w:val="00781F66"/>
    <w:rsid w:val="0078243B"/>
    <w:rsid w:val="00784074"/>
    <w:rsid w:val="00784670"/>
    <w:rsid w:val="007860F8"/>
    <w:rsid w:val="00786425"/>
    <w:rsid w:val="00786F7F"/>
    <w:rsid w:val="00787735"/>
    <w:rsid w:val="00787EC1"/>
    <w:rsid w:val="00787F5E"/>
    <w:rsid w:val="007901E7"/>
    <w:rsid w:val="007915C0"/>
    <w:rsid w:val="00792BEF"/>
    <w:rsid w:val="00792EB7"/>
    <w:rsid w:val="007960DF"/>
    <w:rsid w:val="00796692"/>
    <w:rsid w:val="007A3179"/>
    <w:rsid w:val="007A3C64"/>
    <w:rsid w:val="007B0544"/>
    <w:rsid w:val="007B34D6"/>
    <w:rsid w:val="007B3C50"/>
    <w:rsid w:val="007B6137"/>
    <w:rsid w:val="007B7666"/>
    <w:rsid w:val="007B7CC6"/>
    <w:rsid w:val="007C12F3"/>
    <w:rsid w:val="007C26AB"/>
    <w:rsid w:val="007C3A38"/>
    <w:rsid w:val="007C58E1"/>
    <w:rsid w:val="007C5ADD"/>
    <w:rsid w:val="007C6528"/>
    <w:rsid w:val="007C6559"/>
    <w:rsid w:val="007D02D4"/>
    <w:rsid w:val="007D0330"/>
    <w:rsid w:val="007D22BF"/>
    <w:rsid w:val="007D3054"/>
    <w:rsid w:val="007D4FDE"/>
    <w:rsid w:val="007D5FE5"/>
    <w:rsid w:val="007D6B1B"/>
    <w:rsid w:val="007D780F"/>
    <w:rsid w:val="007D7F76"/>
    <w:rsid w:val="007E23F8"/>
    <w:rsid w:val="007E2B35"/>
    <w:rsid w:val="007E435D"/>
    <w:rsid w:val="007E56AE"/>
    <w:rsid w:val="007E5FB3"/>
    <w:rsid w:val="007E6764"/>
    <w:rsid w:val="007F1CC9"/>
    <w:rsid w:val="007F24FB"/>
    <w:rsid w:val="007F3981"/>
    <w:rsid w:val="00803E1C"/>
    <w:rsid w:val="00804622"/>
    <w:rsid w:val="00805108"/>
    <w:rsid w:val="00806D14"/>
    <w:rsid w:val="008071B1"/>
    <w:rsid w:val="008101ED"/>
    <w:rsid w:val="008118B7"/>
    <w:rsid w:val="00811F1B"/>
    <w:rsid w:val="00812202"/>
    <w:rsid w:val="008135D9"/>
    <w:rsid w:val="008139D4"/>
    <w:rsid w:val="00813F73"/>
    <w:rsid w:val="00816849"/>
    <w:rsid w:val="00816CD8"/>
    <w:rsid w:val="0082247E"/>
    <w:rsid w:val="00823C9E"/>
    <w:rsid w:val="00824448"/>
    <w:rsid w:val="00825445"/>
    <w:rsid w:val="00825CC5"/>
    <w:rsid w:val="008261A9"/>
    <w:rsid w:val="00826216"/>
    <w:rsid w:val="00826326"/>
    <w:rsid w:val="00830962"/>
    <w:rsid w:val="0083280E"/>
    <w:rsid w:val="00833551"/>
    <w:rsid w:val="008336EA"/>
    <w:rsid w:val="00835CBB"/>
    <w:rsid w:val="00835D43"/>
    <w:rsid w:val="008364D4"/>
    <w:rsid w:val="00836568"/>
    <w:rsid w:val="008374CD"/>
    <w:rsid w:val="00837C51"/>
    <w:rsid w:val="008416E2"/>
    <w:rsid w:val="00841F72"/>
    <w:rsid w:val="00847855"/>
    <w:rsid w:val="00847870"/>
    <w:rsid w:val="008507C3"/>
    <w:rsid w:val="00852A7F"/>
    <w:rsid w:val="00852D36"/>
    <w:rsid w:val="008542A0"/>
    <w:rsid w:val="008544BC"/>
    <w:rsid w:val="008544ED"/>
    <w:rsid w:val="008577F4"/>
    <w:rsid w:val="008621D2"/>
    <w:rsid w:val="00863095"/>
    <w:rsid w:val="008639E8"/>
    <w:rsid w:val="00865904"/>
    <w:rsid w:val="0086661E"/>
    <w:rsid w:val="00866C25"/>
    <w:rsid w:val="00867CC9"/>
    <w:rsid w:val="00870DED"/>
    <w:rsid w:val="0087311A"/>
    <w:rsid w:val="0087606A"/>
    <w:rsid w:val="0087770A"/>
    <w:rsid w:val="00880D8D"/>
    <w:rsid w:val="00880DE7"/>
    <w:rsid w:val="00881457"/>
    <w:rsid w:val="00886013"/>
    <w:rsid w:val="00886E25"/>
    <w:rsid w:val="00887956"/>
    <w:rsid w:val="00890FA1"/>
    <w:rsid w:val="00894B98"/>
    <w:rsid w:val="00895B4C"/>
    <w:rsid w:val="00897A5F"/>
    <w:rsid w:val="00897D11"/>
    <w:rsid w:val="008A14F1"/>
    <w:rsid w:val="008A3347"/>
    <w:rsid w:val="008A5C0C"/>
    <w:rsid w:val="008A5FC7"/>
    <w:rsid w:val="008B068D"/>
    <w:rsid w:val="008B18F0"/>
    <w:rsid w:val="008B4AB1"/>
    <w:rsid w:val="008B6EC2"/>
    <w:rsid w:val="008B7525"/>
    <w:rsid w:val="008C0D58"/>
    <w:rsid w:val="008C2631"/>
    <w:rsid w:val="008C4268"/>
    <w:rsid w:val="008C44ED"/>
    <w:rsid w:val="008D0E22"/>
    <w:rsid w:val="008D5491"/>
    <w:rsid w:val="008D64B9"/>
    <w:rsid w:val="008E1911"/>
    <w:rsid w:val="008E1ECC"/>
    <w:rsid w:val="008E2858"/>
    <w:rsid w:val="008E32CA"/>
    <w:rsid w:val="008E4FAF"/>
    <w:rsid w:val="008E723F"/>
    <w:rsid w:val="008F0A52"/>
    <w:rsid w:val="008F1409"/>
    <w:rsid w:val="008F19FA"/>
    <w:rsid w:val="008F27B7"/>
    <w:rsid w:val="008F3146"/>
    <w:rsid w:val="008F329B"/>
    <w:rsid w:val="008F35C6"/>
    <w:rsid w:val="008F4F89"/>
    <w:rsid w:val="008F5E24"/>
    <w:rsid w:val="00900064"/>
    <w:rsid w:val="00901025"/>
    <w:rsid w:val="0090185E"/>
    <w:rsid w:val="00901ACE"/>
    <w:rsid w:val="00903395"/>
    <w:rsid w:val="00912B20"/>
    <w:rsid w:val="009138CB"/>
    <w:rsid w:val="00914772"/>
    <w:rsid w:val="009177E8"/>
    <w:rsid w:val="0091783E"/>
    <w:rsid w:val="00921E98"/>
    <w:rsid w:val="00922D25"/>
    <w:rsid w:val="00923AFA"/>
    <w:rsid w:val="00923B83"/>
    <w:rsid w:val="0092535E"/>
    <w:rsid w:val="00925373"/>
    <w:rsid w:val="00932310"/>
    <w:rsid w:val="00932E92"/>
    <w:rsid w:val="00933E33"/>
    <w:rsid w:val="00936DB4"/>
    <w:rsid w:val="009400F0"/>
    <w:rsid w:val="00941D0A"/>
    <w:rsid w:val="0094225F"/>
    <w:rsid w:val="00943004"/>
    <w:rsid w:val="009436C9"/>
    <w:rsid w:val="009446E7"/>
    <w:rsid w:val="009457C6"/>
    <w:rsid w:val="00947BCF"/>
    <w:rsid w:val="00947E74"/>
    <w:rsid w:val="009515F5"/>
    <w:rsid w:val="009525B3"/>
    <w:rsid w:val="00955AB2"/>
    <w:rsid w:val="00956337"/>
    <w:rsid w:val="00957B8E"/>
    <w:rsid w:val="009627CD"/>
    <w:rsid w:val="00963048"/>
    <w:rsid w:val="00965315"/>
    <w:rsid w:val="00967DEC"/>
    <w:rsid w:val="0097063C"/>
    <w:rsid w:val="0097070F"/>
    <w:rsid w:val="00971077"/>
    <w:rsid w:val="009714B8"/>
    <w:rsid w:val="00973B3C"/>
    <w:rsid w:val="00977BCF"/>
    <w:rsid w:val="00977E7C"/>
    <w:rsid w:val="00981DE9"/>
    <w:rsid w:val="00986CB8"/>
    <w:rsid w:val="00987E90"/>
    <w:rsid w:val="0099400D"/>
    <w:rsid w:val="0099612C"/>
    <w:rsid w:val="00996BF0"/>
    <w:rsid w:val="00997795"/>
    <w:rsid w:val="009A02AF"/>
    <w:rsid w:val="009A0AA1"/>
    <w:rsid w:val="009A3A04"/>
    <w:rsid w:val="009A47DC"/>
    <w:rsid w:val="009A7FC8"/>
    <w:rsid w:val="009B0030"/>
    <w:rsid w:val="009B0A34"/>
    <w:rsid w:val="009B35A7"/>
    <w:rsid w:val="009B469A"/>
    <w:rsid w:val="009B56ED"/>
    <w:rsid w:val="009B56EE"/>
    <w:rsid w:val="009B5D75"/>
    <w:rsid w:val="009B6094"/>
    <w:rsid w:val="009B7C4C"/>
    <w:rsid w:val="009C1561"/>
    <w:rsid w:val="009C2471"/>
    <w:rsid w:val="009C2527"/>
    <w:rsid w:val="009C27DC"/>
    <w:rsid w:val="009C3D87"/>
    <w:rsid w:val="009C4DDF"/>
    <w:rsid w:val="009C5658"/>
    <w:rsid w:val="009C6C39"/>
    <w:rsid w:val="009D02DD"/>
    <w:rsid w:val="009D0F39"/>
    <w:rsid w:val="009D4A53"/>
    <w:rsid w:val="009D54FE"/>
    <w:rsid w:val="009D6F28"/>
    <w:rsid w:val="009D702B"/>
    <w:rsid w:val="009E1648"/>
    <w:rsid w:val="009E2576"/>
    <w:rsid w:val="009E2D53"/>
    <w:rsid w:val="009E3791"/>
    <w:rsid w:val="009E60E6"/>
    <w:rsid w:val="009E627A"/>
    <w:rsid w:val="009E660C"/>
    <w:rsid w:val="009E6EA1"/>
    <w:rsid w:val="009F174F"/>
    <w:rsid w:val="009F2104"/>
    <w:rsid w:val="009F2785"/>
    <w:rsid w:val="009F330F"/>
    <w:rsid w:val="009F5424"/>
    <w:rsid w:val="009F78E1"/>
    <w:rsid w:val="00A0017F"/>
    <w:rsid w:val="00A01F8A"/>
    <w:rsid w:val="00A02AF2"/>
    <w:rsid w:val="00A02FC4"/>
    <w:rsid w:val="00A030BA"/>
    <w:rsid w:val="00A03F4D"/>
    <w:rsid w:val="00A043E8"/>
    <w:rsid w:val="00A04ED7"/>
    <w:rsid w:val="00A0586D"/>
    <w:rsid w:val="00A05D92"/>
    <w:rsid w:val="00A10664"/>
    <w:rsid w:val="00A1240D"/>
    <w:rsid w:val="00A12E4C"/>
    <w:rsid w:val="00A1426A"/>
    <w:rsid w:val="00A148E1"/>
    <w:rsid w:val="00A149C2"/>
    <w:rsid w:val="00A21F90"/>
    <w:rsid w:val="00A23281"/>
    <w:rsid w:val="00A23482"/>
    <w:rsid w:val="00A242AE"/>
    <w:rsid w:val="00A271A3"/>
    <w:rsid w:val="00A276A0"/>
    <w:rsid w:val="00A30109"/>
    <w:rsid w:val="00A30C4A"/>
    <w:rsid w:val="00A32666"/>
    <w:rsid w:val="00A33A1F"/>
    <w:rsid w:val="00A348F3"/>
    <w:rsid w:val="00A3547C"/>
    <w:rsid w:val="00A35AF0"/>
    <w:rsid w:val="00A3653E"/>
    <w:rsid w:val="00A4374F"/>
    <w:rsid w:val="00A44D90"/>
    <w:rsid w:val="00A479C5"/>
    <w:rsid w:val="00A50610"/>
    <w:rsid w:val="00A51E1C"/>
    <w:rsid w:val="00A526EB"/>
    <w:rsid w:val="00A52DF1"/>
    <w:rsid w:val="00A53E2D"/>
    <w:rsid w:val="00A540FA"/>
    <w:rsid w:val="00A56E31"/>
    <w:rsid w:val="00A57D0A"/>
    <w:rsid w:val="00A57D65"/>
    <w:rsid w:val="00A600FE"/>
    <w:rsid w:val="00A61130"/>
    <w:rsid w:val="00A62BAF"/>
    <w:rsid w:val="00A63099"/>
    <w:rsid w:val="00A637C9"/>
    <w:rsid w:val="00A6402E"/>
    <w:rsid w:val="00A647F3"/>
    <w:rsid w:val="00A6537C"/>
    <w:rsid w:val="00A65C05"/>
    <w:rsid w:val="00A7070D"/>
    <w:rsid w:val="00A716E2"/>
    <w:rsid w:val="00A71860"/>
    <w:rsid w:val="00A7408A"/>
    <w:rsid w:val="00A74277"/>
    <w:rsid w:val="00A74EFF"/>
    <w:rsid w:val="00A77D2B"/>
    <w:rsid w:val="00A810D3"/>
    <w:rsid w:val="00A81144"/>
    <w:rsid w:val="00A816F0"/>
    <w:rsid w:val="00A8210E"/>
    <w:rsid w:val="00A8343A"/>
    <w:rsid w:val="00A836E7"/>
    <w:rsid w:val="00A83835"/>
    <w:rsid w:val="00A8446A"/>
    <w:rsid w:val="00A87994"/>
    <w:rsid w:val="00A9191A"/>
    <w:rsid w:val="00A92A65"/>
    <w:rsid w:val="00A947DF"/>
    <w:rsid w:val="00AA0164"/>
    <w:rsid w:val="00AA0F51"/>
    <w:rsid w:val="00AA1566"/>
    <w:rsid w:val="00AA1A80"/>
    <w:rsid w:val="00AA1D6E"/>
    <w:rsid w:val="00AA5404"/>
    <w:rsid w:val="00AA5EF3"/>
    <w:rsid w:val="00AA6CE9"/>
    <w:rsid w:val="00AA7226"/>
    <w:rsid w:val="00AA796C"/>
    <w:rsid w:val="00AB09C9"/>
    <w:rsid w:val="00AB1E38"/>
    <w:rsid w:val="00AB276E"/>
    <w:rsid w:val="00AB2BDC"/>
    <w:rsid w:val="00AB2D21"/>
    <w:rsid w:val="00AB514D"/>
    <w:rsid w:val="00AB68DF"/>
    <w:rsid w:val="00AB770E"/>
    <w:rsid w:val="00AC0949"/>
    <w:rsid w:val="00AC2293"/>
    <w:rsid w:val="00AC23C3"/>
    <w:rsid w:val="00AC2E0C"/>
    <w:rsid w:val="00AC5AF3"/>
    <w:rsid w:val="00AD1692"/>
    <w:rsid w:val="00AD208C"/>
    <w:rsid w:val="00AD46D5"/>
    <w:rsid w:val="00AD492E"/>
    <w:rsid w:val="00AD53FA"/>
    <w:rsid w:val="00AD78D7"/>
    <w:rsid w:val="00AD7EE1"/>
    <w:rsid w:val="00AE10D2"/>
    <w:rsid w:val="00AE1F3B"/>
    <w:rsid w:val="00AE2805"/>
    <w:rsid w:val="00AE3561"/>
    <w:rsid w:val="00AE35C2"/>
    <w:rsid w:val="00AE438F"/>
    <w:rsid w:val="00AF2E43"/>
    <w:rsid w:val="00AF4BD4"/>
    <w:rsid w:val="00AF5825"/>
    <w:rsid w:val="00AF666F"/>
    <w:rsid w:val="00B00D38"/>
    <w:rsid w:val="00B01CD3"/>
    <w:rsid w:val="00B02F78"/>
    <w:rsid w:val="00B045D1"/>
    <w:rsid w:val="00B1008F"/>
    <w:rsid w:val="00B107CA"/>
    <w:rsid w:val="00B10C74"/>
    <w:rsid w:val="00B122B4"/>
    <w:rsid w:val="00B12BD4"/>
    <w:rsid w:val="00B12FF0"/>
    <w:rsid w:val="00B155DD"/>
    <w:rsid w:val="00B15C74"/>
    <w:rsid w:val="00B1676B"/>
    <w:rsid w:val="00B16F29"/>
    <w:rsid w:val="00B201D8"/>
    <w:rsid w:val="00B21CF5"/>
    <w:rsid w:val="00B22F4C"/>
    <w:rsid w:val="00B3391A"/>
    <w:rsid w:val="00B35647"/>
    <w:rsid w:val="00B3615D"/>
    <w:rsid w:val="00B36A91"/>
    <w:rsid w:val="00B3702F"/>
    <w:rsid w:val="00B371B2"/>
    <w:rsid w:val="00B37623"/>
    <w:rsid w:val="00B426E6"/>
    <w:rsid w:val="00B434E0"/>
    <w:rsid w:val="00B438C8"/>
    <w:rsid w:val="00B44E41"/>
    <w:rsid w:val="00B45979"/>
    <w:rsid w:val="00B50C66"/>
    <w:rsid w:val="00B514FD"/>
    <w:rsid w:val="00B516B8"/>
    <w:rsid w:val="00B54069"/>
    <w:rsid w:val="00B550F2"/>
    <w:rsid w:val="00B560A6"/>
    <w:rsid w:val="00B56F70"/>
    <w:rsid w:val="00B607E3"/>
    <w:rsid w:val="00B61118"/>
    <w:rsid w:val="00B63504"/>
    <w:rsid w:val="00B64CD8"/>
    <w:rsid w:val="00B65CEB"/>
    <w:rsid w:val="00B65FA9"/>
    <w:rsid w:val="00B724BA"/>
    <w:rsid w:val="00B75916"/>
    <w:rsid w:val="00B75EE2"/>
    <w:rsid w:val="00B7609F"/>
    <w:rsid w:val="00B762D5"/>
    <w:rsid w:val="00B767D7"/>
    <w:rsid w:val="00B77A5C"/>
    <w:rsid w:val="00B80CF5"/>
    <w:rsid w:val="00B813D7"/>
    <w:rsid w:val="00B81785"/>
    <w:rsid w:val="00B81A22"/>
    <w:rsid w:val="00B82E45"/>
    <w:rsid w:val="00B83BE7"/>
    <w:rsid w:val="00B83EB7"/>
    <w:rsid w:val="00B84351"/>
    <w:rsid w:val="00B85066"/>
    <w:rsid w:val="00B85085"/>
    <w:rsid w:val="00B85FA5"/>
    <w:rsid w:val="00B904AA"/>
    <w:rsid w:val="00B91D24"/>
    <w:rsid w:val="00B92FB5"/>
    <w:rsid w:val="00B93C61"/>
    <w:rsid w:val="00B94B1F"/>
    <w:rsid w:val="00B951D5"/>
    <w:rsid w:val="00B95EA1"/>
    <w:rsid w:val="00B96779"/>
    <w:rsid w:val="00B96F89"/>
    <w:rsid w:val="00BA0EC6"/>
    <w:rsid w:val="00BA23F1"/>
    <w:rsid w:val="00BA3AE0"/>
    <w:rsid w:val="00BA4571"/>
    <w:rsid w:val="00BA59C8"/>
    <w:rsid w:val="00BA6D9F"/>
    <w:rsid w:val="00BA759B"/>
    <w:rsid w:val="00BB1C7E"/>
    <w:rsid w:val="00BB213C"/>
    <w:rsid w:val="00BB247E"/>
    <w:rsid w:val="00BB3F75"/>
    <w:rsid w:val="00BB539F"/>
    <w:rsid w:val="00BB5712"/>
    <w:rsid w:val="00BB6382"/>
    <w:rsid w:val="00BC1C29"/>
    <w:rsid w:val="00BC2EE3"/>
    <w:rsid w:val="00BC4993"/>
    <w:rsid w:val="00BC4F2C"/>
    <w:rsid w:val="00BC5D8C"/>
    <w:rsid w:val="00BD058B"/>
    <w:rsid w:val="00BD4DE8"/>
    <w:rsid w:val="00BD5C16"/>
    <w:rsid w:val="00BD7000"/>
    <w:rsid w:val="00BE0341"/>
    <w:rsid w:val="00BE117F"/>
    <w:rsid w:val="00BE3732"/>
    <w:rsid w:val="00BE3DAE"/>
    <w:rsid w:val="00BE4897"/>
    <w:rsid w:val="00BE49D4"/>
    <w:rsid w:val="00BE4FF9"/>
    <w:rsid w:val="00BE55C3"/>
    <w:rsid w:val="00BE5E05"/>
    <w:rsid w:val="00BE755A"/>
    <w:rsid w:val="00BF00D5"/>
    <w:rsid w:val="00BF3456"/>
    <w:rsid w:val="00BF3D71"/>
    <w:rsid w:val="00BF688F"/>
    <w:rsid w:val="00BF7667"/>
    <w:rsid w:val="00C0037D"/>
    <w:rsid w:val="00C0057E"/>
    <w:rsid w:val="00C00CAF"/>
    <w:rsid w:val="00C02607"/>
    <w:rsid w:val="00C047F1"/>
    <w:rsid w:val="00C055A6"/>
    <w:rsid w:val="00C0565A"/>
    <w:rsid w:val="00C07CEA"/>
    <w:rsid w:val="00C13059"/>
    <w:rsid w:val="00C166CD"/>
    <w:rsid w:val="00C200C8"/>
    <w:rsid w:val="00C219FE"/>
    <w:rsid w:val="00C23E2B"/>
    <w:rsid w:val="00C2435B"/>
    <w:rsid w:val="00C24E64"/>
    <w:rsid w:val="00C30182"/>
    <w:rsid w:val="00C32C57"/>
    <w:rsid w:val="00C34E23"/>
    <w:rsid w:val="00C366FB"/>
    <w:rsid w:val="00C36BAB"/>
    <w:rsid w:val="00C40038"/>
    <w:rsid w:val="00C40E92"/>
    <w:rsid w:val="00C41181"/>
    <w:rsid w:val="00C42146"/>
    <w:rsid w:val="00C43BBD"/>
    <w:rsid w:val="00C453A8"/>
    <w:rsid w:val="00C46F53"/>
    <w:rsid w:val="00C473BA"/>
    <w:rsid w:val="00C475AF"/>
    <w:rsid w:val="00C47CE6"/>
    <w:rsid w:val="00C500CC"/>
    <w:rsid w:val="00C50364"/>
    <w:rsid w:val="00C50BE0"/>
    <w:rsid w:val="00C52E1F"/>
    <w:rsid w:val="00C52FC3"/>
    <w:rsid w:val="00C53A5D"/>
    <w:rsid w:val="00C53FCC"/>
    <w:rsid w:val="00C54592"/>
    <w:rsid w:val="00C56118"/>
    <w:rsid w:val="00C5680B"/>
    <w:rsid w:val="00C56B2A"/>
    <w:rsid w:val="00C5740D"/>
    <w:rsid w:val="00C5748F"/>
    <w:rsid w:val="00C57DED"/>
    <w:rsid w:val="00C60027"/>
    <w:rsid w:val="00C63E97"/>
    <w:rsid w:val="00C6437A"/>
    <w:rsid w:val="00C64AD2"/>
    <w:rsid w:val="00C66804"/>
    <w:rsid w:val="00C668C5"/>
    <w:rsid w:val="00C70492"/>
    <w:rsid w:val="00C71B4C"/>
    <w:rsid w:val="00C71DFC"/>
    <w:rsid w:val="00C72360"/>
    <w:rsid w:val="00C73240"/>
    <w:rsid w:val="00C76913"/>
    <w:rsid w:val="00C7748A"/>
    <w:rsid w:val="00C7779E"/>
    <w:rsid w:val="00C77FD3"/>
    <w:rsid w:val="00C77FFA"/>
    <w:rsid w:val="00C824F7"/>
    <w:rsid w:val="00C8315C"/>
    <w:rsid w:val="00C85995"/>
    <w:rsid w:val="00C86814"/>
    <w:rsid w:val="00C9152F"/>
    <w:rsid w:val="00C92340"/>
    <w:rsid w:val="00C9246C"/>
    <w:rsid w:val="00C92F5E"/>
    <w:rsid w:val="00C93B11"/>
    <w:rsid w:val="00C94362"/>
    <w:rsid w:val="00C9576D"/>
    <w:rsid w:val="00CA1D5E"/>
    <w:rsid w:val="00CA1F02"/>
    <w:rsid w:val="00CA37B1"/>
    <w:rsid w:val="00CA387F"/>
    <w:rsid w:val="00CA4C1C"/>
    <w:rsid w:val="00CA6C96"/>
    <w:rsid w:val="00CB06BD"/>
    <w:rsid w:val="00CB11F3"/>
    <w:rsid w:val="00CB2F8F"/>
    <w:rsid w:val="00CB36AD"/>
    <w:rsid w:val="00CB4E86"/>
    <w:rsid w:val="00CB560C"/>
    <w:rsid w:val="00CB6664"/>
    <w:rsid w:val="00CB7058"/>
    <w:rsid w:val="00CC1DD1"/>
    <w:rsid w:val="00CC2626"/>
    <w:rsid w:val="00CC28D2"/>
    <w:rsid w:val="00CC7CC0"/>
    <w:rsid w:val="00CC7E33"/>
    <w:rsid w:val="00CD13CC"/>
    <w:rsid w:val="00CD3EF2"/>
    <w:rsid w:val="00CD3F23"/>
    <w:rsid w:val="00CD40DF"/>
    <w:rsid w:val="00CD432D"/>
    <w:rsid w:val="00CD605E"/>
    <w:rsid w:val="00CE03CD"/>
    <w:rsid w:val="00CE0A6D"/>
    <w:rsid w:val="00CE0C27"/>
    <w:rsid w:val="00CE1396"/>
    <w:rsid w:val="00CE2225"/>
    <w:rsid w:val="00CE5E57"/>
    <w:rsid w:val="00CE6D73"/>
    <w:rsid w:val="00CE7996"/>
    <w:rsid w:val="00CF232E"/>
    <w:rsid w:val="00CF24CE"/>
    <w:rsid w:val="00CF5DDE"/>
    <w:rsid w:val="00CF623C"/>
    <w:rsid w:val="00D01AE0"/>
    <w:rsid w:val="00D01EB5"/>
    <w:rsid w:val="00D01F75"/>
    <w:rsid w:val="00D02F94"/>
    <w:rsid w:val="00D075CF"/>
    <w:rsid w:val="00D100FC"/>
    <w:rsid w:val="00D1060A"/>
    <w:rsid w:val="00D11999"/>
    <w:rsid w:val="00D1212F"/>
    <w:rsid w:val="00D12E86"/>
    <w:rsid w:val="00D142E1"/>
    <w:rsid w:val="00D146D5"/>
    <w:rsid w:val="00D1483D"/>
    <w:rsid w:val="00D15EE0"/>
    <w:rsid w:val="00D17034"/>
    <w:rsid w:val="00D22DA7"/>
    <w:rsid w:val="00D26069"/>
    <w:rsid w:val="00D302CC"/>
    <w:rsid w:val="00D3263F"/>
    <w:rsid w:val="00D364AA"/>
    <w:rsid w:val="00D36E92"/>
    <w:rsid w:val="00D371A3"/>
    <w:rsid w:val="00D37EFE"/>
    <w:rsid w:val="00D41181"/>
    <w:rsid w:val="00D4386F"/>
    <w:rsid w:val="00D44FE5"/>
    <w:rsid w:val="00D462B1"/>
    <w:rsid w:val="00D50AB4"/>
    <w:rsid w:val="00D5123F"/>
    <w:rsid w:val="00D52C76"/>
    <w:rsid w:val="00D54FEE"/>
    <w:rsid w:val="00D56DEC"/>
    <w:rsid w:val="00D61039"/>
    <w:rsid w:val="00D63900"/>
    <w:rsid w:val="00D63DB9"/>
    <w:rsid w:val="00D64796"/>
    <w:rsid w:val="00D6595C"/>
    <w:rsid w:val="00D66667"/>
    <w:rsid w:val="00D67382"/>
    <w:rsid w:val="00D71159"/>
    <w:rsid w:val="00D7312A"/>
    <w:rsid w:val="00D76D1C"/>
    <w:rsid w:val="00D77D88"/>
    <w:rsid w:val="00D80107"/>
    <w:rsid w:val="00D82C2A"/>
    <w:rsid w:val="00D83D84"/>
    <w:rsid w:val="00D85442"/>
    <w:rsid w:val="00D86267"/>
    <w:rsid w:val="00D862F1"/>
    <w:rsid w:val="00D86C63"/>
    <w:rsid w:val="00D90D0F"/>
    <w:rsid w:val="00D92B68"/>
    <w:rsid w:val="00D95305"/>
    <w:rsid w:val="00D963ED"/>
    <w:rsid w:val="00D96D2A"/>
    <w:rsid w:val="00DA02F7"/>
    <w:rsid w:val="00DA1F19"/>
    <w:rsid w:val="00DA2EAA"/>
    <w:rsid w:val="00DA3486"/>
    <w:rsid w:val="00DA4303"/>
    <w:rsid w:val="00DA5A85"/>
    <w:rsid w:val="00DA7D75"/>
    <w:rsid w:val="00DB1C17"/>
    <w:rsid w:val="00DB2577"/>
    <w:rsid w:val="00DB2A47"/>
    <w:rsid w:val="00DB3F24"/>
    <w:rsid w:val="00DB5113"/>
    <w:rsid w:val="00DC1380"/>
    <w:rsid w:val="00DC1B9A"/>
    <w:rsid w:val="00DC26E4"/>
    <w:rsid w:val="00DC26F6"/>
    <w:rsid w:val="00DC2848"/>
    <w:rsid w:val="00DC305D"/>
    <w:rsid w:val="00DC4347"/>
    <w:rsid w:val="00DC7DF8"/>
    <w:rsid w:val="00DD162C"/>
    <w:rsid w:val="00DD4080"/>
    <w:rsid w:val="00DE0CC4"/>
    <w:rsid w:val="00DE26F9"/>
    <w:rsid w:val="00DE3607"/>
    <w:rsid w:val="00DE5022"/>
    <w:rsid w:val="00DE5A03"/>
    <w:rsid w:val="00DE6D08"/>
    <w:rsid w:val="00DF1FEA"/>
    <w:rsid w:val="00DF3078"/>
    <w:rsid w:val="00DF39AE"/>
    <w:rsid w:val="00DF567A"/>
    <w:rsid w:val="00DF6D6A"/>
    <w:rsid w:val="00DF709F"/>
    <w:rsid w:val="00DF777C"/>
    <w:rsid w:val="00E01653"/>
    <w:rsid w:val="00E03A9D"/>
    <w:rsid w:val="00E100BA"/>
    <w:rsid w:val="00E10F8B"/>
    <w:rsid w:val="00E1338F"/>
    <w:rsid w:val="00E14771"/>
    <w:rsid w:val="00E162C5"/>
    <w:rsid w:val="00E1682E"/>
    <w:rsid w:val="00E171D2"/>
    <w:rsid w:val="00E2567D"/>
    <w:rsid w:val="00E35522"/>
    <w:rsid w:val="00E402B8"/>
    <w:rsid w:val="00E4053F"/>
    <w:rsid w:val="00E41A80"/>
    <w:rsid w:val="00E42EFE"/>
    <w:rsid w:val="00E43059"/>
    <w:rsid w:val="00E4547C"/>
    <w:rsid w:val="00E45B90"/>
    <w:rsid w:val="00E47687"/>
    <w:rsid w:val="00E47F60"/>
    <w:rsid w:val="00E47F9F"/>
    <w:rsid w:val="00E52D30"/>
    <w:rsid w:val="00E56829"/>
    <w:rsid w:val="00E56ECC"/>
    <w:rsid w:val="00E56FBC"/>
    <w:rsid w:val="00E571AD"/>
    <w:rsid w:val="00E57AD2"/>
    <w:rsid w:val="00E60966"/>
    <w:rsid w:val="00E71624"/>
    <w:rsid w:val="00E71E41"/>
    <w:rsid w:val="00E72ACF"/>
    <w:rsid w:val="00E7465A"/>
    <w:rsid w:val="00E80EEF"/>
    <w:rsid w:val="00E81D39"/>
    <w:rsid w:val="00E8317D"/>
    <w:rsid w:val="00E83484"/>
    <w:rsid w:val="00E838DA"/>
    <w:rsid w:val="00E84977"/>
    <w:rsid w:val="00E855DE"/>
    <w:rsid w:val="00E87633"/>
    <w:rsid w:val="00E8774C"/>
    <w:rsid w:val="00E9270C"/>
    <w:rsid w:val="00E95014"/>
    <w:rsid w:val="00E96255"/>
    <w:rsid w:val="00EA0B3A"/>
    <w:rsid w:val="00EA1B99"/>
    <w:rsid w:val="00EA4A36"/>
    <w:rsid w:val="00EA61C6"/>
    <w:rsid w:val="00EA61C7"/>
    <w:rsid w:val="00EA7277"/>
    <w:rsid w:val="00EB071D"/>
    <w:rsid w:val="00EB5559"/>
    <w:rsid w:val="00EB5B82"/>
    <w:rsid w:val="00EB5C23"/>
    <w:rsid w:val="00EB67A4"/>
    <w:rsid w:val="00EC02BB"/>
    <w:rsid w:val="00EC293E"/>
    <w:rsid w:val="00EC2E5D"/>
    <w:rsid w:val="00EC35DA"/>
    <w:rsid w:val="00EC3F6C"/>
    <w:rsid w:val="00EC78CF"/>
    <w:rsid w:val="00EC7E96"/>
    <w:rsid w:val="00ED12FD"/>
    <w:rsid w:val="00ED1C7D"/>
    <w:rsid w:val="00ED1EFE"/>
    <w:rsid w:val="00ED222C"/>
    <w:rsid w:val="00ED2636"/>
    <w:rsid w:val="00ED43F0"/>
    <w:rsid w:val="00ED53E3"/>
    <w:rsid w:val="00ED6923"/>
    <w:rsid w:val="00ED71F8"/>
    <w:rsid w:val="00ED7E59"/>
    <w:rsid w:val="00EE5402"/>
    <w:rsid w:val="00EE6BD9"/>
    <w:rsid w:val="00EE6DFB"/>
    <w:rsid w:val="00EE7B76"/>
    <w:rsid w:val="00EF00FF"/>
    <w:rsid w:val="00EF1FAC"/>
    <w:rsid w:val="00EF351C"/>
    <w:rsid w:val="00EF4A8B"/>
    <w:rsid w:val="00EF4C70"/>
    <w:rsid w:val="00EF4DF5"/>
    <w:rsid w:val="00EF6D2F"/>
    <w:rsid w:val="00F00DBD"/>
    <w:rsid w:val="00F0161D"/>
    <w:rsid w:val="00F02AD4"/>
    <w:rsid w:val="00F02E77"/>
    <w:rsid w:val="00F03E2E"/>
    <w:rsid w:val="00F044BD"/>
    <w:rsid w:val="00F04AA9"/>
    <w:rsid w:val="00F04C07"/>
    <w:rsid w:val="00F04C77"/>
    <w:rsid w:val="00F06621"/>
    <w:rsid w:val="00F067C5"/>
    <w:rsid w:val="00F06A01"/>
    <w:rsid w:val="00F146F6"/>
    <w:rsid w:val="00F1475A"/>
    <w:rsid w:val="00F14F84"/>
    <w:rsid w:val="00F168D8"/>
    <w:rsid w:val="00F20854"/>
    <w:rsid w:val="00F20BAD"/>
    <w:rsid w:val="00F21006"/>
    <w:rsid w:val="00F2140F"/>
    <w:rsid w:val="00F22E73"/>
    <w:rsid w:val="00F266D5"/>
    <w:rsid w:val="00F267DB"/>
    <w:rsid w:val="00F314E4"/>
    <w:rsid w:val="00F326B5"/>
    <w:rsid w:val="00F32F09"/>
    <w:rsid w:val="00F34E4E"/>
    <w:rsid w:val="00F356EA"/>
    <w:rsid w:val="00F371DB"/>
    <w:rsid w:val="00F37B0C"/>
    <w:rsid w:val="00F43CB0"/>
    <w:rsid w:val="00F45418"/>
    <w:rsid w:val="00F45BA7"/>
    <w:rsid w:val="00F468ED"/>
    <w:rsid w:val="00F47618"/>
    <w:rsid w:val="00F47EDC"/>
    <w:rsid w:val="00F50628"/>
    <w:rsid w:val="00F50D6E"/>
    <w:rsid w:val="00F54777"/>
    <w:rsid w:val="00F54E0F"/>
    <w:rsid w:val="00F56F61"/>
    <w:rsid w:val="00F57C55"/>
    <w:rsid w:val="00F61C64"/>
    <w:rsid w:val="00F6642F"/>
    <w:rsid w:val="00F6783F"/>
    <w:rsid w:val="00F7040B"/>
    <w:rsid w:val="00F70E22"/>
    <w:rsid w:val="00F72346"/>
    <w:rsid w:val="00F758B8"/>
    <w:rsid w:val="00F76910"/>
    <w:rsid w:val="00F76BF2"/>
    <w:rsid w:val="00F76C4A"/>
    <w:rsid w:val="00F76F39"/>
    <w:rsid w:val="00F8044E"/>
    <w:rsid w:val="00F80B42"/>
    <w:rsid w:val="00F8107B"/>
    <w:rsid w:val="00F81B2B"/>
    <w:rsid w:val="00F81F7D"/>
    <w:rsid w:val="00F8318F"/>
    <w:rsid w:val="00F83532"/>
    <w:rsid w:val="00F838A6"/>
    <w:rsid w:val="00F839C5"/>
    <w:rsid w:val="00F848C1"/>
    <w:rsid w:val="00F85D25"/>
    <w:rsid w:val="00F86AD3"/>
    <w:rsid w:val="00F91B32"/>
    <w:rsid w:val="00F92DA9"/>
    <w:rsid w:val="00F935C1"/>
    <w:rsid w:val="00F938A5"/>
    <w:rsid w:val="00F944CB"/>
    <w:rsid w:val="00F952D4"/>
    <w:rsid w:val="00F9728B"/>
    <w:rsid w:val="00FA02D9"/>
    <w:rsid w:val="00FA2BC2"/>
    <w:rsid w:val="00FA3974"/>
    <w:rsid w:val="00FA51E5"/>
    <w:rsid w:val="00FA61B7"/>
    <w:rsid w:val="00FA6FE2"/>
    <w:rsid w:val="00FA703B"/>
    <w:rsid w:val="00FB1AC1"/>
    <w:rsid w:val="00FB1DFB"/>
    <w:rsid w:val="00FB5F5D"/>
    <w:rsid w:val="00FB63FA"/>
    <w:rsid w:val="00FB6FB0"/>
    <w:rsid w:val="00FB7665"/>
    <w:rsid w:val="00FB7A1E"/>
    <w:rsid w:val="00FC17BD"/>
    <w:rsid w:val="00FC225E"/>
    <w:rsid w:val="00FC2624"/>
    <w:rsid w:val="00FC27DC"/>
    <w:rsid w:val="00FC2FDB"/>
    <w:rsid w:val="00FC4A55"/>
    <w:rsid w:val="00FC5749"/>
    <w:rsid w:val="00FC69C8"/>
    <w:rsid w:val="00FC7274"/>
    <w:rsid w:val="00FC72F7"/>
    <w:rsid w:val="00FD013A"/>
    <w:rsid w:val="00FD10AF"/>
    <w:rsid w:val="00FD227E"/>
    <w:rsid w:val="00FD2392"/>
    <w:rsid w:val="00FD2422"/>
    <w:rsid w:val="00FD5276"/>
    <w:rsid w:val="00FD6A49"/>
    <w:rsid w:val="00FE0769"/>
    <w:rsid w:val="00FE334C"/>
    <w:rsid w:val="00FE374D"/>
    <w:rsid w:val="00FE3914"/>
    <w:rsid w:val="00FE4644"/>
    <w:rsid w:val="00FE4B4C"/>
    <w:rsid w:val="00FE4D53"/>
    <w:rsid w:val="00FE695D"/>
    <w:rsid w:val="00FF2D03"/>
    <w:rsid w:val="00FF6180"/>
    <w:rsid w:val="00FF695F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CF737F"/>
  <w15:docId w15:val="{CC4BB521-DE18-46BE-8D4C-9D7737DB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D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eading 1_UMAR"/>
    <w:next w:val="BesediloUMAR"/>
    <w:link w:val="Heading1Char"/>
    <w:uiPriority w:val="1"/>
    <w:qFormat/>
    <w:rsid w:val="00D54FEE"/>
    <w:pPr>
      <w:keepNext/>
      <w:keepLines/>
      <w:numPr>
        <w:numId w:val="2"/>
      </w:numPr>
      <w:spacing w:before="200" w:after="100" w:line="288" w:lineRule="auto"/>
      <w:ind w:left="357" w:hanging="357"/>
      <w:outlineLvl w:val="0"/>
    </w:pPr>
    <w:rPr>
      <w:rFonts w:ascii="Myriad Pro" w:eastAsiaTheme="minorHAnsi" w:hAnsi="Myriad Pro" w:cs="Arial"/>
      <w:b/>
      <w:bCs/>
      <w:color w:val="9E001A" w:themeColor="accent1"/>
      <w:kern w:val="32"/>
      <w:sz w:val="28"/>
      <w:szCs w:val="22"/>
      <w:lang w:eastAsia="en-US"/>
    </w:rPr>
  </w:style>
  <w:style w:type="paragraph" w:styleId="Heading2">
    <w:name w:val="heading 2"/>
    <w:aliases w:val="Heading 2_UMAR"/>
    <w:next w:val="BesediloUMAR"/>
    <w:link w:val="Heading2Char"/>
    <w:uiPriority w:val="2"/>
    <w:qFormat/>
    <w:rsid w:val="000536A0"/>
    <w:pPr>
      <w:keepNext/>
      <w:keepLines/>
      <w:numPr>
        <w:ilvl w:val="1"/>
        <w:numId w:val="2"/>
      </w:numPr>
      <w:spacing w:before="200" w:after="100" w:line="288" w:lineRule="auto"/>
      <w:contextualSpacing/>
      <w:outlineLvl w:val="1"/>
    </w:pPr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paragraph" w:styleId="Heading3">
    <w:name w:val="heading 3"/>
    <w:aliases w:val="Heading 3_UMAR"/>
    <w:next w:val="BesediloUMAR"/>
    <w:link w:val="Heading3Char"/>
    <w:uiPriority w:val="3"/>
    <w:qFormat/>
    <w:rsid w:val="000536A0"/>
    <w:pPr>
      <w:keepNext/>
      <w:keepLines/>
      <w:numPr>
        <w:ilvl w:val="2"/>
        <w:numId w:val="2"/>
      </w:numPr>
      <w:spacing w:before="200" w:after="100" w:line="288" w:lineRule="auto"/>
      <w:contextualSpacing/>
      <w:outlineLvl w:val="2"/>
    </w:pPr>
    <w:rPr>
      <w:rFonts w:ascii="Myriad Pro" w:eastAsiaTheme="minorHAnsi" w:hAnsi="Myriad Pro" w:cs="Arial"/>
      <w:b/>
      <w:bCs/>
      <w:color w:val="9E001A" w:themeColor="accent1"/>
      <w:sz w:val="24"/>
      <w:szCs w:val="26"/>
      <w:lang w:eastAsia="en-US"/>
    </w:rPr>
  </w:style>
  <w:style w:type="paragraph" w:styleId="Heading4">
    <w:name w:val="heading 4"/>
    <w:basedOn w:val="Normal"/>
    <w:next w:val="Normal"/>
    <w:uiPriority w:val="8"/>
    <w:unhideWhenUsed/>
    <w:rsid w:val="000536A0"/>
    <w:pPr>
      <w:keepNext/>
      <w:numPr>
        <w:ilvl w:val="3"/>
        <w:numId w:val="2"/>
      </w:numPr>
      <w:spacing w:before="360" w:after="240"/>
      <w:outlineLvl w:val="3"/>
    </w:pPr>
    <w:rPr>
      <w:rFonts w:ascii="Myriad Pro" w:hAnsi="Myriad Pro"/>
      <w:b/>
      <w:bCs/>
    </w:rPr>
  </w:style>
  <w:style w:type="paragraph" w:styleId="Heading5">
    <w:name w:val="heading 5"/>
    <w:basedOn w:val="Normal"/>
    <w:next w:val="Normal"/>
    <w:uiPriority w:val="8"/>
    <w:unhideWhenUsed/>
    <w:rsid w:val="000536A0"/>
    <w:pPr>
      <w:numPr>
        <w:ilvl w:val="4"/>
        <w:numId w:val="2"/>
      </w:numPr>
      <w:spacing w:before="240" w:after="60"/>
      <w:outlineLvl w:val="4"/>
    </w:pPr>
    <w:rPr>
      <w:rFonts w:ascii="Myriad Pro" w:hAnsi="Myriad Pro"/>
      <w:b/>
      <w:bCs/>
      <w:iCs/>
      <w:szCs w:val="26"/>
    </w:rPr>
  </w:style>
  <w:style w:type="paragraph" w:styleId="Heading6">
    <w:name w:val="heading 6"/>
    <w:basedOn w:val="Normal"/>
    <w:next w:val="Normal"/>
    <w:uiPriority w:val="8"/>
    <w:unhideWhenUsed/>
    <w:rsid w:val="000536A0"/>
    <w:pPr>
      <w:numPr>
        <w:ilvl w:val="5"/>
        <w:numId w:val="2"/>
      </w:numPr>
      <w:spacing w:before="240" w:after="60"/>
      <w:outlineLvl w:val="5"/>
    </w:pPr>
    <w:rPr>
      <w:rFonts w:ascii="Myriad Pro" w:hAnsi="Myriad Pro"/>
      <w:b/>
      <w:bCs/>
    </w:rPr>
  </w:style>
  <w:style w:type="paragraph" w:styleId="Heading7">
    <w:name w:val="heading 7"/>
    <w:basedOn w:val="Normal"/>
    <w:next w:val="Normal"/>
    <w:uiPriority w:val="8"/>
    <w:unhideWhenUsed/>
    <w:rsid w:val="000536A0"/>
    <w:pPr>
      <w:numPr>
        <w:ilvl w:val="6"/>
        <w:numId w:val="2"/>
      </w:numPr>
      <w:spacing w:before="240" w:after="60"/>
      <w:outlineLvl w:val="6"/>
    </w:pPr>
    <w:rPr>
      <w:rFonts w:ascii="Myriad Pro" w:hAnsi="Myriad Pro"/>
    </w:rPr>
  </w:style>
  <w:style w:type="paragraph" w:styleId="Heading8">
    <w:name w:val="heading 8"/>
    <w:basedOn w:val="Normal"/>
    <w:next w:val="Normal"/>
    <w:uiPriority w:val="8"/>
    <w:unhideWhenUsed/>
    <w:rsid w:val="000536A0"/>
    <w:pPr>
      <w:numPr>
        <w:ilvl w:val="7"/>
        <w:numId w:val="2"/>
      </w:numPr>
      <w:spacing w:before="240" w:after="60"/>
      <w:outlineLvl w:val="7"/>
    </w:pPr>
    <w:rPr>
      <w:rFonts w:ascii="Myriad Pro" w:hAnsi="Myriad Pro"/>
      <w:i/>
      <w:iCs/>
    </w:rPr>
  </w:style>
  <w:style w:type="paragraph" w:styleId="Heading9">
    <w:name w:val="heading 9"/>
    <w:basedOn w:val="Normal"/>
    <w:next w:val="Normal"/>
    <w:uiPriority w:val="8"/>
    <w:unhideWhenUsed/>
    <w:rsid w:val="000536A0"/>
    <w:pPr>
      <w:numPr>
        <w:ilvl w:val="8"/>
        <w:numId w:val="2"/>
      </w:numPr>
      <w:spacing w:before="240" w:after="60"/>
      <w:outlineLvl w:val="8"/>
    </w:pPr>
    <w:rPr>
      <w:rFonts w:ascii="Myriad Pro" w:hAnsi="Myriad Pro" w:cs="Arial"/>
    </w:rPr>
  </w:style>
  <w:style w:type="character" w:default="1" w:styleId="DefaultParagraphFont">
    <w:name w:val="Default Paragraph Font"/>
    <w:uiPriority w:val="1"/>
    <w:semiHidden/>
    <w:unhideWhenUsed/>
    <w:rsid w:val="00495D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5D39"/>
  </w:style>
  <w:style w:type="paragraph" w:styleId="FootnoteText">
    <w:name w:val="footnote text"/>
    <w:basedOn w:val="BesediloUMAR"/>
    <w:link w:val="FootnoteTextChar"/>
    <w:autoRedefine/>
    <w:uiPriority w:val="8"/>
    <w:qFormat/>
    <w:rsid w:val="000536A0"/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0536A0"/>
    <w:rPr>
      <w:rFonts w:ascii="Myriad Pro" w:eastAsiaTheme="minorHAnsi" w:hAnsi="Myriad Pro" w:cstheme="minorBidi"/>
      <w:sz w:val="16"/>
      <w:szCs w:val="14"/>
      <w:lang w:eastAsia="en-US"/>
    </w:rPr>
  </w:style>
  <w:style w:type="character" w:styleId="FootnoteReference">
    <w:name w:val="footnote reference"/>
    <w:basedOn w:val="DefaultParagraphFont"/>
    <w:uiPriority w:val="8"/>
    <w:rsid w:val="000536A0"/>
    <w:rPr>
      <w:rFonts w:ascii="Myriad Pro" w:hAnsi="Myriad Pro"/>
      <w:sz w:val="18"/>
      <w:vertAlign w:val="superscript"/>
    </w:rPr>
  </w:style>
  <w:style w:type="paragraph" w:styleId="Caption">
    <w:name w:val="caption"/>
    <w:aliases w:val="Okvir/Slika/Tabela_UMAR,Okvir/Slika/Tabela_POR,Slika/Tabela_POR,Naslov slike,tabele"/>
    <w:basedOn w:val="TableofFigures"/>
    <w:next w:val="BesediloUMAR"/>
    <w:link w:val="CaptionChar"/>
    <w:uiPriority w:val="4"/>
    <w:qFormat/>
    <w:rsid w:val="000536A0"/>
    <w:pPr>
      <w:keepNext/>
      <w:keepLines/>
      <w:spacing w:before="240" w:after="60"/>
      <w:contextualSpacing/>
    </w:pPr>
    <w:rPr>
      <w:b/>
      <w:bCs/>
    </w:rPr>
  </w:style>
  <w:style w:type="paragraph" w:styleId="Footer">
    <w:name w:val="footer"/>
    <w:basedOn w:val="Normal"/>
    <w:next w:val="Normal"/>
    <w:link w:val="FooterChar"/>
    <w:autoRedefine/>
    <w:uiPriority w:val="99"/>
    <w:rsid w:val="000536A0"/>
    <w:pPr>
      <w:framePr w:wrap="around" w:vAnchor="text" w:hAnchor="margin" w:xAlign="center" w:y="1"/>
      <w:tabs>
        <w:tab w:val="center" w:pos="4536"/>
        <w:tab w:val="right" w:pos="9072"/>
      </w:tabs>
      <w:spacing w:after="0" w:line="288" w:lineRule="auto"/>
      <w:jc w:val="center"/>
    </w:pPr>
    <w:rPr>
      <w:rFonts w:ascii="Myriad Pro" w:hAnsi="Myriad Pro"/>
      <w:noProof/>
      <w:sz w:val="16"/>
      <w:szCs w:val="16"/>
    </w:rPr>
  </w:style>
  <w:style w:type="paragraph" w:styleId="TableofFigures">
    <w:name w:val="table of figures"/>
    <w:basedOn w:val="BesediloUMAR"/>
    <w:next w:val="BesediloUMAR"/>
    <w:autoRedefine/>
    <w:uiPriority w:val="99"/>
    <w:rsid w:val="000536A0"/>
    <w:pPr>
      <w:tabs>
        <w:tab w:val="right" w:leader="dot" w:pos="9070"/>
      </w:tabs>
    </w:pPr>
    <w:rPr>
      <w:noProof/>
      <w:szCs w:val="20"/>
    </w:rPr>
  </w:style>
  <w:style w:type="paragraph" w:styleId="TableofAuthorities">
    <w:name w:val="table of authorities"/>
    <w:basedOn w:val="Normal"/>
    <w:next w:val="Normal"/>
    <w:semiHidden/>
    <w:rsid w:val="000536A0"/>
    <w:pPr>
      <w:ind w:left="220" w:hanging="220"/>
    </w:pPr>
  </w:style>
  <w:style w:type="paragraph" w:styleId="TOAHeading">
    <w:name w:val="toa heading"/>
    <w:basedOn w:val="Normal"/>
    <w:next w:val="Normal"/>
    <w:semiHidden/>
    <w:rsid w:val="000536A0"/>
    <w:pPr>
      <w:spacing w:before="120"/>
    </w:pPr>
    <w:rPr>
      <w:rFonts w:cs="Arial"/>
      <w:b/>
      <w:bCs/>
    </w:rPr>
  </w:style>
  <w:style w:type="paragraph" w:styleId="TOC1">
    <w:name w:val="toc 1"/>
    <w:basedOn w:val="BesediloUMAR"/>
    <w:next w:val="BesediloUMAR"/>
    <w:autoRedefine/>
    <w:uiPriority w:val="39"/>
    <w:rsid w:val="000536A0"/>
    <w:pPr>
      <w:tabs>
        <w:tab w:val="left" w:pos="340"/>
        <w:tab w:val="right" w:leader="dot" w:pos="9070"/>
      </w:tabs>
      <w:spacing w:before="100" w:after="100"/>
    </w:pPr>
    <w:rPr>
      <w:rFonts w:cs="Arial"/>
      <w:noProof/>
      <w:szCs w:val="20"/>
    </w:rPr>
  </w:style>
  <w:style w:type="paragraph" w:styleId="TOC2">
    <w:name w:val="toc 2"/>
    <w:basedOn w:val="BesediloUMAR"/>
    <w:next w:val="BesediloUMAR"/>
    <w:autoRedefine/>
    <w:uiPriority w:val="39"/>
    <w:rsid w:val="000536A0"/>
    <w:pPr>
      <w:tabs>
        <w:tab w:val="right" w:leader="dot" w:pos="9070"/>
      </w:tabs>
      <w:spacing w:before="100" w:after="100"/>
      <w:ind w:left="340"/>
    </w:pPr>
    <w:rPr>
      <w:noProof/>
    </w:rPr>
  </w:style>
  <w:style w:type="paragraph" w:styleId="TOC3">
    <w:name w:val="toc 3"/>
    <w:next w:val="BesediloUMAR"/>
    <w:autoRedefine/>
    <w:uiPriority w:val="39"/>
    <w:rsid w:val="000536A0"/>
    <w:pPr>
      <w:tabs>
        <w:tab w:val="right" w:leader="dot" w:pos="9070"/>
      </w:tabs>
      <w:spacing w:after="100" w:line="288" w:lineRule="auto"/>
      <w:ind w:left="680"/>
      <w:jc w:val="both"/>
    </w:pPr>
    <w:rPr>
      <w:rFonts w:ascii="Myriad Pro" w:eastAsiaTheme="minorHAnsi" w:hAnsi="Myriad Pro" w:cstheme="minorBidi"/>
      <w:szCs w:val="22"/>
      <w:lang w:eastAsia="en-US"/>
    </w:rPr>
  </w:style>
  <w:style w:type="paragraph" w:styleId="TOC4">
    <w:name w:val="toc 4"/>
    <w:basedOn w:val="Normal"/>
    <w:autoRedefine/>
    <w:semiHidden/>
    <w:rsid w:val="000536A0"/>
    <w:pPr>
      <w:spacing w:after="20"/>
      <w:ind w:left="340"/>
      <w:contextualSpacing/>
    </w:pPr>
  </w:style>
  <w:style w:type="paragraph" w:styleId="TOC5">
    <w:name w:val="toc 5"/>
    <w:basedOn w:val="Normal"/>
    <w:autoRedefine/>
    <w:semiHidden/>
    <w:rsid w:val="000536A0"/>
    <w:pPr>
      <w:spacing w:after="20"/>
      <w:contextualSpacing/>
    </w:pPr>
  </w:style>
  <w:style w:type="paragraph" w:styleId="TOC6">
    <w:name w:val="toc 6"/>
    <w:basedOn w:val="Normal"/>
    <w:next w:val="Normal"/>
    <w:autoRedefine/>
    <w:semiHidden/>
    <w:rsid w:val="000536A0"/>
    <w:pPr>
      <w:ind w:left="1100"/>
    </w:pPr>
  </w:style>
  <w:style w:type="paragraph" w:styleId="TOC7">
    <w:name w:val="toc 7"/>
    <w:basedOn w:val="Normal"/>
    <w:next w:val="Normal"/>
    <w:autoRedefine/>
    <w:semiHidden/>
    <w:rsid w:val="000536A0"/>
    <w:pPr>
      <w:ind w:left="1320"/>
    </w:pPr>
  </w:style>
  <w:style w:type="paragraph" w:styleId="TOC8">
    <w:name w:val="toc 8"/>
    <w:basedOn w:val="Normal"/>
    <w:next w:val="Normal"/>
    <w:autoRedefine/>
    <w:semiHidden/>
    <w:rsid w:val="000536A0"/>
    <w:pPr>
      <w:ind w:left="1540"/>
    </w:pPr>
  </w:style>
  <w:style w:type="paragraph" w:styleId="TOC9">
    <w:name w:val="toc 9"/>
    <w:basedOn w:val="Normal"/>
    <w:next w:val="Normal"/>
    <w:autoRedefine/>
    <w:semiHidden/>
    <w:rsid w:val="000536A0"/>
    <w:pPr>
      <w:ind w:left="1760"/>
    </w:pPr>
  </w:style>
  <w:style w:type="paragraph" w:styleId="CommentText">
    <w:name w:val="annotation text"/>
    <w:basedOn w:val="Normal"/>
    <w:link w:val="CommentTextChar"/>
    <w:semiHidden/>
    <w:rsid w:val="000536A0"/>
    <w:rPr>
      <w:szCs w:val="20"/>
    </w:rPr>
  </w:style>
  <w:style w:type="character" w:styleId="CommentReference">
    <w:name w:val="annotation reference"/>
    <w:basedOn w:val="DefaultParagraphFont"/>
    <w:semiHidden/>
    <w:rsid w:val="000536A0"/>
    <w:rPr>
      <w:sz w:val="16"/>
      <w:szCs w:val="16"/>
    </w:rPr>
  </w:style>
  <w:style w:type="paragraph" w:styleId="EndnoteText">
    <w:name w:val="endnote text"/>
    <w:basedOn w:val="Normal"/>
    <w:autoRedefine/>
    <w:semiHidden/>
    <w:rsid w:val="000536A0"/>
    <w:rPr>
      <w:szCs w:val="20"/>
    </w:rPr>
  </w:style>
  <w:style w:type="character" w:styleId="EndnoteReference">
    <w:name w:val="endnote reference"/>
    <w:basedOn w:val="DefaultParagraphFont"/>
    <w:semiHidden/>
    <w:rsid w:val="000536A0"/>
    <w:rPr>
      <w:vertAlign w:val="superscript"/>
    </w:rPr>
  </w:style>
  <w:style w:type="paragraph" w:styleId="MacroText">
    <w:name w:val="macro"/>
    <w:semiHidden/>
    <w:rsid w:val="000536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0536A0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0536A0"/>
    <w:rPr>
      <w:rFonts w:cs="Arial"/>
      <w:b/>
      <w:bCs/>
    </w:rPr>
  </w:style>
  <w:style w:type="paragraph" w:styleId="Index2">
    <w:name w:val="index 2"/>
    <w:basedOn w:val="Normal"/>
    <w:next w:val="Normal"/>
    <w:autoRedefine/>
    <w:semiHidden/>
    <w:rsid w:val="000536A0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536A0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536A0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536A0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536A0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536A0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536A0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536A0"/>
    <w:pPr>
      <w:ind w:left="1980" w:hanging="220"/>
    </w:pPr>
  </w:style>
  <w:style w:type="paragraph" w:styleId="DocumentMap">
    <w:name w:val="Document Map"/>
    <w:basedOn w:val="Normal"/>
    <w:semiHidden/>
    <w:rsid w:val="000536A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odilnistavekUMAR">
    <w:name w:val="Vodilni stavek_UMAR"/>
    <w:basedOn w:val="DefaultParagraphFont"/>
    <w:qFormat/>
    <w:rsid w:val="000536A0"/>
    <w:rPr>
      <w:b/>
    </w:rPr>
  </w:style>
  <w:style w:type="paragraph" w:styleId="BalloonText">
    <w:name w:val="Balloon Text"/>
    <w:basedOn w:val="Normal"/>
    <w:semiHidden/>
    <w:rsid w:val="000536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536A0"/>
    <w:rPr>
      <w:rFonts w:ascii="Myriad Pro" w:eastAsiaTheme="minorHAnsi" w:hAnsi="Myriad Pro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536A0"/>
    <w:rPr>
      <w:rFonts w:ascii="Myriad Pro" w:eastAsia="Calibri" w:hAnsi="Myriad Pr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536A0"/>
    <w:pPr>
      <w:tabs>
        <w:tab w:val="center" w:pos="4536"/>
        <w:tab w:val="right" w:pos="9072"/>
      </w:tabs>
    </w:pPr>
    <w:rPr>
      <w:rFonts w:ascii="Myriad Pro" w:hAnsi="Myriad Pro"/>
    </w:rPr>
  </w:style>
  <w:style w:type="character" w:styleId="Hyperlink">
    <w:name w:val="Hyperlink"/>
    <w:basedOn w:val="BesediloUMARChar"/>
    <w:uiPriority w:val="99"/>
    <w:rsid w:val="000536A0"/>
    <w:rPr>
      <w:rFonts w:ascii="Myriad Pro" w:eastAsiaTheme="minorHAnsi" w:hAnsi="Myriad Pro" w:cstheme="minorBidi"/>
      <w:color w:val="0000FF"/>
      <w:szCs w:val="22"/>
      <w:u w:val="single"/>
      <w:lang w:eastAsia="en-US"/>
    </w:rPr>
  </w:style>
  <w:style w:type="character" w:styleId="Emphasis">
    <w:name w:val="Emphasis"/>
    <w:aliases w:val="Italic poudarek_UMAR"/>
    <w:basedOn w:val="BesediloUMARChar"/>
    <w:qFormat/>
    <w:rsid w:val="000536A0"/>
    <w:rPr>
      <w:rFonts w:ascii="Myriad Pro" w:eastAsiaTheme="minorHAnsi" w:hAnsi="Myriad Pro" w:cstheme="minorBidi"/>
      <w:i/>
      <w:iCs/>
      <w:szCs w:val="22"/>
      <w:lang w:eastAsia="en-US"/>
    </w:rPr>
  </w:style>
  <w:style w:type="character" w:customStyle="1" w:styleId="Heading3Char">
    <w:name w:val="Heading 3 Char"/>
    <w:aliases w:val="Heading 3_UMAR Char"/>
    <w:basedOn w:val="DefaultParagraphFont"/>
    <w:link w:val="Heading3"/>
    <w:uiPriority w:val="3"/>
    <w:rsid w:val="000536A0"/>
    <w:rPr>
      <w:rFonts w:ascii="Myriad Pro" w:eastAsiaTheme="minorHAnsi" w:hAnsi="Myriad Pro" w:cs="Arial"/>
      <w:b/>
      <w:bCs/>
      <w:color w:val="9E001A" w:themeColor="accent1"/>
      <w:sz w:val="24"/>
      <w:szCs w:val="26"/>
      <w:lang w:eastAsia="en-US"/>
    </w:rPr>
  </w:style>
  <w:style w:type="character" w:customStyle="1" w:styleId="Heading2Char">
    <w:name w:val="Heading 2 Char"/>
    <w:aliases w:val="Heading 2_UMAR Char"/>
    <w:basedOn w:val="DefaultParagraphFont"/>
    <w:link w:val="Heading2"/>
    <w:uiPriority w:val="2"/>
    <w:rsid w:val="000536A0"/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character" w:customStyle="1" w:styleId="Heading1Char">
    <w:name w:val="Heading 1 Char"/>
    <w:aliases w:val="Heading 1_UMAR Char"/>
    <w:basedOn w:val="DefaultParagraphFont"/>
    <w:link w:val="Heading1"/>
    <w:uiPriority w:val="1"/>
    <w:rsid w:val="00D54FEE"/>
    <w:rPr>
      <w:rFonts w:ascii="Myriad Pro" w:eastAsiaTheme="minorHAnsi" w:hAnsi="Myriad Pro" w:cs="Arial"/>
      <w:b/>
      <w:bCs/>
      <w:color w:val="9E001A" w:themeColor="accent1"/>
      <w:kern w:val="32"/>
      <w:sz w:val="2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36A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536A0"/>
    <w:rPr>
      <w:rFonts w:ascii="Myriad Pro" w:eastAsiaTheme="minorHAnsi" w:hAnsi="Myriad Pro" w:cstheme="minorBidi"/>
      <w:noProof/>
      <w:sz w:val="16"/>
      <w:szCs w:val="16"/>
      <w:lang w:eastAsia="en-US"/>
    </w:rPr>
  </w:style>
  <w:style w:type="paragraph" w:customStyle="1" w:styleId="BesediloUMAR">
    <w:name w:val="Besedilo_UMAR"/>
    <w:link w:val="BesediloUMARChar"/>
    <w:qFormat/>
    <w:rsid w:val="000536A0"/>
    <w:pPr>
      <w:spacing w:line="288" w:lineRule="auto"/>
      <w:jc w:val="both"/>
    </w:pPr>
    <w:rPr>
      <w:rFonts w:ascii="Myriad Pro" w:eastAsiaTheme="minorHAnsi" w:hAnsi="Myriad Pro" w:cstheme="minorBidi"/>
      <w:szCs w:val="22"/>
      <w:lang w:eastAsia="en-US"/>
    </w:rPr>
  </w:style>
  <w:style w:type="character" w:customStyle="1" w:styleId="BesediloUMARChar">
    <w:name w:val="Besedilo_UMAR Char"/>
    <w:basedOn w:val="DefaultParagraphFont"/>
    <w:link w:val="BesediloUMAR"/>
    <w:rsid w:val="000536A0"/>
    <w:rPr>
      <w:rFonts w:ascii="Myriad Pro" w:eastAsiaTheme="minorHAnsi" w:hAnsi="Myriad Pro" w:cstheme="minorBidi"/>
      <w:szCs w:val="22"/>
      <w:lang w:eastAsia="en-US"/>
    </w:rPr>
  </w:style>
  <w:style w:type="paragraph" w:customStyle="1" w:styleId="VirUMAR">
    <w:name w:val="Vir_UMAR"/>
    <w:basedOn w:val="BesediloUMAR"/>
    <w:link w:val="VirUMARChar"/>
    <w:uiPriority w:val="6"/>
    <w:qFormat/>
    <w:rsid w:val="000536A0"/>
    <w:pPr>
      <w:spacing w:before="40" w:line="240" w:lineRule="auto"/>
    </w:pPr>
    <w:rPr>
      <w:sz w:val="16"/>
    </w:rPr>
  </w:style>
  <w:style w:type="character" w:customStyle="1" w:styleId="VirUMARChar">
    <w:name w:val="Vir_UMAR Char"/>
    <w:basedOn w:val="DefaultParagraphFont"/>
    <w:link w:val="VirUMAR"/>
    <w:uiPriority w:val="6"/>
    <w:rsid w:val="000536A0"/>
    <w:rPr>
      <w:rFonts w:ascii="Myriad Pro" w:eastAsiaTheme="minorHAnsi" w:hAnsi="Myriad Pro" w:cstheme="minorBidi"/>
      <w:sz w:val="16"/>
      <w:szCs w:val="22"/>
      <w:lang w:eastAsia="en-US"/>
    </w:rPr>
  </w:style>
  <w:style w:type="character" w:customStyle="1" w:styleId="CaptionChar">
    <w:name w:val="Caption Char"/>
    <w:aliases w:val="Okvir/Slika/Tabela_UMAR Char,Okvir/Slika/Tabela_POR Char,Slika/Tabela_POR Char,Naslov slike Char,tabele Char"/>
    <w:basedOn w:val="DefaultParagraphFont"/>
    <w:link w:val="Caption"/>
    <w:uiPriority w:val="4"/>
    <w:rsid w:val="000536A0"/>
    <w:rPr>
      <w:rFonts w:ascii="Myriad Pro" w:eastAsiaTheme="minorHAnsi" w:hAnsi="Myriad Pro" w:cstheme="minorBidi"/>
      <w:b/>
      <w:bCs/>
      <w:noProof/>
      <w:lang w:eastAsia="en-US"/>
    </w:rPr>
  </w:style>
  <w:style w:type="paragraph" w:customStyle="1" w:styleId="TabelaglavadesnoUMAR">
    <w:name w:val="Tabela glava desno_UMAR"/>
    <w:link w:val="TabelaglavadesnoUMARChar"/>
    <w:uiPriority w:val="5"/>
    <w:qFormat/>
    <w:rsid w:val="000536A0"/>
    <w:pPr>
      <w:spacing w:before="10" w:after="10" w:line="220" w:lineRule="atLeast"/>
      <w:jc w:val="right"/>
    </w:pPr>
    <w:rPr>
      <w:rFonts w:ascii="Myriad Pro" w:eastAsiaTheme="minorHAnsi" w:hAnsi="Myriad Pro" w:cs="Calibri"/>
      <w:b/>
      <w:bCs/>
      <w:sz w:val="18"/>
      <w:szCs w:val="18"/>
      <w:lang w:eastAsia="en-US"/>
    </w:rPr>
  </w:style>
  <w:style w:type="character" w:customStyle="1" w:styleId="TabelaglavadesnoUMARChar">
    <w:name w:val="Tabela glava desno_UMAR Char"/>
    <w:basedOn w:val="DefaultParagraphFont"/>
    <w:link w:val="TabelaglavadesnoUMAR"/>
    <w:uiPriority w:val="5"/>
    <w:rsid w:val="000536A0"/>
    <w:rPr>
      <w:rFonts w:ascii="Myriad Pro" w:eastAsiaTheme="minorHAnsi" w:hAnsi="Myriad Pro" w:cs="Calibri"/>
      <w:b/>
      <w:bCs/>
      <w:sz w:val="18"/>
      <w:szCs w:val="18"/>
      <w:lang w:eastAsia="en-US"/>
    </w:rPr>
  </w:style>
  <w:style w:type="paragraph" w:customStyle="1" w:styleId="TabelaglavalevoUMAR">
    <w:name w:val="Tabela glava levo_UMAR"/>
    <w:basedOn w:val="TabelaglavadesnoUMAR"/>
    <w:link w:val="TabelaglavalevoUMARChar"/>
    <w:uiPriority w:val="5"/>
    <w:qFormat/>
    <w:rsid w:val="000536A0"/>
    <w:pPr>
      <w:jc w:val="left"/>
    </w:pPr>
  </w:style>
  <w:style w:type="paragraph" w:customStyle="1" w:styleId="TabelalevoUMAR">
    <w:name w:val="Tabela levo_UMAR"/>
    <w:basedOn w:val="TabelaglavalevoUMAR"/>
    <w:link w:val="TabelalevoUMARChar"/>
    <w:uiPriority w:val="5"/>
    <w:qFormat/>
    <w:rsid w:val="000536A0"/>
    <w:rPr>
      <w:b w:val="0"/>
    </w:rPr>
  </w:style>
  <w:style w:type="character" w:customStyle="1" w:styleId="TabelaglavalevoUMARChar">
    <w:name w:val="Tabela glava levo_UMAR Char"/>
    <w:basedOn w:val="TabelaglavadesnoUMARChar"/>
    <w:link w:val="TabelaglavalevoUMAR"/>
    <w:uiPriority w:val="5"/>
    <w:rsid w:val="000536A0"/>
    <w:rPr>
      <w:rFonts w:ascii="Myriad Pro" w:eastAsiaTheme="minorHAnsi" w:hAnsi="Myriad Pro" w:cs="Calibri"/>
      <w:b/>
      <w:bCs/>
      <w:sz w:val="18"/>
      <w:szCs w:val="18"/>
      <w:lang w:eastAsia="en-US"/>
    </w:rPr>
  </w:style>
  <w:style w:type="paragraph" w:customStyle="1" w:styleId="TabeladesnoUMAR">
    <w:name w:val="Tabela desno_UMAR"/>
    <w:basedOn w:val="TabelaglavadesnoUMAR"/>
    <w:link w:val="TabeladesnoUMARChar"/>
    <w:uiPriority w:val="5"/>
    <w:qFormat/>
    <w:rsid w:val="000536A0"/>
    <w:rPr>
      <w:b w:val="0"/>
    </w:rPr>
  </w:style>
  <w:style w:type="character" w:customStyle="1" w:styleId="TabelalevoUMARChar">
    <w:name w:val="Tabela levo_UMAR Char"/>
    <w:basedOn w:val="TabelaglavalevoUMARChar"/>
    <w:link w:val="TabelalevoUMAR"/>
    <w:uiPriority w:val="5"/>
    <w:rsid w:val="000536A0"/>
    <w:rPr>
      <w:rFonts w:ascii="Myriad Pro" w:eastAsiaTheme="minorHAnsi" w:hAnsi="Myriad Pro" w:cs="Calibri"/>
      <w:b w:val="0"/>
      <w:bCs/>
      <w:sz w:val="18"/>
      <w:szCs w:val="18"/>
      <w:lang w:eastAsia="en-US"/>
    </w:rPr>
  </w:style>
  <w:style w:type="character" w:customStyle="1" w:styleId="TabeladesnoUMARChar">
    <w:name w:val="Tabela desno_UMAR Char"/>
    <w:basedOn w:val="TabelaglavadesnoUMARChar"/>
    <w:link w:val="TabeladesnoUMAR"/>
    <w:uiPriority w:val="5"/>
    <w:rsid w:val="000536A0"/>
    <w:rPr>
      <w:rFonts w:ascii="Myriad Pro" w:eastAsiaTheme="minorHAnsi" w:hAnsi="Myriad Pro" w:cs="Calibri"/>
      <w:b w:val="0"/>
      <w:bCs/>
      <w:sz w:val="18"/>
      <w:szCs w:val="18"/>
      <w:lang w:eastAsia="en-US"/>
    </w:rPr>
  </w:style>
  <w:style w:type="character" w:customStyle="1" w:styleId="BoldpoudarekUMAR">
    <w:name w:val="Bold poudarek_UMAR"/>
    <w:basedOn w:val="BesediloUMARChar"/>
    <w:qFormat/>
    <w:rsid w:val="000536A0"/>
    <w:rPr>
      <w:rFonts w:ascii="Myriad Pro" w:eastAsiaTheme="minorHAnsi" w:hAnsi="Myriad Pro" w:cstheme="minorBidi"/>
      <w:b/>
      <w:szCs w:val="22"/>
      <w:lang w:eastAsia="en-US"/>
    </w:rPr>
  </w:style>
  <w:style w:type="paragraph" w:customStyle="1" w:styleId="NaslovnicanaslovUMAR">
    <w:name w:val="Naslovnica_naslov_UMAR"/>
    <w:basedOn w:val="Heading2"/>
    <w:link w:val="NaslovnicanaslovUMARChar"/>
    <w:uiPriority w:val="99"/>
    <w:qFormat/>
    <w:rsid w:val="000536A0"/>
  </w:style>
  <w:style w:type="character" w:customStyle="1" w:styleId="NaslovnicanaslovUMARChar">
    <w:name w:val="Naslovnica_naslov_UMAR Char"/>
    <w:basedOn w:val="DefaultParagraphFont"/>
    <w:link w:val="NaslovnicanaslovUMAR"/>
    <w:uiPriority w:val="99"/>
    <w:rsid w:val="000536A0"/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table" w:styleId="TableGridLight">
    <w:name w:val="Grid Table Light"/>
    <w:aliases w:val="UMAR tabela,POR tabela"/>
    <w:basedOn w:val="TableNormal"/>
    <w:uiPriority w:val="40"/>
    <w:rsid w:val="000536A0"/>
    <w:rPr>
      <w:rFonts w:ascii="Myriad Pro" w:hAnsi="Myriad Pro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right"/>
      </w:pPr>
      <w:rPr>
        <w:b w:val="0"/>
      </w:rPr>
      <w:tblPr/>
      <w:tcPr>
        <w:shd w:val="clear" w:color="auto" w:fill="DBDBDB" w:themeFill="background2"/>
      </w:tcPr>
    </w:tblStylePr>
    <w:tblStylePr w:type="firstCol">
      <w:pPr>
        <w:jc w:val="left"/>
      </w:pPr>
    </w:tblStylePr>
    <w:tblStylePr w:type="lastCol">
      <w:pPr>
        <w:jc w:val="right"/>
      </w:p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PlainTable1">
    <w:name w:val="Plain Table 1"/>
    <w:basedOn w:val="TableNormal"/>
    <w:uiPriority w:val="41"/>
    <w:rsid w:val="000536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36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36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36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36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536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0536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36A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36A0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536A0"/>
    <w:rPr>
      <w:rFonts w:asciiTheme="minorHAnsi" w:eastAsiaTheme="minorHAnsi" w:hAnsiTheme="minorHAnsi" w:cstheme="minorBidi"/>
      <w:b/>
      <w:bCs/>
      <w:sz w:val="22"/>
      <w:lang w:eastAsia="en-US"/>
    </w:rPr>
  </w:style>
  <w:style w:type="table" w:customStyle="1" w:styleId="UMARokvir">
    <w:name w:val="UMAR okvir"/>
    <w:basedOn w:val="TableNormal"/>
    <w:uiPriority w:val="99"/>
    <w:rsid w:val="000536A0"/>
    <w:rPr>
      <w:rFonts w:ascii="Myriad Pro" w:hAnsi="Myriad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27" w:type="dxa"/>
        <w:right w:w="227" w:type="dxa"/>
      </w:tblCellMar>
    </w:tblPr>
    <w:tcPr>
      <w:shd w:val="clear" w:color="auto" w:fill="DBDBDB" w:themeFill="background2"/>
    </w:tcPr>
  </w:style>
  <w:style w:type="table" w:customStyle="1" w:styleId="UMARenaba">
    <w:name w:val="UMAR enačba"/>
    <w:basedOn w:val="TableNormal"/>
    <w:uiPriority w:val="99"/>
    <w:rsid w:val="000536A0"/>
    <w:pPr>
      <w:jc w:val="center"/>
    </w:pPr>
    <w:rPr>
      <w:rFonts w:ascii="Myriad Pro" w:hAnsi="Myriad Pro"/>
    </w:rPr>
    <w:tblPr/>
    <w:tcPr>
      <w:vAlign w:val="center"/>
    </w:tcPr>
    <w:tblStylePr w:type="lastCol">
      <w:pPr>
        <w:jc w:val="right"/>
      </w:pPr>
    </w:tblStylePr>
  </w:style>
  <w:style w:type="paragraph" w:styleId="TOCHeading">
    <w:name w:val="TOC Heading"/>
    <w:basedOn w:val="Heading1"/>
    <w:next w:val="Normal"/>
    <w:uiPriority w:val="39"/>
    <w:unhideWhenUsed/>
    <w:rsid w:val="000536A0"/>
    <w:pPr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bCs w:val="0"/>
      <w:color w:val="760013" w:themeColor="accent1" w:themeShade="BF"/>
      <w:kern w:val="0"/>
      <w:sz w:val="32"/>
      <w:szCs w:val="32"/>
      <w:lang w:val="en-US"/>
    </w:rPr>
  </w:style>
  <w:style w:type="paragraph" w:styleId="ListParagraph">
    <w:name w:val="List Paragraph"/>
    <w:basedOn w:val="Normal"/>
    <w:uiPriority w:val="34"/>
    <w:rsid w:val="000536A0"/>
    <w:pPr>
      <w:ind w:left="720"/>
      <w:contextualSpacing/>
    </w:pPr>
    <w:rPr>
      <w:rFonts w:ascii="Myriad Pro" w:hAnsi="Myriad Pro"/>
    </w:rPr>
  </w:style>
  <w:style w:type="paragraph" w:customStyle="1" w:styleId="LiteraturaUMAR">
    <w:name w:val="Literatura_UMAR"/>
    <w:basedOn w:val="BesediloUMAR"/>
    <w:link w:val="LiteraturaUMARChar"/>
    <w:uiPriority w:val="7"/>
    <w:qFormat/>
    <w:rsid w:val="000536A0"/>
    <w:pPr>
      <w:numPr>
        <w:numId w:val="1"/>
      </w:numPr>
      <w:jc w:val="left"/>
    </w:pPr>
  </w:style>
  <w:style w:type="character" w:customStyle="1" w:styleId="LiteraturaUMARChar">
    <w:name w:val="Literatura_UMAR Char"/>
    <w:basedOn w:val="BesediloUMARChar"/>
    <w:link w:val="LiteraturaUMAR"/>
    <w:uiPriority w:val="7"/>
    <w:rsid w:val="000536A0"/>
    <w:rPr>
      <w:rFonts w:ascii="Myriad Pro" w:eastAsiaTheme="minorHAnsi" w:hAnsi="Myriad Pro" w:cstheme="minorBidi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380">
          <w:marLeft w:val="329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yperlink" Target="https://ec.europa.eu/eurostat/data/database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3.emf"/><Relationship Id="rId34" Type="http://schemas.openxmlformats.org/officeDocument/2006/relationships/hyperlink" Target="https://ec.europa.eu/info/law/better-regulation/have-your-say/initiatives/12265-2030-Climate-Target-Pla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yperlink" Target="https://ec.europa.eu/clima/sites/clima/files/strategies/progress/docs/com_2020_777_en.pdf" TargetMode="External"/><Relationship Id="rId33" Type="http://schemas.openxmlformats.org/officeDocument/2006/relationships/hyperlink" Target="https://www.gov.si/teme/trgovanje-s-pravicami-do-emisije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yperlink" Target="https://eur-lex.europa.eu/resource.html?uri=cellar:b828d165-1c22-11ea-8c1f-01aa75ed71a1.0015.02/DOC_1&amp;format=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https://op.europa.eu/sl/publication-detail/-/publication/92f6d5bc-76bc-11e9-9f05-01aa75ed71a1/" TargetMode="External"/><Relationship Id="rId32" Type="http://schemas.openxmlformats.org/officeDocument/2006/relationships/hyperlink" Target="https://www.gov.si/podrocja/okolje-in-prostor/okolje/podnebne-spremembe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yperlink" Target="https://www.gov.si/assets/ministrstva/MOP/Javne-objave/Javne-obravnave/podnebna_strategija_2050/dolgorocna_podnebna_strategija_2050.pdf" TargetMode="External"/><Relationship Id="rId28" Type="http://schemas.openxmlformats.org/officeDocument/2006/relationships/hyperlink" Target="https://www.consilium.europa.eu/sl/policies/climate-change/reform-eu-ets/" TargetMode="External"/><Relationship Id="rId36" Type="http://schemas.openxmlformats.org/officeDocument/2006/relationships/image" Target="media/image16.jpeg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31" Type="http://schemas.openxmlformats.org/officeDocument/2006/relationships/hyperlink" Target="https://www.energetika-portal.si/dokumenti/strateski-razvojni-dokumenti/nacionalni-energetski-in-podnebni-nacr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https://ec.europa.eu/eu2020/pdf/1_SL_ACT_part1_v1.pdf" TargetMode="External"/><Relationship Id="rId30" Type="http://schemas.openxmlformats.org/officeDocument/2006/relationships/hyperlink" Target="https://ec.europa.eu/transparency/regdoc/rep/1/2020/SL/COM-2020-562-F1-SL-MAIN-PART-1.PDF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UMAR tema">
  <a:themeElements>
    <a:clrScheme name="UMAR barve 2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9E001A"/>
      </a:accent1>
      <a:accent2>
        <a:srgbClr val="D99694"/>
      </a:accent2>
      <a:accent3>
        <a:srgbClr val="949494"/>
      </a:accent3>
      <a:accent4>
        <a:srgbClr val="535353"/>
      </a:accent4>
      <a:accent5>
        <a:srgbClr val="3F8B94"/>
      </a:accent5>
      <a:accent6>
        <a:srgbClr val="9FCDAB"/>
      </a:accent6>
      <a:hlink>
        <a:srgbClr val="0563C1"/>
      </a:hlink>
      <a:folHlink>
        <a:srgbClr val="954F72"/>
      </a:folHlink>
    </a:clrScheme>
    <a:fontScheme name="UMAR pisa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5D1F-515B-4CE6-A56D-96586695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3189</Words>
  <Characters>19684</Characters>
  <Application>Microsoft Office Word</Application>
  <DocSecurity>0</DocSecurity>
  <Lines>164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NEP:</vt:lpstr>
      <vt:lpstr>NEP:</vt:lpstr>
    </vt:vector>
  </TitlesOfParts>
  <Company>UMAR</Company>
  <LinksUpToDate>false</LinksUpToDate>
  <CharactersWithSpaces>22828</CharactersWithSpaces>
  <SharedDoc>false</SharedDoc>
  <HLinks>
    <vt:vector size="18" baseType="variant">
      <vt:variant>
        <vt:i4>2031671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_Toc164759707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_Toc164759700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_Toc164759693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NEP:</dc:title>
  <dc:subject/>
  <dc:creator>Mateja Kovač</dc:creator>
  <cp:keywords/>
  <dc:description/>
  <cp:lastModifiedBy>Mateja Kovač</cp:lastModifiedBy>
  <cp:revision>2</cp:revision>
  <cp:lastPrinted>2020-09-03T12:47:00Z</cp:lastPrinted>
  <dcterms:created xsi:type="dcterms:W3CDTF">2020-12-11T12:59:00Z</dcterms:created>
  <dcterms:modified xsi:type="dcterms:W3CDTF">2020-12-11T12:59:00Z</dcterms:modified>
</cp:coreProperties>
</file>